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70C846" wp14:paraId="6F3E7FD6" wp14:textId="3A89C935">
      <w:pPr>
        <w:pStyle w:val="Normal"/>
        <w:spacing w:before="0" w:beforeAutospacing="off" w:after="160" w:afterAutospacing="off" w:line="257" w:lineRule="auto"/>
        <w:rPr>
          <w:rFonts w:ascii="Arial Nova" w:hAnsi="Arial Nova" w:eastAsia="Arial Nova" w:cs="Arial Nova"/>
          <w:b w:val="1"/>
          <w:bCs w:val="1"/>
          <w:i w:val="0"/>
          <w:iCs w:val="0"/>
          <w:caps w:val="0"/>
          <w:smallCaps w:val="0"/>
          <w:noProof w:val="0"/>
          <w:color w:val="000000" w:themeColor="text1" w:themeTint="FF" w:themeShade="FF"/>
          <w:sz w:val="40"/>
          <w:szCs w:val="40"/>
          <w:lang w:val="en-US"/>
        </w:rPr>
      </w:pP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Module </w:t>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code :</w:t>
      </w:r>
      <w:r w:rsidRPr="4070C846" w:rsidR="1877842F">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rsidRPr="4070C846" w:rsidR="4B46F29E">
        <w:rPr>
          <w:rFonts w:ascii="Arial Nova" w:hAnsi="Arial Nova" w:eastAsia="Arial Nova" w:cs="Arial Nova"/>
          <w:b w:val="1"/>
          <w:bCs w:val="1"/>
          <w:i w:val="0"/>
          <w:iCs w:val="0"/>
          <w:caps w:val="0"/>
          <w:smallCaps w:val="0"/>
          <w:noProof w:val="0"/>
          <w:color w:val="000000" w:themeColor="text1" w:themeTint="FF" w:themeShade="FF"/>
          <w:sz w:val="40"/>
          <w:szCs w:val="40"/>
          <w:lang w:val="en-GB"/>
        </w:rPr>
        <w:t>BMHP</w:t>
      </w:r>
      <w:r w:rsidRPr="4070C846" w:rsidR="4B46F29E">
        <w:rPr>
          <w:rFonts w:ascii="Arial Nova" w:hAnsi="Arial Nova" w:eastAsia="Arial Nova" w:cs="Arial Nova"/>
          <w:b w:val="1"/>
          <w:bCs w:val="1"/>
          <w:i w:val="0"/>
          <w:iCs w:val="0"/>
          <w:caps w:val="0"/>
          <w:smallCaps w:val="0"/>
          <w:noProof w:val="0"/>
          <w:color w:val="000000" w:themeColor="text1" w:themeTint="FF" w:themeShade="FF"/>
          <w:sz w:val="40"/>
          <w:szCs w:val="40"/>
          <w:lang w:val="en-GB"/>
        </w:rPr>
        <w:t>5023</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US"/>
        </w:rPr>
        <w:t>Module Name:</w:t>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rsidRPr="4070C846" w:rsidR="01498736">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introduction to physiology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Lecturer Name: </w:t>
      </w:r>
      <w:r w:rsidRPr="4070C846" w:rsidR="5A815EDC">
        <w:rPr>
          <w:rFonts w:ascii="Arial Nova" w:hAnsi="Arial Nova" w:eastAsia="Arial Nova" w:cs="Arial Nova"/>
          <w:b w:val="1"/>
          <w:bCs w:val="1"/>
          <w:i w:val="0"/>
          <w:iCs w:val="0"/>
          <w:caps w:val="0"/>
          <w:smallCaps w:val="0"/>
          <w:noProof w:val="0"/>
          <w:color w:val="1D2125"/>
          <w:sz w:val="40"/>
          <w:szCs w:val="40"/>
          <w:lang w:val="en-US"/>
        </w:rPr>
        <w:t>Gillian Weaver</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My Name: Ayesha shaikh </w:t>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US"/>
        </w:rPr>
        <w:t>student ID:2422573</w:t>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br/>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US"/>
        </w:rPr>
        <w:t>Assignment title:</w:t>
      </w:r>
      <w:r w:rsidRPr="4070C846" w:rsidR="00BFF9AD">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 </w:t>
      </w:r>
      <w:r w:rsidRPr="4070C846" w:rsidR="18BE06B4">
        <w:rPr>
          <w:rFonts w:ascii="Arial Nova" w:hAnsi="Arial Nova" w:eastAsia="Arial Nova" w:cs="Arial Nova"/>
          <w:b w:val="1"/>
          <w:bCs w:val="1"/>
          <w:i w:val="0"/>
          <w:iCs w:val="0"/>
          <w:caps w:val="0"/>
          <w:smallCaps w:val="0"/>
          <w:noProof w:val="0"/>
          <w:color w:val="000000" w:themeColor="text1" w:themeTint="FF" w:themeShade="FF"/>
          <w:sz w:val="40"/>
          <w:szCs w:val="40"/>
          <w:lang w:val="en-US"/>
        </w:rPr>
        <w:t>case study</w:t>
      </w:r>
    </w:p>
    <w:p xmlns:wp14="http://schemas.microsoft.com/office/word/2010/wordml" w:rsidP="4070C846" wp14:paraId="03AF191F" wp14:textId="08C2F5D9">
      <w:pPr>
        <w:pStyle w:val="Normal"/>
        <w:rPr>
          <w:b w:val="1"/>
          <w:bCs w:val="1"/>
          <w:noProof w:val="0"/>
          <w:lang w:val="en-GB"/>
        </w:rPr>
      </w:pPr>
    </w:p>
    <w:p xmlns:wp14="http://schemas.microsoft.com/office/word/2010/wordml" w:rsidP="4070C846" wp14:paraId="6976E072" wp14:textId="00EF79BF">
      <w:pPr>
        <w:pStyle w:val="Normal"/>
        <w:rPr>
          <w:b w:val="1"/>
          <w:bCs w:val="1"/>
          <w:noProof w:val="0"/>
          <w:lang w:val="en-GB"/>
        </w:rPr>
      </w:pPr>
    </w:p>
    <w:p xmlns:wp14="http://schemas.microsoft.com/office/word/2010/wordml" w:rsidP="4070C846" wp14:paraId="76E20685" wp14:textId="23DA790E">
      <w:pPr>
        <w:pStyle w:val="Normal"/>
        <w:rPr>
          <w:b w:val="1"/>
          <w:bCs w:val="1"/>
          <w:noProof w:val="0"/>
          <w:lang w:val="en-GB"/>
        </w:rPr>
      </w:pPr>
    </w:p>
    <w:p xmlns:wp14="http://schemas.microsoft.com/office/word/2010/wordml" w:rsidP="4070C846" wp14:paraId="31EE4B13" wp14:textId="19C93C41">
      <w:pPr>
        <w:pStyle w:val="Normal"/>
        <w:rPr>
          <w:b w:val="1"/>
          <w:bCs w:val="1"/>
          <w:noProof w:val="0"/>
          <w:lang w:val="en-GB"/>
        </w:rPr>
      </w:pPr>
    </w:p>
    <w:p xmlns:wp14="http://schemas.microsoft.com/office/word/2010/wordml" w:rsidP="4070C846" wp14:paraId="18983140" wp14:textId="0B1AEE46">
      <w:pPr>
        <w:pStyle w:val="Normal"/>
        <w:rPr>
          <w:b w:val="1"/>
          <w:bCs w:val="1"/>
          <w:noProof w:val="0"/>
          <w:lang w:val="en-GB"/>
        </w:rPr>
      </w:pPr>
    </w:p>
    <w:p xmlns:wp14="http://schemas.microsoft.com/office/word/2010/wordml" w:rsidP="4070C846" wp14:paraId="0684DFD3" wp14:textId="6F1BCDB7">
      <w:pPr>
        <w:pStyle w:val="Normal"/>
        <w:rPr>
          <w:b w:val="1"/>
          <w:bCs w:val="1"/>
          <w:noProof w:val="0"/>
          <w:lang w:val="en-GB"/>
        </w:rPr>
      </w:pPr>
    </w:p>
    <w:p xmlns:wp14="http://schemas.microsoft.com/office/word/2010/wordml" w:rsidP="4070C846" wp14:paraId="373871E3" wp14:textId="1BBFC589">
      <w:pPr>
        <w:pStyle w:val="Normal"/>
        <w:rPr>
          <w:b w:val="1"/>
          <w:bCs w:val="1"/>
          <w:noProof w:val="0"/>
          <w:lang w:val="en-GB"/>
        </w:rPr>
      </w:pPr>
    </w:p>
    <w:p xmlns:wp14="http://schemas.microsoft.com/office/word/2010/wordml" w:rsidP="4070C846" wp14:paraId="00B870FB" wp14:textId="097D3167">
      <w:pPr>
        <w:pStyle w:val="Normal"/>
        <w:rPr>
          <w:b w:val="1"/>
          <w:bCs w:val="1"/>
          <w:noProof w:val="0"/>
          <w:lang w:val="en-GB"/>
        </w:rPr>
      </w:pPr>
    </w:p>
    <w:p xmlns:wp14="http://schemas.microsoft.com/office/word/2010/wordml" w:rsidP="4070C846" wp14:paraId="0F2EC1BC" wp14:textId="1933B5C6">
      <w:pPr>
        <w:pStyle w:val="Normal"/>
        <w:rPr>
          <w:b w:val="1"/>
          <w:bCs w:val="1"/>
          <w:noProof w:val="0"/>
          <w:lang w:val="en-GB"/>
        </w:rPr>
      </w:pPr>
    </w:p>
    <w:p xmlns:wp14="http://schemas.microsoft.com/office/word/2010/wordml" w:rsidP="4070C846" wp14:paraId="70DDFB8F" wp14:textId="25D3C5E4">
      <w:pPr>
        <w:pStyle w:val="Heading1"/>
        <w:spacing w:before="322" w:beforeAutospacing="off" w:after="322" w:afterAutospacing="off" w:line="360" w:lineRule="auto"/>
        <w:rPr>
          <w:rFonts w:ascii="Arial Nova" w:hAnsi="Arial Nova" w:eastAsia="Arial Nova" w:cs="Arial Nova"/>
          <w:b w:val="1"/>
          <w:bCs w:val="1"/>
          <w:noProof w:val="0"/>
          <w:color w:val="auto"/>
          <w:sz w:val="22"/>
          <w:szCs w:val="22"/>
          <w:lang w:val="en-GB"/>
        </w:rPr>
      </w:pPr>
    </w:p>
    <w:p xmlns:wp14="http://schemas.microsoft.com/office/word/2010/wordml" w:rsidP="4070C846" wp14:paraId="174FF746" wp14:textId="13A5B6C4">
      <w:pPr>
        <w:pStyle w:val="Heading1"/>
        <w:spacing w:before="322" w:beforeAutospacing="off" w:after="322" w:afterAutospacing="off" w:line="360" w:lineRule="auto"/>
        <w:rPr>
          <w:rFonts w:ascii="Arial Nova" w:hAnsi="Arial Nova" w:eastAsia="Arial Nova" w:cs="Arial Nova"/>
          <w:b w:val="1"/>
          <w:bCs w:val="1"/>
          <w:noProof w:val="0"/>
          <w:color w:val="auto"/>
          <w:sz w:val="22"/>
          <w:szCs w:val="22"/>
          <w:lang w:val="en-GB"/>
        </w:rPr>
      </w:pPr>
    </w:p>
    <w:p xmlns:wp14="http://schemas.microsoft.com/office/word/2010/wordml" w:rsidP="4070C846" wp14:paraId="27E94255" wp14:textId="60D2F68C">
      <w:pPr>
        <w:pStyle w:val="Heading1"/>
        <w:spacing w:before="322" w:beforeAutospacing="off" w:after="322" w:afterAutospacing="off" w:line="360" w:lineRule="auto"/>
        <w:rPr>
          <w:rFonts w:ascii="Arial Nova" w:hAnsi="Arial Nova" w:eastAsia="Arial Nova" w:cs="Arial Nova"/>
          <w:b w:val="1"/>
          <w:bCs w:val="1"/>
          <w:noProof w:val="0"/>
          <w:color w:val="auto"/>
          <w:sz w:val="22"/>
          <w:szCs w:val="22"/>
          <w:lang w:val="en-GB"/>
        </w:rPr>
      </w:pPr>
    </w:p>
    <w:p xmlns:wp14="http://schemas.microsoft.com/office/word/2010/wordml" w:rsidP="4070C846" wp14:paraId="5883654B" wp14:textId="0E12F6FE">
      <w:pPr>
        <w:pStyle w:val="Heading1"/>
        <w:spacing w:before="322" w:beforeAutospacing="off" w:after="322" w:afterAutospacing="off" w:line="360" w:lineRule="auto"/>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 xml:space="preserve">Content </w:t>
      </w:r>
    </w:p>
    <w:p xmlns:wp14="http://schemas.microsoft.com/office/word/2010/wordml" w:rsidP="4070C846" wp14:paraId="246B08C2" wp14:textId="2D553847">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Introduction</w:t>
      </w:r>
      <w:r w:rsidRPr="4070C846" w:rsidR="4034DB70">
        <w:rPr>
          <w:rFonts w:ascii="Arial Nova" w:hAnsi="Arial Nova" w:eastAsia="Arial Nova" w:cs="Arial Nova"/>
          <w:b w:val="1"/>
          <w:bCs w:val="1"/>
          <w:noProof w:val="0"/>
          <w:color w:val="auto"/>
          <w:sz w:val="22"/>
          <w:szCs w:val="22"/>
          <w:lang w:val="en-GB"/>
        </w:rPr>
        <w:t>........................................................................................................</w:t>
      </w:r>
      <w:r w:rsidRPr="4070C846" w:rsidR="08580B8A">
        <w:rPr>
          <w:rFonts w:ascii="Arial Nova" w:hAnsi="Arial Nova" w:eastAsia="Arial Nova" w:cs="Arial Nova"/>
          <w:b w:val="1"/>
          <w:bCs w:val="1"/>
          <w:noProof w:val="0"/>
          <w:color w:val="auto"/>
          <w:sz w:val="22"/>
          <w:szCs w:val="22"/>
          <w:lang w:val="en-GB"/>
        </w:rPr>
        <w:t>3</w:t>
      </w:r>
    </w:p>
    <w:p xmlns:wp14="http://schemas.microsoft.com/office/word/2010/wordml" w:rsidP="4070C846" wp14:paraId="06198E95" wp14:textId="4975B21B">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Maintenance of Safe and Effective Blood Sugar Levels</w:t>
      </w:r>
      <w:r w:rsidRPr="4070C846" w:rsidR="515BBD0A">
        <w:rPr>
          <w:rFonts w:ascii="Arial Nova" w:hAnsi="Arial Nova" w:eastAsia="Arial Nova" w:cs="Arial Nova"/>
          <w:b w:val="1"/>
          <w:bCs w:val="1"/>
          <w:noProof w:val="0"/>
          <w:color w:val="auto"/>
          <w:sz w:val="22"/>
          <w:szCs w:val="22"/>
          <w:lang w:val="en-GB"/>
        </w:rPr>
        <w:t>.................................</w:t>
      </w:r>
      <w:r w:rsidRPr="4070C846" w:rsidR="268B4132">
        <w:rPr>
          <w:rFonts w:ascii="Arial Nova" w:hAnsi="Arial Nova" w:eastAsia="Arial Nova" w:cs="Arial Nova"/>
          <w:b w:val="1"/>
          <w:bCs w:val="1"/>
          <w:noProof w:val="0"/>
          <w:color w:val="auto"/>
          <w:sz w:val="22"/>
          <w:szCs w:val="22"/>
          <w:lang w:val="en-GB"/>
        </w:rPr>
        <w:t>4</w:t>
      </w:r>
    </w:p>
    <w:p xmlns:wp14="http://schemas.microsoft.com/office/word/2010/wordml" w:rsidP="4070C846" wp14:paraId="582AADDD" wp14:textId="39FF9E01">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Use of Oxygen and Glucose in Energy Production</w:t>
      </w:r>
      <w:r w:rsidRPr="4070C846" w:rsidR="1A890407">
        <w:rPr>
          <w:rFonts w:ascii="Arial Nova" w:hAnsi="Arial Nova" w:eastAsia="Arial Nova" w:cs="Arial Nova"/>
          <w:b w:val="1"/>
          <w:bCs w:val="1"/>
          <w:noProof w:val="0"/>
          <w:color w:val="auto"/>
          <w:sz w:val="22"/>
          <w:szCs w:val="22"/>
          <w:lang w:val="en-GB"/>
        </w:rPr>
        <w:t>.........................................</w:t>
      </w:r>
      <w:r w:rsidRPr="4070C846" w:rsidR="1ACC0C0C">
        <w:rPr>
          <w:rFonts w:ascii="Arial Nova" w:hAnsi="Arial Nova" w:eastAsia="Arial Nova" w:cs="Arial Nova"/>
          <w:b w:val="1"/>
          <w:bCs w:val="1"/>
          <w:noProof w:val="0"/>
          <w:color w:val="auto"/>
          <w:sz w:val="22"/>
          <w:szCs w:val="22"/>
          <w:lang w:val="en-GB"/>
        </w:rPr>
        <w:t>6</w:t>
      </w:r>
    </w:p>
    <w:p xmlns:wp14="http://schemas.microsoft.com/office/word/2010/wordml" w:rsidP="4070C846" wp14:paraId="20077045" wp14:textId="33792760">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Importance of Recording and Tracking Blood Sugar Levels</w:t>
      </w:r>
      <w:r w:rsidRPr="4070C846" w:rsidR="71857AEC">
        <w:rPr>
          <w:rFonts w:ascii="Arial Nova" w:hAnsi="Arial Nova" w:eastAsia="Arial Nova" w:cs="Arial Nova"/>
          <w:b w:val="1"/>
          <w:bCs w:val="1"/>
          <w:noProof w:val="0"/>
          <w:color w:val="auto"/>
          <w:sz w:val="22"/>
          <w:szCs w:val="22"/>
          <w:lang w:val="en-GB"/>
        </w:rPr>
        <w:t>.........................</w:t>
      </w:r>
      <w:r w:rsidRPr="4070C846" w:rsidR="4455E77D">
        <w:rPr>
          <w:rFonts w:ascii="Arial Nova" w:hAnsi="Arial Nova" w:eastAsia="Arial Nova" w:cs="Arial Nova"/>
          <w:b w:val="1"/>
          <w:bCs w:val="1"/>
          <w:noProof w:val="0"/>
          <w:color w:val="auto"/>
          <w:sz w:val="22"/>
          <w:szCs w:val="22"/>
          <w:lang w:val="en-GB"/>
        </w:rPr>
        <w:t>7</w:t>
      </w:r>
    </w:p>
    <w:p xmlns:wp14="http://schemas.microsoft.com/office/word/2010/wordml" w:rsidP="4070C846" wp14:paraId="3DDFA443" wp14:textId="5E4CE9E2">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Evidence-Based Lifestyle Recommendations</w:t>
      </w:r>
      <w:r w:rsidRPr="4070C846" w:rsidR="74CA07DB">
        <w:rPr>
          <w:rFonts w:ascii="Arial Nova" w:hAnsi="Arial Nova" w:eastAsia="Arial Nova" w:cs="Arial Nova"/>
          <w:b w:val="1"/>
          <w:bCs w:val="1"/>
          <w:noProof w:val="0"/>
          <w:color w:val="auto"/>
          <w:sz w:val="22"/>
          <w:szCs w:val="22"/>
          <w:lang w:val="en-GB"/>
        </w:rPr>
        <w:t>.................................................7</w:t>
      </w:r>
    </w:p>
    <w:p xmlns:wp14="http://schemas.microsoft.com/office/word/2010/wordml" w:rsidP="4070C846" wp14:paraId="0B460FEE" wp14:textId="3F733AED">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Die</w:t>
      </w:r>
      <w:r w:rsidRPr="4070C846" w:rsidR="63EB99ED">
        <w:rPr>
          <w:rFonts w:ascii="Arial Nova" w:hAnsi="Arial Nova" w:eastAsia="Arial Nova" w:cs="Arial Nova"/>
          <w:b w:val="1"/>
          <w:bCs w:val="1"/>
          <w:noProof w:val="0"/>
          <w:color w:val="auto"/>
          <w:sz w:val="22"/>
          <w:szCs w:val="22"/>
          <w:lang w:val="en-GB"/>
        </w:rPr>
        <w:t>t</w:t>
      </w:r>
      <w:r w:rsidRPr="4070C846" w:rsidR="03C46F77">
        <w:rPr>
          <w:rFonts w:ascii="Arial Nova" w:hAnsi="Arial Nova" w:eastAsia="Arial Nova" w:cs="Arial Nova"/>
          <w:b w:val="1"/>
          <w:bCs w:val="1"/>
          <w:noProof w:val="0"/>
          <w:color w:val="auto"/>
          <w:sz w:val="22"/>
          <w:szCs w:val="22"/>
          <w:lang w:val="en-GB"/>
        </w:rPr>
        <w:t>.....................................................................................................................</w:t>
      </w:r>
      <w:r w:rsidRPr="4070C846" w:rsidR="554BDFE7">
        <w:rPr>
          <w:rFonts w:ascii="Arial Nova" w:hAnsi="Arial Nova" w:eastAsia="Arial Nova" w:cs="Arial Nova"/>
          <w:b w:val="1"/>
          <w:bCs w:val="1"/>
          <w:noProof w:val="0"/>
          <w:color w:val="auto"/>
          <w:sz w:val="22"/>
          <w:szCs w:val="22"/>
          <w:lang w:val="en-GB"/>
        </w:rPr>
        <w:t>8</w:t>
      </w:r>
    </w:p>
    <w:p xmlns:wp14="http://schemas.microsoft.com/office/word/2010/wordml" w:rsidP="4070C846" wp14:paraId="1BF2F81B" wp14:textId="4D3F40BE">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Physical Activity</w:t>
      </w:r>
      <w:r w:rsidRPr="4070C846" w:rsidR="1525DD26">
        <w:rPr>
          <w:rFonts w:ascii="Arial Nova" w:hAnsi="Arial Nova" w:eastAsia="Arial Nova" w:cs="Arial Nova"/>
          <w:b w:val="1"/>
          <w:bCs w:val="1"/>
          <w:noProof w:val="0"/>
          <w:color w:val="auto"/>
          <w:sz w:val="22"/>
          <w:szCs w:val="22"/>
          <w:lang w:val="en-GB"/>
        </w:rPr>
        <w:t>................................................................................................</w:t>
      </w:r>
      <w:r w:rsidRPr="4070C846" w:rsidR="01892383">
        <w:rPr>
          <w:rFonts w:ascii="Arial Nova" w:hAnsi="Arial Nova" w:eastAsia="Arial Nova" w:cs="Arial Nova"/>
          <w:b w:val="1"/>
          <w:bCs w:val="1"/>
          <w:noProof w:val="0"/>
          <w:color w:val="auto"/>
          <w:sz w:val="22"/>
          <w:szCs w:val="22"/>
          <w:lang w:val="en-GB"/>
        </w:rPr>
        <w:t>8</w:t>
      </w:r>
    </w:p>
    <w:p xmlns:wp14="http://schemas.microsoft.com/office/word/2010/wordml" w:rsidP="4070C846" wp14:paraId="68DC45B8" wp14:textId="3D9F963B">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Weight Management</w:t>
      </w:r>
      <w:r w:rsidRPr="4070C846" w:rsidR="5A6047A8">
        <w:rPr>
          <w:rFonts w:ascii="Arial Nova" w:hAnsi="Arial Nova" w:eastAsia="Arial Nova" w:cs="Arial Nova"/>
          <w:b w:val="1"/>
          <w:bCs w:val="1"/>
          <w:noProof w:val="0"/>
          <w:color w:val="auto"/>
          <w:sz w:val="22"/>
          <w:szCs w:val="22"/>
          <w:lang w:val="en-GB"/>
        </w:rPr>
        <w:t>.........................................................................................</w:t>
      </w:r>
      <w:r w:rsidRPr="4070C846" w:rsidR="74943DFA">
        <w:rPr>
          <w:rFonts w:ascii="Arial Nova" w:hAnsi="Arial Nova" w:eastAsia="Arial Nova" w:cs="Arial Nova"/>
          <w:b w:val="1"/>
          <w:bCs w:val="1"/>
          <w:noProof w:val="0"/>
          <w:color w:val="auto"/>
          <w:sz w:val="22"/>
          <w:szCs w:val="22"/>
          <w:lang w:val="en-GB"/>
        </w:rPr>
        <w:t>8</w:t>
      </w:r>
    </w:p>
    <w:p xmlns:wp14="http://schemas.microsoft.com/office/word/2010/wordml" w:rsidP="4070C846" wp14:paraId="5DCF91D7" wp14:textId="33D8E673">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Smoking Cessation</w:t>
      </w:r>
      <w:r w:rsidRPr="4070C846" w:rsidR="0B4E8D1C">
        <w:rPr>
          <w:rFonts w:ascii="Arial Nova" w:hAnsi="Arial Nova" w:eastAsia="Arial Nova" w:cs="Arial Nova"/>
          <w:b w:val="1"/>
          <w:bCs w:val="1"/>
          <w:noProof w:val="0"/>
          <w:color w:val="auto"/>
          <w:sz w:val="22"/>
          <w:szCs w:val="22"/>
          <w:lang w:val="en-GB"/>
        </w:rPr>
        <w:t>...........................................................................................</w:t>
      </w:r>
      <w:r w:rsidRPr="4070C846" w:rsidR="26BC39B4">
        <w:rPr>
          <w:rFonts w:ascii="Arial Nova" w:hAnsi="Arial Nova" w:eastAsia="Arial Nova" w:cs="Arial Nova"/>
          <w:b w:val="1"/>
          <w:bCs w:val="1"/>
          <w:noProof w:val="0"/>
          <w:color w:val="auto"/>
          <w:sz w:val="22"/>
          <w:szCs w:val="22"/>
          <w:lang w:val="en-GB"/>
        </w:rPr>
        <w:t>9</w:t>
      </w:r>
    </w:p>
    <w:p xmlns:wp14="http://schemas.microsoft.com/office/word/2010/wordml" w:rsidP="4070C846" wp14:paraId="33546CB6" wp14:textId="05950566">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Behaviour Change and Education</w:t>
      </w:r>
      <w:r w:rsidRPr="4070C846" w:rsidR="655067D3">
        <w:rPr>
          <w:rFonts w:ascii="Arial Nova" w:hAnsi="Arial Nova" w:eastAsia="Arial Nova" w:cs="Arial Nova"/>
          <w:b w:val="1"/>
          <w:bCs w:val="1"/>
          <w:noProof w:val="0"/>
          <w:color w:val="auto"/>
          <w:sz w:val="22"/>
          <w:szCs w:val="22"/>
          <w:lang w:val="en-GB"/>
        </w:rPr>
        <w:t>...................................................................</w:t>
      </w:r>
      <w:r w:rsidRPr="4070C846" w:rsidR="6BAB69C6">
        <w:rPr>
          <w:rFonts w:ascii="Arial Nova" w:hAnsi="Arial Nova" w:eastAsia="Arial Nova" w:cs="Arial Nova"/>
          <w:b w:val="1"/>
          <w:bCs w:val="1"/>
          <w:noProof w:val="0"/>
          <w:color w:val="auto"/>
          <w:sz w:val="22"/>
          <w:szCs w:val="22"/>
          <w:lang w:val="en-GB"/>
        </w:rPr>
        <w:t>9</w:t>
      </w:r>
    </w:p>
    <w:p xmlns:wp14="http://schemas.microsoft.com/office/word/2010/wordml" w:rsidP="4070C846" wp14:paraId="0F70CF8B" wp14:textId="440D2099">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Conclusion</w:t>
      </w:r>
      <w:r w:rsidRPr="4070C846" w:rsidR="38B42C78">
        <w:rPr>
          <w:rFonts w:ascii="Arial Nova" w:hAnsi="Arial Nova" w:eastAsia="Arial Nova" w:cs="Arial Nova"/>
          <w:b w:val="1"/>
          <w:bCs w:val="1"/>
          <w:noProof w:val="0"/>
          <w:color w:val="auto"/>
          <w:sz w:val="22"/>
          <w:szCs w:val="22"/>
          <w:lang w:val="en-GB"/>
        </w:rPr>
        <w:t>........................................................................................................</w:t>
      </w:r>
      <w:r w:rsidRPr="4070C846" w:rsidR="53FA17D5">
        <w:rPr>
          <w:rFonts w:ascii="Arial Nova" w:hAnsi="Arial Nova" w:eastAsia="Arial Nova" w:cs="Arial Nova"/>
          <w:b w:val="1"/>
          <w:bCs w:val="1"/>
          <w:noProof w:val="0"/>
          <w:color w:val="auto"/>
          <w:sz w:val="22"/>
          <w:szCs w:val="22"/>
          <w:lang w:val="en-GB"/>
        </w:rPr>
        <w:t>9</w:t>
      </w:r>
    </w:p>
    <w:p xmlns:wp14="http://schemas.microsoft.com/office/word/2010/wordml" w:rsidP="4070C846" wp14:paraId="35EE5EE1" wp14:textId="36243F0C">
      <w:pPr>
        <w:pStyle w:val="ListParagraph"/>
        <w:numPr>
          <w:ilvl w:val="0"/>
          <w:numId w:val="3"/>
        </w:numPr>
        <w:rPr>
          <w:rFonts w:ascii="Arial Nova" w:hAnsi="Arial Nova" w:eastAsia="Arial Nova" w:cs="Arial Nova"/>
          <w:b w:val="1"/>
          <w:bCs w:val="1"/>
          <w:noProof w:val="0"/>
          <w:color w:val="auto"/>
          <w:sz w:val="22"/>
          <w:szCs w:val="22"/>
          <w:lang w:val="en-GB"/>
        </w:rPr>
      </w:pPr>
      <w:r w:rsidRPr="4070C846" w:rsidR="386181F8">
        <w:rPr>
          <w:rFonts w:ascii="Arial Nova" w:hAnsi="Arial Nova" w:eastAsia="Arial Nova" w:cs="Arial Nova"/>
          <w:b w:val="1"/>
          <w:bCs w:val="1"/>
          <w:noProof w:val="0"/>
          <w:color w:val="auto"/>
          <w:sz w:val="22"/>
          <w:szCs w:val="22"/>
          <w:lang w:val="en-GB"/>
        </w:rPr>
        <w:t>References</w:t>
      </w:r>
      <w:r w:rsidRPr="4070C846" w:rsidR="7F5A8795">
        <w:rPr>
          <w:rFonts w:ascii="Arial Nova" w:hAnsi="Arial Nova" w:eastAsia="Arial Nova" w:cs="Arial Nova"/>
          <w:b w:val="1"/>
          <w:bCs w:val="1"/>
          <w:noProof w:val="0"/>
          <w:color w:val="auto"/>
          <w:sz w:val="22"/>
          <w:szCs w:val="22"/>
          <w:lang w:val="en-GB"/>
        </w:rPr>
        <w:t>.......................................................................................................</w:t>
      </w:r>
      <w:r w:rsidRPr="4070C846" w:rsidR="678F946E">
        <w:rPr>
          <w:rFonts w:ascii="Arial Nova" w:hAnsi="Arial Nova" w:eastAsia="Arial Nova" w:cs="Arial Nova"/>
          <w:b w:val="1"/>
          <w:bCs w:val="1"/>
          <w:noProof w:val="0"/>
          <w:color w:val="auto"/>
          <w:sz w:val="22"/>
          <w:szCs w:val="22"/>
          <w:lang w:val="en-GB"/>
        </w:rPr>
        <w:t>1</w:t>
      </w:r>
      <w:r w:rsidRPr="4070C846" w:rsidR="5F4DEC96">
        <w:rPr>
          <w:rFonts w:ascii="Arial Nova" w:hAnsi="Arial Nova" w:eastAsia="Arial Nova" w:cs="Arial Nova"/>
          <w:b w:val="1"/>
          <w:bCs w:val="1"/>
          <w:noProof w:val="0"/>
          <w:color w:val="auto"/>
          <w:sz w:val="22"/>
          <w:szCs w:val="22"/>
          <w:lang w:val="en-GB"/>
        </w:rPr>
        <w:t>0</w:t>
      </w:r>
    </w:p>
    <w:p xmlns:wp14="http://schemas.microsoft.com/office/word/2010/wordml" w:rsidP="4070C846" wp14:paraId="6F190FD9" wp14:textId="1BA8E303">
      <w:pPr>
        <w:pStyle w:val="Normal"/>
        <w:rPr>
          <w:noProof w:val="0"/>
          <w:lang w:val="en-GB"/>
        </w:rPr>
      </w:pPr>
    </w:p>
    <w:p xmlns:wp14="http://schemas.microsoft.com/office/word/2010/wordml" w:rsidP="4070C846" wp14:paraId="53055170" wp14:textId="5BDCAAC5">
      <w:pPr>
        <w:pStyle w:val="Normal"/>
        <w:rPr>
          <w:noProof w:val="0"/>
          <w:lang w:val="en-GB"/>
        </w:rPr>
      </w:pPr>
    </w:p>
    <w:p xmlns:wp14="http://schemas.microsoft.com/office/word/2010/wordml" w:rsidP="4070C846" wp14:paraId="606B123E" wp14:textId="3D2090E3">
      <w:pPr>
        <w:pStyle w:val="Normal"/>
        <w:rPr>
          <w:noProof w:val="0"/>
          <w:lang w:val="en-GB"/>
        </w:rPr>
      </w:pPr>
    </w:p>
    <w:p xmlns:wp14="http://schemas.microsoft.com/office/word/2010/wordml" w:rsidP="4070C846" wp14:paraId="22FB82E2" wp14:textId="0CF85F50">
      <w:pPr>
        <w:pStyle w:val="Normal"/>
        <w:rPr>
          <w:noProof w:val="0"/>
          <w:lang w:val="en-GB"/>
        </w:rPr>
      </w:pPr>
    </w:p>
    <w:p xmlns:wp14="http://schemas.microsoft.com/office/word/2010/wordml" w:rsidP="4070C846" wp14:paraId="50A69783" wp14:textId="351BE6B9">
      <w:pPr>
        <w:pStyle w:val="Normal"/>
        <w:rPr>
          <w:rFonts w:ascii="Arial Nova" w:hAnsi="Arial Nova" w:eastAsia="Arial Nova" w:cs="Arial Nova"/>
          <w:b w:val="1"/>
          <w:bCs w:val="1"/>
          <w:noProof w:val="0"/>
          <w:color w:val="auto"/>
          <w:sz w:val="22"/>
          <w:szCs w:val="22"/>
          <w:lang w:val="en-GB"/>
        </w:rPr>
      </w:pPr>
    </w:p>
    <w:p xmlns:wp14="http://schemas.microsoft.com/office/word/2010/wordml" w:rsidP="4070C846" wp14:paraId="13352E0E" wp14:textId="7246C6E5">
      <w:pPr>
        <w:pStyle w:val="Normal"/>
        <w:rPr>
          <w:noProof w:val="0"/>
          <w:lang w:val="en-GB"/>
        </w:rPr>
      </w:pPr>
    </w:p>
    <w:p xmlns:wp14="http://schemas.microsoft.com/office/word/2010/wordml" w:rsidP="4070C846" wp14:paraId="01591E0F" wp14:textId="57084AA5">
      <w:pPr>
        <w:pStyle w:val="Normal"/>
        <w:rPr>
          <w:noProof w:val="0"/>
          <w:lang w:val="en-GB"/>
        </w:rPr>
      </w:pPr>
    </w:p>
    <w:p xmlns:wp14="http://schemas.microsoft.com/office/word/2010/wordml" w:rsidP="4070C846" wp14:paraId="058B666C" wp14:textId="33E11E5C">
      <w:pPr>
        <w:pStyle w:val="Normal"/>
        <w:rPr>
          <w:rFonts w:ascii="Arial Nova" w:hAnsi="Arial Nova" w:eastAsia="Arial Nova" w:cs="Arial Nova"/>
          <w:b w:val="1"/>
          <w:bCs w:val="1"/>
          <w:noProof w:val="0"/>
          <w:color w:val="auto"/>
          <w:sz w:val="22"/>
          <w:szCs w:val="22"/>
          <w:lang w:val="en-GB"/>
        </w:rPr>
      </w:pPr>
    </w:p>
    <w:p xmlns:wp14="http://schemas.microsoft.com/office/word/2010/wordml" w:rsidP="4070C846" wp14:paraId="212A70DF" wp14:textId="669A8981">
      <w:pPr>
        <w:pStyle w:val="Normal"/>
        <w:rPr>
          <w:rFonts w:ascii="Arial Nova" w:hAnsi="Arial Nova" w:eastAsia="Arial Nova" w:cs="Arial Nova"/>
          <w:b w:val="1"/>
          <w:bCs w:val="1"/>
          <w:noProof w:val="0"/>
          <w:color w:val="auto"/>
          <w:sz w:val="22"/>
          <w:szCs w:val="22"/>
          <w:lang w:val="en-GB"/>
        </w:rPr>
      </w:pPr>
    </w:p>
    <w:p xmlns:wp14="http://schemas.microsoft.com/office/word/2010/wordml" w:rsidP="4070C846" wp14:paraId="7859629E" wp14:textId="4C4B703A">
      <w:pPr>
        <w:pStyle w:val="Heading1"/>
        <w:spacing w:before="322" w:beforeAutospacing="off" w:after="322" w:afterAutospacing="off" w:line="360" w:lineRule="auto"/>
        <w:rPr>
          <w:rFonts w:ascii="Arial Nova" w:hAnsi="Arial Nova" w:eastAsia="Arial Nova" w:cs="Arial Nova"/>
          <w:b w:val="1"/>
          <w:bCs w:val="1"/>
          <w:noProof w:val="0"/>
          <w:sz w:val="22"/>
          <w:szCs w:val="22"/>
          <w:lang w:val="en-GB"/>
        </w:rPr>
      </w:pPr>
      <w:r w:rsidRPr="4070C846" w:rsidR="19BD59E1">
        <w:rPr>
          <w:rFonts w:ascii="Arial Nova" w:hAnsi="Arial Nova" w:eastAsia="Arial Nova" w:cs="Arial Nova"/>
          <w:b w:val="1"/>
          <w:bCs w:val="1"/>
          <w:noProof w:val="0"/>
          <w:color w:val="auto"/>
          <w:sz w:val="22"/>
          <w:szCs w:val="22"/>
          <w:lang w:val="en-GB"/>
        </w:rPr>
        <w:t xml:space="preserve">Case Study Report: Supporting Patients </w:t>
      </w:r>
      <w:r w:rsidRPr="4070C846" w:rsidR="34D2E46F">
        <w:rPr>
          <w:rFonts w:ascii="Arial Nova" w:hAnsi="Arial Nova" w:eastAsia="Arial Nova" w:cs="Arial Nova"/>
          <w:b w:val="1"/>
          <w:bCs w:val="1"/>
          <w:noProof w:val="0"/>
          <w:color w:val="auto"/>
          <w:sz w:val="22"/>
          <w:szCs w:val="22"/>
          <w:lang w:val="en-GB"/>
        </w:rPr>
        <w:t>with</w:t>
      </w:r>
      <w:r w:rsidRPr="4070C846" w:rsidR="19BD59E1">
        <w:rPr>
          <w:rFonts w:ascii="Arial Nova" w:hAnsi="Arial Nova" w:eastAsia="Arial Nova" w:cs="Arial Nova"/>
          <w:b w:val="1"/>
          <w:bCs w:val="1"/>
          <w:noProof w:val="0"/>
          <w:color w:val="auto"/>
          <w:sz w:val="22"/>
          <w:szCs w:val="22"/>
          <w:lang w:val="en-GB"/>
        </w:rPr>
        <w:t xml:space="preserve"> Type 2 Diabetes in Primary Care</w:t>
      </w:r>
    </w:p>
    <w:p xmlns:wp14="http://schemas.microsoft.com/office/word/2010/wordml" w:rsidP="4070C846" wp14:paraId="360E6049" wp14:textId="05FC86B8">
      <w:pPr>
        <w:pStyle w:val="Heading2"/>
        <w:spacing w:before="299" w:beforeAutospacing="off" w:after="299"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Introduction</w:t>
      </w:r>
    </w:p>
    <w:p xmlns:wp14="http://schemas.microsoft.com/office/word/2010/wordml" w:rsidP="4070C846" wp14:paraId="2F5932E3" wp14:textId="549CE694">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Diabetes mellitus is a chronic metabolic condition characterised by persistently elevated blood glucose levels due to defects in insulin secretion, insulin action, or both. Insulin, a hormone produced by the pancreatic beta cells, plays a crucial role in regulating blood glucose by enabling glucose to enter body cells, where it is converted into energy. When insulin is insufficient or ineffective, glucose accumulates in the bloodstream, causing hyperglycaemia. Over time, sustained high blood glucose can damage blood vessels and nerves, leading to complications such as cardiovascular disease, kidney disease, neuropathy, and retinopathy (National Health Service, 2023; Tortora and Derrickson, 2021).</w:t>
      </w:r>
    </w:p>
    <w:p xmlns:wp14="http://schemas.microsoft.com/office/word/2010/wordml" w:rsidP="4070C846" wp14:paraId="0B71FC9A" wp14:textId="181B8E37">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Type 2 diabetes is the most prevalent form of diabetes in the United Kingdom, accounting for approximately 90% of cases (Diabetes UK, 2023). It usually develops gradually and is characterised by insulin resistance, where body cells do not respond effectively to insulin, combined with a progressive decline in insulin production. Unlike Type 1 diabetes, which is </w:t>
      </w:r>
      <w:r w:rsidRPr="4070C846" w:rsidR="19BD59E1">
        <w:rPr>
          <w:rFonts w:ascii="Arial Nova" w:hAnsi="Arial Nova" w:eastAsia="Arial Nova" w:cs="Arial Nova"/>
          <w:noProof w:val="0"/>
          <w:sz w:val="22"/>
          <w:szCs w:val="22"/>
          <w:lang w:val="en-GB"/>
        </w:rPr>
        <w:t>largely autoimmune</w:t>
      </w:r>
      <w:r w:rsidRPr="4070C846" w:rsidR="19BD59E1">
        <w:rPr>
          <w:rFonts w:ascii="Arial Nova" w:hAnsi="Arial Nova" w:eastAsia="Arial Nova" w:cs="Arial Nova"/>
          <w:noProof w:val="0"/>
          <w:sz w:val="22"/>
          <w:szCs w:val="22"/>
          <w:lang w:val="en-GB"/>
        </w:rPr>
        <w:t>, Type 2 diabetes is strongly influenced by lifestyle and environmental factors (Diabetes UK, 2023; National Institute for Health and Care Excellence, 2022).</w:t>
      </w:r>
    </w:p>
    <w:p xmlns:wp14="http://schemas.microsoft.com/office/word/2010/wordml" w:rsidP="4070C846" wp14:paraId="3E90B804" wp14:textId="31500548">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Multiple interrelated risk factors contribute to Type 2 diabetes. Overweight and obesity, particularly central adiposity, sedentary lifestyle, unhealthy dietary patterns, smoking, increasing age, and family history are all significant contributors. Certain ethnic groups, including South Asian, Black African, and Caribbean populations, are at higher risk even at lower body mass index (BMI) levels. Individuals with a history of gestational diabetes or cardiovascular disease are also more susceptible. Social determinants of health, such as deprivation, limited access to healthy foods, and reduced opportunities for physical activity, further increase the risk and influence outcomes (National Institute for Health and Care Excellence, 2022; Public Health England, 2020).</w:t>
      </w:r>
    </w:p>
    <w:p xmlns:wp14="http://schemas.microsoft.com/office/word/2010/wordml" w:rsidP="4070C846" wp14:paraId="5BE18878" wp14:textId="5513BEFE">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The rising prevalence of Type 2 diabetes in the UK </w:t>
      </w:r>
      <w:r w:rsidRPr="4070C846" w:rsidR="19BD59E1">
        <w:rPr>
          <w:rFonts w:ascii="Arial Nova" w:hAnsi="Arial Nova" w:eastAsia="Arial Nova" w:cs="Arial Nova"/>
          <w:noProof w:val="0"/>
          <w:sz w:val="22"/>
          <w:szCs w:val="22"/>
          <w:lang w:val="en-GB"/>
        </w:rPr>
        <w:t>represents</w:t>
      </w:r>
      <w:r w:rsidRPr="4070C846" w:rsidR="19BD59E1">
        <w:rPr>
          <w:rFonts w:ascii="Arial Nova" w:hAnsi="Arial Nova" w:eastAsia="Arial Nova" w:cs="Arial Nova"/>
          <w:noProof w:val="0"/>
          <w:sz w:val="22"/>
          <w:szCs w:val="22"/>
          <w:lang w:val="en-GB"/>
        </w:rPr>
        <w:t xml:space="preserve"> a major public health concern. Ageing populations, increasing obesity rates, and sedentary lifestyles contribute to the growing burden on primary care services. Patients require lifelong monitoring, regular medication reviews, complication screening, and ongoing lifestyle support. Practice nurses play a pivotal role in providing this care. They educate patients, </w:t>
      </w:r>
      <w:r w:rsidRPr="4070C846" w:rsidR="19BD59E1">
        <w:rPr>
          <w:rFonts w:ascii="Arial Nova" w:hAnsi="Arial Nova" w:eastAsia="Arial Nova" w:cs="Arial Nova"/>
          <w:noProof w:val="0"/>
          <w:sz w:val="22"/>
          <w:szCs w:val="22"/>
          <w:lang w:val="en-GB"/>
        </w:rPr>
        <w:t>monitor</w:t>
      </w:r>
      <w:r w:rsidRPr="4070C846" w:rsidR="19BD59E1">
        <w:rPr>
          <w:rFonts w:ascii="Arial Nova" w:hAnsi="Arial Nova" w:eastAsia="Arial Nova" w:cs="Arial Nova"/>
          <w:noProof w:val="0"/>
          <w:sz w:val="22"/>
          <w:szCs w:val="22"/>
          <w:lang w:val="en-GB"/>
        </w:rPr>
        <w:t xml:space="preserve"> clinical indicators, and support understanding of how daily behaviours influence blood glucose control, helping individuals manage their condition safely and effectively.</w:t>
      </w:r>
    </w:p>
    <w:p xmlns:wp14="http://schemas.microsoft.com/office/word/2010/wordml" w:rsidP="4070C846" wp14:paraId="54C436A2" wp14:textId="72DBEF9E">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Many people with Type 2 diabetes struggle to understand the interactions between diet, physical activity, stress, and medication, which can affect blood glucose control. When understanding is limited, adherence to treatment plans and lifestyle advice may be challenging. Research </w:t>
      </w:r>
      <w:r w:rsidRPr="4070C846" w:rsidR="19BD59E1">
        <w:rPr>
          <w:rFonts w:ascii="Arial Nova" w:hAnsi="Arial Nova" w:eastAsia="Arial Nova" w:cs="Arial Nova"/>
          <w:noProof w:val="0"/>
          <w:sz w:val="22"/>
          <w:szCs w:val="22"/>
          <w:lang w:val="en-GB"/>
        </w:rPr>
        <w:t>demonstrates</w:t>
      </w:r>
      <w:r w:rsidRPr="4070C846" w:rsidR="19BD59E1">
        <w:rPr>
          <w:rFonts w:ascii="Arial Nova" w:hAnsi="Arial Nova" w:eastAsia="Arial Nova" w:cs="Arial Nova"/>
          <w:noProof w:val="0"/>
          <w:sz w:val="22"/>
          <w:szCs w:val="22"/>
          <w:lang w:val="en-GB"/>
        </w:rPr>
        <w:t xml:space="preserve"> that patients who understand their condition and the rationale for management strategies are more likely to engage with care, adopt healthier behaviours, and achieve better outcomes (Diabetes UK, 2023; Royal College of Nursing, 2021). Empowering patients through education and collaborative care planning enhances self-efficacy, supports sustained behaviour change, and promotes long-term self-management.</w:t>
      </w:r>
    </w:p>
    <w:p xmlns:wp14="http://schemas.microsoft.com/office/word/2010/wordml" w:rsidP="4070C846" wp14:paraId="1E0C01E5" wp14:textId="7048F296">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This report aims to support patient understanding of Type 2 diabetes by explaining how blood glucose is regulated, how glucose and oxygen are used in cellular energy production, and why monitoring and lifestyle modification are essential. It also explores the role of primary care, highlighting strategies that practice nurses use to support safe and effective self-management.</w:t>
      </w:r>
    </w:p>
    <w:p xmlns:wp14="http://schemas.microsoft.com/office/word/2010/wordml" w:rsidP="4070C846" wp14:paraId="2E1F80CA" wp14:textId="3FBE4B04">
      <w:pPr>
        <w:spacing w:line="360" w:lineRule="auto"/>
        <w:rPr>
          <w:rFonts w:ascii="Arial Nova" w:hAnsi="Arial Nova" w:eastAsia="Arial Nova" w:cs="Arial Nova"/>
          <w:sz w:val="22"/>
          <w:szCs w:val="22"/>
        </w:rPr>
      </w:pPr>
    </w:p>
    <w:p xmlns:wp14="http://schemas.microsoft.com/office/word/2010/wordml" w:rsidP="4070C846" wp14:paraId="7F0F89DB" wp14:textId="0D6EB076">
      <w:pPr>
        <w:pStyle w:val="Heading2"/>
        <w:spacing w:before="299" w:beforeAutospacing="off" w:after="299"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Maintenance of Safe and Effective Blood Sugar Levels</w:t>
      </w:r>
    </w:p>
    <w:p xmlns:wp14="http://schemas.microsoft.com/office/word/2010/wordml" w:rsidP="4070C846" wp14:paraId="55F57589" wp14:textId="11E49746">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Maintaining blood glucose within a safe physiological range is crucial for normal body function. Glucose is the body’s primary energy source, especially for the brain, which relies </w:t>
      </w:r>
      <w:r w:rsidRPr="4070C846" w:rsidR="19BD59E1">
        <w:rPr>
          <w:rFonts w:ascii="Arial Nova" w:hAnsi="Arial Nova" w:eastAsia="Arial Nova" w:cs="Arial Nova"/>
          <w:noProof w:val="0"/>
          <w:sz w:val="22"/>
          <w:szCs w:val="22"/>
          <w:lang w:val="en-GB"/>
        </w:rPr>
        <w:t>almost entirely</w:t>
      </w:r>
      <w:r w:rsidRPr="4070C846" w:rsidR="19BD59E1">
        <w:rPr>
          <w:rFonts w:ascii="Arial Nova" w:hAnsi="Arial Nova" w:eastAsia="Arial Nova" w:cs="Arial Nova"/>
          <w:noProof w:val="0"/>
          <w:sz w:val="22"/>
          <w:szCs w:val="22"/>
          <w:lang w:val="en-GB"/>
        </w:rPr>
        <w:t xml:space="preserve"> on a continuous supply. The body </w:t>
      </w:r>
      <w:r w:rsidRPr="4070C846" w:rsidR="19BD59E1">
        <w:rPr>
          <w:rFonts w:ascii="Arial Nova" w:hAnsi="Arial Nova" w:eastAsia="Arial Nova" w:cs="Arial Nova"/>
          <w:noProof w:val="0"/>
          <w:sz w:val="22"/>
          <w:szCs w:val="22"/>
          <w:lang w:val="en-GB"/>
        </w:rPr>
        <w:t>maintains</w:t>
      </w:r>
      <w:r w:rsidRPr="4070C846" w:rsidR="19BD59E1">
        <w:rPr>
          <w:rFonts w:ascii="Arial Nova" w:hAnsi="Arial Nova" w:eastAsia="Arial Nova" w:cs="Arial Nova"/>
          <w:noProof w:val="0"/>
          <w:sz w:val="22"/>
          <w:szCs w:val="22"/>
          <w:lang w:val="en-GB"/>
        </w:rPr>
        <w:t xml:space="preserve"> blood glucose stability through complex regulatory mechanisms that respond to variations in food intake, activity, and metabolic demand.</w:t>
      </w:r>
    </w:p>
    <w:p xmlns:wp14="http://schemas.microsoft.com/office/word/2010/wordml" w:rsidP="4070C846" wp14:paraId="6B4AEEE3" wp14:textId="68764E0C">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After eating, carbohydrates</w:t>
      </w:r>
      <w:r w:rsidRPr="4070C846" w:rsidR="19BD59E1">
        <w:rPr>
          <w:rFonts w:ascii="Arial Nova" w:hAnsi="Arial Nova" w:eastAsia="Arial Nova" w:cs="Arial Nova"/>
          <w:noProof w:val="0"/>
          <w:sz w:val="22"/>
          <w:szCs w:val="22"/>
          <w:lang w:val="en-GB"/>
        </w:rPr>
        <w:t xml:space="preserve"> are digested into glucose, which enters the bloodstream. Rising glucose levels stimulate insulin secretion from pancreatic beta cells. Insulin acts as a “biological key,” allowing glucose to move into muscle, liver, and adipose tissue for energy use or storage as glycogen (Tortora and Derrickson, 2021). This process prevents excessive hyperglycaemia.</w:t>
      </w:r>
    </w:p>
    <w:p xmlns:wp14="http://schemas.microsoft.com/office/word/2010/wordml" w:rsidP="4070C846" wp14:paraId="453572EC" wp14:textId="73EB0623">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When blood glucose levels fall, such as between meals, during sleep, or with physical activity, the pancreas releases glucagon. Glucagon signals the liver to convert glycogen stores into glucose, which is released into the bloodstream. Other hormones, including adrenaline and cortisol, also contribute to raising blood glucose during stress or illness. These mechanisms ensure a continuous energy supply while preventing dangerous extremes.</w:t>
      </w:r>
    </w:p>
    <w:p xmlns:wp14="http://schemas.microsoft.com/office/word/2010/wordml" w:rsidP="4070C846" wp14:paraId="0DAB40CA" wp14:textId="78DAA245">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Typical target blood glucose levels for adults with Type 2 diabetes are </w:t>
      </w:r>
      <w:r w:rsidRPr="4070C846" w:rsidR="19BD59E1">
        <w:rPr>
          <w:rFonts w:ascii="Arial Nova" w:hAnsi="Arial Nova" w:eastAsia="Arial Nova" w:cs="Arial Nova"/>
          <w:noProof w:val="0"/>
          <w:sz w:val="22"/>
          <w:szCs w:val="22"/>
          <w:lang w:val="en-GB"/>
        </w:rPr>
        <w:t>approximately 4</w:t>
      </w:r>
      <w:r w:rsidRPr="4070C846" w:rsidR="19BD59E1">
        <w:rPr>
          <w:rFonts w:ascii="Arial Nova" w:hAnsi="Arial Nova" w:eastAsia="Arial Nova" w:cs="Arial Nova"/>
          <w:noProof w:val="0"/>
          <w:sz w:val="22"/>
          <w:szCs w:val="22"/>
          <w:lang w:val="en-GB"/>
        </w:rPr>
        <w:t>–7 mmol/L fasting and below 8.5–9 mmol/L postprandially, though targets are often individualised based on age, comorbidities, and treatment regimens (National Institute for Health and Care Excellence, 2022). Long-term glycaemic control is assessed via glycated haemoglobin (HbA1c), reflecting average glucose over 2–3 months.</w:t>
      </w:r>
    </w:p>
    <w:p xmlns:wp14="http://schemas.microsoft.com/office/word/2010/wordml" w:rsidP="4070C846" wp14:paraId="47AED98B" wp14:textId="171A2946">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In Type 2 diabetes, insulin resistance impairs this regulatory system. The pancreas initially compensates by producing more insulin, but over time, beta-cell function declines, leading to persistent hyperglycaemia (National Institute for Health and Care Excellence, 2022). Chronic high glucose damages vascular endothelium, contributing to macrovascular complications (e.g., coronary heart disease, stroke) and microvascular complications (e.g., nephropathy, neuropathy, retinopathy).</w:t>
      </w:r>
    </w:p>
    <w:p xmlns:wp14="http://schemas.microsoft.com/office/word/2010/wordml" w:rsidP="4070C846" wp14:paraId="644E8638" wp14:textId="6CF48DD3">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Effective regulation of blood glucose is therefore essential to prevent symptoms such as fatigue, excessive thirst, and frequent urination, as well as to reduce long-term complications. In primary care, practice nurses </w:t>
      </w:r>
      <w:r w:rsidRPr="4070C846" w:rsidR="19BD59E1">
        <w:rPr>
          <w:rFonts w:ascii="Arial Nova" w:hAnsi="Arial Nova" w:eastAsia="Arial Nova" w:cs="Arial Nova"/>
          <w:noProof w:val="0"/>
          <w:sz w:val="22"/>
          <w:szCs w:val="22"/>
          <w:lang w:val="en-GB"/>
        </w:rPr>
        <w:t>monitor</w:t>
      </w:r>
      <w:r w:rsidRPr="4070C846" w:rsidR="19BD59E1">
        <w:rPr>
          <w:rFonts w:ascii="Arial Nova" w:hAnsi="Arial Nova" w:eastAsia="Arial Nova" w:cs="Arial Nova"/>
          <w:noProof w:val="0"/>
          <w:sz w:val="22"/>
          <w:szCs w:val="22"/>
          <w:lang w:val="en-GB"/>
        </w:rPr>
        <w:t xml:space="preserve"> glucose control, review HbA1c results, and </w:t>
      </w:r>
      <w:r w:rsidRPr="4070C846" w:rsidR="19BD59E1">
        <w:rPr>
          <w:rFonts w:ascii="Arial Nova" w:hAnsi="Arial Nova" w:eastAsia="Arial Nova" w:cs="Arial Nova"/>
          <w:noProof w:val="0"/>
          <w:sz w:val="22"/>
          <w:szCs w:val="22"/>
          <w:lang w:val="en-GB"/>
        </w:rPr>
        <w:t>identify</w:t>
      </w:r>
      <w:r w:rsidRPr="4070C846" w:rsidR="19BD59E1">
        <w:rPr>
          <w:rFonts w:ascii="Arial Nova" w:hAnsi="Arial Nova" w:eastAsia="Arial Nova" w:cs="Arial Nova"/>
          <w:noProof w:val="0"/>
          <w:sz w:val="22"/>
          <w:szCs w:val="22"/>
          <w:lang w:val="en-GB"/>
        </w:rPr>
        <w:t xml:space="preserve"> early signs of deterioration. Patient education focuses on how medication, diet, and activity interact to influence glucose levels, supporting safe and effective self-management.</w:t>
      </w:r>
    </w:p>
    <w:p xmlns:wp14="http://schemas.microsoft.com/office/word/2010/wordml" w:rsidP="4070C846" wp14:paraId="4A2A3FBF" wp14:textId="63BCC631">
      <w:pPr>
        <w:spacing w:line="360" w:lineRule="auto"/>
        <w:rPr>
          <w:rFonts w:ascii="Arial Nova" w:hAnsi="Arial Nova" w:eastAsia="Arial Nova" w:cs="Arial Nova"/>
          <w:sz w:val="22"/>
          <w:szCs w:val="22"/>
        </w:rPr>
      </w:pPr>
    </w:p>
    <w:p xmlns:wp14="http://schemas.microsoft.com/office/word/2010/wordml" w:rsidP="4070C846" wp14:paraId="5901917D" wp14:textId="18B56090">
      <w:pPr>
        <w:pStyle w:val="Heading2"/>
        <w:spacing w:before="299" w:beforeAutospacing="off" w:after="299"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Use of Oxygen and Glucose in Energy Production</w:t>
      </w:r>
    </w:p>
    <w:p xmlns:wp14="http://schemas.microsoft.com/office/word/2010/wordml" w:rsidP="4070C846" wp14:paraId="434470AB" wp14:textId="568F20F8">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All body cells require energy for muscle contraction, nerve transmission, immune defence, and tissue repair. Energy is produced through cellular respiration, a metabolic process converting glucose into adenosine triphosphate (ATP) in the presence of oxygen (McArdle, Katch and Katch, 2020).</w:t>
      </w:r>
    </w:p>
    <w:p xmlns:wp14="http://schemas.microsoft.com/office/word/2010/wordml" w:rsidP="4070C846" wp14:paraId="34DCD763" wp14:textId="4394A9C8">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Glucose enters cells through insulin-stimulated transport proteins. Once inside, glucose undergoes glycolysis in the cytoplasm, producing pyruvate and a small amount of ATP. Pyruvate then enters mitochondria, where it is metabolised in the Krebs cycle, generating electrons for the electron transport chain. During oxidative phosphorylation, oxygen acts as the final electron acceptor, producing a large amount of ATP:</w:t>
      </w:r>
    </w:p>
    <w:p xmlns:wp14="http://schemas.microsoft.com/office/word/2010/wordml" w:rsidP="4070C846" wp14:paraId="5E58D114" wp14:textId="42490EFE">
      <w:pPr>
        <w:spacing w:before="240" w:beforeAutospacing="off" w:after="240" w:afterAutospacing="off" w:line="360" w:lineRule="auto"/>
        <w:rPr>
          <w:rFonts w:ascii="Arial Nova" w:hAnsi="Arial Nova" w:eastAsia="Arial Nova" w:cs="Arial Nova"/>
          <w:b w:val="0"/>
          <w:bCs w:val="0"/>
          <w:noProof w:val="0"/>
          <w:sz w:val="22"/>
          <w:szCs w:val="22"/>
          <w:lang w:val="en-GB"/>
        </w:rPr>
      </w:pPr>
      <w:r w:rsidRPr="4070C846" w:rsidR="19BD59E1">
        <w:rPr>
          <w:rFonts w:ascii="Arial Nova" w:hAnsi="Arial Nova" w:eastAsia="Arial Nova" w:cs="Arial Nova"/>
          <w:b w:val="0"/>
          <w:bCs w:val="0"/>
          <w:noProof w:val="0"/>
          <w:sz w:val="22"/>
          <w:szCs w:val="22"/>
          <w:lang w:val="en-GB"/>
        </w:rPr>
        <w:t>Glucose + Oxygen → Carbon Dioxide + Water + ATP (Energy)</w:t>
      </w:r>
    </w:p>
    <w:p xmlns:wp14="http://schemas.microsoft.com/office/word/2010/wordml" w:rsidP="4070C846" wp14:paraId="1B5AE352" wp14:textId="3BB1AAF6">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Efficient cellular respiration depends on both glucose availability and adequate oxygen delivery via the bloodstream. In Type 2 diabetes, insulin resistance limits glucose entry into cells despite high blood glucose, causing relative energy deprivation. This contributes to fatigue, reduced exercise tolerance, and delayed wound healing. Chronic hyperglycaemia also damages blood vessels, reducing tissue perfusion and oxygen supply, further compromising cellular energy production.</w:t>
      </w:r>
    </w:p>
    <w:p xmlns:wp14="http://schemas.microsoft.com/office/word/2010/wordml" w:rsidP="4070C846" wp14:paraId="1D5367AE" wp14:textId="20B629ED">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During physical activity, muscle cells increase both glucose uptake and oxygen consumption. Regular exercise improves insulin sensitivity, enhances glucose transport into cells, and supports ATP production. Explaining these physiological mechanisms to patients helps them understand why physical activity is a critical </w:t>
      </w:r>
      <w:r w:rsidRPr="4070C846" w:rsidR="19BD59E1">
        <w:rPr>
          <w:rFonts w:ascii="Arial Nova" w:hAnsi="Arial Nova" w:eastAsia="Arial Nova" w:cs="Arial Nova"/>
          <w:noProof w:val="0"/>
          <w:sz w:val="22"/>
          <w:szCs w:val="22"/>
          <w:lang w:val="en-GB"/>
        </w:rPr>
        <w:t>component</w:t>
      </w:r>
      <w:r w:rsidRPr="4070C846" w:rsidR="19BD59E1">
        <w:rPr>
          <w:rFonts w:ascii="Arial Nova" w:hAnsi="Arial Nova" w:eastAsia="Arial Nova" w:cs="Arial Nova"/>
          <w:noProof w:val="0"/>
          <w:sz w:val="22"/>
          <w:szCs w:val="22"/>
          <w:lang w:val="en-GB"/>
        </w:rPr>
        <w:t xml:space="preserve"> of diabetes management.</w:t>
      </w:r>
    </w:p>
    <w:p xmlns:wp14="http://schemas.microsoft.com/office/word/2010/wordml" w:rsidP="4070C846" wp14:paraId="14BF5313" wp14:textId="42C9A715">
      <w:pPr>
        <w:spacing w:line="360" w:lineRule="auto"/>
        <w:rPr>
          <w:rFonts w:ascii="Arial Nova" w:hAnsi="Arial Nova" w:eastAsia="Arial Nova" w:cs="Arial Nova"/>
          <w:sz w:val="22"/>
          <w:szCs w:val="22"/>
        </w:rPr>
      </w:pPr>
    </w:p>
    <w:p xmlns:wp14="http://schemas.microsoft.com/office/word/2010/wordml" w:rsidP="4070C846" wp14:paraId="6E32BFE7" wp14:textId="5D4D3C4A">
      <w:pPr>
        <w:pStyle w:val="Heading2"/>
        <w:spacing w:before="299" w:beforeAutospacing="off" w:after="299"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Importance of Recording and Tracking Blood Sugar Levels</w:t>
      </w:r>
    </w:p>
    <w:p xmlns:wp14="http://schemas.microsoft.com/office/word/2010/wordml" w:rsidP="4070C846" wp14:paraId="17EEEB33" wp14:textId="7AD7A75F">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Monitoring blood glucose is central to Type 2 diabetes self-management. It provides patients with tangible feedback, translating abstract medical advice into observable patterns linking behaviour with physiological responses.</w:t>
      </w:r>
    </w:p>
    <w:p xmlns:wp14="http://schemas.microsoft.com/office/word/2010/wordml" w:rsidP="4070C846" wp14:paraId="3AD9E6AF" wp14:textId="5BD9333D">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Self-monitoring of blood glucose (SMBG) typically involves finger-prick devices, though some patients may use continuous glucose monitoring (CGM) systems. Recording results allows identification of trends, such as morning hyperglycaemia or postprandial spikes, which can inform adjustments to diet, activity, or medication.</w:t>
      </w:r>
    </w:p>
    <w:p xmlns:wp14="http://schemas.microsoft.com/office/word/2010/wordml" w:rsidP="4070C846" wp14:paraId="01685375" wp14:textId="33C02638">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Long-term monitoring through HbA1c provides an overview of average glucose over approximately three months (NHS Digital, 2023). Combining HbA1c with daily monitoring offers both immediate and long-term insights, allowing healthcare professionals to tailor interventions effectively.</w:t>
      </w:r>
    </w:p>
    <w:p xmlns:wp14="http://schemas.microsoft.com/office/word/2010/wordml" w:rsidP="4070C846" wp14:paraId="708BB322" wp14:textId="22BB247B">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Regular monitoring supports early detection of deteriorating control, reinforces the link between behaviour and blood glucose, ensures medication safety, and promotes patient engagement. Practice nurses play a key role in reviewing records, interpreting results, and collaboratively setting realistic goals. Encouraging </w:t>
      </w:r>
      <w:r w:rsidRPr="4070C846" w:rsidR="19BD59E1">
        <w:rPr>
          <w:rFonts w:ascii="Arial Nova" w:hAnsi="Arial Nova" w:eastAsia="Arial Nova" w:cs="Arial Nova"/>
          <w:noProof w:val="0"/>
          <w:sz w:val="22"/>
          <w:szCs w:val="22"/>
          <w:lang w:val="en-GB"/>
        </w:rPr>
        <w:t>accurate</w:t>
      </w:r>
      <w:r w:rsidRPr="4070C846" w:rsidR="19BD59E1">
        <w:rPr>
          <w:rFonts w:ascii="Arial Nova" w:hAnsi="Arial Nova" w:eastAsia="Arial Nova" w:cs="Arial Nova"/>
          <w:noProof w:val="0"/>
          <w:sz w:val="22"/>
          <w:szCs w:val="22"/>
          <w:lang w:val="en-GB"/>
        </w:rPr>
        <w:t xml:space="preserve"> and consistent tracking enhances patient confidence and self-efficacy, which are strongly associated with successful long-term management.</w:t>
      </w:r>
    </w:p>
    <w:p xmlns:wp14="http://schemas.microsoft.com/office/word/2010/wordml" w:rsidP="4070C846" wp14:paraId="3CBE9676" wp14:textId="065B5737">
      <w:pPr>
        <w:spacing w:line="360" w:lineRule="auto"/>
        <w:rPr>
          <w:rFonts w:ascii="Arial Nova" w:hAnsi="Arial Nova" w:eastAsia="Arial Nova" w:cs="Arial Nova"/>
          <w:sz w:val="22"/>
          <w:szCs w:val="22"/>
        </w:rPr>
      </w:pPr>
    </w:p>
    <w:p xmlns:wp14="http://schemas.microsoft.com/office/word/2010/wordml" w:rsidP="4070C846" wp14:paraId="60FF5D95" wp14:textId="6B6D29A6">
      <w:pPr>
        <w:pStyle w:val="Heading2"/>
        <w:spacing w:before="299" w:beforeAutospacing="off" w:after="299"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Evidence-Based Lifestyle Recommendations</w:t>
      </w:r>
    </w:p>
    <w:p xmlns:wp14="http://schemas.microsoft.com/office/word/2010/wordml" w:rsidP="4070C846" wp14:paraId="30F24D0E" wp14:textId="1063CC05">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Lifestyle modification is the cornerstone of Type 2 diabetes management. Evidence </w:t>
      </w:r>
      <w:r w:rsidRPr="4070C846" w:rsidR="19BD59E1">
        <w:rPr>
          <w:rFonts w:ascii="Arial Nova" w:hAnsi="Arial Nova" w:eastAsia="Arial Nova" w:cs="Arial Nova"/>
          <w:noProof w:val="0"/>
          <w:sz w:val="22"/>
          <w:szCs w:val="22"/>
          <w:lang w:val="en-GB"/>
        </w:rPr>
        <w:t>demonstrates</w:t>
      </w:r>
      <w:r w:rsidRPr="4070C846" w:rsidR="19BD59E1">
        <w:rPr>
          <w:rFonts w:ascii="Arial Nova" w:hAnsi="Arial Nova" w:eastAsia="Arial Nova" w:cs="Arial Nova"/>
          <w:noProof w:val="0"/>
          <w:sz w:val="22"/>
          <w:szCs w:val="22"/>
          <w:lang w:val="en-GB"/>
        </w:rPr>
        <w:t xml:space="preserve"> that diet, exercise, weight management, and smoking cessation significantly improve insulin sensitivity, reduce blood glucose, and lower complication risk. Practice nurses provide personalised support to help patients implement sustainable changes.</w:t>
      </w:r>
    </w:p>
    <w:p xmlns:wp14="http://schemas.microsoft.com/office/word/2010/wordml" w:rsidP="4070C846" wp14:paraId="44938982" wp14:textId="2F6FEB1C">
      <w:pPr>
        <w:pStyle w:val="Heading3"/>
        <w:spacing w:before="281" w:beforeAutospacing="off" w:after="281"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Diet</w:t>
      </w:r>
    </w:p>
    <w:p xmlns:wp14="http://schemas.microsoft.com/office/word/2010/wordml" w:rsidP="4070C846" wp14:paraId="566138B6" wp14:textId="03AA9D4F">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A balanced diet rich in whole grains, vegetables, fruits, legumes, lean protein, and unsaturated fats promotes stable blood glucose and cardiovascular health. High-fibre foods slow glucose absorption, while limiting refined carbohydrates, sugary foods, and saturated fats improves glycaemic control and lipid profiles (Public Health England, 2020).</w:t>
      </w:r>
    </w:p>
    <w:p xmlns:wp14="http://schemas.microsoft.com/office/word/2010/wordml" w:rsidP="4070C846" wp14:paraId="79BD3B56" wp14:textId="4BBB3F17">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Dietary advice should consider cultural preferences, cooking skills, financial constraints, and health literacy. Emphasising small, achievable changes—such as reducing sugary drinks, increasing vegetable intake, and </w:t>
      </w:r>
      <w:r w:rsidRPr="4070C846" w:rsidR="19BD59E1">
        <w:rPr>
          <w:rFonts w:ascii="Arial Nova" w:hAnsi="Arial Nova" w:eastAsia="Arial Nova" w:cs="Arial Nova"/>
          <w:noProof w:val="0"/>
          <w:sz w:val="22"/>
          <w:szCs w:val="22"/>
          <w:lang w:val="en-GB"/>
        </w:rPr>
        <w:t>portion</w:t>
      </w:r>
      <w:r w:rsidRPr="4070C846" w:rsidR="19BD59E1">
        <w:rPr>
          <w:rFonts w:ascii="Arial Nova" w:hAnsi="Arial Nova" w:eastAsia="Arial Nova" w:cs="Arial Nova"/>
          <w:noProof w:val="0"/>
          <w:sz w:val="22"/>
          <w:szCs w:val="22"/>
          <w:lang w:val="en-GB"/>
        </w:rPr>
        <w:t xml:space="preserve"> control—improves adherence. Patients </w:t>
      </w:r>
      <w:r w:rsidRPr="4070C846" w:rsidR="19BD59E1">
        <w:rPr>
          <w:rFonts w:ascii="Arial Nova" w:hAnsi="Arial Nova" w:eastAsia="Arial Nova" w:cs="Arial Nova"/>
          <w:noProof w:val="0"/>
          <w:sz w:val="22"/>
          <w:szCs w:val="22"/>
          <w:lang w:val="en-GB"/>
        </w:rPr>
        <w:t>benefit</w:t>
      </w:r>
      <w:r w:rsidRPr="4070C846" w:rsidR="19BD59E1">
        <w:rPr>
          <w:rFonts w:ascii="Arial Nova" w:hAnsi="Arial Nova" w:eastAsia="Arial Nova" w:cs="Arial Nova"/>
          <w:noProof w:val="0"/>
          <w:sz w:val="22"/>
          <w:szCs w:val="22"/>
          <w:lang w:val="en-GB"/>
        </w:rPr>
        <w:t xml:space="preserve"> from practical tips like meal planning, healthy swaps, and reading nutrition labels.</w:t>
      </w:r>
    </w:p>
    <w:p xmlns:wp14="http://schemas.microsoft.com/office/word/2010/wordml" w:rsidP="4070C846" wp14:paraId="576C82E9" wp14:textId="178EA7D9">
      <w:pPr>
        <w:pStyle w:val="Heading3"/>
        <w:spacing w:before="281" w:beforeAutospacing="off" w:after="281"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Physical Activity</w:t>
      </w:r>
    </w:p>
    <w:p xmlns:wp14="http://schemas.microsoft.com/office/word/2010/wordml" w:rsidP="4070C846" wp14:paraId="5F058A70" wp14:textId="0A07F868">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Regular exercise enhances insulin sensitivity and supports glucose utilisation. Adults are </w:t>
      </w:r>
      <w:r w:rsidRPr="4070C846" w:rsidR="19BD59E1">
        <w:rPr>
          <w:rFonts w:ascii="Arial Nova" w:hAnsi="Arial Nova" w:eastAsia="Arial Nova" w:cs="Arial Nova"/>
          <w:noProof w:val="0"/>
          <w:sz w:val="22"/>
          <w:szCs w:val="22"/>
          <w:lang w:val="en-GB"/>
        </w:rPr>
        <w:t>advised to engage</w:t>
      </w:r>
      <w:r w:rsidRPr="4070C846" w:rsidR="19BD59E1">
        <w:rPr>
          <w:rFonts w:ascii="Arial Nova" w:hAnsi="Arial Nova" w:eastAsia="Arial Nova" w:cs="Arial Nova"/>
          <w:noProof w:val="0"/>
          <w:sz w:val="22"/>
          <w:szCs w:val="22"/>
          <w:lang w:val="en-GB"/>
        </w:rPr>
        <w:t xml:space="preserve"> in at least 150 minutes of moderate-intensity activity per week, including resistance training (UK Government, 2022). Exercise also improves weight management, cardiovascular health, mental wellbeing, and sleep quality. Explaining that muscle contractions themselves help lower blood glucose can motivate patients to integrate activity into daily routines, such as walking, cycling, or gardening.</w:t>
      </w:r>
    </w:p>
    <w:p xmlns:wp14="http://schemas.microsoft.com/office/word/2010/wordml" w:rsidP="4070C846" wp14:paraId="24385840" wp14:textId="3A77F5D8">
      <w:pPr>
        <w:pStyle w:val="Heading3"/>
        <w:spacing w:before="281" w:beforeAutospacing="off" w:after="281" w:afterAutospacing="off" w:line="360" w:lineRule="auto"/>
        <w:rPr>
          <w:rFonts w:ascii="Arial Nova" w:hAnsi="Arial Nova" w:eastAsia="Arial Nova" w:cs="Arial Nova"/>
          <w:b w:val="1"/>
          <w:bCs w:val="1"/>
          <w:noProof w:val="0"/>
          <w:sz w:val="22"/>
          <w:szCs w:val="22"/>
          <w:lang w:val="en-GB"/>
        </w:rPr>
      </w:pPr>
      <w:r w:rsidRPr="4070C846" w:rsidR="19BD59E1">
        <w:rPr>
          <w:rFonts w:ascii="Arial Nova" w:hAnsi="Arial Nova" w:eastAsia="Arial Nova" w:cs="Arial Nova"/>
          <w:b w:val="1"/>
          <w:bCs w:val="1"/>
          <w:noProof w:val="0"/>
          <w:color w:val="auto"/>
          <w:sz w:val="22"/>
          <w:szCs w:val="22"/>
          <w:lang w:val="en-GB"/>
        </w:rPr>
        <w:t>Weight Management</w:t>
      </w:r>
    </w:p>
    <w:p xmlns:wp14="http://schemas.microsoft.com/office/word/2010/wordml" w:rsidP="4070C846" wp14:paraId="5EF6D825" wp14:textId="0A6F78F2">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Visceral fat contributes to insulin resistance. Even modest weight loss of 5–10% can improve glycaemic control, reduce medication needs, and in some cases, lead to diabetes remission. Structured programmes combining dietary changes, physical activity, and behavioural support are most effective (Office for Health Improvement and Disparities, 2022). Practice nurses provide encouragement, </w:t>
      </w:r>
      <w:r w:rsidRPr="4070C846" w:rsidR="19BD59E1">
        <w:rPr>
          <w:rFonts w:ascii="Arial Nova" w:hAnsi="Arial Nova" w:eastAsia="Arial Nova" w:cs="Arial Nova"/>
          <w:noProof w:val="0"/>
          <w:sz w:val="22"/>
          <w:szCs w:val="22"/>
          <w:lang w:val="en-GB"/>
        </w:rPr>
        <w:t>monitor</w:t>
      </w:r>
      <w:r w:rsidRPr="4070C846" w:rsidR="19BD59E1">
        <w:rPr>
          <w:rFonts w:ascii="Arial Nova" w:hAnsi="Arial Nova" w:eastAsia="Arial Nova" w:cs="Arial Nova"/>
          <w:noProof w:val="0"/>
          <w:sz w:val="22"/>
          <w:szCs w:val="22"/>
          <w:lang w:val="en-GB"/>
        </w:rPr>
        <w:t xml:space="preserve"> progress, and help patients overcome barriers such as relapse or emotional eating.</w:t>
      </w:r>
    </w:p>
    <w:p xmlns:wp14="http://schemas.microsoft.com/office/word/2010/wordml" w:rsidP="4070C846" wp14:paraId="675FC495" wp14:textId="2FAB17DC">
      <w:pPr>
        <w:pStyle w:val="Heading3"/>
        <w:spacing w:before="281" w:beforeAutospacing="off" w:after="281"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Smoking Cessation</w:t>
      </w:r>
    </w:p>
    <w:p xmlns:wp14="http://schemas.microsoft.com/office/word/2010/wordml" w:rsidP="4070C846" wp14:paraId="145F428E" wp14:textId="6670F460">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Smoking increases insulin resistance, inflammation, and cardiovascular risk. Smokers with diabetes have </w:t>
      </w:r>
      <w:r w:rsidRPr="4070C846" w:rsidR="19BD59E1">
        <w:rPr>
          <w:rFonts w:ascii="Arial Nova" w:hAnsi="Arial Nova" w:eastAsia="Arial Nova" w:cs="Arial Nova"/>
          <w:noProof w:val="0"/>
          <w:sz w:val="22"/>
          <w:szCs w:val="22"/>
          <w:lang w:val="en-GB"/>
        </w:rPr>
        <w:t>substantially higher</w:t>
      </w:r>
      <w:r w:rsidRPr="4070C846" w:rsidR="19BD59E1">
        <w:rPr>
          <w:rFonts w:ascii="Arial Nova" w:hAnsi="Arial Nova" w:eastAsia="Arial Nova" w:cs="Arial Nova"/>
          <w:noProof w:val="0"/>
          <w:sz w:val="22"/>
          <w:szCs w:val="22"/>
          <w:lang w:val="en-GB"/>
        </w:rPr>
        <w:t xml:space="preserve"> rates of heart disease and stroke. Support for cessation may include counselling, pharmacological aids, and referral to specialised cessation services (British Heart Foundation, 2022).</w:t>
      </w:r>
    </w:p>
    <w:p xmlns:wp14="http://schemas.microsoft.com/office/word/2010/wordml" w:rsidP="4070C846" wp14:paraId="7386B289" wp14:textId="3CEA3C1C">
      <w:pPr>
        <w:pStyle w:val="Heading3"/>
        <w:spacing w:before="281" w:beforeAutospacing="off" w:after="281"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Behaviour Change and Education</w:t>
      </w:r>
    </w:p>
    <w:p xmlns:wp14="http://schemas.microsoft.com/office/word/2010/wordml" w:rsidP="4070C846" wp14:paraId="36D7B3CB" wp14:textId="49CD1DB1">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Knowledge alone rarely produces sustained change. Supportive, non-judgemental conversations using motivational interviewing, collaborative goal setting, and incremental behaviour changes improve adherence and confidence (Royal College of Nursing, 2021). Structured education programmes, peer support groups, and community resources reinforce learning and provide social support.</w:t>
      </w:r>
    </w:p>
    <w:p xmlns:wp14="http://schemas.microsoft.com/office/word/2010/wordml" w:rsidP="4070C846" wp14:paraId="7BF26813" wp14:textId="7FD159AA">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Combined lifestyle interventions addressing diet, activity, weight, and smoking have been shown to improve HbA1c and reduce cardiovascular risk (National Institute for Health and Care Excellence, 2022; Office for Health Improvement and Disparities, 2022).</w:t>
      </w:r>
    </w:p>
    <w:p xmlns:wp14="http://schemas.microsoft.com/office/word/2010/wordml" w:rsidP="4070C846" wp14:paraId="57E2B619" wp14:textId="759B3026">
      <w:pPr>
        <w:pStyle w:val="Heading3"/>
        <w:spacing w:before="281" w:beforeAutospacing="off" w:after="281"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Psychosocial Considerations</w:t>
      </w:r>
    </w:p>
    <w:p xmlns:wp14="http://schemas.microsoft.com/office/word/2010/wordml" w:rsidP="4070C846" wp14:paraId="498BF1FC" wp14:textId="14FCD663">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Stress, mental health challenges, and limited social support can undermine self-management. Primary care professionals, particularly practice nurses, assess psychosocial factors, provide coping strategies, and refer patients to counselling or community resources when needed. Health literacy also affects understanding of management plans; educational approaches must be tailored to individual comprehension and cultural context.</w:t>
      </w:r>
    </w:p>
    <w:p xmlns:wp14="http://schemas.microsoft.com/office/word/2010/wordml" w:rsidP="4070C846" wp14:paraId="15284CDF" wp14:textId="675BB767">
      <w:pPr>
        <w:spacing w:line="360" w:lineRule="auto"/>
        <w:rPr>
          <w:rFonts w:ascii="Arial Nova" w:hAnsi="Arial Nova" w:eastAsia="Arial Nova" w:cs="Arial Nova"/>
          <w:sz w:val="22"/>
          <w:szCs w:val="22"/>
        </w:rPr>
      </w:pPr>
    </w:p>
    <w:p xmlns:wp14="http://schemas.microsoft.com/office/word/2010/wordml" w:rsidP="4070C846" wp14:paraId="4434EDE6" wp14:textId="0E1D498D">
      <w:pPr>
        <w:pStyle w:val="Heading2"/>
        <w:spacing w:before="299" w:beforeAutospacing="off" w:after="299"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Conclusion</w:t>
      </w:r>
    </w:p>
    <w:p xmlns:wp14="http://schemas.microsoft.com/office/word/2010/wordml" w:rsidP="4070C846" wp14:paraId="6AB0CF04" wp14:textId="28EFB2CF">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Type 2 diabetes is a progressive, lifelong condition requiring continuous management and active patient engagement. Understanding blood glucose regulation, cellular energy production, and the impact of lifestyle behaviours is fundamental to effective self-management.</w:t>
      </w:r>
    </w:p>
    <w:p xmlns:wp14="http://schemas.microsoft.com/office/word/2010/wordml" w:rsidP="4070C846" wp14:paraId="75C247D8" wp14:textId="2C79B639">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Monitoring and recording glucose </w:t>
      </w:r>
      <w:r w:rsidRPr="4070C846" w:rsidR="19BD59E1">
        <w:rPr>
          <w:rFonts w:ascii="Arial Nova" w:hAnsi="Arial Nova" w:eastAsia="Arial Nova" w:cs="Arial Nova"/>
          <w:noProof w:val="0"/>
          <w:sz w:val="22"/>
          <w:szCs w:val="22"/>
          <w:lang w:val="en-GB"/>
        </w:rPr>
        <w:t>helps</w:t>
      </w:r>
      <w:r w:rsidRPr="4070C846" w:rsidR="19BD59E1">
        <w:rPr>
          <w:rFonts w:ascii="Arial Nova" w:hAnsi="Arial Nova" w:eastAsia="Arial Nova" w:cs="Arial Nova"/>
          <w:noProof w:val="0"/>
          <w:sz w:val="22"/>
          <w:szCs w:val="22"/>
          <w:lang w:val="en-GB"/>
        </w:rPr>
        <w:t xml:space="preserve"> patients recognise patterns, understand daily impacts, and collaborate with healthcare professionals to optimise care. Evidence-based lifestyle interventions—including diet, exercise, smoking cessation, and weight management—are highly effective in improving glycaemic control and reducing complications.</w:t>
      </w:r>
    </w:p>
    <w:p xmlns:wp14="http://schemas.microsoft.com/office/word/2010/wordml" w:rsidP="4070C846" wp14:paraId="5F66D580" wp14:textId="0282DCCD">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Practice nurses are central to primary care diabetes management. Through education, monitoring, and motivational support, they empower patients to take ownership of their condition. Addressing psychosocial factors and tailoring interventions to individual needs further strengthens self-management. Enhancing patient understanding and engagement in primary care is essential to improving outcomes and managing the growing burden of Type 2 diabetes in the UK.</w:t>
      </w:r>
    </w:p>
    <w:p xmlns:wp14="http://schemas.microsoft.com/office/word/2010/wordml" w:rsidP="4070C846" wp14:paraId="4DD5AA73" wp14:textId="07A17389">
      <w:pPr>
        <w:spacing w:line="360" w:lineRule="auto"/>
        <w:rPr>
          <w:rFonts w:ascii="Arial Nova" w:hAnsi="Arial Nova" w:eastAsia="Arial Nova" w:cs="Arial Nova"/>
          <w:sz w:val="22"/>
          <w:szCs w:val="22"/>
        </w:rPr>
      </w:pPr>
    </w:p>
    <w:p xmlns:wp14="http://schemas.microsoft.com/office/word/2010/wordml" w:rsidP="4070C846" wp14:paraId="1DD3A5B8" wp14:textId="662A6D5A">
      <w:pPr>
        <w:pStyle w:val="Heading3"/>
        <w:spacing w:before="281" w:beforeAutospacing="off" w:after="281" w:afterAutospacing="off" w:line="360" w:lineRule="auto"/>
        <w:rPr>
          <w:rFonts w:ascii="Arial Nova" w:hAnsi="Arial Nova" w:eastAsia="Arial Nova" w:cs="Arial Nova"/>
          <w:b w:val="1"/>
          <w:bCs w:val="1"/>
          <w:noProof w:val="0"/>
          <w:color w:val="auto"/>
          <w:sz w:val="22"/>
          <w:szCs w:val="22"/>
          <w:lang w:val="en-GB"/>
        </w:rPr>
      </w:pPr>
      <w:r w:rsidRPr="4070C846" w:rsidR="19BD59E1">
        <w:rPr>
          <w:rFonts w:ascii="Arial Nova" w:hAnsi="Arial Nova" w:eastAsia="Arial Nova" w:cs="Arial Nova"/>
          <w:b w:val="1"/>
          <w:bCs w:val="1"/>
          <w:noProof w:val="0"/>
          <w:color w:val="auto"/>
          <w:sz w:val="22"/>
          <w:szCs w:val="22"/>
          <w:lang w:val="en-GB"/>
        </w:rPr>
        <w:t>References</w:t>
      </w:r>
    </w:p>
    <w:p xmlns:wp14="http://schemas.microsoft.com/office/word/2010/wordml" w:rsidP="4070C846" wp14:paraId="0B52F2A6" wp14:textId="0E3BFD7F">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British Heart Foundation (2022) Smoking and diabetes. Available at: </w:t>
      </w:r>
      <w:hyperlink r:id="R16d4525c9ad747d1">
        <w:r w:rsidRPr="4070C846" w:rsidR="19BD59E1">
          <w:rPr>
            <w:rStyle w:val="Hyperlink"/>
            <w:rFonts w:ascii="Arial Nova" w:hAnsi="Arial Nova" w:eastAsia="Arial Nova" w:cs="Arial Nova"/>
            <w:noProof w:val="0"/>
            <w:sz w:val="22"/>
            <w:szCs w:val="22"/>
            <w:lang w:val="en-GB"/>
          </w:rPr>
          <w:t>https://www.bhf.org.uk</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40885633" wp14:textId="71FC67B0">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Diabetes UK (2023) Type 2 diabetes. Available at: </w:t>
      </w:r>
      <w:hyperlink r:id="R65ffbb7edab2421a">
        <w:r w:rsidRPr="4070C846" w:rsidR="19BD59E1">
          <w:rPr>
            <w:rStyle w:val="Hyperlink"/>
            <w:rFonts w:ascii="Arial Nova" w:hAnsi="Arial Nova" w:eastAsia="Arial Nova" w:cs="Arial Nova"/>
            <w:noProof w:val="0"/>
            <w:sz w:val="22"/>
            <w:szCs w:val="22"/>
            <w:lang w:val="en-GB"/>
          </w:rPr>
          <w:t>https://www.diabetes.org.uk/about-diabetes/type-2-diabetes</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07AAC681" wp14:textId="1FE07858">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Diabetes UK (2023) How the body regulates blood glucose. Available at: </w:t>
      </w:r>
      <w:hyperlink r:id="R6c9066b8c4494763">
        <w:r w:rsidRPr="4070C846" w:rsidR="19BD59E1">
          <w:rPr>
            <w:rStyle w:val="Hyperlink"/>
            <w:rFonts w:ascii="Arial Nova" w:hAnsi="Arial Nova" w:eastAsia="Arial Nova" w:cs="Arial Nova"/>
            <w:noProof w:val="0"/>
            <w:sz w:val="22"/>
            <w:szCs w:val="22"/>
            <w:lang w:val="en-GB"/>
          </w:rPr>
          <w:t>https://www.diabetes.org.uk/diabetes-the-basics</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3FE719D0" wp14:textId="0B7D151A">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National Health Service (2023) Type 2 diabetes. Available at: </w:t>
      </w:r>
      <w:hyperlink r:id="Rb08e54458ff2492a">
        <w:r w:rsidRPr="4070C846" w:rsidR="19BD59E1">
          <w:rPr>
            <w:rStyle w:val="Hyperlink"/>
            <w:rFonts w:ascii="Arial Nova" w:hAnsi="Arial Nova" w:eastAsia="Arial Nova" w:cs="Arial Nova"/>
            <w:noProof w:val="0"/>
            <w:sz w:val="22"/>
            <w:szCs w:val="22"/>
            <w:lang w:val="en-GB"/>
          </w:rPr>
          <w:t>https://www.nhs.uk/conditions/type-2-diabetes/</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408BA3DD" wp14:textId="23AEDB0E">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National Institute for Health and Care Excellence (2022) Type 2 diabetes in adults: management (NG28). London: NICE. Available at: </w:t>
      </w:r>
      <w:hyperlink r:id="R1506fb2241ae4814">
        <w:r w:rsidRPr="4070C846" w:rsidR="19BD59E1">
          <w:rPr>
            <w:rStyle w:val="Hyperlink"/>
            <w:rFonts w:ascii="Arial Nova" w:hAnsi="Arial Nova" w:eastAsia="Arial Nova" w:cs="Arial Nova"/>
            <w:noProof w:val="0"/>
            <w:sz w:val="22"/>
            <w:szCs w:val="22"/>
            <w:lang w:val="en-GB"/>
          </w:rPr>
          <w:t>https://www.nice.org.uk/guidance/ng28</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0EE60B5D" wp14:textId="3A14F6F7">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NHS Digital (2023) National diabetes audit. Available at: </w:t>
      </w:r>
      <w:hyperlink r:id="R96cec027e84b4f95">
        <w:r w:rsidRPr="4070C846" w:rsidR="19BD59E1">
          <w:rPr>
            <w:rStyle w:val="Hyperlink"/>
            <w:rFonts w:ascii="Arial Nova" w:hAnsi="Arial Nova" w:eastAsia="Arial Nova" w:cs="Arial Nova"/>
            <w:noProof w:val="0"/>
            <w:sz w:val="22"/>
            <w:szCs w:val="22"/>
            <w:lang w:val="en-GB"/>
          </w:rPr>
          <w:t>https://digital.nhs.uk</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24489089" wp14:textId="7D519D5C">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Office for Health Improvement and Disparities (2022) Obesity and diabetes: applying all our health. London: OHID. Available at: </w:t>
      </w:r>
      <w:hyperlink r:id="Rd51fead25cd0488b">
        <w:r w:rsidRPr="4070C846" w:rsidR="19BD59E1">
          <w:rPr>
            <w:rStyle w:val="Hyperlink"/>
            <w:rFonts w:ascii="Arial Nova" w:hAnsi="Arial Nova" w:eastAsia="Arial Nova" w:cs="Arial Nova"/>
            <w:noProof w:val="0"/>
            <w:sz w:val="22"/>
            <w:szCs w:val="22"/>
            <w:lang w:val="en-GB"/>
          </w:rPr>
          <w:t>https://www.gov.uk</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2A8E62B0" wp14:textId="2871750C">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Public Health England (2020) Health matters: preventing Type 2 diabetes. London: PHE. Available at: </w:t>
      </w:r>
      <w:hyperlink r:id="Raedb403702404cd5">
        <w:r w:rsidRPr="4070C846" w:rsidR="19BD59E1">
          <w:rPr>
            <w:rStyle w:val="Hyperlink"/>
            <w:rFonts w:ascii="Arial Nova" w:hAnsi="Arial Nova" w:eastAsia="Arial Nova" w:cs="Arial Nova"/>
            <w:noProof w:val="0"/>
            <w:sz w:val="22"/>
            <w:szCs w:val="22"/>
            <w:lang w:val="en-GB"/>
          </w:rPr>
          <w:t>https://www.gov.uk</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1E5C378D" wp14:textId="43657525">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Royal College of Nursing (2021) Diabetes care and management. London: RCN. Available at: </w:t>
      </w:r>
      <w:hyperlink r:id="Rd240f8ca109b4a99">
        <w:r w:rsidRPr="4070C846" w:rsidR="19BD59E1">
          <w:rPr>
            <w:rStyle w:val="Hyperlink"/>
            <w:rFonts w:ascii="Arial Nova" w:hAnsi="Arial Nova" w:eastAsia="Arial Nova" w:cs="Arial Nova"/>
            <w:noProof w:val="0"/>
            <w:sz w:val="22"/>
            <w:szCs w:val="22"/>
            <w:lang w:val="en-GB"/>
          </w:rPr>
          <w:t>https://www.rcn.org.uk</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2DC2F03E" wp14:textId="46FB3D2A">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UK Government (2022) Physical activity guidelines: adults. Available at: </w:t>
      </w:r>
      <w:hyperlink r:id="R43bcd1f469f14299">
        <w:r w:rsidRPr="4070C846" w:rsidR="19BD59E1">
          <w:rPr>
            <w:rStyle w:val="Hyperlink"/>
            <w:rFonts w:ascii="Arial Nova" w:hAnsi="Arial Nova" w:eastAsia="Arial Nova" w:cs="Arial Nova"/>
            <w:noProof w:val="0"/>
            <w:sz w:val="22"/>
            <w:szCs w:val="22"/>
            <w:lang w:val="en-GB"/>
          </w:rPr>
          <w:t>https://www.gov.uk/government/publications/physical-activity-guidelines-uk-chief-medical-officers-report</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5F211F02" wp14:textId="6B5249B4">
      <w:pPr>
        <w:spacing w:before="240" w:beforeAutospacing="off" w:after="240" w:afterAutospacing="off" w:line="360" w:lineRule="auto"/>
        <w:rPr>
          <w:rFonts w:ascii="Arial Nova" w:hAnsi="Arial Nova" w:eastAsia="Arial Nova" w:cs="Arial Nova"/>
          <w:noProof w:val="0"/>
          <w:sz w:val="22"/>
          <w:szCs w:val="22"/>
          <w:lang w:val="en-GB"/>
        </w:rPr>
      </w:pPr>
      <w:r w:rsidRPr="4070C846" w:rsidR="19BD59E1">
        <w:rPr>
          <w:rFonts w:ascii="Arial Nova" w:hAnsi="Arial Nova" w:eastAsia="Arial Nova" w:cs="Arial Nova"/>
          <w:noProof w:val="0"/>
          <w:sz w:val="22"/>
          <w:szCs w:val="22"/>
          <w:lang w:val="en-GB"/>
        </w:rPr>
        <w:t xml:space="preserve">World Health Organization (2023) Diabetes. Available at: </w:t>
      </w:r>
      <w:hyperlink r:id="R0f4d519386304a27">
        <w:r w:rsidRPr="4070C846" w:rsidR="19BD59E1">
          <w:rPr>
            <w:rStyle w:val="Hyperlink"/>
            <w:rFonts w:ascii="Arial Nova" w:hAnsi="Arial Nova" w:eastAsia="Arial Nova" w:cs="Arial Nova"/>
            <w:noProof w:val="0"/>
            <w:sz w:val="22"/>
            <w:szCs w:val="22"/>
            <w:lang w:val="en-GB"/>
          </w:rPr>
          <w:t>https://www.who.int/news-room/fact-sheets/detail/diabetes</w:t>
        </w:r>
      </w:hyperlink>
      <w:r w:rsidRPr="4070C846" w:rsidR="19BD59E1">
        <w:rPr>
          <w:rFonts w:ascii="Arial Nova" w:hAnsi="Arial Nova" w:eastAsia="Arial Nova" w:cs="Arial Nova"/>
          <w:noProof w:val="0"/>
          <w:sz w:val="22"/>
          <w:szCs w:val="22"/>
          <w:lang w:val="en-GB"/>
        </w:rPr>
        <w:t xml:space="preserve"> (Accessed: 15 February 2026).</w:t>
      </w:r>
    </w:p>
    <w:p xmlns:wp14="http://schemas.microsoft.com/office/word/2010/wordml" w:rsidP="4070C846" wp14:paraId="5E5787A5" wp14:textId="15749A17">
      <w:pPr>
        <w:spacing w:line="360" w:lineRule="auto"/>
        <w:rPr>
          <w:rFonts w:ascii="Arial Nova" w:hAnsi="Arial Nova" w:eastAsia="Arial Nova" w:cs="Arial Nova"/>
          <w:color w:val="auto"/>
          <w:sz w:val="22"/>
          <w:szCs w:val="22"/>
        </w:rPr>
      </w:pPr>
    </w:p>
    <w:sectPr>
      <w:pgSz w:w="11906" w:h="16838" w:orient="portrait"/>
      <w:pgMar w:top="1440" w:right="1440" w:bottom="1440" w:left="1440" w:header="720" w:footer="720" w:gutter="0"/>
      <w:cols w:space="720"/>
      <w:docGrid w:linePitch="360"/>
      <w:headerReference w:type="default" r:id="R5e353ecf7bfc424b"/>
      <w:footerReference w:type="default" r:id="R0454d0a350ca41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70C846" w:rsidTr="4070C846" w14:paraId="0CCA8FF9">
      <w:trPr>
        <w:trHeight w:val="300"/>
      </w:trPr>
      <w:tc>
        <w:tcPr>
          <w:tcW w:w="3005" w:type="dxa"/>
          <w:tcMar/>
        </w:tcPr>
        <w:p w:rsidR="4070C846" w:rsidP="4070C846" w:rsidRDefault="4070C846" w14:paraId="06789911" w14:textId="71C8AF0F">
          <w:pPr>
            <w:pStyle w:val="Header"/>
            <w:bidi w:val="0"/>
            <w:ind w:left="-115"/>
            <w:jc w:val="left"/>
          </w:pPr>
        </w:p>
      </w:tc>
      <w:tc>
        <w:tcPr>
          <w:tcW w:w="3005" w:type="dxa"/>
          <w:tcMar/>
        </w:tcPr>
        <w:p w:rsidR="4070C846" w:rsidP="4070C846" w:rsidRDefault="4070C846" w14:paraId="0C6394B7" w14:textId="6384C893">
          <w:pPr>
            <w:pStyle w:val="Header"/>
            <w:bidi w:val="0"/>
            <w:jc w:val="center"/>
          </w:pPr>
        </w:p>
      </w:tc>
      <w:tc>
        <w:tcPr>
          <w:tcW w:w="3005" w:type="dxa"/>
          <w:tcMar/>
        </w:tcPr>
        <w:p w:rsidR="4070C846" w:rsidP="4070C846" w:rsidRDefault="4070C846" w14:paraId="5874344C" w14:textId="3B1FEA0D">
          <w:pPr>
            <w:pStyle w:val="Header"/>
            <w:bidi w:val="0"/>
            <w:ind w:right="-115"/>
            <w:jc w:val="right"/>
          </w:pPr>
        </w:p>
      </w:tc>
    </w:tr>
  </w:tbl>
  <w:p w:rsidR="4070C846" w:rsidP="4070C846" w:rsidRDefault="4070C846" w14:paraId="26172E11" w14:textId="78CA5D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70C846" w:rsidTr="4070C846" w14:paraId="2FADAA44">
      <w:trPr>
        <w:trHeight w:val="300"/>
      </w:trPr>
      <w:tc>
        <w:tcPr>
          <w:tcW w:w="3005" w:type="dxa"/>
          <w:tcMar/>
        </w:tcPr>
        <w:p w:rsidR="4070C846" w:rsidP="4070C846" w:rsidRDefault="4070C846" w14:paraId="374C2A86" w14:textId="1072EF0E">
          <w:pPr>
            <w:pStyle w:val="Header"/>
            <w:bidi w:val="0"/>
            <w:ind w:left="-115"/>
            <w:jc w:val="left"/>
          </w:pPr>
        </w:p>
      </w:tc>
      <w:tc>
        <w:tcPr>
          <w:tcW w:w="3005" w:type="dxa"/>
          <w:tcMar/>
        </w:tcPr>
        <w:p w:rsidR="4070C846" w:rsidP="4070C846" w:rsidRDefault="4070C846" w14:paraId="5E31B0BE" w14:textId="1CA12FD5">
          <w:pPr>
            <w:pStyle w:val="Header"/>
            <w:bidi w:val="0"/>
            <w:jc w:val="center"/>
          </w:pPr>
          <w:r>
            <w:fldChar w:fldCharType="begin"/>
          </w:r>
          <w:r>
            <w:instrText xml:space="preserve">PAGE</w:instrText>
          </w:r>
          <w:r>
            <w:fldChar w:fldCharType="separate"/>
          </w:r>
          <w:r>
            <w:fldChar w:fldCharType="end"/>
          </w:r>
        </w:p>
      </w:tc>
      <w:tc>
        <w:tcPr>
          <w:tcW w:w="3005" w:type="dxa"/>
          <w:tcMar/>
        </w:tcPr>
        <w:p w:rsidR="4070C846" w:rsidP="4070C846" w:rsidRDefault="4070C846" w14:paraId="6551216A" w14:textId="734D7D1E">
          <w:pPr>
            <w:pStyle w:val="Header"/>
            <w:bidi w:val="0"/>
            <w:ind w:right="-115"/>
            <w:jc w:val="right"/>
          </w:pPr>
        </w:p>
      </w:tc>
    </w:tr>
  </w:tbl>
  <w:p w:rsidR="4070C846" w:rsidP="4070C846" w:rsidRDefault="4070C846" w14:paraId="47506170" w14:textId="053E3DA1">
    <w:pPr>
      <w:pStyle w:val="Header"/>
      <w:bidi w:val="0"/>
    </w:pPr>
  </w:p>
</w:hdr>
</file>

<file path=word/numbering.xml><?xml version="1.0" encoding="utf-8"?>
<w:numbering xmlns:w="http://schemas.openxmlformats.org/wordprocessingml/2006/main">
  <w:abstractNum xmlns:w="http://schemas.openxmlformats.org/wordprocessingml/2006/main" w:abstractNumId="3">
    <w:nsid w:val="1fd9f1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6be9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f7bc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FFC580"/>
    <w:rsid w:val="00BFF9AD"/>
    <w:rsid w:val="01498736"/>
    <w:rsid w:val="01892383"/>
    <w:rsid w:val="03C46F77"/>
    <w:rsid w:val="057E24C5"/>
    <w:rsid w:val="0750726C"/>
    <w:rsid w:val="08580B8A"/>
    <w:rsid w:val="091C59A9"/>
    <w:rsid w:val="0B4E8D1C"/>
    <w:rsid w:val="0F0A38CA"/>
    <w:rsid w:val="13DD35D4"/>
    <w:rsid w:val="1525DD26"/>
    <w:rsid w:val="17C16F4C"/>
    <w:rsid w:val="1829CA0E"/>
    <w:rsid w:val="1877842F"/>
    <w:rsid w:val="18BE06B4"/>
    <w:rsid w:val="19BD59E1"/>
    <w:rsid w:val="1A890407"/>
    <w:rsid w:val="1ACC0C0C"/>
    <w:rsid w:val="1CD20B05"/>
    <w:rsid w:val="24B4297E"/>
    <w:rsid w:val="268B4132"/>
    <w:rsid w:val="26BC39B4"/>
    <w:rsid w:val="2A5D6093"/>
    <w:rsid w:val="2C2DFF1A"/>
    <w:rsid w:val="2D04F80B"/>
    <w:rsid w:val="2E1AD948"/>
    <w:rsid w:val="3021F0F2"/>
    <w:rsid w:val="31ED7561"/>
    <w:rsid w:val="33D4BB65"/>
    <w:rsid w:val="3449EDB5"/>
    <w:rsid w:val="34D2E46F"/>
    <w:rsid w:val="3775219A"/>
    <w:rsid w:val="386181F8"/>
    <w:rsid w:val="389F4CA3"/>
    <w:rsid w:val="38B42C78"/>
    <w:rsid w:val="38FFC580"/>
    <w:rsid w:val="3D085679"/>
    <w:rsid w:val="3DC7F027"/>
    <w:rsid w:val="3EC750CE"/>
    <w:rsid w:val="4034DB70"/>
    <w:rsid w:val="4070C846"/>
    <w:rsid w:val="413C0183"/>
    <w:rsid w:val="42D5238D"/>
    <w:rsid w:val="444EA04E"/>
    <w:rsid w:val="4455E77D"/>
    <w:rsid w:val="44848B39"/>
    <w:rsid w:val="47A889B6"/>
    <w:rsid w:val="4A23E161"/>
    <w:rsid w:val="4A23FD54"/>
    <w:rsid w:val="4B46F29E"/>
    <w:rsid w:val="4D32526F"/>
    <w:rsid w:val="4F591ABD"/>
    <w:rsid w:val="4F8C749A"/>
    <w:rsid w:val="503DA120"/>
    <w:rsid w:val="515BBD0A"/>
    <w:rsid w:val="53FA17D5"/>
    <w:rsid w:val="554BDFE7"/>
    <w:rsid w:val="5987E300"/>
    <w:rsid w:val="5A201B8E"/>
    <w:rsid w:val="5A6047A8"/>
    <w:rsid w:val="5A815EDC"/>
    <w:rsid w:val="5A876C92"/>
    <w:rsid w:val="5F2F1A2A"/>
    <w:rsid w:val="5F4DEC96"/>
    <w:rsid w:val="63EA94CE"/>
    <w:rsid w:val="63EB99ED"/>
    <w:rsid w:val="6495CCD5"/>
    <w:rsid w:val="655067D3"/>
    <w:rsid w:val="678F946E"/>
    <w:rsid w:val="680166F5"/>
    <w:rsid w:val="6810E00E"/>
    <w:rsid w:val="6899906C"/>
    <w:rsid w:val="69573EC6"/>
    <w:rsid w:val="6A046638"/>
    <w:rsid w:val="6BAB69C6"/>
    <w:rsid w:val="6E12D07B"/>
    <w:rsid w:val="71857AEC"/>
    <w:rsid w:val="73653C01"/>
    <w:rsid w:val="74943DFA"/>
    <w:rsid w:val="74CA07DB"/>
    <w:rsid w:val="76D90AFC"/>
    <w:rsid w:val="7E7E60F8"/>
    <w:rsid w:val="7F3B923F"/>
    <w:rsid w:val="7F5A8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C580"/>
  <w15:chartTrackingRefBased/>
  <w15:docId w15:val="{00B9D888-15F3-4756-97F6-D9F204CD97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070C84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070C84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070C84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070C846"/>
    <w:rPr>
      <w:color w:val="467886"/>
      <w:u w:val="single"/>
    </w:rPr>
  </w:style>
  <w:style w:type="paragraph" w:styleId="Header">
    <w:uiPriority w:val="99"/>
    <w:name w:val="header"/>
    <w:basedOn w:val="Normal"/>
    <w:unhideWhenUsed/>
    <w:rsid w:val="4070C846"/>
    <w:pPr>
      <w:tabs>
        <w:tab w:val="center" w:leader="none" w:pos="4680"/>
        <w:tab w:val="right" w:leader="none" w:pos="9360"/>
      </w:tabs>
      <w:spacing w:after="0" w:line="240" w:lineRule="auto"/>
    </w:pPr>
  </w:style>
  <w:style w:type="paragraph" w:styleId="Footer">
    <w:uiPriority w:val="99"/>
    <w:name w:val="footer"/>
    <w:basedOn w:val="Normal"/>
    <w:unhideWhenUsed/>
    <w:rsid w:val="4070C846"/>
    <w:pPr>
      <w:tabs>
        <w:tab w:val="center" w:leader="none" w:pos="4680"/>
        <w:tab w:val="right" w:leader="none" w:pos="9360"/>
      </w:tabs>
      <w:spacing w:after="0" w:line="240" w:lineRule="auto"/>
    </w:pPr>
  </w:style>
  <w:style w:type="paragraph" w:styleId="ListParagraph">
    <w:uiPriority w:val="34"/>
    <w:name w:val="List Paragraph"/>
    <w:basedOn w:val="Normal"/>
    <w:qFormat/>
    <w:rsid w:val="4070C84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hf.org.uk/" TargetMode="External" Id="R16d4525c9ad747d1" /><Relationship Type="http://schemas.openxmlformats.org/officeDocument/2006/relationships/hyperlink" Target="https://www.diabetes.org.uk/about-diabetes/type-2-diabetes" TargetMode="External" Id="R65ffbb7edab2421a" /><Relationship Type="http://schemas.openxmlformats.org/officeDocument/2006/relationships/hyperlink" Target="https://www.diabetes.org.uk/diabetes-the-basics" TargetMode="External" Id="R6c9066b8c4494763" /><Relationship Type="http://schemas.openxmlformats.org/officeDocument/2006/relationships/hyperlink" Target="https://www.nhs.uk/conditions/type-2-diabetes/" TargetMode="External" Id="Rb08e54458ff2492a" /><Relationship Type="http://schemas.openxmlformats.org/officeDocument/2006/relationships/hyperlink" Target="https://www.nice.org.uk/guidance/ng28" TargetMode="External" Id="R1506fb2241ae4814" /><Relationship Type="http://schemas.openxmlformats.org/officeDocument/2006/relationships/hyperlink" Target="https://digital.nhs.uk/" TargetMode="External" Id="R96cec027e84b4f95" /><Relationship Type="http://schemas.openxmlformats.org/officeDocument/2006/relationships/hyperlink" Target="https://www.gov.uk/" TargetMode="External" Id="Rd51fead25cd0488b" /><Relationship Type="http://schemas.openxmlformats.org/officeDocument/2006/relationships/hyperlink" Target="https://www.gov.uk/" TargetMode="External" Id="Raedb403702404cd5" /><Relationship Type="http://schemas.openxmlformats.org/officeDocument/2006/relationships/hyperlink" Target="https://www.rcn.org.uk/" TargetMode="External" Id="Rd240f8ca109b4a99" /><Relationship Type="http://schemas.openxmlformats.org/officeDocument/2006/relationships/hyperlink" Target="https://www.gov.uk/government/publications/physical-activity-guidelines-uk-chief-medical-officers-report" TargetMode="External" Id="R43bcd1f469f14299" /><Relationship Type="http://schemas.openxmlformats.org/officeDocument/2006/relationships/hyperlink" Target="https://www.who.int/news-room/fact-sheets/detail/diabetes" TargetMode="External" Id="R0f4d519386304a27" /><Relationship Type="http://schemas.openxmlformats.org/officeDocument/2006/relationships/header" Target="/word/header.xml" Id="R5e353ecf7bfc424b" /><Relationship Type="http://schemas.openxmlformats.org/officeDocument/2006/relationships/footer" Target="/word/footer.xml" Id="R0454d0a350ca4134" /><Relationship Type="http://schemas.openxmlformats.org/officeDocument/2006/relationships/numbering" Target="/word/numbering.xml" Id="R7fd926224df346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Shaikh (2422573)</dc:creator>
  <keywords/>
  <dc:description/>
  <lastModifiedBy>Ayesha Shaikh (2422573)</lastModifiedBy>
  <revision>2</revision>
  <dcterms:created xsi:type="dcterms:W3CDTF">2026-02-13T15:12:43.8515100Z</dcterms:created>
  <dcterms:modified xsi:type="dcterms:W3CDTF">2026-02-17T18:44:52.6578991Z</dcterms:modified>
</coreProperties>
</file>