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24B50F" w14:textId="7F90E621" w:rsidR="00125566" w:rsidRDefault="00CA11F9">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r>
        <w:rPr>
          <w:rFonts w:ascii="Times New Roman" w:eastAsia="Times New Roman" w:hAnsi="Times New Roman" w:cs="Times New Roman"/>
          <w:b/>
          <w:color w:val="000000"/>
          <w:sz w:val="32"/>
          <w:szCs w:val="32"/>
        </w:rPr>
        <w:t>Name: Carolina Griza</w:t>
      </w:r>
    </w:p>
    <w:p w14:paraId="57E6A03C" w14:textId="05344AEA" w:rsidR="00CA11F9" w:rsidRDefault="00CA11F9">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r>
        <w:rPr>
          <w:rFonts w:ascii="Times New Roman" w:eastAsia="Times New Roman" w:hAnsi="Times New Roman" w:cs="Times New Roman"/>
          <w:b/>
          <w:color w:val="000000"/>
          <w:sz w:val="32"/>
          <w:szCs w:val="32"/>
        </w:rPr>
        <w:t>Student number: 2115255</w:t>
      </w:r>
    </w:p>
    <w:p w14:paraId="798F5139" w14:textId="1751B39C" w:rsidR="00CA11F9" w:rsidRDefault="00CA11F9">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r>
        <w:rPr>
          <w:rFonts w:ascii="Times New Roman" w:eastAsia="Times New Roman" w:hAnsi="Times New Roman" w:cs="Times New Roman"/>
          <w:b/>
          <w:color w:val="000000"/>
          <w:sz w:val="32"/>
          <w:szCs w:val="32"/>
        </w:rPr>
        <w:t>Module Code:  BMHP5005_BIRM</w:t>
      </w:r>
    </w:p>
    <w:p w14:paraId="7F8391B2" w14:textId="3940E035" w:rsidR="00CA11F9" w:rsidRDefault="00CA11F9" w:rsidP="00CA11F9">
      <w:pPr>
        <w:pBdr>
          <w:top w:val="nil"/>
          <w:left w:val="nil"/>
          <w:bottom w:val="nil"/>
          <w:right w:val="nil"/>
          <w:between w:val="nil"/>
        </w:pBdr>
        <w:spacing w:line="360" w:lineRule="auto"/>
        <w:rPr>
          <w:rFonts w:ascii="Times New Roman" w:eastAsia="Times New Roman" w:hAnsi="Times New Roman" w:cs="Times New Roman"/>
          <w:b/>
          <w:color w:val="000000"/>
          <w:sz w:val="32"/>
          <w:szCs w:val="32"/>
        </w:rPr>
      </w:pPr>
    </w:p>
    <w:p w14:paraId="5042DA36" w14:textId="39099FCE" w:rsidR="00125566" w:rsidRDefault="00CA11F9">
      <w:pPr>
        <w:pBdr>
          <w:top w:val="nil"/>
          <w:left w:val="nil"/>
          <w:bottom w:val="nil"/>
          <w:right w:val="nil"/>
          <w:between w:val="nil"/>
        </w:pBd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Assignment Title: </w:t>
      </w:r>
      <w:r w:rsidR="00000000">
        <w:rPr>
          <w:rFonts w:ascii="Times New Roman" w:eastAsia="Times New Roman" w:hAnsi="Times New Roman" w:cs="Times New Roman"/>
          <w:b/>
          <w:sz w:val="32"/>
          <w:szCs w:val="32"/>
        </w:rPr>
        <w:t>The impact of adverse childhood experiences on long term health outcomes</w:t>
      </w:r>
      <w:r>
        <w:rPr>
          <w:rFonts w:ascii="Times New Roman" w:eastAsia="Times New Roman" w:hAnsi="Times New Roman" w:cs="Times New Roman"/>
          <w:b/>
          <w:sz w:val="32"/>
          <w:szCs w:val="32"/>
        </w:rPr>
        <w:t>.</w:t>
      </w:r>
    </w:p>
    <w:p w14:paraId="798621D2" w14:textId="343B9B8B" w:rsidR="00CA11F9" w:rsidRDefault="00CA11F9">
      <w:pPr>
        <w:pBdr>
          <w:top w:val="nil"/>
          <w:left w:val="nil"/>
          <w:bottom w:val="nil"/>
          <w:right w:val="nil"/>
          <w:between w:val="nil"/>
        </w:pBd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Lit Review</w:t>
      </w:r>
    </w:p>
    <w:p w14:paraId="2FBA3AAF" w14:textId="77777777" w:rsidR="00125566" w:rsidRDefault="00000000">
      <w:pPr>
        <w:rPr>
          <w:rFonts w:ascii="Times New Roman" w:eastAsia="Times New Roman" w:hAnsi="Times New Roman" w:cs="Times New Roman"/>
          <w:b/>
          <w:sz w:val="32"/>
          <w:szCs w:val="32"/>
        </w:rPr>
      </w:pPr>
      <w:r>
        <w:br w:type="page"/>
      </w:r>
    </w:p>
    <w:p w14:paraId="166A2916" w14:textId="77777777" w:rsidR="00125566" w:rsidRDefault="00000000">
      <w:pPr>
        <w:keepNext/>
        <w:keepLines/>
        <w:pBdr>
          <w:top w:val="nil"/>
          <w:left w:val="nil"/>
          <w:bottom w:val="nil"/>
          <w:right w:val="nil"/>
          <w:between w:val="nil"/>
        </w:pBdr>
        <w:spacing w:before="240" w:line="360" w:lineRule="auto"/>
        <w:jc w:val="center"/>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lastRenderedPageBreak/>
        <w:t>Table of Contents</w:t>
      </w:r>
    </w:p>
    <w:sdt>
      <w:sdtPr>
        <w:id w:val="-2023164564"/>
        <w:docPartObj>
          <w:docPartGallery w:val="Table of Contents"/>
          <w:docPartUnique/>
        </w:docPartObj>
      </w:sdtPr>
      <w:sdtContent>
        <w:p w14:paraId="01B6FED9" w14:textId="77777777" w:rsidR="00125566" w:rsidRDefault="00000000">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rPr>
          </w:pPr>
          <w:r>
            <w:fldChar w:fldCharType="begin"/>
          </w:r>
          <w:r>
            <w:instrText xml:space="preserve"> TOC \h \u \z \t "Heading 1,1,Heading 2,2,Heading 3,3,"</w:instrText>
          </w:r>
          <w:r>
            <w:fldChar w:fldCharType="separate"/>
          </w:r>
          <w:hyperlink w:anchor="_heading=h.gjdgxs">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t>3</w:t>
            </w:r>
          </w:hyperlink>
        </w:p>
        <w:p w14:paraId="645B73BE" w14:textId="77777777" w:rsidR="00125566" w:rsidRDefault="00000000">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rPr>
          </w:pPr>
          <w:hyperlink w:anchor="_heading=h.30j0zll">
            <w:r>
              <w:rPr>
                <w:rFonts w:ascii="Times New Roman" w:eastAsia="Times New Roman" w:hAnsi="Times New Roman" w:cs="Times New Roman"/>
                <w:color w:val="000000"/>
                <w:sz w:val="24"/>
                <w:szCs w:val="24"/>
              </w:rPr>
              <w:t>Background and Rationale</w:t>
            </w:r>
            <w:r>
              <w:rPr>
                <w:rFonts w:ascii="Times New Roman" w:eastAsia="Times New Roman" w:hAnsi="Times New Roman" w:cs="Times New Roman"/>
                <w:color w:val="000000"/>
                <w:sz w:val="24"/>
                <w:szCs w:val="24"/>
              </w:rPr>
              <w:tab/>
              <w:t>3</w:t>
            </w:r>
          </w:hyperlink>
        </w:p>
        <w:p w14:paraId="2374209C" w14:textId="77777777" w:rsidR="00125566" w:rsidRDefault="00000000">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rPr>
          </w:pPr>
          <w:hyperlink w:anchor="_heading=h.1fob9te">
            <w:r>
              <w:rPr>
                <w:rFonts w:ascii="Times New Roman" w:eastAsia="Times New Roman" w:hAnsi="Times New Roman" w:cs="Times New Roman"/>
                <w:color w:val="000000"/>
                <w:sz w:val="24"/>
                <w:szCs w:val="24"/>
              </w:rPr>
              <w:t>Methodology and Methods</w:t>
            </w:r>
            <w:r>
              <w:rPr>
                <w:rFonts w:ascii="Times New Roman" w:eastAsia="Times New Roman" w:hAnsi="Times New Roman" w:cs="Times New Roman"/>
                <w:color w:val="000000"/>
                <w:sz w:val="24"/>
                <w:szCs w:val="24"/>
              </w:rPr>
              <w:tab/>
              <w:t>5</w:t>
            </w:r>
          </w:hyperlink>
        </w:p>
        <w:p w14:paraId="3913D052" w14:textId="77777777" w:rsidR="00125566" w:rsidRDefault="00000000">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rPr>
          </w:pPr>
          <w:hyperlink w:anchor="_heading=h.3znysh7">
            <w:r>
              <w:rPr>
                <w:rFonts w:ascii="Times New Roman" w:eastAsia="Times New Roman" w:hAnsi="Times New Roman" w:cs="Times New Roman"/>
                <w:color w:val="000000"/>
                <w:sz w:val="24"/>
                <w:szCs w:val="24"/>
              </w:rPr>
              <w:t>Ethical Considerations</w:t>
            </w:r>
            <w:r>
              <w:rPr>
                <w:rFonts w:ascii="Times New Roman" w:eastAsia="Times New Roman" w:hAnsi="Times New Roman" w:cs="Times New Roman"/>
                <w:color w:val="000000"/>
                <w:sz w:val="24"/>
                <w:szCs w:val="24"/>
              </w:rPr>
              <w:tab/>
              <w:t>6</w:t>
            </w:r>
          </w:hyperlink>
        </w:p>
        <w:p w14:paraId="482BB6DA" w14:textId="77777777" w:rsidR="00125566" w:rsidRDefault="00000000">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rPr>
          </w:pPr>
          <w:hyperlink w:anchor="_heading=h.2et92p0">
            <w:r>
              <w:rPr>
                <w:rFonts w:ascii="Times New Roman" w:eastAsia="Times New Roman" w:hAnsi="Times New Roman" w:cs="Times New Roman"/>
                <w:color w:val="000000"/>
                <w:sz w:val="24"/>
                <w:szCs w:val="24"/>
              </w:rPr>
              <w:t>Results</w:t>
            </w:r>
            <w:r>
              <w:rPr>
                <w:rFonts w:ascii="Times New Roman" w:eastAsia="Times New Roman" w:hAnsi="Times New Roman" w:cs="Times New Roman"/>
                <w:color w:val="000000"/>
                <w:sz w:val="24"/>
                <w:szCs w:val="24"/>
              </w:rPr>
              <w:tab/>
              <w:t>7</w:t>
            </w:r>
          </w:hyperlink>
        </w:p>
        <w:p w14:paraId="50129399" w14:textId="77777777" w:rsidR="00125566" w:rsidRDefault="00000000">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rPr>
          </w:pPr>
          <w:hyperlink w:anchor="_heading=h.tyjcwt">
            <w:r>
              <w:rPr>
                <w:rFonts w:ascii="Times New Roman" w:eastAsia="Times New Roman" w:hAnsi="Times New Roman" w:cs="Times New Roman"/>
                <w:color w:val="000000"/>
                <w:sz w:val="24"/>
                <w:szCs w:val="24"/>
              </w:rPr>
              <w:t>Findings and Discussion</w:t>
            </w:r>
            <w:r>
              <w:rPr>
                <w:rFonts w:ascii="Times New Roman" w:eastAsia="Times New Roman" w:hAnsi="Times New Roman" w:cs="Times New Roman"/>
                <w:color w:val="000000"/>
                <w:sz w:val="24"/>
                <w:szCs w:val="24"/>
              </w:rPr>
              <w:tab/>
              <w:t>10</w:t>
            </w:r>
          </w:hyperlink>
        </w:p>
        <w:p w14:paraId="73B53C94" w14:textId="77777777" w:rsidR="00125566" w:rsidRDefault="00000000">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rPr>
          </w:pPr>
          <w:hyperlink w:anchor="_heading=h.3dy6vkm">
            <w:r>
              <w:rPr>
                <w:rFonts w:ascii="Times New Roman" w:eastAsia="Times New Roman" w:hAnsi="Times New Roman" w:cs="Times New Roman"/>
                <w:color w:val="000000"/>
                <w:sz w:val="24"/>
                <w:szCs w:val="24"/>
              </w:rPr>
              <w:t>Conclusion</w:t>
            </w:r>
            <w:r>
              <w:rPr>
                <w:rFonts w:ascii="Times New Roman" w:eastAsia="Times New Roman" w:hAnsi="Times New Roman" w:cs="Times New Roman"/>
                <w:color w:val="000000"/>
                <w:sz w:val="24"/>
                <w:szCs w:val="24"/>
              </w:rPr>
              <w:tab/>
              <w:t>12</w:t>
            </w:r>
          </w:hyperlink>
        </w:p>
        <w:p w14:paraId="0AE1FE78" w14:textId="77777777" w:rsidR="00125566" w:rsidRDefault="00000000">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rPr>
          </w:pPr>
          <w:hyperlink w:anchor="_heading=h.1t3h5sf">
            <w:r>
              <w:rPr>
                <w:rFonts w:ascii="Times New Roman" w:eastAsia="Times New Roman" w:hAnsi="Times New Roman" w:cs="Times New Roman"/>
                <w:color w:val="000000"/>
                <w:sz w:val="24"/>
                <w:szCs w:val="24"/>
              </w:rPr>
              <w:t>References</w:t>
            </w:r>
            <w:r>
              <w:rPr>
                <w:rFonts w:ascii="Times New Roman" w:eastAsia="Times New Roman" w:hAnsi="Times New Roman" w:cs="Times New Roman"/>
                <w:color w:val="000000"/>
                <w:sz w:val="24"/>
                <w:szCs w:val="24"/>
              </w:rPr>
              <w:tab/>
              <w:t>14</w:t>
            </w:r>
          </w:hyperlink>
        </w:p>
        <w:p w14:paraId="1AEBE915" w14:textId="77777777" w:rsidR="00125566" w:rsidRDefault="00000000">
          <w:pPr>
            <w:spacing w:line="360" w:lineRule="auto"/>
            <w:jc w:val="both"/>
          </w:pPr>
          <w:r>
            <w:fldChar w:fldCharType="end"/>
          </w:r>
        </w:p>
      </w:sdtContent>
    </w:sdt>
    <w:p w14:paraId="675999E7" w14:textId="77777777" w:rsidR="00125566" w:rsidRDefault="00125566">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7372137F" w14:textId="77777777" w:rsidR="00125566" w:rsidRDefault="00000000">
      <w:pPr>
        <w:rPr>
          <w:rFonts w:ascii="Times New Roman" w:eastAsia="Times New Roman" w:hAnsi="Times New Roman" w:cs="Times New Roman"/>
          <w:b/>
          <w:sz w:val="32"/>
          <w:szCs w:val="32"/>
        </w:rPr>
      </w:pPr>
      <w:r>
        <w:br w:type="page"/>
      </w:r>
    </w:p>
    <w:p w14:paraId="7A62F481" w14:textId="77777777" w:rsidR="00125566" w:rsidRDefault="00125566">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414B055B" w14:textId="77777777" w:rsidR="00125566" w:rsidRDefault="00000000">
      <w:pPr>
        <w:pStyle w:val="Heading1"/>
      </w:pPr>
      <w:bookmarkStart w:id="0" w:name="_heading=h.gjdgxs" w:colFirst="0" w:colLast="0"/>
      <w:bookmarkEnd w:id="0"/>
      <w:r>
        <w:t xml:space="preserve">Introduction </w:t>
      </w:r>
    </w:p>
    <w:p w14:paraId="76193DB6" w14:textId="77777777" w:rsidR="00125566"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Mental health and substance use have become major health concerns worldwide as they have become a higher burden of diseases and leading to loss of lives throughout the globe. According to the reports, 36% of the residents from different countries highlight that mental health issues are a growing concern in their respective countries (Statista, 2023). Personality orders, changes in moods, etc are also observed. From the reports, it is understood that adverse and traumatic childhood experiences can lead to major mental health problems among adults. These adults are often suicidal and their self-esteem remains considerably low. </w:t>
      </w:r>
    </w:p>
    <w:p w14:paraId="41615E29" w14:textId="77777777" w:rsidR="00125566"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noProof/>
          <w:color w:val="000000"/>
        </w:rPr>
        <w:drawing>
          <wp:inline distT="0" distB="0" distL="0" distR="0" wp14:anchorId="620A3647" wp14:editId="3CD13662">
            <wp:extent cx="5488937" cy="4289112"/>
            <wp:effectExtent l="38100" t="38100" r="38100" b="38100"/>
            <wp:docPr id="1610185647" name="image3.png" descr="Quarter of 17-19-year-olds have probable mental disorder - study - BBC News"/>
            <wp:cNvGraphicFramePr/>
            <a:graphic xmlns:a="http://schemas.openxmlformats.org/drawingml/2006/main">
              <a:graphicData uri="http://schemas.openxmlformats.org/drawingml/2006/picture">
                <pic:pic xmlns:pic="http://schemas.openxmlformats.org/drawingml/2006/picture">
                  <pic:nvPicPr>
                    <pic:cNvPr id="0" name="image3.png" descr="Quarter of 17-19-year-olds have probable mental disorder - study - BBC News"/>
                    <pic:cNvPicPr preferRelativeResize="0"/>
                  </pic:nvPicPr>
                  <pic:blipFill>
                    <a:blip r:embed="rId7"/>
                    <a:srcRect/>
                    <a:stretch>
                      <a:fillRect/>
                    </a:stretch>
                  </pic:blipFill>
                  <pic:spPr>
                    <a:xfrm>
                      <a:off x="0" y="0"/>
                      <a:ext cx="5488937" cy="4289112"/>
                    </a:xfrm>
                    <a:prstGeom prst="rect">
                      <a:avLst/>
                    </a:prstGeom>
                    <a:ln w="38100">
                      <a:solidFill>
                        <a:srgbClr val="000000"/>
                      </a:solidFill>
                      <a:prstDash val="solid"/>
                    </a:ln>
                  </pic:spPr>
                </pic:pic>
              </a:graphicData>
            </a:graphic>
          </wp:inline>
        </w:drawing>
      </w:r>
    </w:p>
    <w:p w14:paraId="4F662C3A" w14:textId="77777777" w:rsidR="00125566" w:rsidRDefault="00000000">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Figure 1: Percentage of Young People with Mental Disorders</w:t>
      </w:r>
    </w:p>
    <w:p w14:paraId="1DBB850A" w14:textId="77777777" w:rsidR="00125566"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BBC, 2022)</w:t>
      </w:r>
    </w:p>
    <w:p w14:paraId="3DEB8D8D" w14:textId="77777777" w:rsidR="00125566"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 the words of Gu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(2022), the suicide rates among men are 6% more than among women occurring from mental health conditions. From this discussion, it is understood that eating disorders and continuous traumas are also attributed to these people. As per the statistics, 1 in 4 </w:t>
      </w:r>
      <w:r>
        <w:rPr>
          <w:rFonts w:ascii="Times New Roman" w:eastAsia="Times New Roman" w:hAnsi="Times New Roman" w:cs="Times New Roman"/>
          <w:color w:val="000000"/>
          <w:sz w:val="24"/>
          <w:szCs w:val="24"/>
        </w:rPr>
        <w:lastRenderedPageBreak/>
        <w:t xml:space="preserve">people undergo poor mental health conditions and 1 in 6 people also experiences stress, anxiety, and depression (Mind.org.uk, 2023). In this literature review, the impacts of adverse childhood experiences on long-term health outcomes. The potential remedies and mental health care policies can be addressed successfully. Secondary data collection techniques have been used for obtaining the qualitative outcomes and ethical considerations also have been addressed eventually. </w:t>
      </w:r>
    </w:p>
    <w:p w14:paraId="10A2278D" w14:textId="77777777" w:rsidR="00125566" w:rsidRDefault="00000000">
      <w:pPr>
        <w:pStyle w:val="Heading1"/>
      </w:pPr>
      <w:bookmarkStart w:id="1" w:name="_heading=h.30j0zll" w:colFirst="0" w:colLast="0"/>
      <w:bookmarkEnd w:id="1"/>
      <w:r>
        <w:t>Background and Rationale</w:t>
      </w:r>
    </w:p>
    <w:p w14:paraId="37D41115" w14:textId="77777777" w:rsidR="00125566" w:rsidRDefault="00000000">
      <w:pPr>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Background</w:t>
      </w:r>
    </w:p>
    <w:p w14:paraId="5DA029B2" w14:textId="77777777" w:rsidR="00125566"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Mental health conditions within the UK are also very steep which highlights that many young adults also feel anxious and depressed. The reports highlight that 16% of young adults continuously face mental health conditions due to different factors affecting their overall psychological attributes (Mind.org.uk, 2023). Childhood traumas and emotional abuses are some of the major common issues which are found among young people leading them to face serious depression, stress, and anxiety. According to the statement of Gu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(2022), 25.8% of young people facing severe psychological issues have reported that they have had childhood traumas or been emotionally abused at younger ages. Many children are abused mentally, physically, and sexually which affects the growth and understanding of the children leading to mental health issues. </w:t>
      </w:r>
    </w:p>
    <w:p w14:paraId="646C6E0C" w14:textId="77777777" w:rsidR="00125566"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noProof/>
          <w:color w:val="000000"/>
        </w:rPr>
        <w:lastRenderedPageBreak/>
        <w:drawing>
          <wp:inline distT="0" distB="0" distL="0" distR="0" wp14:anchorId="4120195B" wp14:editId="0779840A">
            <wp:extent cx="4671028" cy="6230533"/>
            <wp:effectExtent l="88900" t="88900" r="88900" b="88900"/>
            <wp:docPr id="1610185649" name="image5.jpg" descr="Chart: Majority of UK Adults Have Experienced Mental Health Issues |  Statista"/>
            <wp:cNvGraphicFramePr/>
            <a:graphic xmlns:a="http://schemas.openxmlformats.org/drawingml/2006/main">
              <a:graphicData uri="http://schemas.openxmlformats.org/drawingml/2006/picture">
                <pic:pic xmlns:pic="http://schemas.openxmlformats.org/drawingml/2006/picture">
                  <pic:nvPicPr>
                    <pic:cNvPr id="0" name="image5.jpg" descr="Chart: Majority of UK Adults Have Experienced Mental Health Issues |  Statista"/>
                    <pic:cNvPicPr preferRelativeResize="0"/>
                  </pic:nvPicPr>
                  <pic:blipFill>
                    <a:blip r:embed="rId8"/>
                    <a:srcRect/>
                    <a:stretch>
                      <a:fillRect/>
                    </a:stretch>
                  </pic:blipFill>
                  <pic:spPr>
                    <a:xfrm>
                      <a:off x="0" y="0"/>
                      <a:ext cx="4671028" cy="6230533"/>
                    </a:xfrm>
                    <a:prstGeom prst="rect">
                      <a:avLst/>
                    </a:prstGeom>
                    <a:ln w="88900">
                      <a:solidFill>
                        <a:srgbClr val="000000"/>
                      </a:solidFill>
                      <a:prstDash val="solid"/>
                    </a:ln>
                  </pic:spPr>
                </pic:pic>
              </a:graphicData>
            </a:graphic>
          </wp:inline>
        </w:drawing>
      </w:r>
    </w:p>
    <w:p w14:paraId="2EC6C124" w14:textId="77777777" w:rsidR="00125566" w:rsidRDefault="00000000">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Figure 2: Mental Health Illness in UK </w:t>
      </w:r>
    </w:p>
    <w:p w14:paraId="19EC4272" w14:textId="77777777" w:rsidR="00125566"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Statista, 2022)</w:t>
      </w:r>
    </w:p>
    <w:p w14:paraId="17BDC404" w14:textId="77777777" w:rsidR="00125566"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From the reports, it is clearly understood that children do remember such traumatic experiences which break their self-confidence that eventually lead to problems and improper psychological conditions. As per the view of van Duin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(2019), men who have experienced such childhood abuse generally grow into adults with fewer emotions, introversion, and violence. They also tend </w:t>
      </w:r>
      <w:r>
        <w:rPr>
          <w:rFonts w:ascii="Times New Roman" w:eastAsia="Times New Roman" w:hAnsi="Times New Roman" w:cs="Times New Roman"/>
          <w:color w:val="000000"/>
          <w:sz w:val="24"/>
          <w:szCs w:val="24"/>
        </w:rPr>
        <w:lastRenderedPageBreak/>
        <w:t xml:space="preserve">to become more treacherous over women or children and substance abusers are considerably high. Emotional and physically abusive behaviour are also considerably high which highlights that both their physical and psychological conditions can be addressed. Tzouvara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(2023), cited that emotional negligence at younger ages often results in low psychological conditions and health attitudes also become poorer. From this discussion, when the younger children are exposed to domestic violence, policies or constant abuses grow with constant adverse mental health conditions and their overall well-being gets disturbed in the long run. </w:t>
      </w:r>
    </w:p>
    <w:p w14:paraId="6615948F" w14:textId="77777777" w:rsidR="00125566"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separation between parents, alcohol abuse, and low emotional assistance are also major causes for poor psychological attitudes among the children which highlight that overall psychological conditions get affected. As opined by Shonkoff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(2021), children who are exposed to higher risks of economic disparities, social inequality, and risky diseases also are constantly prey to adverse childhood traumas that affect their both physical and mental health conditions. The immune system, brain health, and cardiovascular systems get negatively affected gradually living standards get affected eventually. </w:t>
      </w:r>
    </w:p>
    <w:p w14:paraId="64F11A3F" w14:textId="77777777" w:rsidR="00125566" w:rsidRDefault="00000000">
      <w:pPr>
        <w:pBdr>
          <w:top w:val="nil"/>
          <w:left w:val="nil"/>
          <w:bottom w:val="nil"/>
          <w:right w:val="nil"/>
          <w:between w:val="nil"/>
        </w:pBdr>
        <w:spacing w:line="360" w:lineRule="auto"/>
        <w:jc w:val="both"/>
        <w:rPr>
          <w:color w:val="000000"/>
        </w:rPr>
      </w:pPr>
      <w:r>
        <w:rPr>
          <w:rFonts w:ascii="Times New Roman" w:eastAsia="Times New Roman" w:hAnsi="Times New Roman" w:cs="Times New Roman"/>
          <w:color w:val="000000"/>
          <w:sz w:val="24"/>
          <w:szCs w:val="24"/>
        </w:rPr>
        <w:t xml:space="preserve">In many cases, in children with childhood traumas, metabolic conditions are attributed which highlights that overall physical and psychological conditions get impacted eventually. Lack of trust and improper relationships with the family members also result in poor mental and physical health outcomes and the right outcomes become difficult to illustrate (van Duin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2019). Children also face adverse childhood traumas when they are compared with others, bullied, and stigmatized leading to poor health outcomes that lead to mental and physical health conditions eventually. Maladaptive strategies among the people are also observed which highlights that feelings and regulations are confirmed eventually (Shonkoff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2021). </w:t>
      </w:r>
    </w:p>
    <w:p w14:paraId="1088DD19" w14:textId="77777777" w:rsidR="00125566" w:rsidRDefault="00000000">
      <w:pPr>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Rationale</w:t>
      </w:r>
    </w:p>
    <w:p w14:paraId="6D96C55F" w14:textId="77777777" w:rsidR="00125566"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There are some of the basic causes associated with adverse childhood traumas leading to poor mental health issues and degrading the level of standards of living. In the opinion of Felitti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(2019), intentional violence such as scolding, beating, and constant domestic outbreaks of violence leads to childhood traumas. Natural disasters, accidents, war, excessive poverty, etc are generated by excessive traumatic conditions. According to the statement of Zarse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(2019), psychological distress, poor emotional well-being, etc are needed which highlights that generally sleep disturbances and low social support can be understood. In this context, people feel frustrated and their involvement in the work is illustrated which highlights that poor emotional regulations can </w:t>
      </w:r>
      <w:r>
        <w:rPr>
          <w:rFonts w:ascii="Times New Roman" w:eastAsia="Times New Roman" w:hAnsi="Times New Roman" w:cs="Times New Roman"/>
          <w:color w:val="000000"/>
          <w:sz w:val="24"/>
          <w:szCs w:val="24"/>
        </w:rPr>
        <w:lastRenderedPageBreak/>
        <w:t xml:space="preserve">also be regarded implicitly. In the opinion of Assink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(2019), physical and emotional neglect led children to poor psychological and physical health. </w:t>
      </w:r>
    </w:p>
    <w:p w14:paraId="4C1EBDAE" w14:textId="77777777" w:rsidR="00125566"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From this context, it is understood that aggressive behaviour and highly violent conditions are significantly generated eventually. Children belonging to poverty classes experience alcohol and substance uses which affects their growing conditions and they become socially excluded and their overall health outcomes get impacted gradually (Felitti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2019). Bullying, mental abuse, and telling poor words are some of the major outcomes associated with loneliness and poor mental conditions eventually. Clinical care is not always provided and substance abusers are also primarily high which leads to improper health conditions eventually. Homelessness, poor food habits, etc are also some of the major issues associated with substance abuse and both physical and mental well-being become difficult to maintain. </w:t>
      </w:r>
    </w:p>
    <w:p w14:paraId="525F92E7" w14:textId="77777777" w:rsidR="00125566" w:rsidRDefault="00000000">
      <w:pPr>
        <w:pStyle w:val="Heading1"/>
      </w:pPr>
      <w:bookmarkStart w:id="2" w:name="_heading=h.1fob9te" w:colFirst="0" w:colLast="0"/>
      <w:bookmarkEnd w:id="2"/>
      <w:r>
        <w:t xml:space="preserve">Methodology and Methods </w:t>
      </w:r>
    </w:p>
    <w:p w14:paraId="379387D4" w14:textId="77777777" w:rsidR="00125566"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Data collection is a major process for the acquisition of both qualitative and quantitative information in the long run. There are two types of research methods namely secondary and primary techniques for obtaining results and presenting them in the study. In this context, a secondary research method has been selected for analysing the qualitative findings and presenting them within a given time and budget. According to the statement of Sileyew (2019), secondary data collection helps in understanding the opinions of former scholars regarding a particular topic. This is also time and budget effective which highlights that continuous development can be attributed finally. Similarly, researchers have used a secondary data collection technique which highlights that all the qualitative data can be integrated successfully. </w:t>
      </w:r>
    </w:p>
    <w:p w14:paraId="31CE96AD" w14:textId="77777777" w:rsidR="00125566"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Apart from that, secondary information extraction also helped in analysing secondary outcomes regarding the selected topic and in-depth ideas can be attributed successfully. From this discussion, it is observed that children prone to family and domestic violence, substance use, and physical or sexual abuse are observed to be dangerous for children affecting their overall mental and psychological conditions and getting affected finally (Assink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2019). Different types of research methods highlight that overall research outcomes are attributed successfully. However, a primary data gathering method has not been taken here due to a lack of time and budget. </w:t>
      </w:r>
    </w:p>
    <w:p w14:paraId="5D772956" w14:textId="77777777" w:rsidR="00125566"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 </w:t>
      </w:r>
      <w:r>
        <w:rPr>
          <w:rFonts w:ascii="Times New Roman" w:eastAsia="Times New Roman" w:hAnsi="Times New Roman" w:cs="Times New Roman"/>
          <w:b/>
          <w:color w:val="000000"/>
          <w:sz w:val="24"/>
          <w:szCs w:val="24"/>
        </w:rPr>
        <w:t xml:space="preserve">positivist philosophy </w:t>
      </w:r>
      <w:r>
        <w:rPr>
          <w:rFonts w:ascii="Times New Roman" w:eastAsia="Times New Roman" w:hAnsi="Times New Roman" w:cs="Times New Roman"/>
          <w:color w:val="000000"/>
          <w:sz w:val="24"/>
          <w:szCs w:val="24"/>
        </w:rPr>
        <w:t xml:space="preserve">is being used here so that all the results that are established within the society and general observations can be used implicitly (Hammersley, 2019). From this discussion, it is observed that children with a lack of emotional support from parents and elders are also </w:t>
      </w:r>
      <w:r>
        <w:rPr>
          <w:rFonts w:ascii="Times New Roman" w:eastAsia="Times New Roman" w:hAnsi="Times New Roman" w:cs="Times New Roman"/>
          <w:color w:val="000000"/>
          <w:sz w:val="24"/>
          <w:szCs w:val="24"/>
        </w:rPr>
        <w:lastRenderedPageBreak/>
        <w:t xml:space="preserve">associated with childhood adversities which highlights that the functional health of these people as adults is violent and excessively stressed out. In addition to that, a </w:t>
      </w:r>
      <w:r>
        <w:rPr>
          <w:rFonts w:ascii="Times New Roman" w:eastAsia="Times New Roman" w:hAnsi="Times New Roman" w:cs="Times New Roman"/>
          <w:b/>
          <w:color w:val="000000"/>
          <w:sz w:val="24"/>
          <w:szCs w:val="24"/>
        </w:rPr>
        <w:t>deductive approach</w:t>
      </w:r>
      <w:r>
        <w:rPr>
          <w:rFonts w:ascii="Times New Roman" w:eastAsia="Times New Roman" w:hAnsi="Times New Roman" w:cs="Times New Roman"/>
          <w:color w:val="000000"/>
          <w:sz w:val="24"/>
          <w:szCs w:val="24"/>
        </w:rPr>
        <w:t xml:space="preserve"> also has been used within this study which highlights that all the research variables can be critically analysed eventually (Pandey, 2019). The critical details determine that loneliness and social exclusion also occur from lack of emotional support and mental health also gets impacted. Apart from that, when these children grow as adults they often become emotionally unavailable which often leads to a lack of clarity. Moreover, a </w:t>
      </w:r>
      <w:r>
        <w:rPr>
          <w:rFonts w:ascii="Times New Roman" w:eastAsia="Times New Roman" w:hAnsi="Times New Roman" w:cs="Times New Roman"/>
          <w:b/>
          <w:color w:val="000000"/>
          <w:sz w:val="24"/>
          <w:szCs w:val="24"/>
        </w:rPr>
        <w:t xml:space="preserve">descriptive design </w:t>
      </w:r>
      <w:r>
        <w:rPr>
          <w:rFonts w:ascii="Times New Roman" w:eastAsia="Times New Roman" w:hAnsi="Times New Roman" w:cs="Times New Roman"/>
          <w:color w:val="000000"/>
          <w:sz w:val="24"/>
          <w:szCs w:val="24"/>
        </w:rPr>
        <w:t xml:space="preserve">has also been used for this study which implies that all the results available can be highlighted through in-depth analysis. </w:t>
      </w:r>
    </w:p>
    <w:p w14:paraId="3F79B4D0" w14:textId="77777777" w:rsidR="00125566"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drawing>
          <wp:inline distT="0" distB="0" distL="0" distR="0" wp14:anchorId="5BCB2E27" wp14:editId="1CB662B1">
            <wp:extent cx="6312684" cy="2280255"/>
            <wp:effectExtent l="38100" t="38100" r="38100" b="38100"/>
            <wp:docPr id="161018564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6312684" cy="2280255"/>
                    </a:xfrm>
                    <a:prstGeom prst="rect">
                      <a:avLst/>
                    </a:prstGeom>
                    <a:ln w="38100">
                      <a:solidFill>
                        <a:srgbClr val="000000"/>
                      </a:solidFill>
                      <a:prstDash val="solid"/>
                    </a:ln>
                  </pic:spPr>
                </pic:pic>
              </a:graphicData>
            </a:graphic>
          </wp:inline>
        </w:drawing>
      </w:r>
    </w:p>
    <w:p w14:paraId="3B1A70F8" w14:textId="77777777" w:rsidR="00125566" w:rsidRDefault="00000000">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Figure 3: Flowchart of Methods</w:t>
      </w:r>
    </w:p>
    <w:p w14:paraId="006CB908" w14:textId="77777777" w:rsidR="00125566"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Self-Developed)</w:t>
      </w:r>
    </w:p>
    <w:p w14:paraId="660320B3" w14:textId="77777777" w:rsidR="00125566"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From this discussion, it is understood that the socioeconomic status of the children can also be attributed which determines that overall mental and physical conditions get affected eventually. A </w:t>
      </w:r>
      <w:r>
        <w:rPr>
          <w:rFonts w:ascii="Times New Roman" w:eastAsia="Times New Roman" w:hAnsi="Times New Roman" w:cs="Times New Roman"/>
          <w:b/>
          <w:color w:val="000000"/>
          <w:sz w:val="24"/>
          <w:szCs w:val="24"/>
        </w:rPr>
        <w:t>case-study strategy</w:t>
      </w:r>
      <w:r>
        <w:rPr>
          <w:rFonts w:ascii="Times New Roman" w:eastAsia="Times New Roman" w:hAnsi="Times New Roman" w:cs="Times New Roman"/>
          <w:color w:val="000000"/>
          <w:sz w:val="24"/>
          <w:szCs w:val="24"/>
        </w:rPr>
        <w:t xml:space="preserve"> has also been followed in this study which highlights that real experiences and data are generated successfully. Moreover, this is also a budget and time strategy which demonstrates that the right results can be illustrated. However, an inductive approach, inductive philosophy, etc are not used due to a lack of resources available in the long run. From these techniques, it can be highlighted that vulnerability among adults generally causes chances of suicidal behavior and overall conditions get affected eventually. Chances of emotional, sexual, and mental abuse are considerably high which highlights that can result in poor parenting styles and overall conditions getting impacted further. </w:t>
      </w:r>
    </w:p>
    <w:p w14:paraId="210A6718" w14:textId="77777777" w:rsidR="00125566" w:rsidRDefault="00000000">
      <w:pPr>
        <w:pStyle w:val="Heading1"/>
      </w:pPr>
      <w:bookmarkStart w:id="3" w:name="_heading=h.3znysh7" w:colFirst="0" w:colLast="0"/>
      <w:bookmarkEnd w:id="3"/>
      <w:r>
        <w:lastRenderedPageBreak/>
        <w:t>Ethical Considerations</w:t>
      </w:r>
    </w:p>
    <w:p w14:paraId="2721D086" w14:textId="77777777" w:rsidR="00125566"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All the ethical considerations are followed while conducting this study namely the impacts of adverse childhood experiences on long-term health outcomes. All the data is taken from authentic and reliable secondary sources which highlight that data reliability can be maximised successfully. In addition to that, the secondary sources that have been integrated within this research have been collected from authentic online databases such as Google Scholar, IEEE Xplore, PubMed, etc so that only credible information can be achieved eventually. To accentuate the data's credibility, citations also have been provided for proving the facts and increasing the overall understanding of the study. </w:t>
      </w:r>
    </w:p>
    <w:p w14:paraId="57495F1F" w14:textId="77777777" w:rsidR="00125566"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To avoid plagiarism issues, the researchers have confirmed that all the data are presented in their own words but without changing the meaning in the long run. Maintaining the UK Data Protection Act 2018, the researchers have confirmed that the private data of the scholars of the selected articles are maintained significantly, and violation of data has been considerably prohibited in the long run. Apart from that, all the data that are used here are not from any blogs or unauthorized sources to maximize the importance of the research eventually. Only authorised data is being used so that overall success within the study can be ensured. </w:t>
      </w:r>
    </w:p>
    <w:p w14:paraId="34D31C2D" w14:textId="77777777" w:rsidR="00125566" w:rsidRDefault="00000000">
      <w:pPr>
        <w:pStyle w:val="Heading1"/>
      </w:pPr>
      <w:bookmarkStart w:id="4" w:name="_heading=h.2et92p0" w:colFirst="0" w:colLast="0"/>
      <w:bookmarkEnd w:id="4"/>
      <w:r>
        <w:t xml:space="preserve">Results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125566" w14:paraId="69564055" w14:textId="77777777">
        <w:tc>
          <w:tcPr>
            <w:tcW w:w="3120" w:type="dxa"/>
            <w:shd w:val="clear" w:color="auto" w:fill="auto"/>
            <w:tcMar>
              <w:top w:w="100" w:type="dxa"/>
              <w:left w:w="100" w:type="dxa"/>
              <w:bottom w:w="100" w:type="dxa"/>
              <w:right w:w="100" w:type="dxa"/>
            </w:tcMar>
          </w:tcPr>
          <w:p w14:paraId="21ECC41D" w14:textId="77777777" w:rsidR="00125566"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Author </w:t>
            </w:r>
          </w:p>
        </w:tc>
        <w:tc>
          <w:tcPr>
            <w:tcW w:w="3120" w:type="dxa"/>
            <w:shd w:val="clear" w:color="auto" w:fill="auto"/>
            <w:tcMar>
              <w:top w:w="100" w:type="dxa"/>
              <w:left w:w="100" w:type="dxa"/>
              <w:bottom w:w="100" w:type="dxa"/>
              <w:right w:w="100" w:type="dxa"/>
            </w:tcMar>
          </w:tcPr>
          <w:p w14:paraId="132C573E" w14:textId="77777777" w:rsidR="00125566"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Journal Name </w:t>
            </w:r>
          </w:p>
        </w:tc>
        <w:tc>
          <w:tcPr>
            <w:tcW w:w="3120" w:type="dxa"/>
            <w:shd w:val="clear" w:color="auto" w:fill="auto"/>
            <w:tcMar>
              <w:top w:w="100" w:type="dxa"/>
              <w:left w:w="100" w:type="dxa"/>
              <w:bottom w:w="100" w:type="dxa"/>
              <w:right w:w="100" w:type="dxa"/>
            </w:tcMar>
          </w:tcPr>
          <w:p w14:paraId="271B9CAC" w14:textId="77777777" w:rsidR="00125566"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Results </w:t>
            </w:r>
          </w:p>
        </w:tc>
      </w:tr>
      <w:tr w:rsidR="00125566" w14:paraId="2FD7686C" w14:textId="77777777">
        <w:tc>
          <w:tcPr>
            <w:tcW w:w="3120" w:type="dxa"/>
            <w:shd w:val="clear" w:color="auto" w:fill="auto"/>
            <w:tcMar>
              <w:top w:w="100" w:type="dxa"/>
              <w:left w:w="100" w:type="dxa"/>
              <w:bottom w:w="100" w:type="dxa"/>
              <w:right w:w="100" w:type="dxa"/>
            </w:tcMar>
          </w:tcPr>
          <w:p w14:paraId="2CEEF285" w14:textId="77777777" w:rsidR="00125566"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Gu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(2022)</w:t>
            </w:r>
          </w:p>
        </w:tc>
        <w:tc>
          <w:tcPr>
            <w:tcW w:w="3120" w:type="dxa"/>
            <w:shd w:val="clear" w:color="auto" w:fill="auto"/>
            <w:tcMar>
              <w:top w:w="100" w:type="dxa"/>
              <w:left w:w="100" w:type="dxa"/>
              <w:bottom w:w="100" w:type="dxa"/>
              <w:right w:w="100" w:type="dxa"/>
            </w:tcMar>
          </w:tcPr>
          <w:p w14:paraId="65DA9289" w14:textId="77777777" w:rsidR="00125566"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Impact of adverse childhood experiences on the symptom severity of different mental disorders: a cross-diagnostic study. </w:t>
            </w:r>
          </w:p>
        </w:tc>
        <w:tc>
          <w:tcPr>
            <w:tcW w:w="3120" w:type="dxa"/>
            <w:shd w:val="clear" w:color="auto" w:fill="auto"/>
            <w:tcMar>
              <w:top w:w="100" w:type="dxa"/>
              <w:left w:w="100" w:type="dxa"/>
              <w:bottom w:w="100" w:type="dxa"/>
              <w:right w:w="100" w:type="dxa"/>
            </w:tcMar>
          </w:tcPr>
          <w:p w14:paraId="0D3470C8" w14:textId="77777777" w:rsidR="00125566"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 lot of mental diseases are developed and occur as a result of adverse childhood experiences (ACEs). The cognition behaviour, substance abuse, criminal activities leading to suicidal attempts, and mental well-being gets affected eventually. Both the physiology and psychology of the people get </w:t>
            </w:r>
            <w:r>
              <w:rPr>
                <w:rFonts w:ascii="Times New Roman" w:eastAsia="Times New Roman" w:hAnsi="Times New Roman" w:cs="Times New Roman"/>
                <w:color w:val="000000"/>
                <w:sz w:val="24"/>
                <w:szCs w:val="24"/>
              </w:rPr>
              <w:lastRenderedPageBreak/>
              <w:t xml:space="preserve">impacted and the standards of living get affected in the long run. </w:t>
            </w:r>
          </w:p>
        </w:tc>
      </w:tr>
      <w:tr w:rsidR="00125566" w14:paraId="59850CEA" w14:textId="77777777">
        <w:tc>
          <w:tcPr>
            <w:tcW w:w="3120" w:type="dxa"/>
            <w:shd w:val="clear" w:color="auto" w:fill="auto"/>
            <w:tcMar>
              <w:top w:w="100" w:type="dxa"/>
              <w:left w:w="100" w:type="dxa"/>
              <w:bottom w:w="100" w:type="dxa"/>
              <w:right w:w="100" w:type="dxa"/>
            </w:tcMar>
          </w:tcPr>
          <w:p w14:paraId="75CDC0D0" w14:textId="77777777" w:rsidR="00125566"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Tzouvara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(2023)</w:t>
            </w:r>
          </w:p>
        </w:tc>
        <w:tc>
          <w:tcPr>
            <w:tcW w:w="3120" w:type="dxa"/>
            <w:shd w:val="clear" w:color="auto" w:fill="auto"/>
            <w:tcMar>
              <w:top w:w="100" w:type="dxa"/>
              <w:left w:w="100" w:type="dxa"/>
              <w:bottom w:w="100" w:type="dxa"/>
              <w:right w:w="100" w:type="dxa"/>
            </w:tcMar>
          </w:tcPr>
          <w:p w14:paraId="716AD3A3" w14:textId="77777777" w:rsidR="00125566"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Adverse childhood experiences, mental health, and social functioning: a scoping review of the Literature</w:t>
            </w:r>
          </w:p>
        </w:tc>
        <w:tc>
          <w:tcPr>
            <w:tcW w:w="3120" w:type="dxa"/>
            <w:shd w:val="clear" w:color="auto" w:fill="auto"/>
            <w:tcMar>
              <w:top w:w="100" w:type="dxa"/>
              <w:left w:w="100" w:type="dxa"/>
              <w:bottom w:w="100" w:type="dxa"/>
              <w:right w:w="100" w:type="dxa"/>
            </w:tcMar>
          </w:tcPr>
          <w:p w14:paraId="2A45F998" w14:textId="77777777" w:rsidR="00125566"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Adverse childhood experiences negatively affect a person's psychological health and social functioning and also get impacted eventually. Domestic violence and substance issues are attributed which highlights that mental conditions get impacted further. </w:t>
            </w:r>
          </w:p>
        </w:tc>
      </w:tr>
      <w:tr w:rsidR="00125566" w14:paraId="4A94B6ED" w14:textId="77777777">
        <w:tc>
          <w:tcPr>
            <w:tcW w:w="3120" w:type="dxa"/>
            <w:shd w:val="clear" w:color="auto" w:fill="auto"/>
            <w:tcMar>
              <w:top w:w="100" w:type="dxa"/>
              <w:left w:w="100" w:type="dxa"/>
              <w:bottom w:w="100" w:type="dxa"/>
              <w:right w:w="100" w:type="dxa"/>
            </w:tcMar>
          </w:tcPr>
          <w:p w14:paraId="604D5EE6" w14:textId="77777777" w:rsidR="00125566"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Popovic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(2019)</w:t>
            </w:r>
          </w:p>
        </w:tc>
        <w:tc>
          <w:tcPr>
            <w:tcW w:w="3120" w:type="dxa"/>
            <w:shd w:val="clear" w:color="auto" w:fill="auto"/>
            <w:tcMar>
              <w:top w:w="100" w:type="dxa"/>
              <w:left w:w="100" w:type="dxa"/>
              <w:bottom w:w="100" w:type="dxa"/>
              <w:right w:w="100" w:type="dxa"/>
            </w:tcMar>
          </w:tcPr>
          <w:p w14:paraId="133E7AFE" w14:textId="77777777" w:rsidR="00125566"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Childhood Trauma in Schizophrenia: current findings and research perspectives</w:t>
            </w:r>
          </w:p>
        </w:tc>
        <w:tc>
          <w:tcPr>
            <w:tcW w:w="3120" w:type="dxa"/>
            <w:shd w:val="clear" w:color="auto" w:fill="auto"/>
            <w:tcMar>
              <w:top w:w="100" w:type="dxa"/>
              <w:left w:w="100" w:type="dxa"/>
              <w:bottom w:w="100" w:type="dxa"/>
              <w:right w:w="100" w:type="dxa"/>
            </w:tcMar>
          </w:tcPr>
          <w:p w14:paraId="5F012927" w14:textId="77777777" w:rsidR="00125566"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This paper highlights that working memory, executive function, verbal learning, and attention are all impacted by childhood trauma in schizophrenia patients, including those who are extremely at risk of developing psychosis. Poor cognition and episodic memories are considerably low which highlights that physical neglect of the people is attributed. </w:t>
            </w:r>
          </w:p>
        </w:tc>
      </w:tr>
      <w:tr w:rsidR="00125566" w14:paraId="654BC885" w14:textId="77777777">
        <w:tc>
          <w:tcPr>
            <w:tcW w:w="3120" w:type="dxa"/>
            <w:shd w:val="clear" w:color="auto" w:fill="auto"/>
            <w:tcMar>
              <w:top w:w="100" w:type="dxa"/>
              <w:left w:w="100" w:type="dxa"/>
              <w:bottom w:w="100" w:type="dxa"/>
              <w:right w:w="100" w:type="dxa"/>
            </w:tcMar>
          </w:tcPr>
          <w:p w14:paraId="463A824E" w14:textId="77777777" w:rsidR="00125566"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Chang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(2019)</w:t>
            </w:r>
          </w:p>
        </w:tc>
        <w:tc>
          <w:tcPr>
            <w:tcW w:w="3120" w:type="dxa"/>
            <w:shd w:val="clear" w:color="auto" w:fill="auto"/>
            <w:tcMar>
              <w:top w:w="100" w:type="dxa"/>
              <w:left w:w="100" w:type="dxa"/>
              <w:bottom w:w="100" w:type="dxa"/>
              <w:right w:w="100" w:type="dxa"/>
            </w:tcMar>
          </w:tcPr>
          <w:p w14:paraId="4DA5CCDE" w14:textId="77777777" w:rsidR="00125566"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Associations between adverse childhood experiences and </w:t>
            </w:r>
            <w:r>
              <w:rPr>
                <w:rFonts w:ascii="Times New Roman" w:eastAsia="Times New Roman" w:hAnsi="Times New Roman" w:cs="Times New Roman"/>
                <w:color w:val="000000"/>
                <w:sz w:val="24"/>
                <w:szCs w:val="24"/>
              </w:rPr>
              <w:lastRenderedPageBreak/>
              <w:t>health outcomes in adults aged 18–59 years</w:t>
            </w:r>
          </w:p>
        </w:tc>
        <w:tc>
          <w:tcPr>
            <w:tcW w:w="3120" w:type="dxa"/>
            <w:shd w:val="clear" w:color="auto" w:fill="auto"/>
            <w:tcMar>
              <w:top w:w="100" w:type="dxa"/>
              <w:left w:w="100" w:type="dxa"/>
              <w:bottom w:w="100" w:type="dxa"/>
              <w:right w:w="100" w:type="dxa"/>
            </w:tcMar>
          </w:tcPr>
          <w:p w14:paraId="6CB13504" w14:textId="77777777" w:rsidR="00125566"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In this paper, the authors have highlighted that household </w:t>
            </w:r>
            <w:r>
              <w:rPr>
                <w:rFonts w:ascii="Times New Roman" w:eastAsia="Times New Roman" w:hAnsi="Times New Roman" w:cs="Times New Roman"/>
                <w:color w:val="000000"/>
                <w:sz w:val="24"/>
                <w:szCs w:val="24"/>
              </w:rPr>
              <w:lastRenderedPageBreak/>
              <w:t xml:space="preserve">dysfunctioning, domestic violence, and different abuses occur when the parents are not emotionally available to the children, and their overall conditions get impacted. Occupation and low levels of socioeconomic status are also some of the major reasons associated with poor mental conditions. </w:t>
            </w:r>
          </w:p>
        </w:tc>
      </w:tr>
      <w:tr w:rsidR="00125566" w14:paraId="007C22C4" w14:textId="77777777">
        <w:tc>
          <w:tcPr>
            <w:tcW w:w="3120" w:type="dxa"/>
            <w:shd w:val="clear" w:color="auto" w:fill="auto"/>
            <w:tcMar>
              <w:top w:w="100" w:type="dxa"/>
              <w:left w:w="100" w:type="dxa"/>
              <w:bottom w:w="100" w:type="dxa"/>
              <w:right w:w="100" w:type="dxa"/>
            </w:tcMar>
          </w:tcPr>
          <w:p w14:paraId="27589014" w14:textId="77777777" w:rsidR="00125566"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Sonu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(2019) </w:t>
            </w:r>
          </w:p>
        </w:tc>
        <w:tc>
          <w:tcPr>
            <w:tcW w:w="3120" w:type="dxa"/>
            <w:shd w:val="clear" w:color="auto" w:fill="auto"/>
            <w:tcMar>
              <w:top w:w="100" w:type="dxa"/>
              <w:left w:w="100" w:type="dxa"/>
              <w:bottom w:w="100" w:type="dxa"/>
              <w:right w:w="100" w:type="dxa"/>
            </w:tcMar>
          </w:tcPr>
          <w:p w14:paraId="0B9C091D" w14:textId="77777777" w:rsidR="00125566"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Adverse childhood experiences and the onset of chronic disease in young adulthood</w:t>
            </w:r>
          </w:p>
        </w:tc>
        <w:tc>
          <w:tcPr>
            <w:tcW w:w="3120" w:type="dxa"/>
            <w:shd w:val="clear" w:color="auto" w:fill="auto"/>
            <w:tcMar>
              <w:top w:w="100" w:type="dxa"/>
              <w:left w:w="100" w:type="dxa"/>
              <w:bottom w:w="100" w:type="dxa"/>
              <w:right w:w="100" w:type="dxa"/>
            </w:tcMar>
          </w:tcPr>
          <w:p w14:paraId="7C1659B3" w14:textId="77777777" w:rsidR="00125566"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This study determines that poor mental health conditions often result from poor negligence during childhood and community violence are also relevant. </w:t>
            </w:r>
          </w:p>
        </w:tc>
      </w:tr>
      <w:tr w:rsidR="00125566" w14:paraId="4B35567C" w14:textId="77777777">
        <w:tc>
          <w:tcPr>
            <w:tcW w:w="3120" w:type="dxa"/>
            <w:shd w:val="clear" w:color="auto" w:fill="auto"/>
            <w:tcMar>
              <w:top w:w="100" w:type="dxa"/>
              <w:left w:w="100" w:type="dxa"/>
              <w:bottom w:w="100" w:type="dxa"/>
              <w:right w:w="100" w:type="dxa"/>
            </w:tcMar>
          </w:tcPr>
          <w:p w14:paraId="354E5AB2" w14:textId="77777777" w:rsidR="00125566"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Lacey and Minnis (2020)</w:t>
            </w:r>
          </w:p>
        </w:tc>
        <w:tc>
          <w:tcPr>
            <w:tcW w:w="3120" w:type="dxa"/>
            <w:shd w:val="clear" w:color="auto" w:fill="auto"/>
            <w:tcMar>
              <w:top w:w="100" w:type="dxa"/>
              <w:left w:w="100" w:type="dxa"/>
              <w:bottom w:w="100" w:type="dxa"/>
              <w:right w:w="100" w:type="dxa"/>
            </w:tcMar>
          </w:tcPr>
          <w:p w14:paraId="19FA3FED" w14:textId="77777777" w:rsidR="00125566"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Practitioner review: twenty years of research with adverse childhood experience scores–advantages, disadvantages, and applications to practice</w:t>
            </w:r>
          </w:p>
        </w:tc>
        <w:tc>
          <w:tcPr>
            <w:tcW w:w="3120" w:type="dxa"/>
            <w:shd w:val="clear" w:color="auto" w:fill="auto"/>
            <w:tcMar>
              <w:top w:w="100" w:type="dxa"/>
              <w:left w:w="100" w:type="dxa"/>
              <w:bottom w:w="100" w:type="dxa"/>
              <w:right w:w="100" w:type="dxa"/>
            </w:tcMar>
          </w:tcPr>
          <w:p w14:paraId="30731D3C" w14:textId="77777777" w:rsidR="00125566"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This study highlights that childhood adversities often resulted in abuse and neglect among people resulting in low outcomes and social, psychological, and physical scopes also improve further. </w:t>
            </w:r>
          </w:p>
        </w:tc>
      </w:tr>
      <w:tr w:rsidR="00125566" w14:paraId="63AAFF37" w14:textId="77777777">
        <w:tc>
          <w:tcPr>
            <w:tcW w:w="3120" w:type="dxa"/>
            <w:shd w:val="clear" w:color="auto" w:fill="auto"/>
            <w:tcMar>
              <w:top w:w="100" w:type="dxa"/>
              <w:left w:w="100" w:type="dxa"/>
              <w:bottom w:w="100" w:type="dxa"/>
              <w:right w:w="100" w:type="dxa"/>
            </w:tcMar>
          </w:tcPr>
          <w:p w14:paraId="5843A069" w14:textId="77777777" w:rsidR="00125566"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Kelly-Irving and Delpierre (2019), </w:t>
            </w:r>
          </w:p>
        </w:tc>
        <w:tc>
          <w:tcPr>
            <w:tcW w:w="3120" w:type="dxa"/>
            <w:shd w:val="clear" w:color="auto" w:fill="auto"/>
            <w:tcMar>
              <w:top w:w="100" w:type="dxa"/>
              <w:left w:w="100" w:type="dxa"/>
              <w:bottom w:w="100" w:type="dxa"/>
              <w:right w:w="100" w:type="dxa"/>
            </w:tcMar>
          </w:tcPr>
          <w:p w14:paraId="356DB7B5" w14:textId="77777777" w:rsidR="00125566"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 critique of the adverse childhood experiences framework in epidemiology and public health: uses and misuses</w:t>
            </w:r>
          </w:p>
        </w:tc>
        <w:tc>
          <w:tcPr>
            <w:tcW w:w="3120" w:type="dxa"/>
            <w:shd w:val="clear" w:color="auto" w:fill="auto"/>
            <w:tcMar>
              <w:top w:w="100" w:type="dxa"/>
              <w:left w:w="100" w:type="dxa"/>
              <w:bottom w:w="100" w:type="dxa"/>
              <w:right w:w="100" w:type="dxa"/>
            </w:tcMar>
          </w:tcPr>
          <w:p w14:paraId="4D2D733E" w14:textId="77777777" w:rsidR="00125566"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 this paper, health inequalities among the rich and poor are also some of the major issues existing within adverse mental conditions that </w:t>
            </w:r>
            <w:r>
              <w:rPr>
                <w:rFonts w:ascii="Times New Roman" w:eastAsia="Times New Roman" w:hAnsi="Times New Roman" w:cs="Times New Roman"/>
                <w:color w:val="000000"/>
                <w:sz w:val="24"/>
                <w:szCs w:val="24"/>
              </w:rPr>
              <w:lastRenderedPageBreak/>
              <w:t xml:space="preserve">imply overall development cannot be attributed. Psychological conditions, health inequalities, and mental conditions get impacted. </w:t>
            </w:r>
          </w:p>
        </w:tc>
      </w:tr>
    </w:tbl>
    <w:p w14:paraId="320DDE30" w14:textId="77777777" w:rsidR="00125566" w:rsidRDefault="00000000">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Table 1: Results</w:t>
      </w:r>
    </w:p>
    <w:p w14:paraId="59119EEB" w14:textId="77777777" w:rsidR="00125566"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Self-Developed)</w:t>
      </w:r>
    </w:p>
    <w:p w14:paraId="140A8227" w14:textId="77777777" w:rsidR="00125566" w:rsidRDefault="00000000">
      <w:pPr>
        <w:pStyle w:val="Heading1"/>
      </w:pPr>
      <w:bookmarkStart w:id="5" w:name="_heading=h.tyjcwt" w:colFirst="0" w:colLast="0"/>
      <w:bookmarkEnd w:id="5"/>
      <w:r>
        <w:t xml:space="preserve">Findings and Discussion </w:t>
      </w:r>
    </w:p>
    <w:p w14:paraId="722FD168" w14:textId="77777777" w:rsidR="00125566" w:rsidRDefault="00000000">
      <w:pPr>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 xml:space="preserve">Factors affecting adverse childhood experiences on long-term health outcomes </w:t>
      </w:r>
    </w:p>
    <w:p w14:paraId="2F81684F" w14:textId="77777777" w:rsidR="00125566"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Adverse childhood experiences lead to both difficult mental and physical health outcomes in the long term. Social disparities, dysfunctional families, neglect, and abuse are some of the major reasons for poor psychological and physical health in the long run. According to the statement of Popovic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(2019), rapid brain development in children is generally high which highlights that emotional and multiple advertisers are also attributed in the long run. When these children are exposed to some kind of poor mental attitude affecting their overall standards of living. As opined by Zarse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(2019), children who are brought up in families with substance abuse are generally associated with childhood traumas which later lead to poor mental conditions. These people in turn can be violent and they can pass on such mental health conditions to the next generations. </w:t>
      </w:r>
    </w:p>
    <w:p w14:paraId="128B7D56" w14:textId="77777777" w:rsidR="00125566"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As contradicted by van Duin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(2019), the socioeconomic status of the people can also lead to a lack of psychological conventions which highlights that social functioning gets impacted. The childhood traumas required to be addressed for evaluating the mental conditions for improving the standards of living. In the words of Merrick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(2019), adversity in childhood can cause a range of behavioural and emotional issues, including increased risk-taking, aggressive behaviour, engagement in violence such as at home, school, and the neighbourhood, and issues with interpersonal relationships. The emergence of post-traumatic stress disorder is quite concerning. Such mentally struck people generally sense lower insomnia which highlights that continuous health conditions get impacted. On the other hand, social inequalities are also considerably high which highlights that vulnerability and suicidal thoughts are also addressed (Sonu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2019). Alcohol and drug abuse are some of the problems childhood traumatic experiences illustrate which implies that exposure to mental stresses is attributed eventually. </w:t>
      </w:r>
    </w:p>
    <w:p w14:paraId="0C540F88" w14:textId="77777777" w:rsidR="00125566"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noProof/>
          <w:color w:val="000000"/>
        </w:rPr>
        <w:lastRenderedPageBreak/>
        <w:drawing>
          <wp:inline distT="0" distB="0" distL="0" distR="0" wp14:anchorId="1BF4CF95" wp14:editId="19CC5236">
            <wp:extent cx="3568700" cy="3568700"/>
            <wp:effectExtent l="38100" t="38100" r="38100" b="38100"/>
            <wp:docPr id="1610185651" name="image2.jpg" descr="PDF) Annual Report of the Director of Public Health, 2018. Adverse Childhood  Experiences, Resilience and Trauma Informed Care: A Public Health Approach  to Understanding and Responding to Adversity"/>
            <wp:cNvGraphicFramePr/>
            <a:graphic xmlns:a="http://schemas.openxmlformats.org/drawingml/2006/main">
              <a:graphicData uri="http://schemas.openxmlformats.org/drawingml/2006/picture">
                <pic:pic xmlns:pic="http://schemas.openxmlformats.org/drawingml/2006/picture">
                  <pic:nvPicPr>
                    <pic:cNvPr id="0" name="image2.jpg" descr="PDF) Annual Report of the Director of Public Health, 2018. Adverse Childhood  Experiences, Resilience and Trauma Informed Care: A Public Health Approach  to Understanding and Responding to Adversity"/>
                    <pic:cNvPicPr preferRelativeResize="0"/>
                  </pic:nvPicPr>
                  <pic:blipFill>
                    <a:blip r:embed="rId10"/>
                    <a:srcRect/>
                    <a:stretch>
                      <a:fillRect/>
                    </a:stretch>
                  </pic:blipFill>
                  <pic:spPr>
                    <a:xfrm>
                      <a:off x="0" y="0"/>
                      <a:ext cx="3568700" cy="3568700"/>
                    </a:xfrm>
                    <a:prstGeom prst="rect">
                      <a:avLst/>
                    </a:prstGeom>
                    <a:ln w="38100">
                      <a:solidFill>
                        <a:srgbClr val="000000"/>
                      </a:solidFill>
                      <a:prstDash val="solid"/>
                    </a:ln>
                  </pic:spPr>
                </pic:pic>
              </a:graphicData>
            </a:graphic>
          </wp:inline>
        </w:drawing>
      </w:r>
    </w:p>
    <w:p w14:paraId="0FE48C3B" w14:textId="77777777" w:rsidR="00125566" w:rsidRDefault="00000000">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Figure 4: Reasons for Adversities of Childhood Experiences </w:t>
      </w:r>
    </w:p>
    <w:p w14:paraId="4DE47346" w14:textId="77777777" w:rsidR="00125566"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The Lancet.com)</w:t>
      </w:r>
    </w:p>
    <w:p w14:paraId="502714FA" w14:textId="77777777" w:rsidR="00125566" w:rsidRDefault="00125566">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65C9EC7" w14:textId="77777777" w:rsidR="00125566"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As opposed to Kelly-Irving and Delpierre (2019), many people experience serious health threats which also accentuate their childhood adversities. From this discussion, it is highlighted that mental conditions decline which leads people to feel low on self-confidence and living conditions get impacted. Sexual abuse from strangers or family members is also some of the major factors affecting the mental conditions of people when they are adults. Lack of emotional support from their parents' children experiences adversities which highlights that their conditions get impacted further (Sonu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2019). However, experiencing accidents, injuries, discrimination, communal frenzy, violence, etc also result in childhood adversities among the people in the long term. Validated and non-validated circumstances are often associated with certain results and the right outcomes are addressed eventually. </w:t>
      </w:r>
    </w:p>
    <w:p w14:paraId="2A43F79C" w14:textId="77777777" w:rsidR="00125566" w:rsidRDefault="00000000">
      <w:pPr>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Impacts of childhood adversities leading to mental health problems</w:t>
      </w:r>
    </w:p>
    <w:p w14:paraId="0C7EE1CF" w14:textId="77777777" w:rsidR="00125566"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Adversity in childhood is a powerful risk factor for mental health disorders due to changes in stress response systems. Adversity in childhood and several psychological diseases have both been linked to dysregulations in oxidative stress systems. As per the view of Chang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(2019), a </w:t>
      </w:r>
      <w:r>
        <w:rPr>
          <w:rFonts w:ascii="Times New Roman" w:eastAsia="Times New Roman" w:hAnsi="Times New Roman" w:cs="Times New Roman"/>
          <w:color w:val="000000"/>
          <w:sz w:val="24"/>
          <w:szCs w:val="24"/>
        </w:rPr>
        <w:lastRenderedPageBreak/>
        <w:t xml:space="preserve">person's risk of developing physical conditions like cardiovascular illnesses, obesity, and diabetes is also increased by high levels of early stress and adversity. </w:t>
      </w:r>
    </w:p>
    <w:p w14:paraId="7AA97645" w14:textId="77777777" w:rsidR="00125566"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Childhood adversity is linked to both physical and mental health outcomes, but the precise mediators of these correlations are still poorly understood. The metabolic and immunological systems have been mentioned as proposed molecular routes underlying the connection between childhood trauma and health (Horn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2019). Such adults are often impulsive and low-key confident which highlights that chances of partner outbreaks of violence, abusive behaviour, and overall establishment within the work cannot be generated eventually. Self-harm, suicidal thoughts, and explosive attitudes are very common among people which highlights that cognitive distinction is also effective which highlights that overall establishment can be attributed in the long run (Popovic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2019). The majority of mental health issues initially appear before the age of 18, and sadness and anxiety are the two most prevalent. Suicidal attempts may also be sparked by this mental health issue. </w:t>
      </w:r>
    </w:p>
    <w:p w14:paraId="522B3E7C" w14:textId="77777777" w:rsidR="00125566"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noProof/>
          <w:color w:val="000000"/>
        </w:rPr>
        <w:drawing>
          <wp:inline distT="0" distB="0" distL="0" distR="0" wp14:anchorId="4E7A953E" wp14:editId="4FBC4B22">
            <wp:extent cx="5943600" cy="3110230"/>
            <wp:effectExtent l="38100" t="38100" r="38100" b="38100"/>
            <wp:docPr id="1610185650" name="image4.jpg" descr="Rate of mental disorders among 17 to 19 year olds increased in 2022, new  report shows: statistical press release - NDRS"/>
            <wp:cNvGraphicFramePr/>
            <a:graphic xmlns:a="http://schemas.openxmlformats.org/drawingml/2006/main">
              <a:graphicData uri="http://schemas.openxmlformats.org/drawingml/2006/picture">
                <pic:pic xmlns:pic="http://schemas.openxmlformats.org/drawingml/2006/picture">
                  <pic:nvPicPr>
                    <pic:cNvPr id="0" name="image4.jpg" descr="Rate of mental disorders among 17 to 19 year olds increased in 2022, new  report shows: statistical press release - NDRS"/>
                    <pic:cNvPicPr preferRelativeResize="0"/>
                  </pic:nvPicPr>
                  <pic:blipFill>
                    <a:blip r:embed="rId11"/>
                    <a:srcRect/>
                    <a:stretch>
                      <a:fillRect/>
                    </a:stretch>
                  </pic:blipFill>
                  <pic:spPr>
                    <a:xfrm>
                      <a:off x="0" y="0"/>
                      <a:ext cx="5943600" cy="3110230"/>
                    </a:xfrm>
                    <a:prstGeom prst="rect">
                      <a:avLst/>
                    </a:prstGeom>
                    <a:ln w="38100">
                      <a:solidFill>
                        <a:srgbClr val="000000"/>
                      </a:solidFill>
                      <a:prstDash val="solid"/>
                    </a:ln>
                  </pic:spPr>
                </pic:pic>
              </a:graphicData>
            </a:graphic>
          </wp:inline>
        </w:drawing>
      </w:r>
    </w:p>
    <w:p w14:paraId="6008F9FB" w14:textId="77777777" w:rsidR="00125566" w:rsidRDefault="00000000">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Figure 5: Mental Disorder in UK </w:t>
      </w:r>
    </w:p>
    <w:p w14:paraId="536AF157" w14:textId="77777777" w:rsidR="00125566"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NHS, 2022)</w:t>
      </w:r>
    </w:p>
    <w:p w14:paraId="48B98AAB" w14:textId="77777777" w:rsidR="00125566"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As per the view Juwariah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(2022), mental and behavioural disorders are also observed among children with severe adversities and traumas. Moreover, adoptive parents often use abusive language towards their children which leads to a lack of self-confidence and traumas that violate the overall physical and psychological conditions. Felitti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(2019) opined that Parental abuse, </w:t>
      </w:r>
      <w:r>
        <w:rPr>
          <w:rFonts w:ascii="Times New Roman" w:eastAsia="Times New Roman" w:hAnsi="Times New Roman" w:cs="Times New Roman"/>
          <w:color w:val="000000"/>
          <w:sz w:val="24"/>
          <w:szCs w:val="24"/>
        </w:rPr>
        <w:lastRenderedPageBreak/>
        <w:t xml:space="preserve">parental divorce, parental unemployment for longer than nine months, parental incarceration, parental hospitalisation at mental hospitals, orphanage children, parental death, parental treatment, adoptive parents, and parental hospitalisation. Left-behind children also experience continuous low confidence which highlights that continuous abuse and mental degradation are attributed eventually. In this review, substance abuse was defined as drinking too much, smoking, and using drugs. On the contrary, Tzouvara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(2023), highlighted that childhood adversity, like family dysfunction, typically affects children's psychological growth in households with poor socioeconomic positions. In addition to that, threat and harm can directly impact psychopathology, which highlights that small to medium levels of stress can be attributed to people. Though people deal with certain stress and depression among the people which highlights that traumatic events are generated eventually. </w:t>
      </w:r>
    </w:p>
    <w:p w14:paraId="1109A9D3" w14:textId="77777777" w:rsidR="00125566" w:rsidRDefault="00000000">
      <w:pPr>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 xml:space="preserve">Mental Health Policies in the UK </w:t>
      </w:r>
    </w:p>
    <w:p w14:paraId="3AC4C61D" w14:textId="77777777" w:rsidR="00125566"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UK Government is perpetually trying to improve mental healthcare for accelerating the standards of living which highlights that effective living outcomes can be achieved. As commented by Johnson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(2021), hospital accommodation can be accessed by all mental health patients for immediate and primary care provided to them. "Every Mind Matters" promotes being physically active so that extra stress and anxiety can be decreased for improving the mood and confirming good mental conditions (Nhs. uk, 2023). The NHS mental health professionals are also providing support and training to all the parents for better raising their children and being emotionally available towards them. </w:t>
      </w:r>
    </w:p>
    <w:p w14:paraId="29F124CC" w14:textId="77777777" w:rsidR="00125566"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"NHS Long-Term Plan" highlights that frontline personnel, patient advocacy organisations, and national specialists came up with the ambitious yet doable NHS Long-Term Plan. Describes a vision for how healthcare professionals working for the NHS might be helped to offer that care and suggests solutions (Long Term Plan.nhs.uk, 2023). The NHS Long Term Plan's goals for mental health call for a mix of "fixed," "flexible," and "targeted" delivery strategies during the next five years. As opined by Niedzwiedz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(2021), mental health support is provided to all people without discrimination, and security is maintained. </w:t>
      </w:r>
    </w:p>
    <w:p w14:paraId="231D6CEB" w14:textId="77777777" w:rsidR="00125566"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"Equally Well" policy highlights spreading positivity and prioritizing physical health to maintain proper mental well-being. Health inequalities and social disparities need to be decreased which highlights that overall establishment can be attributed finally. "MindEd" is another mental health policy that highlights that young children and students are given education on how to take </w:t>
      </w:r>
      <w:r>
        <w:rPr>
          <w:rFonts w:ascii="Times New Roman" w:eastAsia="Times New Roman" w:hAnsi="Times New Roman" w:cs="Times New Roman"/>
          <w:color w:val="000000"/>
          <w:sz w:val="24"/>
          <w:szCs w:val="24"/>
        </w:rPr>
        <w:lastRenderedPageBreak/>
        <w:t xml:space="preserve">care of mental health and cope with stress, anxiety, depression, and any kind of psychological disorders (Nhs. uk, 2023). Suicide prevention guidance are also provided to all the patients with trauma and other mental conditions for improving standards of living. "Zero suicide awareness" training is another major policy where people are trained on how to cope and deal with childhood trauma and adversities and promote positivity for ensuring good mental health. </w:t>
      </w:r>
    </w:p>
    <w:p w14:paraId="3AE83FCC" w14:textId="77777777" w:rsidR="00125566" w:rsidRDefault="00000000">
      <w:pPr>
        <w:pStyle w:val="Heading1"/>
      </w:pPr>
      <w:bookmarkStart w:id="6" w:name="_heading=h.3dy6vkm" w:colFirst="0" w:colLast="0"/>
      <w:bookmarkEnd w:id="6"/>
      <w:r>
        <w:t xml:space="preserve">Conclusion </w:t>
      </w:r>
    </w:p>
    <w:p w14:paraId="7AE4596F" w14:textId="77777777" w:rsidR="00125566"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Based on the above discussion, it has been concluded that because they carry a heavier burden of diseases and are associated with a greater death toll globally, mental health and substance use have grown to be serious health concerns. According to statistics, 36% of inhabitants of various countries say that mental health concerns are becoming a bigger problem in their nations. Children from low-income families consume alcohol and other drugs, which affects their development, makes them socially isolated, and ultimately worsens their health outcomes. Childhood traumas needed to be handled to assess mental health and raise living standards. </w:t>
      </w:r>
    </w:p>
    <w:p w14:paraId="2547FFD8" w14:textId="77777777" w:rsidR="00125566"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Childhood traumatizing experiences show that alcohol and drug abuse are some of the issues that come with exposure to mental stress. For the next five years, the NHS Long Term Plan's goals for mental health call for a combination of "fixed," "flexible," and "targeted" delivery options. The "Equally Well" approach emphasizes promoting optimism and giving physical health a top priority to preserve adequate mental well-being. Secondary data collection techniques have been used so that all the qualitative data can be analysed within a short time and budget. All the ethical considerations have been maintained while doing this study. </w:t>
      </w:r>
    </w:p>
    <w:p w14:paraId="562ED982" w14:textId="77777777" w:rsidR="00125566" w:rsidRDefault="00000000">
      <w:pPr>
        <w:rPr>
          <w:rFonts w:ascii="Times New Roman" w:eastAsia="Times New Roman" w:hAnsi="Times New Roman" w:cs="Times New Roman"/>
          <w:sz w:val="24"/>
          <w:szCs w:val="24"/>
        </w:rPr>
      </w:pPr>
      <w:r>
        <w:br w:type="page"/>
      </w:r>
    </w:p>
    <w:p w14:paraId="5E5B3A79" w14:textId="77777777" w:rsidR="00125566" w:rsidRDefault="00000000">
      <w:pPr>
        <w:pStyle w:val="Heading1"/>
      </w:pPr>
      <w:bookmarkStart w:id="7" w:name="_heading=h.1t3h5sf" w:colFirst="0" w:colLast="0"/>
      <w:bookmarkEnd w:id="7"/>
      <w:r>
        <w:lastRenderedPageBreak/>
        <w:t xml:space="preserve">References </w:t>
      </w:r>
    </w:p>
    <w:p w14:paraId="6CDF2386" w14:textId="77777777" w:rsidR="0012556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Assink, M., van der Put, C.E., Meeuwsen, M.W., de Jong, N.M., Oort, F.J., Stams, G.J.J. and Hoeve, M., 2019. Risk factors for child sexual abuse victimization: A meta-analytic review. Psychological bulletin, 145(5), p.459.</w:t>
      </w:r>
    </w:p>
    <w:p w14:paraId="4762B747" w14:textId="77777777" w:rsidR="0012556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Chang, X., Jiang, X., Mkandarwire, T. and Shen, M., 2019. Associations between adverse childhood experiences and health outcomes in adults aged 18–59 years. PloS one, 14(2), p.e0211850.</w:t>
      </w:r>
    </w:p>
    <w:p w14:paraId="311DF257" w14:textId="77777777" w:rsidR="0012556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Felitti, V.J., Anda, R.F., Nordenberg, D., Williamson, D.F., Spitz, A.M., Edwards, V., Koss, M.P. and Marks, J.S., 2019. Relationship of childhood abuse and household dysfunction to many of the leading causes of death in adults: The adverse childhood experiences (ACE) study. American journal of preventive medicine.</w:t>
      </w:r>
    </w:p>
    <w:p w14:paraId="64E6BB63" w14:textId="77777777" w:rsidR="0012556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Gu, W., Zhao, Q., Yuan, C., Yi, Z., Zhao, M. and Wang, Z., 2022. Impact of adverse childhood experiences on the symptom severity of different mental disorders: a cross-diagnostic study. General Psychiatry, 35(2).</w:t>
      </w:r>
    </w:p>
    <w:p w14:paraId="02AF9F42" w14:textId="77777777" w:rsidR="0012556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Hammersley, M., 2019. From positivism to post-positivism: Progress or digression?. Teoria Polityki, (3), pp.175-188.</w:t>
      </w:r>
    </w:p>
    <w:p w14:paraId="267D55BC" w14:textId="77777777" w:rsidR="0012556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Horn, S.R., Leve, L.D., Levitt, P. and Fisher, P.A., 2019. Childhood adversity, mental health, and oxidative stress: A pilot study. PloS one, 14(4), p.e0215085.</w:t>
      </w:r>
    </w:p>
    <w:p w14:paraId="314ECDF7" w14:textId="77777777" w:rsidR="0012556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Johnson, S., Dalton-Locke, C., Vera San Juan, N., Foye, U., Oram, S., Papamichail, A., Landau, S., Rowan Olive, R., Jeynes, T., Shah, P. and Sheridan Rains, L., 2021. Impact on mental health care and on mental health service users of the COVID-19 pandemic: a mixed methods survey of UK mental health care staff. Social psychiatry and psychiatric epidemiology, 56, pp.25-37.</w:t>
      </w:r>
    </w:p>
    <w:p w14:paraId="37403DD8" w14:textId="77777777" w:rsidR="0012556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Juwariah, T., Suhariadi, F., Soedirham, O., Priyanto, A., Setiyorini, E., Siskaningrum, A., Adhianata, H. and Fernandes, A.D.C., 2022. Childhood adversities and mental health problems: a systematic review. Journal of Public Health Research, 11(3), p.22799036221106613.</w:t>
      </w:r>
    </w:p>
    <w:p w14:paraId="36915B64" w14:textId="77777777" w:rsidR="0012556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Kelly-Irving, M. and Delpierre, C., 2019. A critique of the adverse childhood experiences framework in epidemiology and public health: uses and misuses. Social Policy and Society, 18(3), pp.445-456.</w:t>
      </w:r>
    </w:p>
    <w:p w14:paraId="016BCF98" w14:textId="77777777" w:rsidR="0012556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Lacey, R.E. and Minnis, H., 2020. Practitioner review: twenty years of research with adverse childhood experience scores–advantages, disadvantages and applications to practice. Journal of Child Psychology and Psychiatry, 61(2), pp.116-130.</w:t>
      </w:r>
    </w:p>
    <w:p w14:paraId="2007998B" w14:textId="77777777" w:rsidR="0012556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Longtermplan.nhs.uk, 2023. NHS Long Term Plan. Available from https://www.longtermplan.nhs.uk/. Accessed on 5/6/2023. </w:t>
      </w:r>
    </w:p>
    <w:p w14:paraId="5E9A1A20" w14:textId="77777777" w:rsidR="0012556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Merrick, M.T., Ford, D.C., Ports, K.A., Guinn, A.S., Chen, J., Klevens, J., Metzler, M., Jones, C.M., Simon, T.R., Daniel, V.M. and Ottley, P., 2019. Vital signs: Estimated proportion of adult health problems attributable to adverse childhood experiences and implications for prevention—25 States, 2015–2017. Morbidity and Mortality Weekly Report, 68(44), p.999.</w:t>
      </w:r>
    </w:p>
    <w:p w14:paraId="58E91E8B" w14:textId="77777777" w:rsidR="0012556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Mind.org.uk, 2023. Mental health facts and statistics. Available from https://www.mind.org.uk/information-support/types-of-mental-health-problems/statistics-and-facts-about-mental-health/how-common-are-mental-health-problems/. Accessed on 5/6/2023. </w:t>
      </w:r>
    </w:p>
    <w:p w14:paraId="0245A5A6" w14:textId="77777777" w:rsidR="0012556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Nhs.uk, 2023. Wellbeing and mental health: Applying All Our Health. Available from https://www.gov.uk/government/publications/wellbeing-in-mental-health-applying-all-our-health/wellbeing-in-mental-health-applying-all-our-health. Accessed on 5/6/2023. </w:t>
      </w:r>
    </w:p>
    <w:p w14:paraId="44F07B0A" w14:textId="77777777" w:rsidR="0012556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Niedzwiedz, C.L., Green, M.J., Benzeval, M., Campbell, D., Craig, P., Demou, E., Leyland, A., Pearce, A., Thomson, R., Whitley, E. and Katikireddi, S.V., 2021. Mental health and health behaviours before and during the initial phase of the COVID-19 lockdown: longitudinal analyses of the UK Household Longitudinal Study. J Epidemiol Community Health, 75(3), pp.224-231.</w:t>
      </w:r>
    </w:p>
    <w:p w14:paraId="58AD0F24" w14:textId="77777777" w:rsidR="0012556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Pandey, J., 2019. Deductive approach to content analysis. In Qualitative techniques for workplace data analysis (pp. 145-169). IGI Global.</w:t>
      </w:r>
    </w:p>
    <w:p w14:paraId="022AC720" w14:textId="77777777" w:rsidR="0012556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Popovic, D., Schmitt, A., Kaurani, L., Senner, F., Papiol, S., Malchow, B., Fischer, A., Schulze, T.G., Koutsouleris, N. and Falkai, P., 2019. Childhood trauma in schizophrenia: current findings and research perspectives. Frontiers in neuroscience, 13, p.274.</w:t>
      </w:r>
    </w:p>
    <w:p w14:paraId="3E25D172" w14:textId="77777777" w:rsidR="0012556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Shonkoff, J.P., Garner, A.S. and Committee on Psychosocial Aspects of Child and Family Health, 2012. Section on Developmental and Behavioral Pediatrics. The lifelong effects of early childhood adversity and toxic stress. Pediatrics, 129(1), pp.e232-e246.</w:t>
      </w:r>
    </w:p>
    <w:p w14:paraId="4BE0CC72" w14:textId="77777777" w:rsidR="0012556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Sileyew, K.J., 2019. Research design and methodology (pp. 1-12). Rijeka: IntechOpen.</w:t>
      </w:r>
    </w:p>
    <w:p w14:paraId="0A100D94" w14:textId="77777777" w:rsidR="0012556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Sonu, S., Post, S. and Feinglass, J., 2019. Adverse childhood experiences and the onset of chronic disease in young adulthood. Preventive medicine, 123, pp.163-170.</w:t>
      </w:r>
    </w:p>
    <w:p w14:paraId="24E5AA47" w14:textId="77777777" w:rsidR="0012556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Statista, 2023. Mental health worldwide- Statistics &amp; Facts. Available from https://www.statista.com/topics/8066/mental-health-worldwide/?kw=&amp;crmtag=adwords&amp;gclid=Cj0KCQjwj_ajBhCqARIsAA37s0yLsZDDOzQFHO</w:t>
      </w:r>
      <w:r>
        <w:rPr>
          <w:rFonts w:ascii="Times New Roman" w:eastAsia="Times New Roman" w:hAnsi="Times New Roman" w:cs="Times New Roman"/>
          <w:sz w:val="24"/>
          <w:szCs w:val="24"/>
        </w:rPr>
        <w:lastRenderedPageBreak/>
        <w:t xml:space="preserve">vOYZj7ZbZ4KuJEOEDhfF5HDuGZ5PZZ5O8ILL2KeLkaAhRHEALw_wcB#topicOverview. Accessed on 5/6/2023. </w:t>
      </w:r>
    </w:p>
    <w:p w14:paraId="19C23286" w14:textId="77777777" w:rsidR="0012556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Tzouvara, V., Kupdere, P., Wilson, K., Matthews, L., Simpson, A. and Foye, U., 2023. Adverse childhood experiences, mental health, and social functioning: a scoping review of the literature. Child Abuse &amp; Neglect, 139, p.106092.</w:t>
      </w:r>
    </w:p>
    <w:p w14:paraId="4A18F228" w14:textId="77777777" w:rsidR="0012556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van Duin, L., Bevaart, F., Zijlmans, J., Luijks, M.J.A., Doreleijers, T.A., Wierdsma, A.I., Oldehinkel, A.J., Marhe, R. and Popma, A., 2019. The role of adverse childhood experiences and mental health care use in psychological dysfunction of male multi-problem young adults. European child &amp; adolescent psychiatry, 28, pp.1065-1078.</w:t>
      </w:r>
    </w:p>
    <w:p w14:paraId="3A0EBA34" w14:textId="77777777" w:rsidR="0012556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Zarse, E.M., Neff, M.R., Yoder, R., Hulvershorn, L., Chambers, J.E. and Chambers, R.A., 2019. The adverse childhood experiences questionnaire: Two decades of research on childhood trauma as a primary cause of adult mental illness, addiction, and medical diseases. Cogent Medicine, 6(1), p.1581447.</w:t>
      </w:r>
    </w:p>
    <w:sectPr w:rsidR="00125566">
      <w:footerReference w:type="default" r:id="rId12"/>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B9F280" w14:textId="77777777" w:rsidR="00956F3D" w:rsidRDefault="00956F3D">
      <w:pPr>
        <w:spacing w:line="240" w:lineRule="auto"/>
      </w:pPr>
      <w:r>
        <w:separator/>
      </w:r>
    </w:p>
  </w:endnote>
  <w:endnote w:type="continuationSeparator" w:id="0">
    <w:p w14:paraId="5BE12FF4" w14:textId="77777777" w:rsidR="00956F3D" w:rsidRDefault="00956F3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7C37C3" w14:textId="77777777" w:rsidR="00125566"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7363D5">
      <w:rPr>
        <w:noProof/>
        <w:color w:val="000000"/>
      </w:rPr>
      <w:t>2</w:t>
    </w:r>
    <w:r>
      <w:rPr>
        <w:color w:val="000000"/>
      </w:rPr>
      <w:fldChar w:fldCharType="end"/>
    </w:r>
  </w:p>
  <w:p w14:paraId="767415B1" w14:textId="77777777" w:rsidR="00125566" w:rsidRDefault="00125566">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E5C6BE" w14:textId="77777777" w:rsidR="00956F3D" w:rsidRDefault="00956F3D">
      <w:pPr>
        <w:spacing w:line="240" w:lineRule="auto"/>
      </w:pPr>
      <w:r>
        <w:separator/>
      </w:r>
    </w:p>
  </w:footnote>
  <w:footnote w:type="continuationSeparator" w:id="0">
    <w:p w14:paraId="374ED4CD" w14:textId="77777777" w:rsidR="00956F3D" w:rsidRDefault="00956F3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5566"/>
    <w:rsid w:val="00125566"/>
    <w:rsid w:val="007363D5"/>
    <w:rsid w:val="00956F3D"/>
    <w:rsid w:val="00CA11F9"/>
    <w:rsid w:val="00E009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D4EA21"/>
  <w15:docId w15:val="{4C579C47-518B-4F04-84BD-ABF30E41F1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uiPriority w:val="9"/>
    <w:qFormat/>
    <w:rsid w:val="00EB5F0C"/>
    <w:pPr>
      <w:keepNext/>
      <w:keepLines/>
      <w:spacing w:line="360" w:lineRule="auto"/>
      <w:jc w:val="both"/>
      <w:outlineLvl w:val="0"/>
    </w:pPr>
    <w:rPr>
      <w:rFonts w:ascii="Times New Roman" w:hAnsi="Times New Roman"/>
      <w:b/>
      <w:sz w:val="28"/>
      <w:szCs w:val="40"/>
    </w:rPr>
  </w:style>
  <w:style w:type="paragraph" w:styleId="Heading2">
    <w:name w:val="heading 2"/>
    <w:basedOn w:val="Normal1"/>
    <w:next w:val="Normal1"/>
    <w:uiPriority w:val="9"/>
    <w:semiHidden/>
    <w:unhideWhenUsed/>
    <w:qFormat/>
    <w:pPr>
      <w:keepNext/>
      <w:keepLines/>
      <w:spacing w:before="360" w:after="120"/>
      <w:outlineLvl w:val="1"/>
    </w:pPr>
    <w:rPr>
      <w:sz w:val="32"/>
      <w:szCs w:val="32"/>
    </w:rPr>
  </w:style>
  <w:style w:type="paragraph" w:styleId="Heading3">
    <w:name w:val="heading 3"/>
    <w:basedOn w:val="Normal1"/>
    <w:next w:val="Normal1"/>
    <w:uiPriority w:val="9"/>
    <w:semiHidden/>
    <w:unhideWhenUsed/>
    <w:qFormat/>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pPr>
      <w:keepNext/>
      <w:keepLines/>
      <w:spacing w:before="280" w:after="80"/>
      <w:outlineLvl w:val="3"/>
    </w:pPr>
    <w:rPr>
      <w:color w:val="666666"/>
      <w:sz w:val="24"/>
      <w:szCs w:val="24"/>
    </w:rPr>
  </w:style>
  <w:style w:type="paragraph" w:styleId="Heading5">
    <w:name w:val="heading 5"/>
    <w:basedOn w:val="Normal1"/>
    <w:next w:val="Normal1"/>
    <w:uiPriority w:val="9"/>
    <w:semiHidden/>
    <w:unhideWhenUsed/>
    <w:qFormat/>
    <w:pPr>
      <w:keepNext/>
      <w:keepLines/>
      <w:spacing w:before="240" w:after="80"/>
      <w:outlineLvl w:val="4"/>
    </w:pPr>
    <w:rPr>
      <w:color w:val="666666"/>
    </w:rPr>
  </w:style>
  <w:style w:type="paragraph" w:styleId="Heading6">
    <w:name w:val="heading 6"/>
    <w:basedOn w:val="Normal1"/>
    <w:next w:val="Normal1"/>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uiPriority w:val="10"/>
    <w:qFormat/>
    <w:pPr>
      <w:keepNext/>
      <w:keepLines/>
      <w:spacing w:after="60"/>
    </w:pPr>
    <w:rPr>
      <w:sz w:val="52"/>
      <w:szCs w:val="52"/>
    </w:rPr>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9A39D4"/>
    <w:pPr>
      <w:tabs>
        <w:tab w:val="center" w:pos="4513"/>
        <w:tab w:val="right" w:pos="9026"/>
      </w:tabs>
      <w:spacing w:line="240" w:lineRule="auto"/>
    </w:pPr>
  </w:style>
  <w:style w:type="character" w:customStyle="1" w:styleId="HeaderChar">
    <w:name w:val="Header Char"/>
    <w:basedOn w:val="DefaultParagraphFont"/>
    <w:link w:val="Header"/>
    <w:uiPriority w:val="99"/>
    <w:rsid w:val="009A39D4"/>
  </w:style>
  <w:style w:type="paragraph" w:styleId="Footer">
    <w:name w:val="footer"/>
    <w:basedOn w:val="Normal"/>
    <w:link w:val="FooterChar"/>
    <w:uiPriority w:val="99"/>
    <w:unhideWhenUsed/>
    <w:rsid w:val="009A39D4"/>
    <w:pPr>
      <w:tabs>
        <w:tab w:val="center" w:pos="4513"/>
        <w:tab w:val="right" w:pos="9026"/>
      </w:tabs>
      <w:spacing w:line="240" w:lineRule="auto"/>
    </w:pPr>
  </w:style>
  <w:style w:type="character" w:customStyle="1" w:styleId="FooterChar">
    <w:name w:val="Footer Char"/>
    <w:basedOn w:val="DefaultParagraphFont"/>
    <w:link w:val="Footer"/>
    <w:uiPriority w:val="99"/>
    <w:rsid w:val="009A39D4"/>
  </w:style>
  <w:style w:type="paragraph" w:styleId="TOCHeading">
    <w:name w:val="TOC Heading"/>
    <w:basedOn w:val="Heading1"/>
    <w:next w:val="Normal"/>
    <w:uiPriority w:val="39"/>
    <w:unhideWhenUsed/>
    <w:qFormat/>
    <w:rsid w:val="00B04CDE"/>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B04CDE"/>
    <w:pPr>
      <w:spacing w:after="100"/>
    </w:pPr>
  </w:style>
  <w:style w:type="character" w:styleId="Hyperlink">
    <w:name w:val="Hyperlink"/>
    <w:basedOn w:val="DefaultParagraphFont"/>
    <w:uiPriority w:val="99"/>
    <w:unhideWhenUsed/>
    <w:rsid w:val="00B04CDE"/>
    <w:rPr>
      <w:color w:val="0000FF" w:themeColor="hyperlink"/>
      <w:u w:val="single"/>
    </w:rPr>
  </w:style>
  <w:style w:type="table" w:customStyle="1" w:styleId="a">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0"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7IN6hZ7bHZvl2uex8BdACv1Xg7Q==">CgMxLjAyCGguZ2pkZ3hzMgloLjMwajB6bGwyCWguMWZvYjl0ZTIJaC4zem55c2g3MgloLjJldDkycDAyCGgudHlqY3d0MgloLjNkeTZ2a20yCWguMXQzaDVzZjgAciExSUF6NzBaMVVTc1BRcWRqeWJkcHJoVkZCcGYyS2NUS24=</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19</Pages>
  <Words>4536</Words>
  <Characters>25858</Characters>
  <Application>Microsoft Office Word</Application>
  <DocSecurity>0</DocSecurity>
  <Lines>215</Lines>
  <Paragraphs>60</Paragraphs>
  <ScaleCrop>false</ScaleCrop>
  <Company/>
  <LinksUpToDate>false</LinksUpToDate>
  <CharactersWithSpaces>30334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Carolina</dc:creator>
  <cp:lastModifiedBy>Carolina</cp:lastModifiedBy>
  <cp:revision>3</cp:revision>
  <dcterms:created xsi:type="dcterms:W3CDTF">2023-06-16T09:05:00Z</dcterms:created>
  <dcterms:modified xsi:type="dcterms:W3CDTF">2023-07-15T12:54:00Z</dcterms:modified>
</cp:coreProperties>
</file>