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E814C" w14:textId="77777777" w:rsidR="009D0731" w:rsidRDefault="009D0731" w:rsidP="001A4C3F">
      <w:pPr>
        <w:spacing w:line="278" w:lineRule="auto"/>
        <w:rPr>
          <w:rFonts w:ascii="Arial" w:hAnsi="Arial" w:cs="Arial"/>
          <w:b/>
          <w:bCs/>
          <w:sz w:val="44"/>
          <w:szCs w:val="44"/>
        </w:rPr>
      </w:pPr>
    </w:p>
    <w:p w14:paraId="022B1BB8" w14:textId="5CEA265C" w:rsidR="00FC4698" w:rsidRDefault="00FC4698" w:rsidP="00FC4698">
      <w:pPr>
        <w:spacing w:line="278" w:lineRule="auto"/>
        <w:jc w:val="center"/>
        <w:rPr>
          <w:rFonts w:ascii="Arial" w:hAnsi="Arial" w:cs="Arial"/>
          <w:b/>
          <w:bCs/>
          <w:sz w:val="40"/>
          <w:szCs w:val="40"/>
        </w:rPr>
      </w:pPr>
      <w:r w:rsidRPr="001A4C3F">
        <w:rPr>
          <w:rFonts w:ascii="Arial" w:hAnsi="Arial" w:cs="Arial"/>
          <w:b/>
          <w:bCs/>
          <w:sz w:val="40"/>
          <w:szCs w:val="40"/>
        </w:rPr>
        <w:t>The Role of Financial Risk Management in Enhancing the Performance of Forex Trading Investments</w:t>
      </w:r>
    </w:p>
    <w:p w14:paraId="5C50571B" w14:textId="77777777" w:rsidR="001A4C3F" w:rsidRDefault="001A4C3F" w:rsidP="00FC4698">
      <w:pPr>
        <w:spacing w:line="278" w:lineRule="auto"/>
        <w:jc w:val="center"/>
        <w:rPr>
          <w:rFonts w:ascii="Arial" w:hAnsi="Arial" w:cs="Arial"/>
          <w:b/>
          <w:bCs/>
          <w:sz w:val="40"/>
          <w:szCs w:val="40"/>
        </w:rPr>
      </w:pPr>
    </w:p>
    <w:p w14:paraId="2978F0BE" w14:textId="77777777" w:rsidR="001A4C3F" w:rsidRPr="001A4C3F" w:rsidRDefault="001A4C3F" w:rsidP="00FC4698">
      <w:pPr>
        <w:spacing w:line="278" w:lineRule="auto"/>
        <w:jc w:val="center"/>
        <w:rPr>
          <w:rFonts w:ascii="Arial" w:hAnsi="Arial" w:cs="Arial"/>
          <w:b/>
          <w:bCs/>
          <w:sz w:val="40"/>
          <w:szCs w:val="40"/>
        </w:rPr>
      </w:pPr>
    </w:p>
    <w:p w14:paraId="43C3F63F" w14:textId="12E2B81D" w:rsidR="009D0731" w:rsidRPr="001A4C3F" w:rsidRDefault="001A4C3F" w:rsidP="00FC4698">
      <w:pPr>
        <w:spacing w:line="278" w:lineRule="auto"/>
        <w:jc w:val="center"/>
        <w:rPr>
          <w:rFonts w:ascii="Arial" w:hAnsi="Arial" w:cs="Arial"/>
          <w:b/>
          <w:bCs/>
          <w:sz w:val="40"/>
          <w:szCs w:val="40"/>
        </w:rPr>
      </w:pPr>
      <w:r w:rsidRPr="001A4C3F">
        <w:rPr>
          <w:rFonts w:ascii="Arial" w:hAnsi="Arial" w:cs="Arial"/>
          <w:b/>
          <w:bCs/>
          <w:sz w:val="40"/>
          <w:szCs w:val="40"/>
        </w:rPr>
        <w:t>Student:</w:t>
      </w:r>
    </w:p>
    <w:p w14:paraId="2CE8970C" w14:textId="15F83690" w:rsidR="009D0731" w:rsidRPr="001A4C3F" w:rsidRDefault="009D0731" w:rsidP="00FC4698">
      <w:pPr>
        <w:spacing w:line="278" w:lineRule="auto"/>
        <w:jc w:val="center"/>
        <w:rPr>
          <w:rFonts w:ascii="Arial" w:hAnsi="Arial" w:cs="Arial"/>
          <w:b/>
          <w:bCs/>
          <w:sz w:val="40"/>
          <w:szCs w:val="40"/>
        </w:rPr>
      </w:pPr>
      <w:r w:rsidRPr="001A4C3F">
        <w:rPr>
          <w:rFonts w:ascii="Arial" w:hAnsi="Arial" w:cs="Arial"/>
          <w:b/>
          <w:bCs/>
          <w:sz w:val="40"/>
          <w:szCs w:val="40"/>
        </w:rPr>
        <w:t>Stefan Cristian Costache</w:t>
      </w:r>
    </w:p>
    <w:p w14:paraId="57BDFE7C" w14:textId="4D832581" w:rsidR="009D0731" w:rsidRPr="001A4C3F" w:rsidRDefault="009D0731" w:rsidP="00FC4698">
      <w:pPr>
        <w:spacing w:line="278" w:lineRule="auto"/>
        <w:jc w:val="center"/>
        <w:rPr>
          <w:rFonts w:ascii="Arial" w:hAnsi="Arial" w:cs="Arial"/>
          <w:b/>
          <w:bCs/>
          <w:sz w:val="40"/>
          <w:szCs w:val="40"/>
        </w:rPr>
      </w:pPr>
      <w:r w:rsidRPr="001A4C3F">
        <w:rPr>
          <w:rFonts w:ascii="Arial" w:hAnsi="Arial" w:cs="Arial"/>
          <w:b/>
          <w:bCs/>
          <w:sz w:val="40"/>
          <w:szCs w:val="40"/>
        </w:rPr>
        <w:t>2126833</w:t>
      </w:r>
    </w:p>
    <w:p w14:paraId="4E8D7065" w14:textId="77777777" w:rsidR="009D0731" w:rsidRPr="001A4C3F" w:rsidRDefault="009D0731" w:rsidP="009D0731">
      <w:pPr>
        <w:spacing w:line="278" w:lineRule="auto"/>
        <w:rPr>
          <w:rFonts w:ascii="Arial" w:hAnsi="Arial" w:cs="Arial"/>
          <w:b/>
          <w:bCs/>
          <w:sz w:val="40"/>
          <w:szCs w:val="40"/>
        </w:rPr>
      </w:pPr>
    </w:p>
    <w:p w14:paraId="447C2E90" w14:textId="0F328821" w:rsidR="009D0731" w:rsidRPr="001A4C3F" w:rsidRDefault="001A4C3F" w:rsidP="00FC4698">
      <w:pPr>
        <w:spacing w:line="278" w:lineRule="auto"/>
        <w:jc w:val="center"/>
        <w:rPr>
          <w:rFonts w:ascii="Arial" w:hAnsi="Arial" w:cs="Arial"/>
          <w:b/>
          <w:bCs/>
          <w:sz w:val="40"/>
          <w:szCs w:val="40"/>
        </w:rPr>
      </w:pPr>
      <w:r w:rsidRPr="001A4C3F">
        <w:rPr>
          <w:rFonts w:ascii="Arial" w:hAnsi="Arial" w:cs="Arial"/>
          <w:b/>
          <w:bCs/>
          <w:sz w:val="40"/>
          <w:szCs w:val="40"/>
        </w:rPr>
        <w:t>Supervisor:</w:t>
      </w:r>
    </w:p>
    <w:p w14:paraId="55D51B11" w14:textId="41633961" w:rsidR="009D0731" w:rsidRDefault="009D0731" w:rsidP="00FC4698">
      <w:pPr>
        <w:spacing w:line="278" w:lineRule="auto"/>
        <w:jc w:val="center"/>
        <w:rPr>
          <w:rFonts w:ascii="Arial" w:hAnsi="Arial" w:cs="Arial"/>
          <w:b/>
          <w:bCs/>
          <w:sz w:val="48"/>
          <w:szCs w:val="48"/>
        </w:rPr>
      </w:pPr>
      <w:r w:rsidRPr="001A4C3F">
        <w:rPr>
          <w:rFonts w:ascii="Arial" w:hAnsi="Arial" w:cs="Arial"/>
          <w:b/>
          <w:bCs/>
          <w:sz w:val="40"/>
          <w:szCs w:val="40"/>
        </w:rPr>
        <w:t>Shujun Xiao</w:t>
      </w:r>
    </w:p>
    <w:p w14:paraId="509B5C6F" w14:textId="77777777" w:rsidR="009D0731" w:rsidRDefault="009D0731" w:rsidP="00FC4698">
      <w:pPr>
        <w:spacing w:line="278" w:lineRule="auto"/>
        <w:jc w:val="center"/>
        <w:rPr>
          <w:rFonts w:ascii="Arial" w:hAnsi="Arial" w:cs="Arial"/>
          <w:b/>
          <w:bCs/>
          <w:sz w:val="48"/>
          <w:szCs w:val="48"/>
        </w:rPr>
      </w:pPr>
    </w:p>
    <w:p w14:paraId="3FC38553" w14:textId="5626A42C" w:rsidR="009D0731" w:rsidRPr="001A4C3F" w:rsidRDefault="009D0731" w:rsidP="009D0731">
      <w:pPr>
        <w:spacing w:after="0" w:line="259" w:lineRule="auto"/>
        <w:jc w:val="center"/>
        <w:rPr>
          <w:rFonts w:ascii="Arial" w:hAnsi="Arial" w:cs="Arial"/>
          <w:b/>
          <w:bCs/>
          <w:sz w:val="40"/>
          <w:szCs w:val="40"/>
        </w:rPr>
      </w:pPr>
      <w:r w:rsidRPr="001A4C3F">
        <w:rPr>
          <w:rFonts w:ascii="Arial" w:hAnsi="Arial" w:cs="Arial"/>
          <w:b/>
          <w:bCs/>
          <w:sz w:val="40"/>
          <w:szCs w:val="40"/>
        </w:rPr>
        <w:t>Master of Business Administration</w:t>
      </w:r>
    </w:p>
    <w:p w14:paraId="4ADE9885" w14:textId="77777777" w:rsidR="009D0731" w:rsidRPr="009D0731" w:rsidRDefault="009D0731" w:rsidP="009D0731">
      <w:pPr>
        <w:spacing w:after="0" w:line="259" w:lineRule="auto"/>
        <w:ind w:right="57"/>
        <w:rPr>
          <w:rFonts w:ascii="Arial" w:hAnsi="Arial" w:cs="Arial"/>
        </w:rPr>
      </w:pPr>
    </w:p>
    <w:p w14:paraId="588DF836" w14:textId="77777777" w:rsidR="009D0731" w:rsidRPr="009D0731" w:rsidRDefault="009D0731" w:rsidP="009D0731">
      <w:pPr>
        <w:spacing w:after="0" w:line="259" w:lineRule="auto"/>
        <w:ind w:left="8"/>
        <w:jc w:val="center"/>
        <w:rPr>
          <w:rFonts w:ascii="Arial" w:hAnsi="Arial" w:cs="Arial"/>
        </w:rPr>
      </w:pPr>
    </w:p>
    <w:p w14:paraId="59781DE9" w14:textId="77777777" w:rsidR="009D0731" w:rsidRPr="009D0731" w:rsidRDefault="009D0731" w:rsidP="009D0731">
      <w:pPr>
        <w:spacing w:after="0" w:line="259" w:lineRule="auto"/>
        <w:ind w:left="8"/>
        <w:jc w:val="center"/>
        <w:rPr>
          <w:rFonts w:ascii="Arial" w:hAnsi="Arial" w:cs="Arial"/>
        </w:rPr>
      </w:pPr>
    </w:p>
    <w:p w14:paraId="70205BDE" w14:textId="77777777" w:rsidR="009D0731" w:rsidRPr="009D0731" w:rsidRDefault="009D0731" w:rsidP="009D0731">
      <w:pPr>
        <w:spacing w:after="0" w:line="259" w:lineRule="auto"/>
        <w:ind w:left="8"/>
        <w:jc w:val="center"/>
        <w:rPr>
          <w:rFonts w:ascii="Arial" w:hAnsi="Arial" w:cs="Arial"/>
        </w:rPr>
      </w:pPr>
    </w:p>
    <w:p w14:paraId="247146E4" w14:textId="77777777" w:rsidR="009D0731" w:rsidRPr="009D0731" w:rsidRDefault="009D0731" w:rsidP="009D0731">
      <w:pPr>
        <w:spacing w:after="0" w:line="259" w:lineRule="auto"/>
        <w:ind w:left="8"/>
        <w:jc w:val="center"/>
        <w:rPr>
          <w:rFonts w:ascii="Arial" w:hAnsi="Arial" w:cs="Arial"/>
        </w:rPr>
      </w:pPr>
    </w:p>
    <w:p w14:paraId="28B95A64" w14:textId="77777777" w:rsidR="009D0731" w:rsidRPr="009D0731" w:rsidRDefault="009D0731" w:rsidP="009D0731">
      <w:pPr>
        <w:spacing w:after="0" w:line="259" w:lineRule="auto"/>
        <w:ind w:left="8"/>
        <w:jc w:val="center"/>
        <w:rPr>
          <w:rFonts w:ascii="Arial" w:hAnsi="Arial" w:cs="Arial"/>
        </w:rPr>
      </w:pPr>
    </w:p>
    <w:p w14:paraId="69CD85B1" w14:textId="77777777" w:rsidR="009D0731" w:rsidRPr="009D0731" w:rsidRDefault="009D0731" w:rsidP="009D0731">
      <w:pPr>
        <w:spacing w:after="0" w:line="259" w:lineRule="auto"/>
        <w:ind w:left="8"/>
        <w:jc w:val="center"/>
        <w:rPr>
          <w:rFonts w:ascii="Arial" w:hAnsi="Arial" w:cs="Arial"/>
        </w:rPr>
      </w:pPr>
      <w:r w:rsidRPr="009D0731">
        <w:rPr>
          <w:rFonts w:ascii="Arial" w:hAnsi="Arial" w:cs="Arial"/>
        </w:rPr>
        <w:t xml:space="preserve"> </w:t>
      </w:r>
    </w:p>
    <w:p w14:paraId="79B03B8B" w14:textId="09DBF3DA" w:rsidR="009D0731" w:rsidRPr="009D0731" w:rsidRDefault="009D0731" w:rsidP="009D0731">
      <w:pPr>
        <w:spacing w:line="278" w:lineRule="auto"/>
        <w:jc w:val="center"/>
        <w:rPr>
          <w:rFonts w:ascii="Arial" w:hAnsi="Arial" w:cs="Arial"/>
          <w:b/>
          <w:bCs/>
          <w:sz w:val="48"/>
          <w:szCs w:val="48"/>
        </w:rPr>
      </w:pPr>
    </w:p>
    <w:p w14:paraId="0F42551B" w14:textId="4D8D68F9" w:rsidR="009D0731" w:rsidRPr="009D0731" w:rsidRDefault="009D0731" w:rsidP="009D0731">
      <w:pPr>
        <w:spacing w:line="278" w:lineRule="auto"/>
        <w:jc w:val="center"/>
        <w:rPr>
          <w:rFonts w:ascii="Arial" w:hAnsi="Arial" w:cs="Arial"/>
          <w:b/>
          <w:bCs/>
          <w:sz w:val="48"/>
          <w:szCs w:val="48"/>
        </w:rPr>
      </w:pPr>
    </w:p>
    <w:p w14:paraId="0E1E8EF6" w14:textId="77777777" w:rsidR="00B438F2" w:rsidRPr="00FF6757" w:rsidRDefault="00B438F2" w:rsidP="00E02FB3">
      <w:pPr>
        <w:jc w:val="left"/>
        <w:rPr>
          <w:rFonts w:ascii="Arial" w:hAnsi="Arial" w:cs="Arial"/>
        </w:rPr>
      </w:pPr>
    </w:p>
    <w:p w14:paraId="6F7031FB" w14:textId="77777777" w:rsidR="00B438F2" w:rsidRPr="00FF6757" w:rsidRDefault="00B438F2" w:rsidP="00E02FB3">
      <w:pPr>
        <w:jc w:val="left"/>
        <w:rPr>
          <w:rFonts w:ascii="Arial" w:hAnsi="Arial" w:cs="Arial"/>
        </w:rPr>
      </w:pPr>
    </w:p>
    <w:p w14:paraId="32F0017E" w14:textId="3720FC34" w:rsidR="002835AC" w:rsidRDefault="002835AC" w:rsidP="002835AC">
      <w:pPr>
        <w:pStyle w:val="Heading1"/>
        <w:jc w:val="center"/>
        <w:rPr>
          <w:rFonts w:cs="Arial"/>
        </w:rPr>
      </w:pPr>
      <w:bookmarkStart w:id="0" w:name="_Toc228917177"/>
      <w:r>
        <w:rPr>
          <w:rFonts w:cs="Arial"/>
        </w:rPr>
        <w:lastRenderedPageBreak/>
        <w:t>Abstract</w:t>
      </w:r>
      <w:bookmarkEnd w:id="0"/>
    </w:p>
    <w:p w14:paraId="57E75EAC" w14:textId="77777777" w:rsidR="00E95564" w:rsidRPr="00E95564" w:rsidRDefault="00E95564" w:rsidP="00E95564"/>
    <w:p w14:paraId="51FE9FE4" w14:textId="77777777" w:rsidR="00E95564" w:rsidRPr="00E95564" w:rsidRDefault="00E95564" w:rsidP="00E95564">
      <w:pPr>
        <w:ind w:firstLine="720"/>
        <w:rPr>
          <w:rFonts w:ascii="Arial" w:eastAsiaTheme="majorEastAsia" w:hAnsi="Arial" w:cs="Arial"/>
          <w:bCs/>
          <w:color w:val="000000" w:themeColor="text1"/>
          <w:lang w:val="en-US"/>
        </w:rPr>
      </w:pPr>
      <w:r w:rsidRPr="00E95564">
        <w:rPr>
          <w:rFonts w:ascii="Arial" w:eastAsiaTheme="majorEastAsia" w:hAnsi="Arial" w:cs="Arial"/>
          <w:bCs/>
          <w:color w:val="000000" w:themeColor="text1"/>
          <w:lang w:val="en-US"/>
        </w:rPr>
        <w:t>This research work is dedicated to understanding how managing financial risks can lead to better returns in Forex trading ventures. It aims to fill an important void in the existing knowledge base where the aspects of volatility modelling, risk measurement, forecasting, and hedging are rarely studied jointly but mostly are treated separately.</w:t>
      </w:r>
    </w:p>
    <w:p w14:paraId="3048CA84" w14:textId="77777777" w:rsidR="00E95564" w:rsidRPr="00E95564" w:rsidRDefault="00E95564" w:rsidP="00E95564">
      <w:pPr>
        <w:ind w:firstLine="720"/>
        <w:rPr>
          <w:rFonts w:ascii="Arial" w:eastAsiaTheme="majorEastAsia" w:hAnsi="Arial" w:cs="Arial"/>
          <w:bCs/>
          <w:color w:val="000000" w:themeColor="text1"/>
          <w:lang w:val="en-US"/>
        </w:rPr>
      </w:pPr>
      <w:r w:rsidRPr="00E95564">
        <w:rPr>
          <w:rFonts w:ascii="Arial" w:eastAsiaTheme="majorEastAsia" w:hAnsi="Arial" w:cs="Arial"/>
          <w:bCs/>
          <w:color w:val="000000" w:themeColor="text1"/>
          <w:lang w:val="en-US"/>
        </w:rPr>
        <w:t>The study uses a systematic literature review method to bring together insights from published research to determine how various risk management strategies lead to trading results. The results indicate that forex markets exhibit features of rapidly changing volatility, deep systemic interconnections, and high levels of exposure to macroeconomic uncertainty. Despite the fact that the development of sophisticated risk measurement instruments such as Value-at-Risk and Expected Shortfall and also machine learning forecasting models have enhanced the accuracy of analyses, these enhancements rarely lead to better trading results. In fact, the results depend more on how these instruments are used in practice, including the strategies of execution, transaction costs, and behavioural aspects.</w:t>
      </w:r>
    </w:p>
    <w:p w14:paraId="738DF7E0" w14:textId="77777777" w:rsidR="00E95564" w:rsidRPr="00E95564" w:rsidRDefault="00E95564" w:rsidP="00E95564">
      <w:pPr>
        <w:ind w:firstLine="720"/>
        <w:rPr>
          <w:rFonts w:ascii="Arial" w:eastAsiaTheme="majorEastAsia" w:hAnsi="Arial" w:cs="Arial"/>
          <w:bCs/>
          <w:color w:val="000000" w:themeColor="text1"/>
          <w:lang w:val="en-US"/>
        </w:rPr>
      </w:pPr>
      <w:r w:rsidRPr="00E95564">
        <w:rPr>
          <w:rFonts w:ascii="Arial" w:eastAsiaTheme="majorEastAsia" w:hAnsi="Arial" w:cs="Arial"/>
          <w:bCs/>
          <w:color w:val="000000" w:themeColor="text1"/>
          <w:lang w:val="en-US"/>
        </w:rPr>
        <w:t>The research's main highlight is the formulation of a unified risk management system that fuses risk recognition, assessment, and control into a methodical approach. The paper finds that reliable Forex trading results rely on more than just the ability to forecast accurately; they hinge on the regular and disciplined adherence to well-rounded risk management procedures.</w:t>
      </w:r>
    </w:p>
    <w:p w14:paraId="270C7D77" w14:textId="77777777" w:rsidR="002835AC" w:rsidRDefault="002835AC" w:rsidP="002835AC">
      <w:pPr>
        <w:pStyle w:val="Heading1"/>
        <w:jc w:val="center"/>
        <w:rPr>
          <w:rFonts w:cs="Arial"/>
        </w:rPr>
      </w:pPr>
    </w:p>
    <w:p w14:paraId="2D7132FC" w14:textId="77777777" w:rsidR="00E95564" w:rsidRDefault="00E95564" w:rsidP="00E95564"/>
    <w:p w14:paraId="0DC7D071" w14:textId="77777777" w:rsidR="00E95564" w:rsidRDefault="00E95564" w:rsidP="00E95564"/>
    <w:p w14:paraId="6251CBFB" w14:textId="77777777" w:rsidR="00E95564" w:rsidRDefault="00E95564" w:rsidP="00E95564"/>
    <w:p w14:paraId="048EB112" w14:textId="77777777" w:rsidR="00E95564" w:rsidRDefault="00E95564" w:rsidP="00E95564"/>
    <w:p w14:paraId="34967117" w14:textId="77777777" w:rsidR="00E95564" w:rsidRPr="00E95564" w:rsidRDefault="00E95564" w:rsidP="00E95564"/>
    <w:p w14:paraId="79F09B73" w14:textId="76FAF458" w:rsidR="002835AC" w:rsidRDefault="002835AC" w:rsidP="002835AC">
      <w:pPr>
        <w:pStyle w:val="Heading1"/>
        <w:jc w:val="center"/>
        <w:rPr>
          <w:rFonts w:cs="Arial"/>
        </w:rPr>
      </w:pPr>
      <w:bookmarkStart w:id="1" w:name="_Toc228917178"/>
      <w:r>
        <w:rPr>
          <w:rFonts w:cs="Arial"/>
        </w:rPr>
        <w:lastRenderedPageBreak/>
        <w:t>Acknowledgements</w:t>
      </w:r>
      <w:bookmarkEnd w:id="1"/>
    </w:p>
    <w:p w14:paraId="1340952E" w14:textId="77777777" w:rsidR="002835AC" w:rsidRDefault="002835AC" w:rsidP="002835AC">
      <w:pPr>
        <w:jc w:val="center"/>
        <w:rPr>
          <w:rFonts w:ascii="Arial" w:hAnsi="Arial" w:cs="Arial"/>
        </w:rPr>
      </w:pPr>
    </w:p>
    <w:p w14:paraId="74D204BC" w14:textId="77777777" w:rsidR="00E95564" w:rsidRPr="00E95564" w:rsidRDefault="00E95564" w:rsidP="00E95564">
      <w:pPr>
        <w:ind w:firstLine="720"/>
        <w:rPr>
          <w:rFonts w:ascii="Arial" w:hAnsi="Arial" w:cs="Arial"/>
          <w:lang w:val="en-US"/>
        </w:rPr>
      </w:pPr>
      <w:r w:rsidRPr="00E95564">
        <w:rPr>
          <w:rFonts w:ascii="Arial" w:hAnsi="Arial" w:cs="Arial"/>
          <w:lang w:val="en-US"/>
        </w:rPr>
        <w:t>I want to thank my supervisor, Shujun Xiao, from the bottom of my heart for guiding me, supporting me, and giving me great feedback while I was doing this dissertation. Their ideas and pushing me really helped me to find the main path of this study.</w:t>
      </w:r>
    </w:p>
    <w:p w14:paraId="380CA5E5" w14:textId="77777777" w:rsidR="00E95564" w:rsidRPr="00E95564" w:rsidRDefault="00E95564" w:rsidP="00E95564">
      <w:pPr>
        <w:ind w:firstLine="720"/>
        <w:rPr>
          <w:rFonts w:ascii="Arial" w:hAnsi="Arial" w:cs="Arial"/>
          <w:lang w:val="en-US"/>
        </w:rPr>
      </w:pPr>
      <w:r w:rsidRPr="00E95564">
        <w:rPr>
          <w:rFonts w:ascii="Arial" w:hAnsi="Arial" w:cs="Arial"/>
          <w:lang w:val="en-US"/>
        </w:rPr>
        <w:t>Gratefully, I also recognize the support of the Institute of Inner City Learning by making available the necessary academic resources and environment that enabled the completion of this work.</w:t>
      </w:r>
    </w:p>
    <w:p w14:paraId="584516EF" w14:textId="2E6B4FC8" w:rsidR="00E95564" w:rsidRPr="00E95564" w:rsidRDefault="00E95564" w:rsidP="00E95564">
      <w:pPr>
        <w:ind w:firstLine="720"/>
        <w:rPr>
          <w:rFonts w:ascii="Arial" w:hAnsi="Arial" w:cs="Arial"/>
          <w:lang w:val="en-US"/>
        </w:rPr>
      </w:pPr>
      <w:r w:rsidRPr="00E95564">
        <w:rPr>
          <w:rFonts w:ascii="Arial" w:hAnsi="Arial" w:cs="Arial"/>
          <w:lang w:val="en-US"/>
        </w:rPr>
        <w:t>I thank my family and friends the most for their endless support, understanding, and inspiration during my work. Their being there for me has been vital in helping me reach this important stage.</w:t>
      </w:r>
    </w:p>
    <w:p w14:paraId="06971C0C" w14:textId="77777777" w:rsidR="00E95564" w:rsidRDefault="00E95564" w:rsidP="002835AC">
      <w:pPr>
        <w:jc w:val="center"/>
        <w:rPr>
          <w:rFonts w:ascii="Arial" w:hAnsi="Arial" w:cs="Arial"/>
        </w:rPr>
      </w:pPr>
    </w:p>
    <w:p w14:paraId="70405863" w14:textId="77777777" w:rsidR="00E95564" w:rsidRDefault="00E95564" w:rsidP="002835AC">
      <w:pPr>
        <w:jc w:val="center"/>
        <w:rPr>
          <w:rFonts w:ascii="Arial" w:hAnsi="Arial" w:cs="Arial"/>
        </w:rPr>
      </w:pPr>
    </w:p>
    <w:p w14:paraId="5D3B29CA" w14:textId="77777777" w:rsidR="00E95564" w:rsidRDefault="00E95564" w:rsidP="002835AC">
      <w:pPr>
        <w:jc w:val="center"/>
        <w:rPr>
          <w:rFonts w:ascii="Arial" w:hAnsi="Arial" w:cs="Arial"/>
        </w:rPr>
      </w:pPr>
    </w:p>
    <w:p w14:paraId="59A43E46" w14:textId="77777777" w:rsidR="00E95564" w:rsidRDefault="00E95564" w:rsidP="002835AC">
      <w:pPr>
        <w:jc w:val="center"/>
        <w:rPr>
          <w:rFonts w:ascii="Arial" w:hAnsi="Arial" w:cs="Arial"/>
        </w:rPr>
      </w:pPr>
    </w:p>
    <w:p w14:paraId="4EEBB51A" w14:textId="77777777" w:rsidR="00E95564" w:rsidRDefault="00E95564" w:rsidP="002835AC">
      <w:pPr>
        <w:jc w:val="center"/>
        <w:rPr>
          <w:rFonts w:ascii="Arial" w:hAnsi="Arial" w:cs="Arial"/>
        </w:rPr>
      </w:pPr>
    </w:p>
    <w:p w14:paraId="71F750AC" w14:textId="77777777" w:rsidR="00E95564" w:rsidRDefault="00E95564" w:rsidP="002835AC">
      <w:pPr>
        <w:jc w:val="center"/>
        <w:rPr>
          <w:rFonts w:ascii="Arial" w:hAnsi="Arial" w:cs="Arial"/>
        </w:rPr>
      </w:pPr>
    </w:p>
    <w:p w14:paraId="7AFBAE63" w14:textId="77777777" w:rsidR="00E95564" w:rsidRDefault="00E95564" w:rsidP="002835AC">
      <w:pPr>
        <w:jc w:val="center"/>
        <w:rPr>
          <w:rFonts w:ascii="Arial" w:hAnsi="Arial" w:cs="Arial"/>
        </w:rPr>
      </w:pPr>
    </w:p>
    <w:p w14:paraId="479278F5" w14:textId="77777777" w:rsidR="00E95564" w:rsidRDefault="00E95564" w:rsidP="002835AC">
      <w:pPr>
        <w:jc w:val="center"/>
        <w:rPr>
          <w:rFonts w:ascii="Arial" w:hAnsi="Arial" w:cs="Arial"/>
        </w:rPr>
      </w:pPr>
    </w:p>
    <w:p w14:paraId="32916A60" w14:textId="77777777" w:rsidR="00E95564" w:rsidRDefault="00E95564" w:rsidP="002835AC">
      <w:pPr>
        <w:jc w:val="center"/>
        <w:rPr>
          <w:rFonts w:ascii="Arial" w:hAnsi="Arial" w:cs="Arial"/>
        </w:rPr>
      </w:pPr>
    </w:p>
    <w:p w14:paraId="25299B3B" w14:textId="77777777" w:rsidR="00E95564" w:rsidRDefault="00E95564" w:rsidP="002835AC">
      <w:pPr>
        <w:jc w:val="center"/>
        <w:rPr>
          <w:rFonts w:ascii="Arial" w:hAnsi="Arial" w:cs="Arial"/>
        </w:rPr>
      </w:pPr>
    </w:p>
    <w:p w14:paraId="31E88B2B" w14:textId="77777777" w:rsidR="00E95564" w:rsidRDefault="00E95564" w:rsidP="002835AC">
      <w:pPr>
        <w:jc w:val="center"/>
        <w:rPr>
          <w:rFonts w:ascii="Arial" w:hAnsi="Arial" w:cs="Arial"/>
        </w:rPr>
      </w:pPr>
    </w:p>
    <w:p w14:paraId="5D6EF0F7" w14:textId="77777777" w:rsidR="00E95564" w:rsidRDefault="00E95564" w:rsidP="002835AC">
      <w:pPr>
        <w:jc w:val="center"/>
        <w:rPr>
          <w:rFonts w:ascii="Arial" w:hAnsi="Arial" w:cs="Arial"/>
        </w:rPr>
      </w:pPr>
    </w:p>
    <w:p w14:paraId="3985E71D" w14:textId="77777777" w:rsidR="00E95564" w:rsidRDefault="00E95564" w:rsidP="002835AC">
      <w:pPr>
        <w:jc w:val="center"/>
        <w:rPr>
          <w:rFonts w:ascii="Arial" w:hAnsi="Arial" w:cs="Arial"/>
        </w:rPr>
      </w:pPr>
    </w:p>
    <w:p w14:paraId="5A1538D5" w14:textId="77777777" w:rsidR="00E95564" w:rsidRPr="00FF6757" w:rsidRDefault="00E95564" w:rsidP="002835AC">
      <w:pPr>
        <w:jc w:val="center"/>
        <w:rPr>
          <w:rFonts w:ascii="Arial" w:hAnsi="Arial" w:cs="Arial"/>
        </w:rPr>
      </w:pPr>
    </w:p>
    <w:sdt>
      <w:sdtPr>
        <w:rPr>
          <w:rFonts w:ascii="Arial" w:eastAsiaTheme="minorHAnsi" w:hAnsi="Arial" w:cs="Arial"/>
          <w:b/>
          <w:bCs/>
          <w:color w:val="000000" w:themeColor="text1"/>
          <w:kern w:val="2"/>
          <w:sz w:val="24"/>
          <w:szCs w:val="24"/>
          <w:lang w:val="en-GB"/>
          <w14:ligatures w14:val="standardContextual"/>
        </w:rPr>
        <w:id w:val="1228497921"/>
        <w:docPartObj>
          <w:docPartGallery w:val="Table of Contents"/>
          <w:docPartUnique/>
        </w:docPartObj>
      </w:sdtPr>
      <w:sdtEndPr>
        <w:rPr>
          <w:color w:val="auto"/>
        </w:rPr>
      </w:sdtEndPr>
      <w:sdtContent>
        <w:p w14:paraId="206337EF" w14:textId="0D12C85A" w:rsidR="007B65D5" w:rsidRPr="00FF6757" w:rsidRDefault="007B65D5" w:rsidP="009D0731">
          <w:pPr>
            <w:pStyle w:val="TOCHeading"/>
            <w:spacing w:line="360" w:lineRule="auto"/>
            <w:jc w:val="center"/>
            <w:rPr>
              <w:rFonts w:ascii="Arial" w:hAnsi="Arial" w:cs="Arial"/>
              <w:b/>
              <w:bCs/>
              <w:color w:val="000000" w:themeColor="text1"/>
              <w:lang w:val="en-GB"/>
            </w:rPr>
          </w:pPr>
          <w:r w:rsidRPr="00FF6757">
            <w:rPr>
              <w:rFonts w:ascii="Arial" w:hAnsi="Arial" w:cs="Arial"/>
              <w:b/>
              <w:bCs/>
              <w:color w:val="000000" w:themeColor="text1"/>
              <w:lang w:val="en-GB"/>
            </w:rPr>
            <w:t>Table of Contents</w:t>
          </w:r>
        </w:p>
        <w:p w14:paraId="240A2A1B" w14:textId="7061128F" w:rsidR="00E95564" w:rsidRPr="00E95564" w:rsidRDefault="007B65D5">
          <w:pPr>
            <w:pStyle w:val="TOC1"/>
            <w:tabs>
              <w:tab w:val="right" w:leader="dot" w:pos="9016"/>
            </w:tabs>
            <w:rPr>
              <w:rFonts w:ascii="Arial" w:eastAsiaTheme="minorEastAsia" w:hAnsi="Arial" w:cs="Arial"/>
              <w:noProof/>
              <w:lang w:val="en-US"/>
            </w:rPr>
          </w:pPr>
          <w:r w:rsidRPr="00E95564">
            <w:rPr>
              <w:rFonts w:ascii="Arial" w:hAnsi="Arial" w:cs="Arial"/>
            </w:rPr>
            <w:fldChar w:fldCharType="begin"/>
          </w:r>
          <w:r w:rsidRPr="00E95564">
            <w:rPr>
              <w:rFonts w:ascii="Arial" w:hAnsi="Arial" w:cs="Arial"/>
            </w:rPr>
            <w:instrText xml:space="preserve"> TOC \o "1-3" \h \z \u </w:instrText>
          </w:r>
          <w:r w:rsidRPr="00E95564">
            <w:rPr>
              <w:rFonts w:ascii="Arial" w:hAnsi="Arial" w:cs="Arial"/>
            </w:rPr>
            <w:fldChar w:fldCharType="separate"/>
          </w:r>
          <w:hyperlink w:anchor="_Toc228917177" w:history="1">
            <w:r w:rsidR="00E95564" w:rsidRPr="00E95564">
              <w:rPr>
                <w:rStyle w:val="Hyperlink"/>
                <w:rFonts w:ascii="Arial" w:hAnsi="Arial" w:cs="Arial"/>
                <w:noProof/>
              </w:rPr>
              <w:t>Abstract</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_Toc228917177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w:t>
            </w:r>
            <w:r w:rsidR="00E95564" w:rsidRPr="00E95564">
              <w:rPr>
                <w:rFonts w:ascii="Arial" w:hAnsi="Arial" w:cs="Arial"/>
                <w:noProof/>
                <w:webHidden/>
              </w:rPr>
              <w:fldChar w:fldCharType="end"/>
            </w:r>
          </w:hyperlink>
        </w:p>
        <w:p w14:paraId="34FE0CD3" w14:textId="63679028" w:rsidR="00E95564" w:rsidRPr="00E95564" w:rsidRDefault="00000000">
          <w:pPr>
            <w:pStyle w:val="TOC1"/>
            <w:tabs>
              <w:tab w:val="right" w:leader="dot" w:pos="9016"/>
            </w:tabs>
            <w:rPr>
              <w:rFonts w:ascii="Arial" w:eastAsiaTheme="minorEastAsia" w:hAnsi="Arial" w:cs="Arial"/>
              <w:noProof/>
              <w:lang w:val="en-US"/>
            </w:rPr>
          </w:pPr>
          <w:hyperlink w:anchor="_Toc228917178" w:history="1">
            <w:r w:rsidR="00E95564" w:rsidRPr="00E95564">
              <w:rPr>
                <w:rStyle w:val="Hyperlink"/>
                <w:rFonts w:ascii="Arial" w:hAnsi="Arial" w:cs="Arial"/>
                <w:noProof/>
              </w:rPr>
              <w:t>Acknowledgements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_Toc228917178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w:t>
            </w:r>
            <w:r w:rsidR="00E95564" w:rsidRPr="00E95564">
              <w:rPr>
                <w:rFonts w:ascii="Arial" w:hAnsi="Arial" w:cs="Arial"/>
                <w:noProof/>
                <w:webHidden/>
              </w:rPr>
              <w:fldChar w:fldCharType="end"/>
            </w:r>
          </w:hyperlink>
        </w:p>
        <w:p w14:paraId="113ECB47" w14:textId="32AB87C2" w:rsidR="00E95564" w:rsidRPr="00E95564" w:rsidRDefault="00000000">
          <w:pPr>
            <w:pStyle w:val="TOC1"/>
            <w:tabs>
              <w:tab w:val="right" w:leader="dot" w:pos="9016"/>
            </w:tabs>
            <w:rPr>
              <w:rFonts w:ascii="Arial" w:eastAsiaTheme="minorEastAsia" w:hAnsi="Arial" w:cs="Arial"/>
              <w:noProof/>
              <w:lang w:val="en-US"/>
            </w:rPr>
          </w:pPr>
          <w:hyperlink w:anchor="_Toc228917179" w:history="1">
            <w:r w:rsidR="00E95564" w:rsidRPr="00E95564">
              <w:rPr>
                <w:rStyle w:val="Hyperlink"/>
                <w:rFonts w:ascii="Arial" w:hAnsi="Arial" w:cs="Arial"/>
                <w:bCs/>
                <w:noProof/>
              </w:rPr>
              <w:t>List of Tables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_Toc228917179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8</w:t>
            </w:r>
            <w:r w:rsidR="00E95564" w:rsidRPr="00E95564">
              <w:rPr>
                <w:rFonts w:ascii="Arial" w:hAnsi="Arial" w:cs="Arial"/>
                <w:noProof/>
                <w:webHidden/>
              </w:rPr>
              <w:fldChar w:fldCharType="end"/>
            </w:r>
          </w:hyperlink>
        </w:p>
        <w:p w14:paraId="3109275B" w14:textId="5363B63F" w:rsidR="00E95564" w:rsidRPr="00E95564" w:rsidRDefault="00000000">
          <w:pPr>
            <w:pStyle w:val="TOC1"/>
            <w:tabs>
              <w:tab w:val="right" w:leader="dot" w:pos="9016"/>
            </w:tabs>
            <w:rPr>
              <w:rFonts w:ascii="Arial" w:eastAsiaTheme="minorEastAsia" w:hAnsi="Arial" w:cs="Arial"/>
              <w:noProof/>
              <w:lang w:val="en-US"/>
            </w:rPr>
          </w:pPr>
          <w:hyperlink w:anchor="_Toc228917180" w:history="1">
            <w:r w:rsidR="00E95564" w:rsidRPr="00E95564">
              <w:rPr>
                <w:rStyle w:val="Hyperlink"/>
                <w:rFonts w:ascii="Arial" w:hAnsi="Arial" w:cs="Arial"/>
                <w:bCs/>
                <w:noProof/>
              </w:rPr>
              <w:t>List of Figures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8</w:t>
            </w:r>
            <w:r w:rsidR="00E95564" w:rsidRPr="00E95564">
              <w:rPr>
                <w:rFonts w:ascii="Arial" w:hAnsi="Arial" w:cs="Arial"/>
                <w:noProof/>
                <w:webHidden/>
              </w:rPr>
              <w:fldChar w:fldCharType="end"/>
            </w:r>
          </w:hyperlink>
        </w:p>
        <w:p w14:paraId="47378940" w14:textId="25CDCC3D" w:rsidR="00E95564" w:rsidRPr="00E95564" w:rsidRDefault="00000000">
          <w:pPr>
            <w:pStyle w:val="TOC1"/>
            <w:tabs>
              <w:tab w:val="right" w:leader="dot" w:pos="9016"/>
            </w:tabs>
            <w:rPr>
              <w:rFonts w:ascii="Arial" w:eastAsiaTheme="minorEastAsia" w:hAnsi="Arial" w:cs="Arial"/>
              <w:noProof/>
              <w:lang w:val="en-US"/>
            </w:rPr>
          </w:pPr>
          <w:hyperlink w:anchor="_Toc228917181" w:history="1">
            <w:r w:rsidR="00E95564" w:rsidRPr="00E95564">
              <w:rPr>
                <w:rStyle w:val="Hyperlink"/>
                <w:rFonts w:ascii="Arial" w:hAnsi="Arial" w:cs="Arial"/>
                <w:noProof/>
              </w:rPr>
              <w:t>Glossary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9</w:t>
            </w:r>
            <w:r w:rsidR="00E95564" w:rsidRPr="00E95564">
              <w:rPr>
                <w:rFonts w:ascii="Arial" w:hAnsi="Arial" w:cs="Arial"/>
                <w:noProof/>
                <w:webHidden/>
              </w:rPr>
              <w:fldChar w:fldCharType="end"/>
            </w:r>
          </w:hyperlink>
        </w:p>
        <w:p w14:paraId="3899491F" w14:textId="05AA9DCD" w:rsidR="00E95564" w:rsidRPr="00E95564" w:rsidRDefault="00000000">
          <w:pPr>
            <w:pStyle w:val="TOC1"/>
            <w:tabs>
              <w:tab w:val="right" w:leader="dot" w:pos="9016"/>
            </w:tabs>
            <w:rPr>
              <w:rFonts w:ascii="Arial" w:eastAsiaTheme="minorEastAsia" w:hAnsi="Arial" w:cs="Arial"/>
              <w:noProof/>
              <w:lang w:val="en-US"/>
            </w:rPr>
          </w:pPr>
          <w:hyperlink w:anchor="_Toc228917182" w:history="1">
            <w:r w:rsidR="00E95564" w:rsidRPr="00E95564">
              <w:rPr>
                <w:rStyle w:val="Hyperlink"/>
                <w:rFonts w:ascii="Arial" w:hAnsi="Arial" w:cs="Arial"/>
                <w:noProof/>
              </w:rPr>
              <w:t>Chapter 1: Introduction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10</w:t>
            </w:r>
            <w:r w:rsidR="00E95564" w:rsidRPr="00E95564">
              <w:rPr>
                <w:rFonts w:ascii="Arial" w:hAnsi="Arial" w:cs="Arial"/>
                <w:noProof/>
                <w:webHidden/>
              </w:rPr>
              <w:fldChar w:fldCharType="end"/>
            </w:r>
          </w:hyperlink>
        </w:p>
        <w:p w14:paraId="6B97012D" w14:textId="75EB74A3" w:rsidR="00E95564" w:rsidRPr="00E95564" w:rsidRDefault="00000000">
          <w:pPr>
            <w:pStyle w:val="TOC2"/>
            <w:tabs>
              <w:tab w:val="right" w:leader="dot" w:pos="9016"/>
            </w:tabs>
            <w:rPr>
              <w:rFonts w:ascii="Arial" w:eastAsiaTheme="minorEastAsia" w:hAnsi="Arial" w:cs="Arial"/>
              <w:noProof/>
              <w:lang w:val="en-US"/>
            </w:rPr>
          </w:pPr>
          <w:hyperlink w:anchor="_Toc228917183" w:history="1">
            <w:r w:rsidR="00E95564" w:rsidRPr="00E95564">
              <w:rPr>
                <w:rStyle w:val="Hyperlink"/>
                <w:rFonts w:ascii="Arial" w:hAnsi="Arial" w:cs="Arial"/>
                <w:noProof/>
              </w:rPr>
              <w:t>1.1 Background and Context</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10</w:t>
            </w:r>
            <w:r w:rsidR="00E95564" w:rsidRPr="00E95564">
              <w:rPr>
                <w:rFonts w:ascii="Arial" w:hAnsi="Arial" w:cs="Arial"/>
                <w:noProof/>
                <w:webHidden/>
              </w:rPr>
              <w:fldChar w:fldCharType="end"/>
            </w:r>
          </w:hyperlink>
        </w:p>
        <w:p w14:paraId="1B15102A" w14:textId="7D6DFBB7" w:rsidR="00E95564" w:rsidRPr="00E95564" w:rsidRDefault="00000000">
          <w:pPr>
            <w:pStyle w:val="TOC2"/>
            <w:tabs>
              <w:tab w:val="right" w:leader="dot" w:pos="9016"/>
            </w:tabs>
            <w:rPr>
              <w:rFonts w:ascii="Arial" w:eastAsiaTheme="minorEastAsia" w:hAnsi="Arial" w:cs="Arial"/>
              <w:noProof/>
              <w:lang w:val="en-US"/>
            </w:rPr>
          </w:pPr>
          <w:hyperlink w:anchor="_Toc228917184" w:history="1">
            <w:r w:rsidR="00E95564" w:rsidRPr="00E95564">
              <w:rPr>
                <w:rStyle w:val="Hyperlink"/>
                <w:rFonts w:ascii="Arial" w:hAnsi="Arial" w:cs="Arial"/>
                <w:noProof/>
              </w:rPr>
              <w:t>1.2 Research Gap</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10</w:t>
            </w:r>
            <w:r w:rsidR="00E95564" w:rsidRPr="00E95564">
              <w:rPr>
                <w:rFonts w:ascii="Arial" w:hAnsi="Arial" w:cs="Arial"/>
                <w:noProof/>
                <w:webHidden/>
              </w:rPr>
              <w:fldChar w:fldCharType="end"/>
            </w:r>
          </w:hyperlink>
        </w:p>
        <w:p w14:paraId="1219D5A1" w14:textId="6D2DE762" w:rsidR="00E95564" w:rsidRPr="00E95564" w:rsidRDefault="00000000">
          <w:pPr>
            <w:pStyle w:val="TOC2"/>
            <w:tabs>
              <w:tab w:val="right" w:leader="dot" w:pos="9016"/>
            </w:tabs>
            <w:rPr>
              <w:rFonts w:ascii="Arial" w:eastAsiaTheme="minorEastAsia" w:hAnsi="Arial" w:cs="Arial"/>
              <w:noProof/>
              <w:lang w:val="en-US"/>
            </w:rPr>
          </w:pPr>
          <w:hyperlink w:anchor="_Toc228917185" w:history="1">
            <w:r w:rsidR="00E95564" w:rsidRPr="00E95564">
              <w:rPr>
                <w:rStyle w:val="Hyperlink"/>
                <w:rFonts w:ascii="Arial" w:hAnsi="Arial" w:cs="Arial"/>
                <w:noProof/>
              </w:rPr>
              <w:t>1.3 Financial Risk in Forex Markets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11</w:t>
            </w:r>
            <w:r w:rsidR="00E95564" w:rsidRPr="00E95564">
              <w:rPr>
                <w:rFonts w:ascii="Arial" w:hAnsi="Arial" w:cs="Arial"/>
                <w:noProof/>
                <w:webHidden/>
              </w:rPr>
              <w:fldChar w:fldCharType="end"/>
            </w:r>
          </w:hyperlink>
        </w:p>
        <w:p w14:paraId="04254813" w14:textId="0345BF8E" w:rsidR="00E95564" w:rsidRPr="00E95564" w:rsidRDefault="00000000">
          <w:pPr>
            <w:pStyle w:val="TOC2"/>
            <w:tabs>
              <w:tab w:val="right" w:leader="dot" w:pos="9016"/>
            </w:tabs>
            <w:rPr>
              <w:rFonts w:ascii="Arial" w:eastAsiaTheme="minorEastAsia" w:hAnsi="Arial" w:cs="Arial"/>
              <w:noProof/>
              <w:lang w:val="en-US"/>
            </w:rPr>
          </w:pPr>
          <w:hyperlink w:anchor="_Toc228917186" w:history="1">
            <w:r w:rsidR="00E95564" w:rsidRPr="00E95564">
              <w:rPr>
                <w:rStyle w:val="Hyperlink"/>
                <w:rFonts w:ascii="Arial" w:hAnsi="Arial" w:cs="Arial"/>
                <w:noProof/>
              </w:rPr>
              <w:t>1.4 Risk Management Strategies and Hedging Practices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12</w:t>
            </w:r>
            <w:r w:rsidR="00E95564" w:rsidRPr="00E95564">
              <w:rPr>
                <w:rFonts w:ascii="Arial" w:hAnsi="Arial" w:cs="Arial"/>
                <w:noProof/>
                <w:webHidden/>
              </w:rPr>
              <w:fldChar w:fldCharType="end"/>
            </w:r>
          </w:hyperlink>
        </w:p>
        <w:p w14:paraId="254AB86D" w14:textId="13C56E1A" w:rsidR="00E95564" w:rsidRPr="00E95564" w:rsidRDefault="00000000">
          <w:pPr>
            <w:pStyle w:val="TOC2"/>
            <w:tabs>
              <w:tab w:val="right" w:leader="dot" w:pos="9016"/>
            </w:tabs>
            <w:rPr>
              <w:rFonts w:ascii="Arial" w:eastAsiaTheme="minorEastAsia" w:hAnsi="Arial" w:cs="Arial"/>
              <w:noProof/>
              <w:lang w:val="en-US"/>
            </w:rPr>
          </w:pPr>
          <w:hyperlink w:anchor="_Toc228917187" w:history="1">
            <w:r w:rsidR="00E95564" w:rsidRPr="00E95564">
              <w:rPr>
                <w:rStyle w:val="Hyperlink"/>
                <w:rFonts w:ascii="Arial" w:hAnsi="Arial" w:cs="Arial"/>
                <w:noProof/>
              </w:rPr>
              <w:t>1.5 Research Aim, Objectives and Questions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13</w:t>
            </w:r>
            <w:r w:rsidR="00E95564" w:rsidRPr="00E95564">
              <w:rPr>
                <w:rFonts w:ascii="Arial" w:hAnsi="Arial" w:cs="Arial"/>
                <w:noProof/>
                <w:webHidden/>
              </w:rPr>
              <w:fldChar w:fldCharType="end"/>
            </w:r>
          </w:hyperlink>
        </w:p>
        <w:p w14:paraId="3E91F7ED" w14:textId="3FE15257" w:rsidR="00E95564" w:rsidRPr="00E95564" w:rsidRDefault="00000000">
          <w:pPr>
            <w:pStyle w:val="TOC2"/>
            <w:tabs>
              <w:tab w:val="right" w:leader="dot" w:pos="9016"/>
            </w:tabs>
            <w:rPr>
              <w:rFonts w:ascii="Arial" w:eastAsiaTheme="minorEastAsia" w:hAnsi="Arial" w:cs="Arial"/>
              <w:noProof/>
              <w:lang w:val="en-US"/>
            </w:rPr>
          </w:pPr>
          <w:hyperlink w:anchor="_Toc228917188" w:history="1">
            <w:r w:rsidR="00E95564" w:rsidRPr="00E95564">
              <w:rPr>
                <w:rStyle w:val="Hyperlink"/>
                <w:rFonts w:ascii="Arial" w:hAnsi="Arial" w:cs="Arial"/>
                <w:noProof/>
              </w:rPr>
              <w:t>1.6 Significance of the Study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13</w:t>
            </w:r>
            <w:r w:rsidR="00E95564" w:rsidRPr="00E95564">
              <w:rPr>
                <w:rFonts w:ascii="Arial" w:hAnsi="Arial" w:cs="Arial"/>
                <w:noProof/>
                <w:webHidden/>
              </w:rPr>
              <w:fldChar w:fldCharType="end"/>
            </w:r>
          </w:hyperlink>
        </w:p>
        <w:p w14:paraId="00E12022" w14:textId="791E11EE" w:rsidR="00E95564" w:rsidRPr="00E95564" w:rsidRDefault="00000000">
          <w:pPr>
            <w:pStyle w:val="TOC2"/>
            <w:tabs>
              <w:tab w:val="right" w:leader="dot" w:pos="9016"/>
            </w:tabs>
            <w:rPr>
              <w:rFonts w:ascii="Arial" w:eastAsiaTheme="minorEastAsia" w:hAnsi="Arial" w:cs="Arial"/>
              <w:noProof/>
              <w:lang w:val="en-US"/>
            </w:rPr>
          </w:pPr>
          <w:hyperlink w:anchor="_Toc228917189" w:history="1">
            <w:r w:rsidR="00E95564" w:rsidRPr="00E95564">
              <w:rPr>
                <w:rStyle w:val="Hyperlink"/>
                <w:rFonts w:ascii="Arial" w:hAnsi="Arial" w:cs="Arial"/>
                <w:noProof/>
              </w:rPr>
              <w:t>1.7 Structure of the Dissertation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_Toc228917189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14</w:t>
            </w:r>
            <w:r w:rsidR="00E95564" w:rsidRPr="00E95564">
              <w:rPr>
                <w:rFonts w:ascii="Arial" w:hAnsi="Arial" w:cs="Arial"/>
                <w:noProof/>
                <w:webHidden/>
              </w:rPr>
              <w:fldChar w:fldCharType="end"/>
            </w:r>
          </w:hyperlink>
        </w:p>
        <w:p w14:paraId="579A7471" w14:textId="2E2472EC" w:rsidR="00E95564" w:rsidRPr="00E95564" w:rsidRDefault="00000000">
          <w:pPr>
            <w:pStyle w:val="TOC1"/>
            <w:tabs>
              <w:tab w:val="right" w:leader="dot" w:pos="9016"/>
            </w:tabs>
            <w:rPr>
              <w:rFonts w:ascii="Arial" w:eastAsiaTheme="minorEastAsia" w:hAnsi="Arial" w:cs="Arial"/>
              <w:noProof/>
              <w:lang w:val="en-US"/>
            </w:rPr>
          </w:pPr>
          <w:hyperlink w:anchor="_Toc228917190" w:history="1">
            <w:r w:rsidR="00E95564" w:rsidRPr="00E95564">
              <w:rPr>
                <w:rStyle w:val="Hyperlink"/>
                <w:rFonts w:ascii="Arial" w:hAnsi="Arial" w:cs="Arial"/>
                <w:noProof/>
              </w:rPr>
              <w:t>Chapter 2: Literature Review</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15</w:t>
            </w:r>
            <w:r w:rsidR="00E95564" w:rsidRPr="00E95564">
              <w:rPr>
                <w:rFonts w:ascii="Arial" w:hAnsi="Arial" w:cs="Arial"/>
                <w:noProof/>
                <w:webHidden/>
              </w:rPr>
              <w:fldChar w:fldCharType="end"/>
            </w:r>
          </w:hyperlink>
        </w:p>
        <w:p w14:paraId="5B7206D1" w14:textId="519E9858" w:rsidR="00E95564" w:rsidRPr="00E95564" w:rsidRDefault="00000000">
          <w:pPr>
            <w:pStyle w:val="TOC2"/>
            <w:tabs>
              <w:tab w:val="right" w:leader="dot" w:pos="9016"/>
            </w:tabs>
            <w:rPr>
              <w:rFonts w:ascii="Arial" w:eastAsiaTheme="minorEastAsia" w:hAnsi="Arial" w:cs="Arial"/>
              <w:noProof/>
              <w:lang w:val="en-US"/>
            </w:rPr>
          </w:pPr>
          <w:hyperlink w:anchor="_Toc228917191" w:history="1">
            <w:r w:rsidR="00E95564" w:rsidRPr="00E95564">
              <w:rPr>
                <w:rStyle w:val="Hyperlink"/>
                <w:rFonts w:ascii="Arial" w:hAnsi="Arial" w:cs="Arial"/>
                <w:noProof/>
              </w:rPr>
              <w:t>2.1 Introduction to the Literature Review</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15</w:t>
            </w:r>
            <w:r w:rsidR="00E95564" w:rsidRPr="00E95564">
              <w:rPr>
                <w:rFonts w:ascii="Arial" w:hAnsi="Arial" w:cs="Arial"/>
                <w:noProof/>
                <w:webHidden/>
              </w:rPr>
              <w:fldChar w:fldCharType="end"/>
            </w:r>
          </w:hyperlink>
        </w:p>
        <w:p w14:paraId="407C5738" w14:textId="675235BC" w:rsidR="00E95564" w:rsidRPr="00E95564" w:rsidRDefault="00000000">
          <w:pPr>
            <w:pStyle w:val="TOC2"/>
            <w:tabs>
              <w:tab w:val="right" w:leader="dot" w:pos="9016"/>
            </w:tabs>
            <w:rPr>
              <w:rFonts w:ascii="Arial" w:eastAsiaTheme="minorEastAsia" w:hAnsi="Arial" w:cs="Arial"/>
              <w:noProof/>
              <w:lang w:val="en-US"/>
            </w:rPr>
          </w:pPr>
          <w:hyperlink w:anchor="_Toc228917192" w:history="1">
            <w:r w:rsidR="00E95564" w:rsidRPr="00E95564">
              <w:rPr>
                <w:rStyle w:val="Hyperlink"/>
                <w:rFonts w:ascii="Arial" w:hAnsi="Arial" w:cs="Arial"/>
                <w:noProof/>
              </w:rPr>
              <w:t>2.2 Theoretical Foundations of Financial Risk Management in Forex Markets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16</w:t>
            </w:r>
            <w:r w:rsidR="00E95564" w:rsidRPr="00E95564">
              <w:rPr>
                <w:rFonts w:ascii="Arial" w:hAnsi="Arial" w:cs="Arial"/>
                <w:noProof/>
                <w:webHidden/>
              </w:rPr>
              <w:fldChar w:fldCharType="end"/>
            </w:r>
          </w:hyperlink>
        </w:p>
        <w:p w14:paraId="7D2ACA45" w14:textId="710D3BE3" w:rsidR="00E95564" w:rsidRPr="00E95564" w:rsidRDefault="00000000">
          <w:pPr>
            <w:pStyle w:val="TOC3"/>
            <w:tabs>
              <w:tab w:val="right" w:leader="dot" w:pos="9016"/>
            </w:tabs>
            <w:rPr>
              <w:rFonts w:ascii="Arial" w:eastAsiaTheme="minorEastAsia" w:hAnsi="Arial" w:cs="Arial"/>
              <w:noProof/>
              <w:lang w:val="en-US"/>
            </w:rPr>
          </w:pPr>
          <w:hyperlink w:anchor="_Toc228917193" w:history="1">
            <w:r w:rsidR="00E95564" w:rsidRPr="00E95564">
              <w:rPr>
                <w:rStyle w:val="Hyperlink"/>
                <w:rFonts w:ascii="Arial" w:hAnsi="Arial" w:cs="Arial"/>
                <w:noProof/>
              </w:rPr>
              <w:t>2.2.1 Risk–Return Trade-Off and Portfolio Theory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16</w:t>
            </w:r>
            <w:r w:rsidR="00E95564" w:rsidRPr="00E95564">
              <w:rPr>
                <w:rFonts w:ascii="Arial" w:hAnsi="Arial" w:cs="Arial"/>
                <w:noProof/>
                <w:webHidden/>
              </w:rPr>
              <w:fldChar w:fldCharType="end"/>
            </w:r>
          </w:hyperlink>
        </w:p>
        <w:p w14:paraId="6D9EAB7B" w14:textId="7E6CCAD7" w:rsidR="00E95564" w:rsidRPr="00E95564" w:rsidRDefault="00000000">
          <w:pPr>
            <w:pStyle w:val="TOC3"/>
            <w:tabs>
              <w:tab w:val="right" w:leader="dot" w:pos="9016"/>
            </w:tabs>
            <w:rPr>
              <w:rFonts w:ascii="Arial" w:eastAsiaTheme="minorEastAsia" w:hAnsi="Arial" w:cs="Arial"/>
              <w:noProof/>
              <w:lang w:val="en-US"/>
            </w:rPr>
          </w:pPr>
          <w:hyperlink w:anchor="_Toc228917194" w:history="1">
            <w:r w:rsidR="00E95564" w:rsidRPr="00E95564">
              <w:rPr>
                <w:rStyle w:val="Hyperlink"/>
                <w:rFonts w:ascii="Arial" w:hAnsi="Arial" w:cs="Arial"/>
                <w:noProof/>
              </w:rPr>
              <w:t>2.2.2 Market Efficiency and Exchange Rate Determination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16</w:t>
            </w:r>
            <w:r w:rsidR="00E95564" w:rsidRPr="00E95564">
              <w:rPr>
                <w:rFonts w:ascii="Arial" w:hAnsi="Arial" w:cs="Arial"/>
                <w:noProof/>
                <w:webHidden/>
              </w:rPr>
              <w:fldChar w:fldCharType="end"/>
            </w:r>
          </w:hyperlink>
        </w:p>
        <w:p w14:paraId="7B25759B" w14:textId="78DBD79E" w:rsidR="00E95564" w:rsidRPr="00E95564" w:rsidRDefault="00000000">
          <w:pPr>
            <w:pStyle w:val="TOC3"/>
            <w:tabs>
              <w:tab w:val="right" w:leader="dot" w:pos="9016"/>
            </w:tabs>
            <w:rPr>
              <w:rFonts w:ascii="Arial" w:eastAsiaTheme="minorEastAsia" w:hAnsi="Arial" w:cs="Arial"/>
              <w:noProof/>
              <w:lang w:val="en-US"/>
            </w:rPr>
          </w:pPr>
          <w:hyperlink w:anchor="_Toc228917195" w:history="1">
            <w:r w:rsidR="00E95564" w:rsidRPr="00E95564">
              <w:rPr>
                <w:rStyle w:val="Hyperlink"/>
                <w:rFonts w:ascii="Arial" w:hAnsi="Arial" w:cs="Arial"/>
                <w:noProof/>
              </w:rPr>
              <w:t>2.2.3 Theory of Hedging off the risk and risk avoidance</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17</w:t>
            </w:r>
            <w:r w:rsidR="00E95564" w:rsidRPr="00E95564">
              <w:rPr>
                <w:rFonts w:ascii="Arial" w:hAnsi="Arial" w:cs="Arial"/>
                <w:noProof/>
                <w:webHidden/>
              </w:rPr>
              <w:fldChar w:fldCharType="end"/>
            </w:r>
          </w:hyperlink>
        </w:p>
        <w:p w14:paraId="671DB91C" w14:textId="01BB4D75" w:rsidR="00E95564" w:rsidRPr="00E95564" w:rsidRDefault="00000000">
          <w:pPr>
            <w:pStyle w:val="TOC3"/>
            <w:tabs>
              <w:tab w:val="right" w:leader="dot" w:pos="9016"/>
            </w:tabs>
            <w:rPr>
              <w:rFonts w:ascii="Arial" w:eastAsiaTheme="minorEastAsia" w:hAnsi="Arial" w:cs="Arial"/>
              <w:noProof/>
              <w:lang w:val="en-US"/>
            </w:rPr>
          </w:pPr>
          <w:hyperlink w:anchor="_Toc228917196" w:history="1">
            <w:r w:rsidR="00E95564" w:rsidRPr="00E95564">
              <w:rPr>
                <w:rStyle w:val="Hyperlink"/>
                <w:rFonts w:ascii="Arial" w:hAnsi="Arial" w:cs="Arial"/>
                <w:noProof/>
              </w:rPr>
              <w:t>2.2.4 Theoretical Limitations and Measurement of Risk</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17</w:t>
            </w:r>
            <w:r w:rsidR="00E95564" w:rsidRPr="00E95564">
              <w:rPr>
                <w:rFonts w:ascii="Arial" w:hAnsi="Arial" w:cs="Arial"/>
                <w:noProof/>
                <w:webHidden/>
              </w:rPr>
              <w:fldChar w:fldCharType="end"/>
            </w:r>
          </w:hyperlink>
        </w:p>
        <w:p w14:paraId="7A536679" w14:textId="06F288B8" w:rsidR="00E95564" w:rsidRPr="00E95564" w:rsidRDefault="00000000">
          <w:pPr>
            <w:pStyle w:val="TOC2"/>
            <w:tabs>
              <w:tab w:val="right" w:leader="dot" w:pos="9016"/>
            </w:tabs>
            <w:rPr>
              <w:rFonts w:ascii="Arial" w:eastAsiaTheme="minorEastAsia" w:hAnsi="Arial" w:cs="Arial"/>
              <w:noProof/>
              <w:lang w:val="en-US"/>
            </w:rPr>
          </w:pPr>
          <w:hyperlink w:anchor="_Toc228917197" w:history="1">
            <w:r w:rsidR="00E95564" w:rsidRPr="00E95564">
              <w:rPr>
                <w:rStyle w:val="Hyperlink"/>
                <w:rFonts w:ascii="Arial" w:hAnsi="Arial" w:cs="Arial"/>
                <w:noProof/>
              </w:rPr>
              <w:t>2.3 Exchange Rate Volatility and Risk Transmission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18</w:t>
            </w:r>
            <w:r w:rsidR="00E95564" w:rsidRPr="00E95564">
              <w:rPr>
                <w:rFonts w:ascii="Arial" w:hAnsi="Arial" w:cs="Arial"/>
                <w:noProof/>
                <w:webHidden/>
              </w:rPr>
              <w:fldChar w:fldCharType="end"/>
            </w:r>
          </w:hyperlink>
        </w:p>
        <w:p w14:paraId="6C8F2119" w14:textId="6C77868C" w:rsidR="00E95564" w:rsidRPr="00E95564" w:rsidRDefault="00000000">
          <w:pPr>
            <w:pStyle w:val="TOC3"/>
            <w:tabs>
              <w:tab w:val="right" w:leader="dot" w:pos="9016"/>
            </w:tabs>
            <w:rPr>
              <w:rFonts w:ascii="Arial" w:eastAsiaTheme="minorEastAsia" w:hAnsi="Arial" w:cs="Arial"/>
              <w:noProof/>
              <w:lang w:val="en-US"/>
            </w:rPr>
          </w:pPr>
          <w:hyperlink w:anchor="_Toc228917198" w:history="1">
            <w:r w:rsidR="00E95564" w:rsidRPr="00E95564">
              <w:rPr>
                <w:rStyle w:val="Hyperlink"/>
                <w:rFonts w:ascii="Arial" w:hAnsi="Arial" w:cs="Arial"/>
                <w:noProof/>
              </w:rPr>
              <w:t>2.3.1 Characteristics of Forex Volatility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18</w:t>
            </w:r>
            <w:r w:rsidR="00E95564" w:rsidRPr="00E95564">
              <w:rPr>
                <w:rFonts w:ascii="Arial" w:hAnsi="Arial" w:cs="Arial"/>
                <w:noProof/>
                <w:webHidden/>
              </w:rPr>
              <w:fldChar w:fldCharType="end"/>
            </w:r>
          </w:hyperlink>
        </w:p>
        <w:p w14:paraId="49F5A0B6" w14:textId="5F732A65" w:rsidR="00E95564" w:rsidRPr="00E95564" w:rsidRDefault="00000000">
          <w:pPr>
            <w:pStyle w:val="TOC3"/>
            <w:tabs>
              <w:tab w:val="right" w:leader="dot" w:pos="9016"/>
            </w:tabs>
            <w:rPr>
              <w:rFonts w:ascii="Arial" w:eastAsiaTheme="minorEastAsia" w:hAnsi="Arial" w:cs="Arial"/>
              <w:noProof/>
              <w:lang w:val="en-US"/>
            </w:rPr>
          </w:pPr>
          <w:hyperlink w:anchor="_Toc228917199" w:history="1">
            <w:r w:rsidR="00E95564" w:rsidRPr="00E95564">
              <w:rPr>
                <w:rStyle w:val="Hyperlink"/>
                <w:rFonts w:ascii="Arial" w:hAnsi="Arial" w:cs="Arial"/>
                <w:noProof/>
              </w:rPr>
              <w:t>2.3.2 Volatility Spillovers and Dynamic Connectedness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_Toc228917199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19</w:t>
            </w:r>
            <w:r w:rsidR="00E95564" w:rsidRPr="00E95564">
              <w:rPr>
                <w:rFonts w:ascii="Arial" w:hAnsi="Arial" w:cs="Arial"/>
                <w:noProof/>
                <w:webHidden/>
              </w:rPr>
              <w:fldChar w:fldCharType="end"/>
            </w:r>
          </w:hyperlink>
        </w:p>
        <w:p w14:paraId="6F233DDB" w14:textId="69D6D0EE" w:rsidR="00E95564" w:rsidRPr="00E95564" w:rsidRDefault="00000000">
          <w:pPr>
            <w:pStyle w:val="TOC3"/>
            <w:tabs>
              <w:tab w:val="right" w:leader="dot" w:pos="9016"/>
            </w:tabs>
            <w:rPr>
              <w:rFonts w:ascii="Arial" w:eastAsiaTheme="minorEastAsia" w:hAnsi="Arial" w:cs="Arial"/>
              <w:noProof/>
              <w:lang w:val="en-US"/>
            </w:rPr>
          </w:pPr>
          <w:hyperlink w:anchor="_Toc228917200" w:history="1">
            <w:r w:rsidR="00E95564" w:rsidRPr="00E95564">
              <w:rPr>
                <w:rStyle w:val="Hyperlink"/>
                <w:rFonts w:ascii="Arial" w:hAnsi="Arial" w:cs="Arial"/>
                <w:noProof/>
              </w:rPr>
              <w:t>2.3.3 Tail Risk and Extreme Event Transmission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20</w:t>
            </w:r>
            <w:r w:rsidR="00E95564" w:rsidRPr="00E95564">
              <w:rPr>
                <w:rFonts w:ascii="Arial" w:hAnsi="Arial" w:cs="Arial"/>
                <w:noProof/>
                <w:webHidden/>
              </w:rPr>
              <w:fldChar w:fldCharType="end"/>
            </w:r>
          </w:hyperlink>
        </w:p>
        <w:p w14:paraId="3608EF4C" w14:textId="11CE7109" w:rsidR="00E95564" w:rsidRPr="00E95564" w:rsidRDefault="00000000">
          <w:pPr>
            <w:pStyle w:val="TOC2"/>
            <w:tabs>
              <w:tab w:val="right" w:leader="dot" w:pos="9016"/>
            </w:tabs>
            <w:rPr>
              <w:rFonts w:ascii="Arial" w:eastAsiaTheme="minorEastAsia" w:hAnsi="Arial" w:cs="Arial"/>
              <w:noProof/>
              <w:lang w:val="en-US"/>
            </w:rPr>
          </w:pPr>
          <w:hyperlink w:anchor="_Toc228917201" w:history="1">
            <w:r w:rsidR="00E95564" w:rsidRPr="00E95564">
              <w:rPr>
                <w:rStyle w:val="Hyperlink"/>
                <w:rFonts w:ascii="Arial" w:hAnsi="Arial" w:cs="Arial"/>
                <w:noProof/>
              </w:rPr>
              <w:t>2.4 Risk Measurement Techniques in Forex Markets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20</w:t>
            </w:r>
            <w:r w:rsidR="00E95564" w:rsidRPr="00E95564">
              <w:rPr>
                <w:rFonts w:ascii="Arial" w:hAnsi="Arial" w:cs="Arial"/>
                <w:noProof/>
                <w:webHidden/>
              </w:rPr>
              <w:fldChar w:fldCharType="end"/>
            </w:r>
          </w:hyperlink>
        </w:p>
        <w:p w14:paraId="0FD11074" w14:textId="37B50FE3" w:rsidR="00E95564" w:rsidRPr="00E95564" w:rsidRDefault="00000000">
          <w:pPr>
            <w:pStyle w:val="TOC3"/>
            <w:tabs>
              <w:tab w:val="right" w:leader="dot" w:pos="9016"/>
            </w:tabs>
            <w:rPr>
              <w:rFonts w:ascii="Arial" w:eastAsiaTheme="minorEastAsia" w:hAnsi="Arial" w:cs="Arial"/>
              <w:noProof/>
              <w:lang w:val="en-US"/>
            </w:rPr>
          </w:pPr>
          <w:hyperlink w:anchor="_Toc228917202" w:history="1">
            <w:r w:rsidR="00E95564" w:rsidRPr="00E95564">
              <w:rPr>
                <w:rStyle w:val="Hyperlink"/>
                <w:rFonts w:ascii="Arial" w:hAnsi="Arial" w:cs="Arial"/>
                <w:noProof/>
              </w:rPr>
              <w:t>2.4.1 Traditional Volatility-Based Risk Metrics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21</w:t>
            </w:r>
            <w:r w:rsidR="00E95564" w:rsidRPr="00E95564">
              <w:rPr>
                <w:rFonts w:ascii="Arial" w:hAnsi="Arial" w:cs="Arial"/>
                <w:noProof/>
                <w:webHidden/>
              </w:rPr>
              <w:fldChar w:fldCharType="end"/>
            </w:r>
          </w:hyperlink>
        </w:p>
        <w:p w14:paraId="6270DD73" w14:textId="0B2F24ED" w:rsidR="00E95564" w:rsidRPr="00E95564" w:rsidRDefault="00000000">
          <w:pPr>
            <w:pStyle w:val="TOC3"/>
            <w:tabs>
              <w:tab w:val="right" w:leader="dot" w:pos="9016"/>
            </w:tabs>
            <w:rPr>
              <w:rFonts w:ascii="Arial" w:eastAsiaTheme="minorEastAsia" w:hAnsi="Arial" w:cs="Arial"/>
              <w:noProof/>
              <w:lang w:val="en-US"/>
            </w:rPr>
          </w:pPr>
          <w:hyperlink w:anchor="_Toc228917203" w:history="1">
            <w:r w:rsidR="00E95564" w:rsidRPr="00E95564">
              <w:rPr>
                <w:rStyle w:val="Hyperlink"/>
                <w:rFonts w:ascii="Arial" w:hAnsi="Arial" w:cs="Arial"/>
                <w:noProof/>
              </w:rPr>
              <w:t>2.4.2 Dependence Modelling and Tail Risk Estimation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21</w:t>
            </w:r>
            <w:r w:rsidR="00E95564" w:rsidRPr="00E95564">
              <w:rPr>
                <w:rFonts w:ascii="Arial" w:hAnsi="Arial" w:cs="Arial"/>
                <w:noProof/>
                <w:webHidden/>
              </w:rPr>
              <w:fldChar w:fldCharType="end"/>
            </w:r>
          </w:hyperlink>
        </w:p>
        <w:p w14:paraId="1EEC5E2B" w14:textId="132931F1" w:rsidR="00E95564" w:rsidRPr="00E95564" w:rsidRDefault="00000000">
          <w:pPr>
            <w:pStyle w:val="TOC3"/>
            <w:tabs>
              <w:tab w:val="right" w:leader="dot" w:pos="9016"/>
            </w:tabs>
            <w:rPr>
              <w:rFonts w:ascii="Arial" w:eastAsiaTheme="minorEastAsia" w:hAnsi="Arial" w:cs="Arial"/>
              <w:noProof/>
              <w:lang w:val="en-US"/>
            </w:rPr>
          </w:pPr>
          <w:hyperlink w:anchor="_Toc228917204" w:history="1">
            <w:r w:rsidR="00E95564" w:rsidRPr="00E95564">
              <w:rPr>
                <w:rStyle w:val="Hyperlink"/>
                <w:rFonts w:ascii="Arial" w:hAnsi="Arial" w:cs="Arial"/>
                <w:noProof/>
              </w:rPr>
              <w:t>2.4.3 Machine Learning and Hybrid Forecasting Models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22</w:t>
            </w:r>
            <w:r w:rsidR="00E95564" w:rsidRPr="00E95564">
              <w:rPr>
                <w:rFonts w:ascii="Arial" w:hAnsi="Arial" w:cs="Arial"/>
                <w:noProof/>
                <w:webHidden/>
              </w:rPr>
              <w:fldChar w:fldCharType="end"/>
            </w:r>
          </w:hyperlink>
        </w:p>
        <w:p w14:paraId="6CE565D8" w14:textId="410BE4EB" w:rsidR="00E95564" w:rsidRPr="00E95564" w:rsidRDefault="00000000">
          <w:pPr>
            <w:pStyle w:val="TOC3"/>
            <w:tabs>
              <w:tab w:val="right" w:leader="dot" w:pos="9016"/>
            </w:tabs>
            <w:rPr>
              <w:rFonts w:ascii="Arial" w:eastAsiaTheme="minorEastAsia" w:hAnsi="Arial" w:cs="Arial"/>
              <w:noProof/>
              <w:lang w:val="en-US"/>
            </w:rPr>
          </w:pPr>
          <w:hyperlink w:anchor="_Toc228917205" w:history="1">
            <w:r w:rsidR="00E95564" w:rsidRPr="00E95564">
              <w:rPr>
                <w:rStyle w:val="Hyperlink"/>
                <w:rFonts w:ascii="Arial" w:hAnsi="Arial" w:cs="Arial"/>
                <w:noProof/>
              </w:rPr>
              <w:t>2.4.4 Critical Evaluation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23</w:t>
            </w:r>
            <w:r w:rsidR="00E95564" w:rsidRPr="00E95564">
              <w:rPr>
                <w:rFonts w:ascii="Arial" w:hAnsi="Arial" w:cs="Arial"/>
                <w:noProof/>
                <w:webHidden/>
              </w:rPr>
              <w:fldChar w:fldCharType="end"/>
            </w:r>
          </w:hyperlink>
        </w:p>
        <w:p w14:paraId="37810196" w14:textId="13AF9ACF" w:rsidR="00E95564" w:rsidRPr="00E95564" w:rsidRDefault="00000000">
          <w:pPr>
            <w:pStyle w:val="TOC2"/>
            <w:tabs>
              <w:tab w:val="right" w:leader="dot" w:pos="9016"/>
            </w:tabs>
            <w:rPr>
              <w:rFonts w:ascii="Arial" w:eastAsiaTheme="minorEastAsia" w:hAnsi="Arial" w:cs="Arial"/>
              <w:noProof/>
              <w:lang w:val="en-US"/>
            </w:rPr>
          </w:pPr>
          <w:hyperlink w:anchor="_Toc228917206" w:history="1">
            <w:r w:rsidR="00E95564" w:rsidRPr="00E95564">
              <w:rPr>
                <w:rStyle w:val="Hyperlink"/>
                <w:rFonts w:ascii="Arial" w:hAnsi="Arial" w:cs="Arial"/>
                <w:noProof/>
              </w:rPr>
              <w:t>2.5 Hedging Strategies and Risk Mitigation in Forex Markets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24</w:t>
            </w:r>
            <w:r w:rsidR="00E95564" w:rsidRPr="00E95564">
              <w:rPr>
                <w:rFonts w:ascii="Arial" w:hAnsi="Arial" w:cs="Arial"/>
                <w:noProof/>
                <w:webHidden/>
              </w:rPr>
              <w:fldChar w:fldCharType="end"/>
            </w:r>
          </w:hyperlink>
        </w:p>
        <w:p w14:paraId="6B26A38B" w14:textId="7951B335" w:rsidR="00E95564" w:rsidRPr="00E95564" w:rsidRDefault="00000000">
          <w:pPr>
            <w:pStyle w:val="TOC2"/>
            <w:tabs>
              <w:tab w:val="right" w:leader="dot" w:pos="9016"/>
            </w:tabs>
            <w:rPr>
              <w:rFonts w:ascii="Arial" w:eastAsiaTheme="minorEastAsia" w:hAnsi="Arial" w:cs="Arial"/>
              <w:noProof/>
              <w:lang w:val="en-US"/>
            </w:rPr>
          </w:pPr>
          <w:hyperlink w:anchor="_Toc228917207" w:history="1">
            <w:r w:rsidR="00E95564" w:rsidRPr="00E95564">
              <w:rPr>
                <w:rStyle w:val="Hyperlink"/>
                <w:rFonts w:ascii="Arial" w:hAnsi="Arial" w:cs="Arial"/>
                <w:noProof/>
              </w:rPr>
              <w:t>2.6 Forex Trading Performance and Risk Discipline</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26</w:t>
            </w:r>
            <w:r w:rsidR="00E95564" w:rsidRPr="00E95564">
              <w:rPr>
                <w:rFonts w:ascii="Arial" w:hAnsi="Arial" w:cs="Arial"/>
                <w:noProof/>
                <w:webHidden/>
              </w:rPr>
              <w:fldChar w:fldCharType="end"/>
            </w:r>
          </w:hyperlink>
        </w:p>
        <w:p w14:paraId="445CF359" w14:textId="2D424CE0" w:rsidR="00E95564" w:rsidRPr="00E95564" w:rsidRDefault="00000000">
          <w:pPr>
            <w:pStyle w:val="TOC2"/>
            <w:tabs>
              <w:tab w:val="right" w:leader="dot" w:pos="9016"/>
            </w:tabs>
            <w:rPr>
              <w:rFonts w:ascii="Arial" w:eastAsiaTheme="minorEastAsia" w:hAnsi="Arial" w:cs="Arial"/>
              <w:noProof/>
              <w:lang w:val="en-US"/>
            </w:rPr>
          </w:pPr>
          <w:hyperlink w:anchor="_Toc228917208" w:history="1">
            <w:r w:rsidR="00E95564" w:rsidRPr="00E95564">
              <w:rPr>
                <w:rStyle w:val="Hyperlink"/>
                <w:rFonts w:ascii="Arial" w:hAnsi="Arial" w:cs="Arial"/>
                <w:noProof/>
              </w:rPr>
              <w:t>2.7 Synthesis of Literature</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27</w:t>
            </w:r>
            <w:r w:rsidR="00E95564" w:rsidRPr="00E95564">
              <w:rPr>
                <w:rFonts w:ascii="Arial" w:hAnsi="Arial" w:cs="Arial"/>
                <w:noProof/>
                <w:webHidden/>
              </w:rPr>
              <w:fldChar w:fldCharType="end"/>
            </w:r>
          </w:hyperlink>
        </w:p>
        <w:p w14:paraId="3CF06DE1" w14:textId="0B995634" w:rsidR="00E95564" w:rsidRPr="00E95564" w:rsidRDefault="00000000">
          <w:pPr>
            <w:pStyle w:val="TOC1"/>
            <w:tabs>
              <w:tab w:val="right" w:leader="dot" w:pos="9016"/>
            </w:tabs>
            <w:rPr>
              <w:rFonts w:ascii="Arial" w:eastAsiaTheme="minorEastAsia" w:hAnsi="Arial" w:cs="Arial"/>
              <w:noProof/>
              <w:lang w:val="en-US"/>
            </w:rPr>
          </w:pPr>
          <w:hyperlink w:anchor="_Toc228917209" w:history="1">
            <w:r w:rsidR="00E95564" w:rsidRPr="00E95564">
              <w:rPr>
                <w:rStyle w:val="Hyperlink"/>
                <w:rFonts w:ascii="Arial" w:hAnsi="Arial" w:cs="Arial"/>
                <w:noProof/>
              </w:rPr>
              <w:t>Chapter 3: Research Methodology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_Toc228917209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29</w:t>
            </w:r>
            <w:r w:rsidR="00E95564" w:rsidRPr="00E95564">
              <w:rPr>
                <w:rFonts w:ascii="Arial" w:hAnsi="Arial" w:cs="Arial"/>
                <w:noProof/>
                <w:webHidden/>
              </w:rPr>
              <w:fldChar w:fldCharType="end"/>
            </w:r>
          </w:hyperlink>
        </w:p>
        <w:p w14:paraId="6EB434B1" w14:textId="75629C7B" w:rsidR="00E95564" w:rsidRPr="00E95564" w:rsidRDefault="00000000">
          <w:pPr>
            <w:pStyle w:val="TOC2"/>
            <w:tabs>
              <w:tab w:val="right" w:leader="dot" w:pos="9016"/>
            </w:tabs>
            <w:rPr>
              <w:rFonts w:ascii="Arial" w:eastAsiaTheme="minorEastAsia" w:hAnsi="Arial" w:cs="Arial"/>
              <w:noProof/>
              <w:lang w:val="en-US"/>
            </w:rPr>
          </w:pPr>
          <w:hyperlink w:anchor="_Toc228917210" w:history="1">
            <w:r w:rsidR="00E95564" w:rsidRPr="00E95564">
              <w:rPr>
                <w:rStyle w:val="Hyperlink"/>
                <w:rFonts w:ascii="Arial" w:hAnsi="Arial" w:cs="Arial"/>
                <w:noProof/>
              </w:rPr>
              <w:t>3.1 Introduction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29</w:t>
            </w:r>
            <w:r w:rsidR="00E95564" w:rsidRPr="00E95564">
              <w:rPr>
                <w:rFonts w:ascii="Arial" w:hAnsi="Arial" w:cs="Arial"/>
                <w:noProof/>
                <w:webHidden/>
              </w:rPr>
              <w:fldChar w:fldCharType="end"/>
            </w:r>
          </w:hyperlink>
        </w:p>
        <w:p w14:paraId="12564FFB" w14:textId="7C975BFF" w:rsidR="00E95564" w:rsidRPr="00E95564" w:rsidRDefault="00000000">
          <w:pPr>
            <w:pStyle w:val="TOC2"/>
            <w:tabs>
              <w:tab w:val="right" w:leader="dot" w:pos="9016"/>
            </w:tabs>
            <w:rPr>
              <w:rFonts w:ascii="Arial" w:eastAsiaTheme="minorEastAsia" w:hAnsi="Arial" w:cs="Arial"/>
              <w:noProof/>
              <w:lang w:val="en-US"/>
            </w:rPr>
          </w:pPr>
          <w:hyperlink w:anchor="_Toc228917211" w:history="1">
            <w:r w:rsidR="00E95564" w:rsidRPr="00E95564">
              <w:rPr>
                <w:rStyle w:val="Hyperlink"/>
                <w:rFonts w:ascii="Arial" w:hAnsi="Arial" w:cs="Arial"/>
                <w:noProof/>
              </w:rPr>
              <w:t>3.2 Research Philosophy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29</w:t>
            </w:r>
            <w:r w:rsidR="00E95564" w:rsidRPr="00E95564">
              <w:rPr>
                <w:rFonts w:ascii="Arial" w:hAnsi="Arial" w:cs="Arial"/>
                <w:noProof/>
                <w:webHidden/>
              </w:rPr>
              <w:fldChar w:fldCharType="end"/>
            </w:r>
          </w:hyperlink>
        </w:p>
        <w:p w14:paraId="14471665" w14:textId="0DA8B13B" w:rsidR="00E95564" w:rsidRPr="00E95564" w:rsidRDefault="00000000">
          <w:pPr>
            <w:pStyle w:val="TOC2"/>
            <w:tabs>
              <w:tab w:val="right" w:leader="dot" w:pos="9016"/>
            </w:tabs>
            <w:rPr>
              <w:rFonts w:ascii="Arial" w:eastAsiaTheme="minorEastAsia" w:hAnsi="Arial" w:cs="Arial"/>
              <w:noProof/>
              <w:lang w:val="en-US"/>
            </w:rPr>
          </w:pPr>
          <w:hyperlink w:anchor="_Toc228917212" w:history="1">
            <w:r w:rsidR="00E95564" w:rsidRPr="00E95564">
              <w:rPr>
                <w:rStyle w:val="Hyperlink"/>
                <w:rFonts w:ascii="Arial" w:hAnsi="Arial" w:cs="Arial"/>
                <w:noProof/>
              </w:rPr>
              <w:t>3.3 Research Approach</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30</w:t>
            </w:r>
            <w:r w:rsidR="00E95564" w:rsidRPr="00E95564">
              <w:rPr>
                <w:rFonts w:ascii="Arial" w:hAnsi="Arial" w:cs="Arial"/>
                <w:noProof/>
                <w:webHidden/>
              </w:rPr>
              <w:fldChar w:fldCharType="end"/>
            </w:r>
          </w:hyperlink>
        </w:p>
        <w:p w14:paraId="0632DBBD" w14:textId="7950E3C9" w:rsidR="00E95564" w:rsidRPr="00E95564" w:rsidRDefault="00000000">
          <w:pPr>
            <w:pStyle w:val="TOC2"/>
            <w:tabs>
              <w:tab w:val="right" w:leader="dot" w:pos="9016"/>
            </w:tabs>
            <w:rPr>
              <w:rFonts w:ascii="Arial" w:eastAsiaTheme="minorEastAsia" w:hAnsi="Arial" w:cs="Arial"/>
              <w:noProof/>
              <w:lang w:val="en-US"/>
            </w:rPr>
          </w:pPr>
          <w:hyperlink w:anchor="_Toc228917213" w:history="1">
            <w:r w:rsidR="00E95564" w:rsidRPr="00E95564">
              <w:rPr>
                <w:rStyle w:val="Hyperlink"/>
                <w:rFonts w:ascii="Arial" w:hAnsi="Arial" w:cs="Arial"/>
                <w:noProof/>
              </w:rPr>
              <w:t>3.4 Research Design: Systematic Literature Review</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31</w:t>
            </w:r>
            <w:r w:rsidR="00E95564" w:rsidRPr="00E95564">
              <w:rPr>
                <w:rFonts w:ascii="Arial" w:hAnsi="Arial" w:cs="Arial"/>
                <w:noProof/>
                <w:webHidden/>
              </w:rPr>
              <w:fldChar w:fldCharType="end"/>
            </w:r>
          </w:hyperlink>
        </w:p>
        <w:p w14:paraId="68249A3B" w14:textId="341CC9C5" w:rsidR="00E95564" w:rsidRPr="00E95564" w:rsidRDefault="00000000">
          <w:pPr>
            <w:pStyle w:val="TOC2"/>
            <w:tabs>
              <w:tab w:val="right" w:leader="dot" w:pos="9016"/>
            </w:tabs>
            <w:rPr>
              <w:rFonts w:ascii="Arial" w:eastAsiaTheme="minorEastAsia" w:hAnsi="Arial" w:cs="Arial"/>
              <w:noProof/>
              <w:lang w:val="en-US"/>
            </w:rPr>
          </w:pPr>
          <w:hyperlink w:anchor="_Toc228917214" w:history="1">
            <w:r w:rsidR="00E95564" w:rsidRPr="00E95564">
              <w:rPr>
                <w:rStyle w:val="Hyperlink"/>
                <w:rFonts w:ascii="Arial" w:hAnsi="Arial" w:cs="Arial"/>
                <w:noProof/>
              </w:rPr>
              <w:t>3.5 Data Sources and Search Strategy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32</w:t>
            </w:r>
            <w:r w:rsidR="00E95564" w:rsidRPr="00E95564">
              <w:rPr>
                <w:rFonts w:ascii="Arial" w:hAnsi="Arial" w:cs="Arial"/>
                <w:noProof/>
                <w:webHidden/>
              </w:rPr>
              <w:fldChar w:fldCharType="end"/>
            </w:r>
          </w:hyperlink>
        </w:p>
        <w:p w14:paraId="5F3DA897" w14:textId="64496A95" w:rsidR="00E95564" w:rsidRPr="00E95564" w:rsidRDefault="00000000">
          <w:pPr>
            <w:pStyle w:val="TOC2"/>
            <w:tabs>
              <w:tab w:val="right" w:leader="dot" w:pos="9016"/>
            </w:tabs>
            <w:rPr>
              <w:rFonts w:ascii="Arial" w:eastAsiaTheme="minorEastAsia" w:hAnsi="Arial" w:cs="Arial"/>
              <w:noProof/>
              <w:lang w:val="en-US"/>
            </w:rPr>
          </w:pPr>
          <w:hyperlink w:anchor="_Toc228917215" w:history="1">
            <w:r w:rsidR="00E95564" w:rsidRPr="00E95564">
              <w:rPr>
                <w:rStyle w:val="Hyperlink"/>
                <w:rFonts w:ascii="Arial" w:hAnsi="Arial" w:cs="Arial"/>
                <w:noProof/>
              </w:rPr>
              <w:t>3.6 Inclusion, Exclusion and Screening Procedures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33</w:t>
            </w:r>
            <w:r w:rsidR="00E95564" w:rsidRPr="00E95564">
              <w:rPr>
                <w:rFonts w:ascii="Arial" w:hAnsi="Arial" w:cs="Arial"/>
                <w:noProof/>
                <w:webHidden/>
              </w:rPr>
              <w:fldChar w:fldCharType="end"/>
            </w:r>
          </w:hyperlink>
        </w:p>
        <w:p w14:paraId="5B799CEB" w14:textId="39C0C9E9" w:rsidR="00E95564" w:rsidRPr="00E95564" w:rsidRDefault="00000000">
          <w:pPr>
            <w:pStyle w:val="TOC2"/>
            <w:tabs>
              <w:tab w:val="right" w:leader="dot" w:pos="9016"/>
            </w:tabs>
            <w:rPr>
              <w:rFonts w:ascii="Arial" w:eastAsiaTheme="minorEastAsia" w:hAnsi="Arial" w:cs="Arial"/>
              <w:noProof/>
              <w:lang w:val="en-US"/>
            </w:rPr>
          </w:pPr>
          <w:hyperlink w:anchor="_Toc228917216" w:history="1">
            <w:r w:rsidR="00E95564" w:rsidRPr="00E95564">
              <w:rPr>
                <w:rStyle w:val="Hyperlink"/>
                <w:rFonts w:ascii="Arial" w:hAnsi="Arial" w:cs="Arial"/>
                <w:noProof/>
              </w:rPr>
              <w:t>3.7 Data Extraction and Analytical Framework</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34</w:t>
            </w:r>
            <w:r w:rsidR="00E95564" w:rsidRPr="00E95564">
              <w:rPr>
                <w:rFonts w:ascii="Arial" w:hAnsi="Arial" w:cs="Arial"/>
                <w:noProof/>
                <w:webHidden/>
              </w:rPr>
              <w:fldChar w:fldCharType="end"/>
            </w:r>
          </w:hyperlink>
        </w:p>
        <w:p w14:paraId="6385CB12" w14:textId="32BC951B" w:rsidR="00E95564" w:rsidRPr="00E95564" w:rsidRDefault="00000000">
          <w:pPr>
            <w:pStyle w:val="TOC2"/>
            <w:tabs>
              <w:tab w:val="right" w:leader="dot" w:pos="9016"/>
            </w:tabs>
            <w:rPr>
              <w:rFonts w:ascii="Arial" w:eastAsiaTheme="minorEastAsia" w:hAnsi="Arial" w:cs="Arial"/>
              <w:noProof/>
              <w:lang w:val="en-US"/>
            </w:rPr>
          </w:pPr>
          <w:hyperlink w:anchor="_Toc228917217" w:history="1">
            <w:r w:rsidR="00E95564" w:rsidRPr="00E95564">
              <w:rPr>
                <w:rStyle w:val="Hyperlink"/>
                <w:rFonts w:ascii="Arial" w:hAnsi="Arial" w:cs="Arial"/>
                <w:noProof/>
              </w:rPr>
              <w:t>3.8 Quality Assessment</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36</w:t>
            </w:r>
            <w:r w:rsidR="00E95564" w:rsidRPr="00E95564">
              <w:rPr>
                <w:rFonts w:ascii="Arial" w:hAnsi="Arial" w:cs="Arial"/>
                <w:noProof/>
                <w:webHidden/>
              </w:rPr>
              <w:fldChar w:fldCharType="end"/>
            </w:r>
          </w:hyperlink>
        </w:p>
        <w:p w14:paraId="1ECC5A5E" w14:textId="29AFCA23" w:rsidR="00E95564" w:rsidRPr="00E95564" w:rsidRDefault="00000000">
          <w:pPr>
            <w:pStyle w:val="TOC2"/>
            <w:tabs>
              <w:tab w:val="right" w:leader="dot" w:pos="9016"/>
            </w:tabs>
            <w:rPr>
              <w:rFonts w:ascii="Arial" w:eastAsiaTheme="minorEastAsia" w:hAnsi="Arial" w:cs="Arial"/>
              <w:noProof/>
              <w:lang w:val="en-US"/>
            </w:rPr>
          </w:pPr>
          <w:hyperlink w:anchor="_Toc228917218" w:history="1">
            <w:r w:rsidR="00E95564" w:rsidRPr="00E95564">
              <w:rPr>
                <w:rStyle w:val="Hyperlink"/>
                <w:rFonts w:ascii="Arial" w:hAnsi="Arial" w:cs="Arial"/>
                <w:noProof/>
              </w:rPr>
              <w:t>3.9 Reliability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37</w:t>
            </w:r>
            <w:r w:rsidR="00E95564" w:rsidRPr="00E95564">
              <w:rPr>
                <w:rFonts w:ascii="Arial" w:hAnsi="Arial" w:cs="Arial"/>
                <w:noProof/>
                <w:webHidden/>
              </w:rPr>
              <w:fldChar w:fldCharType="end"/>
            </w:r>
          </w:hyperlink>
        </w:p>
        <w:p w14:paraId="20B3800C" w14:textId="5977EABD" w:rsidR="00E95564" w:rsidRPr="00E95564" w:rsidRDefault="00000000">
          <w:pPr>
            <w:pStyle w:val="TOC2"/>
            <w:tabs>
              <w:tab w:val="right" w:leader="dot" w:pos="9016"/>
            </w:tabs>
            <w:rPr>
              <w:rFonts w:ascii="Arial" w:eastAsiaTheme="minorEastAsia" w:hAnsi="Arial" w:cs="Arial"/>
              <w:noProof/>
              <w:lang w:val="en-US"/>
            </w:rPr>
          </w:pPr>
          <w:hyperlink w:anchor="_Toc228917219" w:history="1">
            <w:r w:rsidR="00E95564" w:rsidRPr="00E95564">
              <w:rPr>
                <w:rStyle w:val="Hyperlink"/>
                <w:rFonts w:ascii="Arial" w:hAnsi="Arial" w:cs="Arial"/>
                <w:noProof/>
              </w:rPr>
              <w:t>3.10 Validity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_Toc228917219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37</w:t>
            </w:r>
            <w:r w:rsidR="00E95564" w:rsidRPr="00E95564">
              <w:rPr>
                <w:rFonts w:ascii="Arial" w:hAnsi="Arial" w:cs="Arial"/>
                <w:noProof/>
                <w:webHidden/>
              </w:rPr>
              <w:fldChar w:fldCharType="end"/>
            </w:r>
          </w:hyperlink>
        </w:p>
        <w:p w14:paraId="2144132B" w14:textId="75BBD12F" w:rsidR="00E95564" w:rsidRPr="00E95564" w:rsidRDefault="00000000">
          <w:pPr>
            <w:pStyle w:val="TOC2"/>
            <w:tabs>
              <w:tab w:val="right" w:leader="dot" w:pos="9016"/>
            </w:tabs>
            <w:rPr>
              <w:rFonts w:ascii="Arial" w:eastAsiaTheme="minorEastAsia" w:hAnsi="Arial" w:cs="Arial"/>
              <w:noProof/>
              <w:lang w:val="en-US"/>
            </w:rPr>
          </w:pPr>
          <w:hyperlink w:anchor="_Toc228917220" w:history="1">
            <w:r w:rsidR="00E95564" w:rsidRPr="00E95564">
              <w:rPr>
                <w:rStyle w:val="Hyperlink"/>
                <w:rFonts w:ascii="Arial" w:hAnsi="Arial" w:cs="Arial"/>
                <w:noProof/>
              </w:rPr>
              <w:t>3.11 Ethical Considerations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38</w:t>
            </w:r>
            <w:r w:rsidR="00E95564" w:rsidRPr="00E95564">
              <w:rPr>
                <w:rFonts w:ascii="Arial" w:hAnsi="Arial" w:cs="Arial"/>
                <w:noProof/>
                <w:webHidden/>
              </w:rPr>
              <w:fldChar w:fldCharType="end"/>
            </w:r>
          </w:hyperlink>
        </w:p>
        <w:p w14:paraId="4BA0250C" w14:textId="6F8CBE2A" w:rsidR="00E95564" w:rsidRPr="00E95564" w:rsidRDefault="00000000">
          <w:pPr>
            <w:pStyle w:val="TOC2"/>
            <w:tabs>
              <w:tab w:val="right" w:leader="dot" w:pos="9016"/>
            </w:tabs>
            <w:rPr>
              <w:rFonts w:ascii="Arial" w:eastAsiaTheme="minorEastAsia" w:hAnsi="Arial" w:cs="Arial"/>
              <w:noProof/>
              <w:lang w:val="en-US"/>
            </w:rPr>
          </w:pPr>
          <w:hyperlink w:anchor="_Toc228917221" w:history="1">
            <w:r w:rsidR="00E95564" w:rsidRPr="00E95564">
              <w:rPr>
                <w:rStyle w:val="Hyperlink"/>
                <w:rFonts w:ascii="Arial" w:hAnsi="Arial" w:cs="Arial"/>
                <w:noProof/>
              </w:rPr>
              <w:t>3.12 Methodological Limitations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38</w:t>
            </w:r>
            <w:r w:rsidR="00E95564" w:rsidRPr="00E95564">
              <w:rPr>
                <w:rFonts w:ascii="Arial" w:hAnsi="Arial" w:cs="Arial"/>
                <w:noProof/>
                <w:webHidden/>
              </w:rPr>
              <w:fldChar w:fldCharType="end"/>
            </w:r>
          </w:hyperlink>
        </w:p>
        <w:p w14:paraId="59BA21B0" w14:textId="0B832ACA" w:rsidR="00E95564" w:rsidRPr="00E95564" w:rsidRDefault="00000000">
          <w:pPr>
            <w:pStyle w:val="TOC2"/>
            <w:tabs>
              <w:tab w:val="right" w:leader="dot" w:pos="9016"/>
            </w:tabs>
            <w:rPr>
              <w:rFonts w:ascii="Arial" w:eastAsiaTheme="minorEastAsia" w:hAnsi="Arial" w:cs="Arial"/>
              <w:noProof/>
              <w:lang w:val="en-US"/>
            </w:rPr>
          </w:pPr>
          <w:hyperlink w:anchor="_Toc228917222" w:history="1">
            <w:r w:rsidR="00E95564" w:rsidRPr="00E95564">
              <w:rPr>
                <w:rStyle w:val="Hyperlink"/>
                <w:rFonts w:ascii="Arial" w:hAnsi="Arial" w:cs="Arial"/>
                <w:noProof/>
              </w:rPr>
              <w:t>3.13 Research Timeline</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39</w:t>
            </w:r>
            <w:r w:rsidR="00E95564" w:rsidRPr="00E95564">
              <w:rPr>
                <w:rFonts w:ascii="Arial" w:hAnsi="Arial" w:cs="Arial"/>
                <w:noProof/>
                <w:webHidden/>
              </w:rPr>
              <w:fldChar w:fldCharType="end"/>
            </w:r>
          </w:hyperlink>
        </w:p>
        <w:p w14:paraId="54AB3F18" w14:textId="13975911" w:rsidR="00E95564" w:rsidRPr="00E95564" w:rsidRDefault="00000000">
          <w:pPr>
            <w:pStyle w:val="TOC1"/>
            <w:tabs>
              <w:tab w:val="right" w:leader="dot" w:pos="9016"/>
            </w:tabs>
            <w:rPr>
              <w:rFonts w:ascii="Arial" w:eastAsiaTheme="minorEastAsia" w:hAnsi="Arial" w:cs="Arial"/>
              <w:noProof/>
              <w:lang w:val="en-US"/>
            </w:rPr>
          </w:pPr>
          <w:hyperlink w:anchor="_Toc228917223" w:history="1">
            <w:r w:rsidR="00E95564" w:rsidRPr="00E95564">
              <w:rPr>
                <w:rStyle w:val="Hyperlink"/>
                <w:rFonts w:ascii="Arial" w:hAnsi="Arial" w:cs="Arial"/>
                <w:noProof/>
              </w:rPr>
              <w:t>Chapter 4: Findings and Analysis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40</w:t>
            </w:r>
            <w:r w:rsidR="00E95564" w:rsidRPr="00E95564">
              <w:rPr>
                <w:rFonts w:ascii="Arial" w:hAnsi="Arial" w:cs="Arial"/>
                <w:noProof/>
                <w:webHidden/>
              </w:rPr>
              <w:fldChar w:fldCharType="end"/>
            </w:r>
          </w:hyperlink>
        </w:p>
        <w:p w14:paraId="48A0539C" w14:textId="3A56E809" w:rsidR="00E95564" w:rsidRPr="00E95564" w:rsidRDefault="00000000">
          <w:pPr>
            <w:pStyle w:val="TOC2"/>
            <w:tabs>
              <w:tab w:val="right" w:leader="dot" w:pos="9016"/>
            </w:tabs>
            <w:rPr>
              <w:rFonts w:ascii="Arial" w:eastAsiaTheme="minorEastAsia" w:hAnsi="Arial" w:cs="Arial"/>
              <w:noProof/>
              <w:lang w:val="en-US"/>
            </w:rPr>
          </w:pPr>
          <w:hyperlink w:anchor="_Toc228917224" w:history="1">
            <w:r w:rsidR="00E95564" w:rsidRPr="00E95564">
              <w:rPr>
                <w:rStyle w:val="Hyperlink"/>
                <w:rFonts w:ascii="Arial" w:hAnsi="Arial" w:cs="Arial"/>
                <w:noProof/>
              </w:rPr>
              <w:t>4.1 Volatility Dynamics and Systemic Risk Transmission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40</w:t>
            </w:r>
            <w:r w:rsidR="00E95564" w:rsidRPr="00E95564">
              <w:rPr>
                <w:rFonts w:ascii="Arial" w:hAnsi="Arial" w:cs="Arial"/>
                <w:noProof/>
                <w:webHidden/>
              </w:rPr>
              <w:fldChar w:fldCharType="end"/>
            </w:r>
          </w:hyperlink>
        </w:p>
        <w:p w14:paraId="49B463FC" w14:textId="1B04CAB3" w:rsidR="00E95564" w:rsidRPr="00E95564" w:rsidRDefault="00000000">
          <w:pPr>
            <w:pStyle w:val="TOC2"/>
            <w:tabs>
              <w:tab w:val="right" w:leader="dot" w:pos="9016"/>
            </w:tabs>
            <w:rPr>
              <w:rFonts w:ascii="Arial" w:eastAsiaTheme="minorEastAsia" w:hAnsi="Arial" w:cs="Arial"/>
              <w:noProof/>
              <w:lang w:val="en-US"/>
            </w:rPr>
          </w:pPr>
          <w:hyperlink w:anchor="_Toc228917225" w:history="1">
            <w:r w:rsidR="00E95564" w:rsidRPr="00E95564">
              <w:rPr>
                <w:rStyle w:val="Hyperlink"/>
                <w:rFonts w:ascii="Arial" w:hAnsi="Arial" w:cs="Arial"/>
                <w:noProof/>
              </w:rPr>
              <w:t>4.2 Risk Measurement and Tail-Risk Estimation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41</w:t>
            </w:r>
            <w:r w:rsidR="00E95564" w:rsidRPr="00E95564">
              <w:rPr>
                <w:rFonts w:ascii="Arial" w:hAnsi="Arial" w:cs="Arial"/>
                <w:noProof/>
                <w:webHidden/>
              </w:rPr>
              <w:fldChar w:fldCharType="end"/>
            </w:r>
          </w:hyperlink>
        </w:p>
        <w:p w14:paraId="286C8BFF" w14:textId="4D893FEC" w:rsidR="00E95564" w:rsidRPr="00E95564" w:rsidRDefault="00000000">
          <w:pPr>
            <w:pStyle w:val="TOC2"/>
            <w:tabs>
              <w:tab w:val="right" w:leader="dot" w:pos="9016"/>
            </w:tabs>
            <w:rPr>
              <w:rFonts w:ascii="Arial" w:eastAsiaTheme="minorEastAsia" w:hAnsi="Arial" w:cs="Arial"/>
              <w:noProof/>
              <w:lang w:val="en-US"/>
            </w:rPr>
          </w:pPr>
          <w:hyperlink w:anchor="_Toc228917226" w:history="1">
            <w:r w:rsidR="00E95564" w:rsidRPr="00E95564">
              <w:rPr>
                <w:rStyle w:val="Hyperlink"/>
                <w:rFonts w:ascii="Arial" w:hAnsi="Arial" w:cs="Arial"/>
                <w:noProof/>
              </w:rPr>
              <w:t>4.3 Forecasting Innovations and Predictive Modelling</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42</w:t>
            </w:r>
            <w:r w:rsidR="00E95564" w:rsidRPr="00E95564">
              <w:rPr>
                <w:rFonts w:ascii="Arial" w:hAnsi="Arial" w:cs="Arial"/>
                <w:noProof/>
                <w:webHidden/>
              </w:rPr>
              <w:fldChar w:fldCharType="end"/>
            </w:r>
          </w:hyperlink>
        </w:p>
        <w:p w14:paraId="67437A1E" w14:textId="5838F508" w:rsidR="00E95564" w:rsidRPr="00E95564" w:rsidRDefault="00000000">
          <w:pPr>
            <w:pStyle w:val="TOC2"/>
            <w:tabs>
              <w:tab w:val="right" w:leader="dot" w:pos="9016"/>
            </w:tabs>
            <w:rPr>
              <w:rFonts w:ascii="Arial" w:eastAsiaTheme="minorEastAsia" w:hAnsi="Arial" w:cs="Arial"/>
              <w:noProof/>
              <w:lang w:val="en-US"/>
            </w:rPr>
          </w:pPr>
          <w:hyperlink w:anchor="_Toc228917227" w:history="1">
            <w:r w:rsidR="00E95564" w:rsidRPr="00E95564">
              <w:rPr>
                <w:rStyle w:val="Hyperlink"/>
                <w:rFonts w:ascii="Arial" w:hAnsi="Arial" w:cs="Arial"/>
                <w:noProof/>
              </w:rPr>
              <w:t>4.4 Hedging Strategies and Performance Implications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43</w:t>
            </w:r>
            <w:r w:rsidR="00E95564" w:rsidRPr="00E95564">
              <w:rPr>
                <w:rFonts w:ascii="Arial" w:hAnsi="Arial" w:cs="Arial"/>
                <w:noProof/>
                <w:webHidden/>
              </w:rPr>
              <w:fldChar w:fldCharType="end"/>
            </w:r>
          </w:hyperlink>
        </w:p>
        <w:p w14:paraId="22B0D1DA" w14:textId="232378DC" w:rsidR="00E95564" w:rsidRPr="00E95564" w:rsidRDefault="00000000">
          <w:pPr>
            <w:pStyle w:val="TOC2"/>
            <w:tabs>
              <w:tab w:val="right" w:leader="dot" w:pos="9016"/>
            </w:tabs>
            <w:rPr>
              <w:rFonts w:ascii="Arial" w:eastAsiaTheme="minorEastAsia" w:hAnsi="Arial" w:cs="Arial"/>
              <w:noProof/>
              <w:lang w:val="en-US"/>
            </w:rPr>
          </w:pPr>
          <w:hyperlink w:anchor="_Toc228917228" w:history="1">
            <w:r w:rsidR="00E95564" w:rsidRPr="00E95564">
              <w:rPr>
                <w:rStyle w:val="Hyperlink"/>
                <w:rFonts w:ascii="Arial" w:hAnsi="Arial" w:cs="Arial"/>
                <w:noProof/>
              </w:rPr>
              <w:t>4.5 Behavioural Dimensions and Risk Discipline</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44</w:t>
            </w:r>
            <w:r w:rsidR="00E95564" w:rsidRPr="00E95564">
              <w:rPr>
                <w:rFonts w:ascii="Arial" w:hAnsi="Arial" w:cs="Arial"/>
                <w:noProof/>
                <w:webHidden/>
              </w:rPr>
              <w:fldChar w:fldCharType="end"/>
            </w:r>
          </w:hyperlink>
        </w:p>
        <w:p w14:paraId="746F62D2" w14:textId="148E634D" w:rsidR="00E95564" w:rsidRPr="00E95564" w:rsidRDefault="00000000">
          <w:pPr>
            <w:pStyle w:val="TOC2"/>
            <w:tabs>
              <w:tab w:val="right" w:leader="dot" w:pos="9016"/>
            </w:tabs>
            <w:rPr>
              <w:rFonts w:ascii="Arial" w:eastAsiaTheme="minorEastAsia" w:hAnsi="Arial" w:cs="Arial"/>
              <w:noProof/>
              <w:lang w:val="en-US"/>
            </w:rPr>
          </w:pPr>
          <w:hyperlink w:anchor="_Toc228917229" w:history="1">
            <w:r w:rsidR="00E95564" w:rsidRPr="00E95564">
              <w:rPr>
                <w:rStyle w:val="Hyperlink"/>
                <w:rFonts w:ascii="Arial" w:hAnsi="Arial" w:cs="Arial"/>
                <w:noProof/>
              </w:rPr>
              <w:t>4.6 Integration of Volatility, Risk Measurement and Forecasting</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_Toc228917229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45</w:t>
            </w:r>
            <w:r w:rsidR="00E95564" w:rsidRPr="00E95564">
              <w:rPr>
                <w:rFonts w:ascii="Arial" w:hAnsi="Arial" w:cs="Arial"/>
                <w:noProof/>
                <w:webHidden/>
              </w:rPr>
              <w:fldChar w:fldCharType="end"/>
            </w:r>
          </w:hyperlink>
        </w:p>
        <w:p w14:paraId="702F0F31" w14:textId="2E4CB563" w:rsidR="00E95564" w:rsidRPr="00E95564" w:rsidRDefault="00000000">
          <w:pPr>
            <w:pStyle w:val="TOC2"/>
            <w:tabs>
              <w:tab w:val="right" w:leader="dot" w:pos="9016"/>
            </w:tabs>
            <w:rPr>
              <w:rFonts w:ascii="Arial" w:eastAsiaTheme="minorEastAsia" w:hAnsi="Arial" w:cs="Arial"/>
              <w:noProof/>
              <w:lang w:val="en-US"/>
            </w:rPr>
          </w:pPr>
          <w:hyperlink w:anchor="_Toc228917230" w:history="1">
            <w:r w:rsidR="00E95564" w:rsidRPr="00E95564">
              <w:rPr>
                <w:rStyle w:val="Hyperlink"/>
                <w:rFonts w:ascii="Arial" w:hAnsi="Arial" w:cs="Arial"/>
                <w:noProof/>
              </w:rPr>
              <w:t>4.7 Performance Outcomes and Risk-Adjusted Returns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47</w:t>
            </w:r>
            <w:r w:rsidR="00E95564" w:rsidRPr="00E95564">
              <w:rPr>
                <w:rFonts w:ascii="Arial" w:hAnsi="Arial" w:cs="Arial"/>
                <w:noProof/>
                <w:webHidden/>
              </w:rPr>
              <w:fldChar w:fldCharType="end"/>
            </w:r>
          </w:hyperlink>
        </w:p>
        <w:p w14:paraId="5866C336" w14:textId="153515D9" w:rsidR="00E95564" w:rsidRPr="00E95564" w:rsidRDefault="00000000">
          <w:pPr>
            <w:pStyle w:val="TOC2"/>
            <w:tabs>
              <w:tab w:val="right" w:leader="dot" w:pos="9016"/>
            </w:tabs>
            <w:rPr>
              <w:rFonts w:ascii="Arial" w:eastAsiaTheme="minorEastAsia" w:hAnsi="Arial" w:cs="Arial"/>
              <w:noProof/>
              <w:lang w:val="en-US"/>
            </w:rPr>
          </w:pPr>
          <w:hyperlink w:anchor="_Toc228917231" w:history="1">
            <w:r w:rsidR="00E95564" w:rsidRPr="00E95564">
              <w:rPr>
                <w:rStyle w:val="Hyperlink"/>
                <w:rFonts w:ascii="Arial" w:hAnsi="Arial" w:cs="Arial"/>
                <w:noProof/>
              </w:rPr>
              <w:t>4.8 Summary of Findings and Thematic Implications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48</w:t>
            </w:r>
            <w:r w:rsidR="00E95564" w:rsidRPr="00E95564">
              <w:rPr>
                <w:rFonts w:ascii="Arial" w:hAnsi="Arial" w:cs="Arial"/>
                <w:noProof/>
                <w:webHidden/>
              </w:rPr>
              <w:fldChar w:fldCharType="end"/>
            </w:r>
          </w:hyperlink>
        </w:p>
        <w:p w14:paraId="795BC48F" w14:textId="371DAE2B" w:rsidR="00E95564" w:rsidRPr="00E95564" w:rsidRDefault="00000000">
          <w:pPr>
            <w:pStyle w:val="TOC1"/>
            <w:tabs>
              <w:tab w:val="right" w:leader="dot" w:pos="9016"/>
            </w:tabs>
            <w:rPr>
              <w:rFonts w:ascii="Arial" w:eastAsiaTheme="minorEastAsia" w:hAnsi="Arial" w:cs="Arial"/>
              <w:noProof/>
              <w:lang w:val="en-US"/>
            </w:rPr>
          </w:pPr>
          <w:hyperlink w:anchor="_Toc228917232" w:history="1">
            <w:r w:rsidR="00E95564" w:rsidRPr="00E95564">
              <w:rPr>
                <w:rStyle w:val="Hyperlink"/>
                <w:rFonts w:ascii="Arial" w:hAnsi="Arial" w:cs="Arial"/>
                <w:noProof/>
              </w:rPr>
              <w:t>Chapter 5: Discussion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50</w:t>
            </w:r>
            <w:r w:rsidR="00E95564" w:rsidRPr="00E95564">
              <w:rPr>
                <w:rFonts w:ascii="Arial" w:hAnsi="Arial" w:cs="Arial"/>
                <w:noProof/>
                <w:webHidden/>
              </w:rPr>
              <w:fldChar w:fldCharType="end"/>
            </w:r>
          </w:hyperlink>
        </w:p>
        <w:p w14:paraId="509088E6" w14:textId="4EC18C27" w:rsidR="00E95564" w:rsidRPr="00E95564" w:rsidRDefault="00000000">
          <w:pPr>
            <w:pStyle w:val="TOC2"/>
            <w:tabs>
              <w:tab w:val="right" w:leader="dot" w:pos="9016"/>
            </w:tabs>
            <w:rPr>
              <w:rFonts w:ascii="Arial" w:eastAsiaTheme="minorEastAsia" w:hAnsi="Arial" w:cs="Arial"/>
              <w:noProof/>
              <w:lang w:val="en-US"/>
            </w:rPr>
          </w:pPr>
          <w:hyperlink w:anchor="_Toc228917233" w:history="1">
            <w:r w:rsidR="00E95564" w:rsidRPr="00E95564">
              <w:rPr>
                <w:rStyle w:val="Hyperlink"/>
                <w:rFonts w:ascii="Arial" w:hAnsi="Arial" w:cs="Arial"/>
                <w:noProof/>
              </w:rPr>
              <w:t>5.1 Introduction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50</w:t>
            </w:r>
            <w:r w:rsidR="00E95564" w:rsidRPr="00E95564">
              <w:rPr>
                <w:rFonts w:ascii="Arial" w:hAnsi="Arial" w:cs="Arial"/>
                <w:noProof/>
                <w:webHidden/>
              </w:rPr>
              <w:fldChar w:fldCharType="end"/>
            </w:r>
          </w:hyperlink>
        </w:p>
        <w:p w14:paraId="53E0CF92" w14:textId="66518BFD" w:rsidR="00E95564" w:rsidRPr="00E95564" w:rsidRDefault="00000000">
          <w:pPr>
            <w:pStyle w:val="TOC2"/>
            <w:tabs>
              <w:tab w:val="right" w:leader="dot" w:pos="9016"/>
            </w:tabs>
            <w:rPr>
              <w:rFonts w:ascii="Arial" w:eastAsiaTheme="minorEastAsia" w:hAnsi="Arial" w:cs="Arial"/>
              <w:noProof/>
              <w:lang w:val="en-US"/>
            </w:rPr>
          </w:pPr>
          <w:hyperlink w:anchor="_Toc228917234" w:history="1">
            <w:r w:rsidR="00E95564" w:rsidRPr="00E95564">
              <w:rPr>
                <w:rStyle w:val="Hyperlink"/>
                <w:rFonts w:ascii="Arial" w:hAnsi="Arial" w:cs="Arial"/>
                <w:noProof/>
              </w:rPr>
              <w:t>5.2 Re-examining the Nature of Financial Risk in Forex Markets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51</w:t>
            </w:r>
            <w:r w:rsidR="00E95564" w:rsidRPr="00E95564">
              <w:rPr>
                <w:rFonts w:ascii="Arial" w:hAnsi="Arial" w:cs="Arial"/>
                <w:noProof/>
                <w:webHidden/>
              </w:rPr>
              <w:fldChar w:fldCharType="end"/>
            </w:r>
          </w:hyperlink>
        </w:p>
        <w:p w14:paraId="72880314" w14:textId="49FCCEB0" w:rsidR="00E95564" w:rsidRPr="00E95564" w:rsidRDefault="00000000">
          <w:pPr>
            <w:pStyle w:val="TOC2"/>
            <w:tabs>
              <w:tab w:val="right" w:leader="dot" w:pos="9016"/>
            </w:tabs>
            <w:rPr>
              <w:rFonts w:ascii="Arial" w:eastAsiaTheme="minorEastAsia" w:hAnsi="Arial" w:cs="Arial"/>
              <w:noProof/>
              <w:lang w:val="en-US"/>
            </w:rPr>
          </w:pPr>
          <w:hyperlink w:anchor="_Toc228917235" w:history="1">
            <w:r w:rsidR="00E95564" w:rsidRPr="00E95564">
              <w:rPr>
                <w:rStyle w:val="Hyperlink"/>
                <w:rFonts w:ascii="Arial" w:hAnsi="Arial" w:cs="Arial"/>
                <w:noProof/>
              </w:rPr>
              <w:t>5.3 Risk Measurement: Precision Versus Practical Impact</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52</w:t>
            </w:r>
            <w:r w:rsidR="00E95564" w:rsidRPr="00E95564">
              <w:rPr>
                <w:rFonts w:ascii="Arial" w:hAnsi="Arial" w:cs="Arial"/>
                <w:noProof/>
                <w:webHidden/>
              </w:rPr>
              <w:fldChar w:fldCharType="end"/>
            </w:r>
          </w:hyperlink>
        </w:p>
        <w:p w14:paraId="66EB1DCF" w14:textId="3BAA31FA" w:rsidR="00E95564" w:rsidRPr="00E95564" w:rsidRDefault="00000000">
          <w:pPr>
            <w:pStyle w:val="TOC2"/>
            <w:tabs>
              <w:tab w:val="right" w:leader="dot" w:pos="9016"/>
            </w:tabs>
            <w:rPr>
              <w:rFonts w:ascii="Arial" w:eastAsiaTheme="minorEastAsia" w:hAnsi="Arial" w:cs="Arial"/>
              <w:noProof/>
              <w:lang w:val="en-US"/>
            </w:rPr>
          </w:pPr>
          <w:hyperlink w:anchor="_Toc228917236" w:history="1">
            <w:r w:rsidR="00E95564" w:rsidRPr="00E95564">
              <w:rPr>
                <w:rStyle w:val="Hyperlink"/>
                <w:rFonts w:ascii="Arial" w:hAnsi="Arial" w:cs="Arial"/>
                <w:noProof/>
              </w:rPr>
              <w:t>5.4 Predictive Modelling and the Illusion of Accuracy</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53</w:t>
            </w:r>
            <w:r w:rsidR="00E95564" w:rsidRPr="00E95564">
              <w:rPr>
                <w:rFonts w:ascii="Arial" w:hAnsi="Arial" w:cs="Arial"/>
                <w:noProof/>
                <w:webHidden/>
              </w:rPr>
              <w:fldChar w:fldCharType="end"/>
            </w:r>
          </w:hyperlink>
        </w:p>
        <w:p w14:paraId="64E37EAA" w14:textId="03A1B37C" w:rsidR="00E95564" w:rsidRPr="00E95564" w:rsidRDefault="00000000">
          <w:pPr>
            <w:pStyle w:val="TOC2"/>
            <w:tabs>
              <w:tab w:val="right" w:leader="dot" w:pos="9016"/>
            </w:tabs>
            <w:rPr>
              <w:rFonts w:ascii="Arial" w:eastAsiaTheme="minorEastAsia" w:hAnsi="Arial" w:cs="Arial"/>
              <w:noProof/>
              <w:lang w:val="en-US"/>
            </w:rPr>
          </w:pPr>
          <w:hyperlink w:anchor="_Toc228917237" w:history="1">
            <w:r w:rsidR="00E95564" w:rsidRPr="00E95564">
              <w:rPr>
                <w:rStyle w:val="Hyperlink"/>
                <w:rFonts w:ascii="Arial" w:hAnsi="Arial" w:cs="Arial"/>
                <w:noProof/>
              </w:rPr>
              <w:t>5.5 Hedging Effectiveness and Strategic Risk Mitigation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53</w:t>
            </w:r>
            <w:r w:rsidR="00E95564" w:rsidRPr="00E95564">
              <w:rPr>
                <w:rFonts w:ascii="Arial" w:hAnsi="Arial" w:cs="Arial"/>
                <w:noProof/>
                <w:webHidden/>
              </w:rPr>
              <w:fldChar w:fldCharType="end"/>
            </w:r>
          </w:hyperlink>
        </w:p>
        <w:p w14:paraId="067F3241" w14:textId="631C6FE9" w:rsidR="00E95564" w:rsidRPr="00E95564" w:rsidRDefault="00000000">
          <w:pPr>
            <w:pStyle w:val="TOC2"/>
            <w:tabs>
              <w:tab w:val="right" w:leader="dot" w:pos="9016"/>
            </w:tabs>
            <w:rPr>
              <w:rFonts w:ascii="Arial" w:eastAsiaTheme="minorEastAsia" w:hAnsi="Arial" w:cs="Arial"/>
              <w:noProof/>
              <w:lang w:val="en-US"/>
            </w:rPr>
          </w:pPr>
          <w:hyperlink w:anchor="_Toc228917238" w:history="1">
            <w:r w:rsidR="00E95564" w:rsidRPr="00E95564">
              <w:rPr>
                <w:rStyle w:val="Hyperlink"/>
                <w:rFonts w:ascii="Arial" w:hAnsi="Arial" w:cs="Arial"/>
                <w:noProof/>
              </w:rPr>
              <w:t>5.6 Behavioural Governance and Implementation Risk</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54</w:t>
            </w:r>
            <w:r w:rsidR="00E95564" w:rsidRPr="00E95564">
              <w:rPr>
                <w:rFonts w:ascii="Arial" w:hAnsi="Arial" w:cs="Arial"/>
                <w:noProof/>
                <w:webHidden/>
              </w:rPr>
              <w:fldChar w:fldCharType="end"/>
            </w:r>
          </w:hyperlink>
        </w:p>
        <w:p w14:paraId="58B789B4" w14:textId="33B237E4" w:rsidR="00E95564" w:rsidRPr="00E95564" w:rsidRDefault="00000000">
          <w:pPr>
            <w:pStyle w:val="TOC2"/>
            <w:tabs>
              <w:tab w:val="right" w:leader="dot" w:pos="9016"/>
            </w:tabs>
            <w:rPr>
              <w:rFonts w:ascii="Arial" w:eastAsiaTheme="minorEastAsia" w:hAnsi="Arial" w:cs="Arial"/>
              <w:noProof/>
              <w:lang w:val="en-US"/>
            </w:rPr>
          </w:pPr>
          <w:hyperlink w:anchor="_Toc228917239" w:history="1">
            <w:r w:rsidR="00E95564" w:rsidRPr="00E95564">
              <w:rPr>
                <w:rStyle w:val="Hyperlink"/>
                <w:rFonts w:ascii="Arial" w:hAnsi="Arial" w:cs="Arial"/>
                <w:noProof/>
              </w:rPr>
              <w:t>5.7 Integrating Risk Components into a Performance-Oriented Framework</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_Toc228917239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55</w:t>
            </w:r>
            <w:r w:rsidR="00E95564" w:rsidRPr="00E95564">
              <w:rPr>
                <w:rFonts w:ascii="Arial" w:hAnsi="Arial" w:cs="Arial"/>
                <w:noProof/>
                <w:webHidden/>
              </w:rPr>
              <w:fldChar w:fldCharType="end"/>
            </w:r>
          </w:hyperlink>
        </w:p>
        <w:p w14:paraId="142AB109" w14:textId="2758606F" w:rsidR="00E95564" w:rsidRPr="00E95564" w:rsidRDefault="00000000">
          <w:pPr>
            <w:pStyle w:val="TOC2"/>
            <w:tabs>
              <w:tab w:val="right" w:leader="dot" w:pos="9016"/>
            </w:tabs>
            <w:rPr>
              <w:rFonts w:ascii="Arial" w:eastAsiaTheme="minorEastAsia" w:hAnsi="Arial" w:cs="Arial"/>
              <w:noProof/>
              <w:lang w:val="en-US"/>
            </w:rPr>
          </w:pPr>
          <w:hyperlink w:anchor="_Toc228917240" w:history="1">
            <w:r w:rsidR="00E95564" w:rsidRPr="00E95564">
              <w:rPr>
                <w:rStyle w:val="Hyperlink"/>
                <w:rFonts w:ascii="Arial" w:hAnsi="Arial" w:cs="Arial"/>
                <w:noProof/>
              </w:rPr>
              <w:t>5.8 Theoretical Contributions and Conceptual Advancement</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58</w:t>
            </w:r>
            <w:r w:rsidR="00E95564" w:rsidRPr="00E95564">
              <w:rPr>
                <w:rFonts w:ascii="Arial" w:hAnsi="Arial" w:cs="Arial"/>
                <w:noProof/>
                <w:webHidden/>
              </w:rPr>
              <w:fldChar w:fldCharType="end"/>
            </w:r>
          </w:hyperlink>
        </w:p>
        <w:p w14:paraId="44D6564C" w14:textId="167A9FB2" w:rsidR="00E95564" w:rsidRPr="00E95564" w:rsidRDefault="00000000">
          <w:pPr>
            <w:pStyle w:val="TOC2"/>
            <w:tabs>
              <w:tab w:val="right" w:leader="dot" w:pos="9016"/>
            </w:tabs>
            <w:rPr>
              <w:rFonts w:ascii="Arial" w:eastAsiaTheme="minorEastAsia" w:hAnsi="Arial" w:cs="Arial"/>
              <w:noProof/>
              <w:lang w:val="en-US"/>
            </w:rPr>
          </w:pPr>
          <w:hyperlink w:anchor="_Toc228917241" w:history="1">
            <w:r w:rsidR="00E95564" w:rsidRPr="00E95564">
              <w:rPr>
                <w:rStyle w:val="Hyperlink"/>
                <w:rFonts w:ascii="Arial" w:hAnsi="Arial" w:cs="Arial"/>
                <w:noProof/>
              </w:rPr>
              <w:t>5.9 Practical Implications for Forex Traders and Institutions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59</w:t>
            </w:r>
            <w:r w:rsidR="00E95564" w:rsidRPr="00E95564">
              <w:rPr>
                <w:rFonts w:ascii="Arial" w:hAnsi="Arial" w:cs="Arial"/>
                <w:noProof/>
                <w:webHidden/>
              </w:rPr>
              <w:fldChar w:fldCharType="end"/>
            </w:r>
          </w:hyperlink>
        </w:p>
        <w:p w14:paraId="6DB98C01" w14:textId="1EAEB4BC" w:rsidR="00E95564" w:rsidRPr="00E95564" w:rsidRDefault="00000000">
          <w:pPr>
            <w:pStyle w:val="TOC2"/>
            <w:tabs>
              <w:tab w:val="right" w:leader="dot" w:pos="9016"/>
            </w:tabs>
            <w:rPr>
              <w:rFonts w:ascii="Arial" w:eastAsiaTheme="minorEastAsia" w:hAnsi="Arial" w:cs="Arial"/>
              <w:noProof/>
              <w:lang w:val="en-US"/>
            </w:rPr>
          </w:pPr>
          <w:hyperlink w:anchor="_Toc228917242" w:history="1">
            <w:r w:rsidR="00E95564" w:rsidRPr="00E95564">
              <w:rPr>
                <w:rStyle w:val="Hyperlink"/>
                <w:rFonts w:ascii="Arial" w:hAnsi="Arial" w:cs="Arial"/>
                <w:noProof/>
              </w:rPr>
              <w:t>5.10 Concluding Discussion and Research Implications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60</w:t>
            </w:r>
            <w:r w:rsidR="00E95564" w:rsidRPr="00E95564">
              <w:rPr>
                <w:rFonts w:ascii="Arial" w:hAnsi="Arial" w:cs="Arial"/>
                <w:noProof/>
                <w:webHidden/>
              </w:rPr>
              <w:fldChar w:fldCharType="end"/>
            </w:r>
          </w:hyperlink>
        </w:p>
        <w:p w14:paraId="023CFFDF" w14:textId="6CB6205A" w:rsidR="00E95564" w:rsidRPr="00E95564" w:rsidRDefault="00000000">
          <w:pPr>
            <w:pStyle w:val="TOC1"/>
            <w:tabs>
              <w:tab w:val="right" w:leader="dot" w:pos="9016"/>
            </w:tabs>
            <w:rPr>
              <w:rFonts w:ascii="Arial" w:eastAsiaTheme="minorEastAsia" w:hAnsi="Arial" w:cs="Arial"/>
              <w:noProof/>
              <w:lang w:val="en-US"/>
            </w:rPr>
          </w:pPr>
          <w:hyperlink w:anchor="_Toc228917243" w:history="1">
            <w:r w:rsidR="00E95564" w:rsidRPr="00E95564">
              <w:rPr>
                <w:rStyle w:val="Hyperlink"/>
                <w:rFonts w:ascii="Arial" w:hAnsi="Arial" w:cs="Arial"/>
                <w:noProof/>
              </w:rPr>
              <w:t>Chapter 6: Conclusion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62</w:t>
            </w:r>
            <w:r w:rsidR="00E95564" w:rsidRPr="00E95564">
              <w:rPr>
                <w:rFonts w:ascii="Arial" w:hAnsi="Arial" w:cs="Arial"/>
                <w:noProof/>
                <w:webHidden/>
              </w:rPr>
              <w:fldChar w:fldCharType="end"/>
            </w:r>
          </w:hyperlink>
        </w:p>
        <w:p w14:paraId="7930CB13" w14:textId="1079D077" w:rsidR="00E95564" w:rsidRPr="00E95564" w:rsidRDefault="00000000">
          <w:pPr>
            <w:pStyle w:val="TOC2"/>
            <w:tabs>
              <w:tab w:val="right" w:leader="dot" w:pos="9016"/>
            </w:tabs>
            <w:rPr>
              <w:rFonts w:ascii="Arial" w:eastAsiaTheme="minorEastAsia" w:hAnsi="Arial" w:cs="Arial"/>
              <w:noProof/>
              <w:lang w:val="en-US"/>
            </w:rPr>
          </w:pPr>
          <w:hyperlink w:anchor="_Toc228917244" w:history="1">
            <w:r w:rsidR="00E95564" w:rsidRPr="00E95564">
              <w:rPr>
                <w:rStyle w:val="Hyperlink"/>
                <w:rFonts w:ascii="Arial" w:hAnsi="Arial" w:cs="Arial"/>
                <w:noProof/>
              </w:rPr>
              <w:t>6.1 Introduction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_Toc228917244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62</w:t>
            </w:r>
            <w:r w:rsidR="00E95564" w:rsidRPr="00E95564">
              <w:rPr>
                <w:rFonts w:ascii="Arial" w:hAnsi="Arial" w:cs="Arial"/>
                <w:noProof/>
                <w:webHidden/>
              </w:rPr>
              <w:fldChar w:fldCharType="end"/>
            </w:r>
          </w:hyperlink>
        </w:p>
        <w:p w14:paraId="5FEB9987" w14:textId="0A141B68" w:rsidR="00E95564" w:rsidRPr="00E95564" w:rsidRDefault="00000000">
          <w:pPr>
            <w:pStyle w:val="TOC2"/>
            <w:tabs>
              <w:tab w:val="right" w:leader="dot" w:pos="9016"/>
            </w:tabs>
            <w:rPr>
              <w:rFonts w:ascii="Arial" w:eastAsiaTheme="minorEastAsia" w:hAnsi="Arial" w:cs="Arial"/>
              <w:noProof/>
              <w:lang w:val="en-US"/>
            </w:rPr>
          </w:pPr>
          <w:hyperlink w:anchor="_Toc228917245" w:history="1">
            <w:r w:rsidR="00E95564" w:rsidRPr="00E95564">
              <w:rPr>
                <w:rStyle w:val="Hyperlink"/>
                <w:rFonts w:ascii="Arial" w:hAnsi="Arial" w:cs="Arial"/>
                <w:noProof/>
              </w:rPr>
              <w:t>6.2 Overall Synthesis of Findings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_Toc228917245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62</w:t>
            </w:r>
            <w:r w:rsidR="00E95564" w:rsidRPr="00E95564">
              <w:rPr>
                <w:rFonts w:ascii="Arial" w:hAnsi="Arial" w:cs="Arial"/>
                <w:noProof/>
                <w:webHidden/>
              </w:rPr>
              <w:fldChar w:fldCharType="end"/>
            </w:r>
          </w:hyperlink>
        </w:p>
        <w:p w14:paraId="6C6DCA19" w14:textId="0D7592F4" w:rsidR="00E95564" w:rsidRPr="00E95564" w:rsidRDefault="00000000">
          <w:pPr>
            <w:pStyle w:val="TOC2"/>
            <w:tabs>
              <w:tab w:val="right" w:leader="dot" w:pos="9016"/>
            </w:tabs>
            <w:rPr>
              <w:rFonts w:ascii="Arial" w:eastAsiaTheme="minorEastAsia" w:hAnsi="Arial" w:cs="Arial"/>
              <w:noProof/>
              <w:lang w:val="en-US"/>
            </w:rPr>
          </w:pPr>
          <w:hyperlink w:anchor="_Toc228917246" w:history="1">
            <w:r w:rsidR="00E95564" w:rsidRPr="00E95564">
              <w:rPr>
                <w:rStyle w:val="Hyperlink"/>
                <w:rFonts w:ascii="Arial" w:hAnsi="Arial" w:cs="Arial"/>
                <w:noProof/>
              </w:rPr>
              <w:t>6.3 Reassessment of the Research Objectives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_Toc228917246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63</w:t>
            </w:r>
            <w:r w:rsidR="00E95564" w:rsidRPr="00E95564">
              <w:rPr>
                <w:rFonts w:ascii="Arial" w:hAnsi="Arial" w:cs="Arial"/>
                <w:noProof/>
                <w:webHidden/>
              </w:rPr>
              <w:fldChar w:fldCharType="end"/>
            </w:r>
          </w:hyperlink>
        </w:p>
        <w:p w14:paraId="4AEF1D2A" w14:textId="1A6A6C94" w:rsidR="00E95564" w:rsidRPr="00E95564" w:rsidRDefault="00000000">
          <w:pPr>
            <w:pStyle w:val="TOC2"/>
            <w:tabs>
              <w:tab w:val="right" w:leader="dot" w:pos="9016"/>
            </w:tabs>
            <w:rPr>
              <w:rFonts w:ascii="Arial" w:eastAsiaTheme="minorEastAsia" w:hAnsi="Arial" w:cs="Arial"/>
              <w:noProof/>
              <w:lang w:val="en-US"/>
            </w:rPr>
          </w:pPr>
          <w:hyperlink w:anchor="_Toc228917247" w:history="1">
            <w:r w:rsidR="00E95564" w:rsidRPr="00E95564">
              <w:rPr>
                <w:rStyle w:val="Hyperlink"/>
                <w:rFonts w:ascii="Arial" w:hAnsi="Arial" w:cs="Arial"/>
                <w:noProof/>
              </w:rPr>
              <w:t>6.4 Theoretical Implications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_Toc228917247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64</w:t>
            </w:r>
            <w:r w:rsidR="00E95564" w:rsidRPr="00E95564">
              <w:rPr>
                <w:rFonts w:ascii="Arial" w:hAnsi="Arial" w:cs="Arial"/>
                <w:noProof/>
                <w:webHidden/>
              </w:rPr>
              <w:fldChar w:fldCharType="end"/>
            </w:r>
          </w:hyperlink>
        </w:p>
        <w:p w14:paraId="523EA64E" w14:textId="09BD0AD1" w:rsidR="00E95564" w:rsidRPr="00E95564" w:rsidRDefault="00000000">
          <w:pPr>
            <w:pStyle w:val="TOC2"/>
            <w:tabs>
              <w:tab w:val="right" w:leader="dot" w:pos="9016"/>
            </w:tabs>
            <w:rPr>
              <w:rFonts w:ascii="Arial" w:eastAsiaTheme="minorEastAsia" w:hAnsi="Arial" w:cs="Arial"/>
              <w:noProof/>
              <w:lang w:val="en-US"/>
            </w:rPr>
          </w:pPr>
          <w:hyperlink w:anchor="_Toc228917248" w:history="1">
            <w:r w:rsidR="00E95564" w:rsidRPr="00E95564">
              <w:rPr>
                <w:rStyle w:val="Hyperlink"/>
                <w:rFonts w:ascii="Arial" w:hAnsi="Arial" w:cs="Arial"/>
                <w:noProof/>
              </w:rPr>
              <w:t>6.5 Practical Implications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_Toc228917248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65</w:t>
            </w:r>
            <w:r w:rsidR="00E95564" w:rsidRPr="00E95564">
              <w:rPr>
                <w:rFonts w:ascii="Arial" w:hAnsi="Arial" w:cs="Arial"/>
                <w:noProof/>
                <w:webHidden/>
              </w:rPr>
              <w:fldChar w:fldCharType="end"/>
            </w:r>
          </w:hyperlink>
        </w:p>
        <w:p w14:paraId="487ED434" w14:textId="2F19E6EB" w:rsidR="00E95564" w:rsidRPr="00E95564" w:rsidRDefault="00000000">
          <w:pPr>
            <w:pStyle w:val="TOC2"/>
            <w:tabs>
              <w:tab w:val="right" w:leader="dot" w:pos="9016"/>
            </w:tabs>
            <w:rPr>
              <w:rFonts w:ascii="Arial" w:eastAsiaTheme="minorEastAsia" w:hAnsi="Arial" w:cs="Arial"/>
              <w:noProof/>
              <w:lang w:val="en-US"/>
            </w:rPr>
          </w:pPr>
          <w:hyperlink w:anchor="_Toc228917249" w:history="1">
            <w:r w:rsidR="00E95564" w:rsidRPr="00E95564">
              <w:rPr>
                <w:rStyle w:val="Hyperlink"/>
                <w:rFonts w:ascii="Arial" w:hAnsi="Arial" w:cs="Arial"/>
                <w:noProof/>
              </w:rPr>
              <w:t>6.6 Limitations and Future Research</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_Toc228917249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66</w:t>
            </w:r>
            <w:r w:rsidR="00E95564" w:rsidRPr="00E95564">
              <w:rPr>
                <w:rFonts w:ascii="Arial" w:hAnsi="Arial" w:cs="Arial"/>
                <w:noProof/>
                <w:webHidden/>
              </w:rPr>
              <w:fldChar w:fldCharType="end"/>
            </w:r>
          </w:hyperlink>
        </w:p>
        <w:p w14:paraId="449FAEE0" w14:textId="506E80B9" w:rsidR="00E95564" w:rsidRPr="00E95564" w:rsidRDefault="00000000">
          <w:pPr>
            <w:pStyle w:val="TOC2"/>
            <w:tabs>
              <w:tab w:val="right" w:leader="dot" w:pos="9016"/>
            </w:tabs>
            <w:rPr>
              <w:rFonts w:ascii="Arial" w:eastAsiaTheme="minorEastAsia" w:hAnsi="Arial" w:cs="Arial"/>
              <w:noProof/>
              <w:lang w:val="en-US"/>
            </w:rPr>
          </w:pPr>
          <w:hyperlink w:anchor="_Toc228917250" w:history="1">
            <w:r w:rsidR="00E95564" w:rsidRPr="00E95564">
              <w:rPr>
                <w:rStyle w:val="Hyperlink"/>
                <w:rFonts w:ascii="Arial" w:hAnsi="Arial" w:cs="Arial"/>
                <w:noProof/>
              </w:rPr>
              <w:t>6.7 Final Reflection</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_Toc228917250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66</w:t>
            </w:r>
            <w:r w:rsidR="00E95564" w:rsidRPr="00E95564">
              <w:rPr>
                <w:rFonts w:ascii="Arial" w:hAnsi="Arial" w:cs="Arial"/>
                <w:noProof/>
                <w:webHidden/>
              </w:rPr>
              <w:fldChar w:fldCharType="end"/>
            </w:r>
          </w:hyperlink>
        </w:p>
        <w:p w14:paraId="3D049500" w14:textId="39A7079E" w:rsidR="00E95564" w:rsidRPr="00E95564" w:rsidRDefault="00000000">
          <w:pPr>
            <w:pStyle w:val="TOC1"/>
            <w:tabs>
              <w:tab w:val="right" w:leader="dot" w:pos="9016"/>
            </w:tabs>
            <w:rPr>
              <w:rFonts w:ascii="Arial" w:eastAsiaTheme="minorEastAsia" w:hAnsi="Arial" w:cs="Arial"/>
              <w:noProof/>
              <w:lang w:val="en-US"/>
            </w:rPr>
          </w:pPr>
          <w:hyperlink w:anchor="_Toc228917251" w:history="1">
            <w:r w:rsidR="00E95564" w:rsidRPr="00E95564">
              <w:rPr>
                <w:rStyle w:val="Hyperlink"/>
                <w:rFonts w:ascii="Arial" w:hAnsi="Arial" w:cs="Arial"/>
                <w:noProof/>
              </w:rPr>
              <w:t>References</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_Toc228917251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68</w:t>
            </w:r>
            <w:r w:rsidR="00E95564" w:rsidRPr="00E95564">
              <w:rPr>
                <w:rFonts w:ascii="Arial" w:hAnsi="Arial" w:cs="Arial"/>
                <w:noProof/>
                <w:webHidden/>
              </w:rPr>
              <w:fldChar w:fldCharType="end"/>
            </w:r>
          </w:hyperlink>
        </w:p>
        <w:p w14:paraId="73D501BB" w14:textId="317DB6C8" w:rsidR="00E95564" w:rsidRPr="00E95564" w:rsidRDefault="00000000">
          <w:pPr>
            <w:pStyle w:val="TOC1"/>
            <w:tabs>
              <w:tab w:val="right" w:leader="dot" w:pos="9016"/>
            </w:tabs>
            <w:rPr>
              <w:rFonts w:ascii="Arial" w:eastAsiaTheme="minorEastAsia" w:hAnsi="Arial" w:cs="Arial"/>
              <w:noProof/>
              <w:lang w:val="en-US"/>
            </w:rPr>
          </w:pPr>
          <w:hyperlink w:anchor="_Toc228917252" w:history="1">
            <w:r w:rsidR="00E95564" w:rsidRPr="00E95564">
              <w:rPr>
                <w:rStyle w:val="Hyperlink"/>
                <w:rFonts w:ascii="Arial" w:hAnsi="Arial" w:cs="Arial"/>
                <w:noProof/>
              </w:rPr>
              <w:t>Appendix:</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_Toc228917252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77</w:t>
            </w:r>
            <w:r w:rsidR="00E95564" w:rsidRPr="00E95564">
              <w:rPr>
                <w:rFonts w:ascii="Arial" w:hAnsi="Arial" w:cs="Arial"/>
                <w:noProof/>
                <w:webHidden/>
              </w:rPr>
              <w:fldChar w:fldCharType="end"/>
            </w:r>
          </w:hyperlink>
        </w:p>
        <w:p w14:paraId="4DB04FE1" w14:textId="46DE2CFC" w:rsidR="00E95564" w:rsidRPr="00E95564" w:rsidRDefault="00000000">
          <w:pPr>
            <w:pStyle w:val="TOC2"/>
            <w:tabs>
              <w:tab w:val="right" w:leader="dot" w:pos="9016"/>
            </w:tabs>
            <w:rPr>
              <w:rFonts w:ascii="Arial" w:eastAsiaTheme="minorEastAsia" w:hAnsi="Arial" w:cs="Arial"/>
              <w:noProof/>
              <w:lang w:val="en-US"/>
            </w:rPr>
          </w:pPr>
          <w:hyperlink w:anchor="_Toc228917253" w:history="1">
            <w:r w:rsidR="00E95564" w:rsidRPr="00E95564">
              <w:rPr>
                <w:rStyle w:val="Hyperlink"/>
                <w:rFonts w:ascii="Arial" w:hAnsi="Arial" w:cs="Arial"/>
                <w:noProof/>
              </w:rPr>
              <w:t>Appendix A: Project Timeline</w:t>
            </w:r>
            <w:r w:rsidR="00E95564" w:rsidRPr="00E95564">
              <w:rPr>
                <w:rFonts w:ascii="Arial" w:hAnsi="Arial" w:cs="Arial"/>
                <w:noProof/>
                <w:webHidden/>
              </w:rPr>
              <w:tab/>
            </w:r>
            <w:r w:rsidR="00E95564" w:rsidRPr="00E95564">
              <w:rPr>
                <w:rFonts w:ascii="Arial" w:hAnsi="Arial" w:cs="Arial"/>
                <w:noProof/>
                <w:webHidden/>
              </w:rPr>
              <w:fldChar w:fldCharType="begin"/>
            </w:r>
            <w:r w:rsidR="00E95564" w:rsidRPr="00E95564">
              <w:rPr>
                <w:rFonts w:ascii="Arial" w:hAnsi="Arial" w:cs="Arial"/>
                <w:noProof/>
                <w:webHidden/>
              </w:rPr>
              <w:instrText xml:space="preserve"> PAGEREF _Toc228917253 \h </w:instrText>
            </w:r>
            <w:r w:rsidR="00E95564" w:rsidRPr="00E95564">
              <w:rPr>
                <w:rFonts w:ascii="Arial" w:hAnsi="Arial" w:cs="Arial"/>
                <w:noProof/>
                <w:webHidden/>
              </w:rPr>
            </w:r>
            <w:r w:rsidR="00E95564" w:rsidRPr="00E95564">
              <w:rPr>
                <w:rFonts w:ascii="Arial" w:hAnsi="Arial" w:cs="Arial"/>
                <w:noProof/>
                <w:webHidden/>
              </w:rPr>
              <w:fldChar w:fldCharType="separate"/>
            </w:r>
            <w:r w:rsidR="00E95564">
              <w:rPr>
                <w:rFonts w:ascii="Arial" w:hAnsi="Arial" w:cs="Arial"/>
                <w:noProof/>
                <w:webHidden/>
              </w:rPr>
              <w:t>77</w:t>
            </w:r>
            <w:r w:rsidR="00E95564" w:rsidRPr="00E95564">
              <w:rPr>
                <w:rFonts w:ascii="Arial" w:hAnsi="Arial" w:cs="Arial"/>
                <w:noProof/>
                <w:webHidden/>
              </w:rPr>
              <w:fldChar w:fldCharType="end"/>
            </w:r>
          </w:hyperlink>
        </w:p>
        <w:p w14:paraId="196595EE" w14:textId="7FF548C5" w:rsidR="007B65D5" w:rsidRPr="009D0731" w:rsidRDefault="007B65D5">
          <w:pPr>
            <w:rPr>
              <w:rFonts w:ascii="Arial" w:hAnsi="Arial" w:cs="Arial"/>
            </w:rPr>
          </w:pPr>
          <w:r w:rsidRPr="00E95564">
            <w:rPr>
              <w:rFonts w:ascii="Arial" w:hAnsi="Arial" w:cs="Arial"/>
              <w:b/>
              <w:bCs/>
            </w:rPr>
            <w:fldChar w:fldCharType="end"/>
          </w:r>
        </w:p>
      </w:sdtContent>
    </w:sdt>
    <w:p w14:paraId="6B46D33A" w14:textId="77777777" w:rsidR="00B438F2" w:rsidRPr="00FF6757" w:rsidRDefault="00B438F2">
      <w:pPr>
        <w:spacing w:line="278" w:lineRule="auto"/>
        <w:jc w:val="left"/>
        <w:rPr>
          <w:rFonts w:ascii="Arial" w:hAnsi="Arial" w:cs="Arial"/>
        </w:rPr>
      </w:pPr>
      <w:r w:rsidRPr="00FF6757">
        <w:rPr>
          <w:rFonts w:ascii="Arial" w:hAnsi="Arial" w:cs="Arial"/>
        </w:rPr>
        <w:br w:type="page"/>
      </w:r>
    </w:p>
    <w:p w14:paraId="0E4E2AEC" w14:textId="5D24E3DF" w:rsidR="00321E9B" w:rsidRPr="002835AC" w:rsidRDefault="00321E9B" w:rsidP="002835AC">
      <w:pPr>
        <w:pStyle w:val="Heading1"/>
        <w:rPr>
          <w:rFonts w:cs="Arial"/>
          <w:b w:val="0"/>
          <w:bCs/>
          <w:sz w:val="24"/>
          <w:szCs w:val="24"/>
        </w:rPr>
      </w:pPr>
      <w:bookmarkStart w:id="2" w:name="_Toc228917179"/>
      <w:r w:rsidRPr="002835AC">
        <w:rPr>
          <w:rFonts w:cs="Arial"/>
          <w:bCs/>
          <w:sz w:val="24"/>
          <w:szCs w:val="24"/>
        </w:rPr>
        <w:lastRenderedPageBreak/>
        <w:t>List of Tables</w:t>
      </w:r>
      <w:bookmarkEnd w:id="2"/>
    </w:p>
    <w:p w14:paraId="38B75DEB" w14:textId="49096266" w:rsidR="00321E9B" w:rsidRPr="00FF6757" w:rsidRDefault="00321E9B">
      <w:pPr>
        <w:pStyle w:val="TableofFigures"/>
        <w:tabs>
          <w:tab w:val="right" w:leader="dot" w:pos="9016"/>
        </w:tabs>
        <w:rPr>
          <w:rFonts w:ascii="Arial" w:hAnsi="Arial" w:cs="Arial"/>
          <w:noProof/>
        </w:rPr>
      </w:pPr>
      <w:r w:rsidRPr="00FF6757">
        <w:rPr>
          <w:rFonts w:ascii="Arial" w:hAnsi="Arial" w:cs="Arial"/>
        </w:rPr>
        <w:fldChar w:fldCharType="begin"/>
      </w:r>
      <w:r w:rsidRPr="00FF6757">
        <w:rPr>
          <w:rFonts w:ascii="Arial" w:hAnsi="Arial" w:cs="Arial"/>
        </w:rPr>
        <w:instrText xml:space="preserve"> TOC \h \z \c "Table" </w:instrText>
      </w:r>
      <w:r w:rsidRPr="00FF6757">
        <w:rPr>
          <w:rFonts w:ascii="Arial" w:hAnsi="Arial" w:cs="Arial"/>
        </w:rPr>
        <w:fldChar w:fldCharType="separate"/>
      </w:r>
      <w:hyperlink w:anchor="_Toc222946976" w:history="1">
        <w:r w:rsidRPr="00FF6757">
          <w:rPr>
            <w:rStyle w:val="Hyperlink"/>
            <w:rFonts w:ascii="Arial" w:hAnsi="Arial" w:cs="Arial"/>
            <w:noProof/>
          </w:rPr>
          <w:t>Table 1: Study Selection and Screening Process</w:t>
        </w:r>
        <w:r w:rsidRPr="00FF6757">
          <w:rPr>
            <w:rFonts w:ascii="Arial" w:hAnsi="Arial" w:cs="Arial"/>
            <w:noProof/>
            <w:webHidden/>
          </w:rPr>
          <w:tab/>
        </w:r>
        <w:r w:rsidRPr="00FF6757">
          <w:rPr>
            <w:rFonts w:ascii="Arial" w:hAnsi="Arial" w:cs="Arial"/>
            <w:noProof/>
            <w:webHidden/>
          </w:rPr>
          <w:fldChar w:fldCharType="begin"/>
        </w:r>
        <w:r w:rsidRPr="00FF6757">
          <w:rPr>
            <w:rFonts w:ascii="Arial" w:hAnsi="Arial" w:cs="Arial"/>
            <w:noProof/>
            <w:webHidden/>
          </w:rPr>
          <w:instrText xml:space="preserve"> PAGEREF _Toc222946976 \h </w:instrText>
        </w:r>
        <w:r w:rsidRPr="00FF6757">
          <w:rPr>
            <w:rFonts w:ascii="Arial" w:hAnsi="Arial" w:cs="Arial"/>
            <w:noProof/>
            <w:webHidden/>
          </w:rPr>
        </w:r>
        <w:r w:rsidRPr="00FF6757">
          <w:rPr>
            <w:rFonts w:ascii="Arial" w:hAnsi="Arial" w:cs="Arial"/>
            <w:noProof/>
            <w:webHidden/>
          </w:rPr>
          <w:fldChar w:fldCharType="separate"/>
        </w:r>
        <w:r w:rsidR="00E95564">
          <w:rPr>
            <w:rFonts w:ascii="Arial" w:hAnsi="Arial" w:cs="Arial"/>
            <w:noProof/>
            <w:webHidden/>
          </w:rPr>
          <w:t>34</w:t>
        </w:r>
        <w:r w:rsidRPr="00FF6757">
          <w:rPr>
            <w:rFonts w:ascii="Arial" w:hAnsi="Arial" w:cs="Arial"/>
            <w:noProof/>
            <w:webHidden/>
          </w:rPr>
          <w:fldChar w:fldCharType="end"/>
        </w:r>
      </w:hyperlink>
    </w:p>
    <w:p w14:paraId="6D9AC5D4" w14:textId="0328E604" w:rsidR="00321E9B" w:rsidRPr="00FF6757" w:rsidRDefault="00000000">
      <w:pPr>
        <w:pStyle w:val="TableofFigures"/>
        <w:tabs>
          <w:tab w:val="right" w:leader="dot" w:pos="9016"/>
        </w:tabs>
        <w:rPr>
          <w:rFonts w:ascii="Arial" w:hAnsi="Arial" w:cs="Arial"/>
          <w:noProof/>
        </w:rPr>
      </w:pPr>
      <w:hyperlink w:anchor="_Toc222946977" w:history="1">
        <w:r w:rsidR="00321E9B" w:rsidRPr="00FF6757">
          <w:rPr>
            <w:rStyle w:val="Hyperlink"/>
            <w:rFonts w:ascii="Arial" w:hAnsi="Arial" w:cs="Arial"/>
            <w:noProof/>
          </w:rPr>
          <w:t>Table 2: Thematic Classification of Reviewed Studies</w:t>
        </w:r>
        <w:r w:rsidR="00321E9B" w:rsidRPr="00FF6757">
          <w:rPr>
            <w:rFonts w:ascii="Arial" w:hAnsi="Arial" w:cs="Arial"/>
            <w:noProof/>
            <w:webHidden/>
          </w:rPr>
          <w:tab/>
        </w:r>
        <w:r w:rsidR="00321E9B" w:rsidRPr="00FF6757">
          <w:rPr>
            <w:rFonts w:ascii="Arial" w:hAnsi="Arial" w:cs="Arial"/>
            <w:noProof/>
            <w:webHidden/>
          </w:rPr>
          <w:fldChar w:fldCharType="begin"/>
        </w:r>
        <w:r w:rsidR="00321E9B" w:rsidRPr="00FF6757">
          <w:rPr>
            <w:rFonts w:ascii="Arial" w:hAnsi="Arial" w:cs="Arial"/>
            <w:noProof/>
            <w:webHidden/>
          </w:rPr>
          <w:instrText xml:space="preserve"> PAGEREF _Toc222946977 \h </w:instrText>
        </w:r>
        <w:r w:rsidR="00321E9B" w:rsidRPr="00FF6757">
          <w:rPr>
            <w:rFonts w:ascii="Arial" w:hAnsi="Arial" w:cs="Arial"/>
            <w:noProof/>
            <w:webHidden/>
          </w:rPr>
        </w:r>
        <w:r w:rsidR="00321E9B" w:rsidRPr="00FF6757">
          <w:rPr>
            <w:rFonts w:ascii="Arial" w:hAnsi="Arial" w:cs="Arial"/>
            <w:noProof/>
            <w:webHidden/>
          </w:rPr>
          <w:fldChar w:fldCharType="separate"/>
        </w:r>
        <w:r w:rsidR="00E95564">
          <w:rPr>
            <w:rFonts w:ascii="Arial" w:hAnsi="Arial" w:cs="Arial"/>
            <w:noProof/>
            <w:webHidden/>
          </w:rPr>
          <w:t>36</w:t>
        </w:r>
        <w:r w:rsidR="00321E9B" w:rsidRPr="00FF6757">
          <w:rPr>
            <w:rFonts w:ascii="Arial" w:hAnsi="Arial" w:cs="Arial"/>
            <w:noProof/>
            <w:webHidden/>
          </w:rPr>
          <w:fldChar w:fldCharType="end"/>
        </w:r>
      </w:hyperlink>
    </w:p>
    <w:p w14:paraId="65A43E77" w14:textId="3076BFC8" w:rsidR="00321E9B" w:rsidRPr="00FF6757" w:rsidRDefault="00000000">
      <w:pPr>
        <w:pStyle w:val="TableofFigures"/>
        <w:tabs>
          <w:tab w:val="right" w:leader="dot" w:pos="9016"/>
        </w:tabs>
        <w:rPr>
          <w:rFonts w:ascii="Arial" w:hAnsi="Arial" w:cs="Arial"/>
          <w:noProof/>
        </w:rPr>
      </w:pPr>
      <w:hyperlink w:anchor="_Toc222946978" w:history="1">
        <w:r w:rsidR="00321E9B" w:rsidRPr="00FF6757">
          <w:rPr>
            <w:rStyle w:val="Hyperlink"/>
            <w:rFonts w:ascii="Arial" w:hAnsi="Arial" w:cs="Arial"/>
            <w:noProof/>
          </w:rPr>
          <w:t>Table 3: Comparative Evaluation of Risk Management Approaches</w:t>
        </w:r>
        <w:r w:rsidR="00321E9B" w:rsidRPr="00FF6757">
          <w:rPr>
            <w:rFonts w:ascii="Arial" w:hAnsi="Arial" w:cs="Arial"/>
            <w:noProof/>
            <w:webHidden/>
          </w:rPr>
          <w:tab/>
        </w:r>
        <w:r w:rsidR="00321E9B" w:rsidRPr="00FF6757">
          <w:rPr>
            <w:rFonts w:ascii="Arial" w:hAnsi="Arial" w:cs="Arial"/>
            <w:noProof/>
            <w:webHidden/>
          </w:rPr>
          <w:fldChar w:fldCharType="begin"/>
        </w:r>
        <w:r w:rsidR="00321E9B" w:rsidRPr="00FF6757">
          <w:rPr>
            <w:rFonts w:ascii="Arial" w:hAnsi="Arial" w:cs="Arial"/>
            <w:noProof/>
            <w:webHidden/>
          </w:rPr>
          <w:instrText xml:space="preserve"> PAGEREF _Toc222946978 \h </w:instrText>
        </w:r>
        <w:r w:rsidR="00321E9B" w:rsidRPr="00FF6757">
          <w:rPr>
            <w:rFonts w:ascii="Arial" w:hAnsi="Arial" w:cs="Arial"/>
            <w:noProof/>
            <w:webHidden/>
          </w:rPr>
        </w:r>
        <w:r w:rsidR="00321E9B" w:rsidRPr="00FF6757">
          <w:rPr>
            <w:rFonts w:ascii="Arial" w:hAnsi="Arial" w:cs="Arial"/>
            <w:noProof/>
            <w:webHidden/>
          </w:rPr>
          <w:fldChar w:fldCharType="separate"/>
        </w:r>
        <w:r w:rsidR="00E95564">
          <w:rPr>
            <w:rFonts w:ascii="Arial" w:hAnsi="Arial" w:cs="Arial"/>
            <w:noProof/>
            <w:webHidden/>
          </w:rPr>
          <w:t>46</w:t>
        </w:r>
        <w:r w:rsidR="00321E9B" w:rsidRPr="00FF6757">
          <w:rPr>
            <w:rFonts w:ascii="Arial" w:hAnsi="Arial" w:cs="Arial"/>
            <w:noProof/>
            <w:webHidden/>
          </w:rPr>
          <w:fldChar w:fldCharType="end"/>
        </w:r>
      </w:hyperlink>
    </w:p>
    <w:p w14:paraId="68FD3D29" w14:textId="0C2AB10E" w:rsidR="00321E9B" w:rsidRPr="00FF6757" w:rsidRDefault="00000000">
      <w:pPr>
        <w:pStyle w:val="TableofFigures"/>
        <w:tabs>
          <w:tab w:val="right" w:leader="dot" w:pos="9016"/>
        </w:tabs>
        <w:rPr>
          <w:rFonts w:ascii="Arial" w:hAnsi="Arial" w:cs="Arial"/>
          <w:noProof/>
        </w:rPr>
      </w:pPr>
      <w:hyperlink w:anchor="_Toc222946979" w:history="1">
        <w:r w:rsidR="00321E9B" w:rsidRPr="00FF6757">
          <w:rPr>
            <w:rStyle w:val="Hyperlink"/>
            <w:rFonts w:ascii="Arial" w:hAnsi="Arial" w:cs="Arial"/>
            <w:noProof/>
          </w:rPr>
          <w:t>Table 4: Integrated Risk Management Framework for Forex Performance</w:t>
        </w:r>
        <w:r w:rsidR="00321E9B" w:rsidRPr="00FF6757">
          <w:rPr>
            <w:rFonts w:ascii="Arial" w:hAnsi="Arial" w:cs="Arial"/>
            <w:noProof/>
            <w:webHidden/>
          </w:rPr>
          <w:tab/>
        </w:r>
        <w:r w:rsidR="00321E9B" w:rsidRPr="00FF6757">
          <w:rPr>
            <w:rFonts w:ascii="Arial" w:hAnsi="Arial" w:cs="Arial"/>
            <w:noProof/>
            <w:webHidden/>
          </w:rPr>
          <w:fldChar w:fldCharType="begin"/>
        </w:r>
        <w:r w:rsidR="00321E9B" w:rsidRPr="00FF6757">
          <w:rPr>
            <w:rFonts w:ascii="Arial" w:hAnsi="Arial" w:cs="Arial"/>
            <w:noProof/>
            <w:webHidden/>
          </w:rPr>
          <w:instrText xml:space="preserve"> PAGEREF _Toc222946979 \h </w:instrText>
        </w:r>
        <w:r w:rsidR="00321E9B" w:rsidRPr="00FF6757">
          <w:rPr>
            <w:rFonts w:ascii="Arial" w:hAnsi="Arial" w:cs="Arial"/>
            <w:noProof/>
            <w:webHidden/>
          </w:rPr>
        </w:r>
        <w:r w:rsidR="00321E9B" w:rsidRPr="00FF6757">
          <w:rPr>
            <w:rFonts w:ascii="Arial" w:hAnsi="Arial" w:cs="Arial"/>
            <w:noProof/>
            <w:webHidden/>
          </w:rPr>
          <w:fldChar w:fldCharType="separate"/>
        </w:r>
        <w:r w:rsidR="00E95564">
          <w:rPr>
            <w:rFonts w:ascii="Arial" w:hAnsi="Arial" w:cs="Arial"/>
            <w:noProof/>
            <w:webHidden/>
          </w:rPr>
          <w:t>56</w:t>
        </w:r>
        <w:r w:rsidR="00321E9B" w:rsidRPr="00FF6757">
          <w:rPr>
            <w:rFonts w:ascii="Arial" w:hAnsi="Arial" w:cs="Arial"/>
            <w:noProof/>
            <w:webHidden/>
          </w:rPr>
          <w:fldChar w:fldCharType="end"/>
        </w:r>
      </w:hyperlink>
    </w:p>
    <w:p w14:paraId="5620373E" w14:textId="45A89C34" w:rsidR="00321E9B" w:rsidRPr="00FF6757" w:rsidRDefault="00000000">
      <w:pPr>
        <w:pStyle w:val="TableofFigures"/>
        <w:tabs>
          <w:tab w:val="right" w:leader="dot" w:pos="9016"/>
        </w:tabs>
        <w:rPr>
          <w:rFonts w:ascii="Arial" w:hAnsi="Arial" w:cs="Arial"/>
          <w:noProof/>
        </w:rPr>
      </w:pPr>
      <w:hyperlink w:anchor="_Toc222946980" w:history="1">
        <w:r w:rsidR="00321E9B" w:rsidRPr="00FF6757">
          <w:rPr>
            <w:rStyle w:val="Hyperlink"/>
            <w:rFonts w:ascii="Arial" w:hAnsi="Arial" w:cs="Arial"/>
            <w:noProof/>
          </w:rPr>
          <w:t>Table 5: Risk Management Practices and Performance Implications</w:t>
        </w:r>
        <w:r w:rsidR="00321E9B" w:rsidRPr="00FF6757">
          <w:rPr>
            <w:rFonts w:ascii="Arial" w:hAnsi="Arial" w:cs="Arial"/>
            <w:noProof/>
            <w:webHidden/>
          </w:rPr>
          <w:tab/>
        </w:r>
        <w:r w:rsidR="00321E9B" w:rsidRPr="00FF6757">
          <w:rPr>
            <w:rFonts w:ascii="Arial" w:hAnsi="Arial" w:cs="Arial"/>
            <w:noProof/>
            <w:webHidden/>
          </w:rPr>
          <w:fldChar w:fldCharType="begin"/>
        </w:r>
        <w:r w:rsidR="00321E9B" w:rsidRPr="00FF6757">
          <w:rPr>
            <w:rFonts w:ascii="Arial" w:hAnsi="Arial" w:cs="Arial"/>
            <w:noProof/>
            <w:webHidden/>
          </w:rPr>
          <w:instrText xml:space="preserve"> PAGEREF _Toc222946980 \h </w:instrText>
        </w:r>
        <w:r w:rsidR="00321E9B" w:rsidRPr="00FF6757">
          <w:rPr>
            <w:rFonts w:ascii="Arial" w:hAnsi="Arial" w:cs="Arial"/>
            <w:noProof/>
            <w:webHidden/>
          </w:rPr>
        </w:r>
        <w:r w:rsidR="00321E9B" w:rsidRPr="00FF6757">
          <w:rPr>
            <w:rFonts w:ascii="Arial" w:hAnsi="Arial" w:cs="Arial"/>
            <w:noProof/>
            <w:webHidden/>
          </w:rPr>
          <w:fldChar w:fldCharType="separate"/>
        </w:r>
        <w:r w:rsidR="00E95564">
          <w:rPr>
            <w:rFonts w:ascii="Arial" w:hAnsi="Arial" w:cs="Arial"/>
            <w:noProof/>
            <w:webHidden/>
          </w:rPr>
          <w:t>64</w:t>
        </w:r>
        <w:r w:rsidR="00321E9B" w:rsidRPr="00FF6757">
          <w:rPr>
            <w:rFonts w:ascii="Arial" w:hAnsi="Arial" w:cs="Arial"/>
            <w:noProof/>
            <w:webHidden/>
          </w:rPr>
          <w:fldChar w:fldCharType="end"/>
        </w:r>
      </w:hyperlink>
    </w:p>
    <w:p w14:paraId="6B32210A" w14:textId="77777777" w:rsidR="00B438F2" w:rsidRPr="00FF6757" w:rsidRDefault="00321E9B" w:rsidP="00E02FB3">
      <w:pPr>
        <w:jc w:val="left"/>
        <w:rPr>
          <w:rFonts w:ascii="Arial" w:hAnsi="Arial" w:cs="Arial"/>
        </w:rPr>
      </w:pPr>
      <w:r w:rsidRPr="00FF6757">
        <w:rPr>
          <w:rFonts w:ascii="Arial" w:hAnsi="Arial" w:cs="Arial"/>
        </w:rPr>
        <w:fldChar w:fldCharType="end"/>
      </w:r>
    </w:p>
    <w:p w14:paraId="104AB2FC" w14:textId="737BB094" w:rsidR="00321E9B" w:rsidRPr="002835AC" w:rsidRDefault="00321E9B" w:rsidP="002835AC">
      <w:pPr>
        <w:pStyle w:val="Heading1"/>
        <w:spacing w:before="0"/>
        <w:rPr>
          <w:rFonts w:cs="Arial"/>
          <w:b w:val="0"/>
          <w:bCs/>
          <w:sz w:val="24"/>
          <w:szCs w:val="24"/>
        </w:rPr>
      </w:pPr>
      <w:bookmarkStart w:id="3" w:name="_Toc228917180"/>
      <w:r w:rsidRPr="002835AC">
        <w:rPr>
          <w:rFonts w:cs="Arial"/>
          <w:bCs/>
          <w:sz w:val="24"/>
          <w:szCs w:val="24"/>
        </w:rPr>
        <w:t>List of Figures</w:t>
      </w:r>
      <w:bookmarkEnd w:id="3"/>
    </w:p>
    <w:p w14:paraId="3D6E8716" w14:textId="14FBCBAD" w:rsidR="00C161DB" w:rsidRPr="00FF6757" w:rsidRDefault="00321E9B">
      <w:pPr>
        <w:pStyle w:val="TableofFigures"/>
        <w:tabs>
          <w:tab w:val="right" w:leader="dot" w:pos="9016"/>
        </w:tabs>
        <w:rPr>
          <w:rFonts w:ascii="Arial" w:eastAsiaTheme="minorEastAsia" w:hAnsi="Arial" w:cs="Arial"/>
          <w:noProof/>
          <w:lang w:eastAsia="en-GB"/>
        </w:rPr>
      </w:pPr>
      <w:r w:rsidRPr="00FF6757">
        <w:rPr>
          <w:rFonts w:ascii="Arial" w:hAnsi="Arial" w:cs="Arial"/>
        </w:rPr>
        <w:fldChar w:fldCharType="begin"/>
      </w:r>
      <w:r w:rsidRPr="00FF6757">
        <w:rPr>
          <w:rFonts w:ascii="Arial" w:hAnsi="Arial" w:cs="Arial"/>
        </w:rPr>
        <w:instrText xml:space="preserve"> TOC \h \z \c "Figure" </w:instrText>
      </w:r>
      <w:r w:rsidRPr="00FF6757">
        <w:rPr>
          <w:rFonts w:ascii="Arial" w:hAnsi="Arial" w:cs="Arial"/>
        </w:rPr>
        <w:fldChar w:fldCharType="separate"/>
      </w:r>
      <w:hyperlink w:anchor="_Toc222947493" w:history="1">
        <w:r w:rsidR="00C161DB" w:rsidRPr="00FF6757">
          <w:rPr>
            <w:rStyle w:val="Hyperlink"/>
            <w:rFonts w:ascii="Arial" w:hAnsi="Arial" w:cs="Arial"/>
            <w:noProof/>
          </w:rPr>
          <w:t>Figure 1: PRISMA Framework Study Selection Process</w:t>
        </w:r>
        <w:r w:rsidR="00C161DB" w:rsidRPr="00FF6757">
          <w:rPr>
            <w:rFonts w:ascii="Arial" w:hAnsi="Arial" w:cs="Arial"/>
            <w:noProof/>
            <w:webHidden/>
          </w:rPr>
          <w:tab/>
        </w:r>
        <w:r w:rsidR="00C161DB" w:rsidRPr="00FF6757">
          <w:rPr>
            <w:rFonts w:ascii="Arial" w:hAnsi="Arial" w:cs="Arial"/>
            <w:noProof/>
            <w:webHidden/>
          </w:rPr>
          <w:fldChar w:fldCharType="begin"/>
        </w:r>
        <w:r w:rsidR="00C161DB" w:rsidRPr="00FF6757">
          <w:rPr>
            <w:rFonts w:ascii="Arial" w:hAnsi="Arial" w:cs="Arial"/>
            <w:noProof/>
            <w:webHidden/>
          </w:rPr>
          <w:instrText xml:space="preserve"> PAGEREF _Toc222947493 \h </w:instrText>
        </w:r>
        <w:r w:rsidR="00C161DB" w:rsidRPr="00FF6757">
          <w:rPr>
            <w:rFonts w:ascii="Arial" w:hAnsi="Arial" w:cs="Arial"/>
            <w:noProof/>
            <w:webHidden/>
          </w:rPr>
        </w:r>
        <w:r w:rsidR="00C161DB" w:rsidRPr="00FF6757">
          <w:rPr>
            <w:rFonts w:ascii="Arial" w:hAnsi="Arial" w:cs="Arial"/>
            <w:noProof/>
            <w:webHidden/>
          </w:rPr>
          <w:fldChar w:fldCharType="separate"/>
        </w:r>
        <w:r w:rsidR="00E95564">
          <w:rPr>
            <w:rFonts w:ascii="Arial" w:hAnsi="Arial" w:cs="Arial"/>
            <w:noProof/>
            <w:webHidden/>
          </w:rPr>
          <w:t>34</w:t>
        </w:r>
        <w:r w:rsidR="00C161DB" w:rsidRPr="00FF6757">
          <w:rPr>
            <w:rFonts w:ascii="Arial" w:hAnsi="Arial" w:cs="Arial"/>
            <w:noProof/>
            <w:webHidden/>
          </w:rPr>
          <w:fldChar w:fldCharType="end"/>
        </w:r>
      </w:hyperlink>
    </w:p>
    <w:p w14:paraId="54411FBF" w14:textId="063C52CC" w:rsidR="00C161DB" w:rsidRPr="00FF6757" w:rsidRDefault="00000000">
      <w:pPr>
        <w:pStyle w:val="TableofFigures"/>
        <w:tabs>
          <w:tab w:val="right" w:leader="dot" w:pos="9016"/>
        </w:tabs>
        <w:rPr>
          <w:rFonts w:ascii="Arial" w:eastAsiaTheme="minorEastAsia" w:hAnsi="Arial" w:cs="Arial"/>
          <w:noProof/>
          <w:lang w:eastAsia="en-GB"/>
        </w:rPr>
      </w:pPr>
      <w:hyperlink w:anchor="_Toc222947494" w:history="1">
        <w:r w:rsidR="00C161DB" w:rsidRPr="00FF6757">
          <w:rPr>
            <w:rStyle w:val="Hyperlink"/>
            <w:rFonts w:ascii="Arial" w:hAnsi="Arial" w:cs="Arial"/>
            <w:noProof/>
          </w:rPr>
          <w:t>Figure 2: Hybrid GARCH–LSTM Framework for VaR Forecasting</w:t>
        </w:r>
        <w:r w:rsidR="00C161DB" w:rsidRPr="00FF6757">
          <w:rPr>
            <w:rFonts w:ascii="Arial" w:hAnsi="Arial" w:cs="Arial"/>
            <w:noProof/>
            <w:webHidden/>
          </w:rPr>
          <w:tab/>
        </w:r>
        <w:r w:rsidR="00C161DB" w:rsidRPr="00FF6757">
          <w:rPr>
            <w:rFonts w:ascii="Arial" w:hAnsi="Arial" w:cs="Arial"/>
            <w:noProof/>
            <w:webHidden/>
          </w:rPr>
          <w:fldChar w:fldCharType="begin"/>
        </w:r>
        <w:r w:rsidR="00C161DB" w:rsidRPr="00FF6757">
          <w:rPr>
            <w:rFonts w:ascii="Arial" w:hAnsi="Arial" w:cs="Arial"/>
            <w:noProof/>
            <w:webHidden/>
          </w:rPr>
          <w:instrText xml:space="preserve"> PAGEREF _Toc222947494 \h </w:instrText>
        </w:r>
        <w:r w:rsidR="00C161DB" w:rsidRPr="00FF6757">
          <w:rPr>
            <w:rFonts w:ascii="Arial" w:hAnsi="Arial" w:cs="Arial"/>
            <w:noProof/>
            <w:webHidden/>
          </w:rPr>
        </w:r>
        <w:r w:rsidR="00C161DB" w:rsidRPr="00FF6757">
          <w:rPr>
            <w:rFonts w:ascii="Arial" w:hAnsi="Arial" w:cs="Arial"/>
            <w:noProof/>
            <w:webHidden/>
          </w:rPr>
          <w:fldChar w:fldCharType="separate"/>
        </w:r>
        <w:r w:rsidR="00E95564">
          <w:rPr>
            <w:rFonts w:ascii="Arial" w:hAnsi="Arial" w:cs="Arial"/>
            <w:noProof/>
            <w:webHidden/>
          </w:rPr>
          <w:t>35</w:t>
        </w:r>
        <w:r w:rsidR="00C161DB" w:rsidRPr="00FF6757">
          <w:rPr>
            <w:rFonts w:ascii="Arial" w:hAnsi="Arial" w:cs="Arial"/>
            <w:noProof/>
            <w:webHidden/>
          </w:rPr>
          <w:fldChar w:fldCharType="end"/>
        </w:r>
      </w:hyperlink>
    </w:p>
    <w:p w14:paraId="616BCA89" w14:textId="7FA41A52" w:rsidR="00C161DB" w:rsidRPr="00FF6757" w:rsidRDefault="00000000">
      <w:pPr>
        <w:pStyle w:val="TableofFigures"/>
        <w:tabs>
          <w:tab w:val="right" w:leader="dot" w:pos="9016"/>
        </w:tabs>
        <w:rPr>
          <w:rFonts w:ascii="Arial" w:eastAsiaTheme="minorEastAsia" w:hAnsi="Arial" w:cs="Arial"/>
          <w:noProof/>
          <w:lang w:eastAsia="en-GB"/>
        </w:rPr>
      </w:pPr>
      <w:hyperlink w:anchor="_Toc222947495" w:history="1">
        <w:r w:rsidR="00C161DB" w:rsidRPr="00FF6757">
          <w:rPr>
            <w:rStyle w:val="Hyperlink"/>
            <w:rFonts w:ascii="Arial" w:hAnsi="Arial" w:cs="Arial"/>
            <w:noProof/>
          </w:rPr>
          <w:t>Figure 3: Integrated Financial Risk Management Architecture for Sustainable Forex Trading Performance</w:t>
        </w:r>
        <w:r w:rsidR="00C161DB" w:rsidRPr="00FF6757">
          <w:rPr>
            <w:rFonts w:ascii="Arial" w:hAnsi="Arial" w:cs="Arial"/>
            <w:noProof/>
            <w:webHidden/>
          </w:rPr>
          <w:tab/>
        </w:r>
        <w:r w:rsidR="00C161DB" w:rsidRPr="00FF6757">
          <w:rPr>
            <w:rFonts w:ascii="Arial" w:hAnsi="Arial" w:cs="Arial"/>
            <w:noProof/>
            <w:webHidden/>
          </w:rPr>
          <w:fldChar w:fldCharType="begin"/>
        </w:r>
        <w:r w:rsidR="00C161DB" w:rsidRPr="00FF6757">
          <w:rPr>
            <w:rFonts w:ascii="Arial" w:hAnsi="Arial" w:cs="Arial"/>
            <w:noProof/>
            <w:webHidden/>
          </w:rPr>
          <w:instrText xml:space="preserve"> PAGEREF _Toc222947495 \h </w:instrText>
        </w:r>
        <w:r w:rsidR="00C161DB" w:rsidRPr="00FF6757">
          <w:rPr>
            <w:rFonts w:ascii="Arial" w:hAnsi="Arial" w:cs="Arial"/>
            <w:noProof/>
            <w:webHidden/>
          </w:rPr>
        </w:r>
        <w:r w:rsidR="00C161DB" w:rsidRPr="00FF6757">
          <w:rPr>
            <w:rFonts w:ascii="Arial" w:hAnsi="Arial" w:cs="Arial"/>
            <w:noProof/>
            <w:webHidden/>
          </w:rPr>
          <w:fldChar w:fldCharType="separate"/>
        </w:r>
        <w:r w:rsidR="00E95564">
          <w:rPr>
            <w:rFonts w:ascii="Arial" w:hAnsi="Arial" w:cs="Arial"/>
            <w:noProof/>
            <w:webHidden/>
          </w:rPr>
          <w:t>57</w:t>
        </w:r>
        <w:r w:rsidR="00C161DB" w:rsidRPr="00FF6757">
          <w:rPr>
            <w:rFonts w:ascii="Arial" w:hAnsi="Arial" w:cs="Arial"/>
            <w:noProof/>
            <w:webHidden/>
          </w:rPr>
          <w:fldChar w:fldCharType="end"/>
        </w:r>
      </w:hyperlink>
    </w:p>
    <w:p w14:paraId="7F45D60A" w14:textId="76A7EF05" w:rsidR="00C161DB" w:rsidRPr="00FF6757" w:rsidRDefault="00000000">
      <w:pPr>
        <w:pStyle w:val="TableofFigures"/>
        <w:tabs>
          <w:tab w:val="right" w:leader="dot" w:pos="9016"/>
        </w:tabs>
        <w:rPr>
          <w:rFonts w:ascii="Arial" w:eastAsiaTheme="minorEastAsia" w:hAnsi="Arial" w:cs="Arial"/>
          <w:noProof/>
          <w:lang w:eastAsia="en-GB"/>
        </w:rPr>
      </w:pPr>
      <w:hyperlink w:anchor="_Toc222947496" w:history="1">
        <w:r w:rsidR="00C161DB" w:rsidRPr="00FF6757">
          <w:rPr>
            <w:rStyle w:val="Hyperlink"/>
            <w:rFonts w:ascii="Arial" w:hAnsi="Arial" w:cs="Arial"/>
            <w:noProof/>
          </w:rPr>
          <w:t>Figure 4: Gantt Chart of activity</w:t>
        </w:r>
        <w:r w:rsidR="00C161DB" w:rsidRPr="00FF6757">
          <w:rPr>
            <w:rFonts w:ascii="Arial" w:hAnsi="Arial" w:cs="Arial"/>
            <w:noProof/>
            <w:webHidden/>
          </w:rPr>
          <w:tab/>
        </w:r>
        <w:r w:rsidR="00C161DB" w:rsidRPr="00FF6757">
          <w:rPr>
            <w:rFonts w:ascii="Arial" w:hAnsi="Arial" w:cs="Arial"/>
            <w:noProof/>
            <w:webHidden/>
          </w:rPr>
          <w:fldChar w:fldCharType="begin"/>
        </w:r>
        <w:r w:rsidR="00C161DB" w:rsidRPr="00FF6757">
          <w:rPr>
            <w:rFonts w:ascii="Arial" w:hAnsi="Arial" w:cs="Arial"/>
            <w:noProof/>
            <w:webHidden/>
          </w:rPr>
          <w:instrText xml:space="preserve"> PAGEREF _Toc222947496 \h </w:instrText>
        </w:r>
        <w:r w:rsidR="00C161DB" w:rsidRPr="00FF6757">
          <w:rPr>
            <w:rFonts w:ascii="Arial" w:hAnsi="Arial" w:cs="Arial"/>
            <w:noProof/>
            <w:webHidden/>
          </w:rPr>
        </w:r>
        <w:r w:rsidR="00C161DB" w:rsidRPr="00FF6757">
          <w:rPr>
            <w:rFonts w:ascii="Arial" w:hAnsi="Arial" w:cs="Arial"/>
            <w:noProof/>
            <w:webHidden/>
          </w:rPr>
          <w:fldChar w:fldCharType="separate"/>
        </w:r>
        <w:r w:rsidR="00E95564">
          <w:rPr>
            <w:rFonts w:ascii="Arial" w:hAnsi="Arial" w:cs="Arial"/>
            <w:noProof/>
            <w:webHidden/>
          </w:rPr>
          <w:t>77</w:t>
        </w:r>
        <w:r w:rsidR="00C161DB" w:rsidRPr="00FF6757">
          <w:rPr>
            <w:rFonts w:ascii="Arial" w:hAnsi="Arial" w:cs="Arial"/>
            <w:noProof/>
            <w:webHidden/>
          </w:rPr>
          <w:fldChar w:fldCharType="end"/>
        </w:r>
      </w:hyperlink>
    </w:p>
    <w:p w14:paraId="38485630" w14:textId="35312988" w:rsidR="003A5072" w:rsidRDefault="00321E9B" w:rsidP="00E02FB3">
      <w:pPr>
        <w:jc w:val="left"/>
        <w:rPr>
          <w:rFonts w:ascii="Arial" w:hAnsi="Arial" w:cs="Arial"/>
        </w:rPr>
      </w:pPr>
      <w:r w:rsidRPr="00FF6757">
        <w:rPr>
          <w:rFonts w:ascii="Arial" w:hAnsi="Arial" w:cs="Arial"/>
        </w:rPr>
        <w:fldChar w:fldCharType="end"/>
      </w:r>
      <w:r w:rsidR="003A5072" w:rsidRPr="00FF6757">
        <w:rPr>
          <w:rFonts w:ascii="Arial" w:hAnsi="Arial" w:cs="Arial"/>
        </w:rPr>
        <w:br w:type="page"/>
      </w:r>
    </w:p>
    <w:p w14:paraId="6B03617D" w14:textId="23865FD3" w:rsidR="00E95564" w:rsidRDefault="00E95564" w:rsidP="00E95564">
      <w:pPr>
        <w:pStyle w:val="Heading1"/>
        <w:jc w:val="center"/>
        <w:rPr>
          <w:rFonts w:cs="Arial"/>
        </w:rPr>
      </w:pPr>
      <w:bookmarkStart w:id="4" w:name="_Toc228917181"/>
      <w:r>
        <w:rPr>
          <w:rFonts w:cs="Arial"/>
        </w:rPr>
        <w:lastRenderedPageBreak/>
        <w:t>Glossary</w:t>
      </w:r>
      <w:bookmarkEnd w:id="4"/>
    </w:p>
    <w:p w14:paraId="09797377" w14:textId="77777777" w:rsidR="00E95564" w:rsidRDefault="00E95564" w:rsidP="00E95564"/>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2"/>
        <w:gridCol w:w="7454"/>
      </w:tblGrid>
      <w:tr w:rsidR="00E95564" w:rsidRPr="00E95564" w14:paraId="4AB6C1E5" w14:textId="77777777" w:rsidTr="00E95564">
        <w:trPr>
          <w:tblHeader/>
          <w:tblCellSpacing w:w="15" w:type="dxa"/>
          <w:jc w:val="center"/>
        </w:trPr>
        <w:tc>
          <w:tcPr>
            <w:tcW w:w="0" w:type="auto"/>
            <w:vAlign w:val="center"/>
            <w:hideMark/>
          </w:tcPr>
          <w:p w14:paraId="6369D29F" w14:textId="77777777" w:rsidR="00E95564" w:rsidRPr="00E95564" w:rsidRDefault="00E95564" w:rsidP="00E95564">
            <w:pPr>
              <w:jc w:val="center"/>
              <w:rPr>
                <w:rFonts w:ascii="Arial" w:hAnsi="Arial" w:cs="Arial"/>
                <w:b/>
                <w:bCs/>
                <w:lang w:val="en-US"/>
              </w:rPr>
            </w:pPr>
            <w:r w:rsidRPr="00E95564">
              <w:rPr>
                <w:rFonts w:ascii="Arial" w:hAnsi="Arial" w:cs="Arial"/>
                <w:b/>
                <w:bCs/>
                <w:lang w:val="en-US"/>
              </w:rPr>
              <w:t>Abbreviation</w:t>
            </w:r>
          </w:p>
        </w:tc>
        <w:tc>
          <w:tcPr>
            <w:tcW w:w="0" w:type="auto"/>
            <w:vAlign w:val="center"/>
            <w:hideMark/>
          </w:tcPr>
          <w:p w14:paraId="6DC21BF0" w14:textId="77777777" w:rsidR="00E95564" w:rsidRPr="00E95564" w:rsidRDefault="00E95564" w:rsidP="00E95564">
            <w:pPr>
              <w:jc w:val="center"/>
              <w:rPr>
                <w:rFonts w:ascii="Arial" w:hAnsi="Arial" w:cs="Arial"/>
                <w:b/>
                <w:bCs/>
                <w:lang w:val="en-US"/>
              </w:rPr>
            </w:pPr>
            <w:r w:rsidRPr="00E95564">
              <w:rPr>
                <w:rFonts w:ascii="Arial" w:hAnsi="Arial" w:cs="Arial"/>
                <w:b/>
                <w:bCs/>
                <w:lang w:val="en-US"/>
              </w:rPr>
              <w:t>Full Term</w:t>
            </w:r>
          </w:p>
        </w:tc>
      </w:tr>
      <w:tr w:rsidR="00E95564" w:rsidRPr="00E95564" w14:paraId="738CD946" w14:textId="77777777" w:rsidTr="00E95564">
        <w:trPr>
          <w:tblCellSpacing w:w="15" w:type="dxa"/>
          <w:jc w:val="center"/>
        </w:trPr>
        <w:tc>
          <w:tcPr>
            <w:tcW w:w="0" w:type="auto"/>
            <w:vAlign w:val="center"/>
            <w:hideMark/>
          </w:tcPr>
          <w:p w14:paraId="603943D5" w14:textId="77777777" w:rsidR="00E95564" w:rsidRPr="00E95564" w:rsidRDefault="00E95564" w:rsidP="00E95564">
            <w:pPr>
              <w:rPr>
                <w:rFonts w:ascii="Arial" w:hAnsi="Arial" w:cs="Arial"/>
                <w:lang w:val="en-US"/>
              </w:rPr>
            </w:pPr>
            <w:r w:rsidRPr="00E95564">
              <w:rPr>
                <w:rFonts w:ascii="Arial" w:hAnsi="Arial" w:cs="Arial"/>
                <w:lang w:val="en-US"/>
              </w:rPr>
              <w:t>Forex / FX</w:t>
            </w:r>
          </w:p>
        </w:tc>
        <w:tc>
          <w:tcPr>
            <w:tcW w:w="0" w:type="auto"/>
            <w:vAlign w:val="center"/>
            <w:hideMark/>
          </w:tcPr>
          <w:p w14:paraId="0FEC33D3" w14:textId="77777777" w:rsidR="00E95564" w:rsidRPr="00E95564" w:rsidRDefault="00E95564" w:rsidP="00E95564">
            <w:pPr>
              <w:rPr>
                <w:rFonts w:ascii="Arial" w:hAnsi="Arial" w:cs="Arial"/>
                <w:lang w:val="en-US"/>
              </w:rPr>
            </w:pPr>
            <w:r w:rsidRPr="00E95564">
              <w:rPr>
                <w:rFonts w:ascii="Arial" w:hAnsi="Arial" w:cs="Arial"/>
                <w:lang w:val="en-US"/>
              </w:rPr>
              <w:t>Foreign Exchange</w:t>
            </w:r>
          </w:p>
        </w:tc>
      </w:tr>
      <w:tr w:rsidR="00E95564" w:rsidRPr="00E95564" w14:paraId="2A5AE1BA" w14:textId="77777777" w:rsidTr="00E95564">
        <w:trPr>
          <w:tblCellSpacing w:w="15" w:type="dxa"/>
          <w:jc w:val="center"/>
        </w:trPr>
        <w:tc>
          <w:tcPr>
            <w:tcW w:w="0" w:type="auto"/>
            <w:vAlign w:val="center"/>
            <w:hideMark/>
          </w:tcPr>
          <w:p w14:paraId="7D785866" w14:textId="77777777" w:rsidR="00E95564" w:rsidRPr="00E95564" w:rsidRDefault="00E95564" w:rsidP="00E95564">
            <w:pPr>
              <w:rPr>
                <w:rFonts w:ascii="Arial" w:hAnsi="Arial" w:cs="Arial"/>
                <w:lang w:val="en-US"/>
              </w:rPr>
            </w:pPr>
            <w:r w:rsidRPr="00E95564">
              <w:rPr>
                <w:rFonts w:ascii="Arial" w:hAnsi="Arial" w:cs="Arial"/>
                <w:lang w:val="en-US"/>
              </w:rPr>
              <w:t>VaR</w:t>
            </w:r>
          </w:p>
        </w:tc>
        <w:tc>
          <w:tcPr>
            <w:tcW w:w="0" w:type="auto"/>
            <w:vAlign w:val="center"/>
            <w:hideMark/>
          </w:tcPr>
          <w:p w14:paraId="0CE43892" w14:textId="77777777" w:rsidR="00E95564" w:rsidRPr="00E95564" w:rsidRDefault="00E95564" w:rsidP="00E95564">
            <w:pPr>
              <w:rPr>
                <w:rFonts w:ascii="Arial" w:hAnsi="Arial" w:cs="Arial"/>
                <w:lang w:val="en-US"/>
              </w:rPr>
            </w:pPr>
            <w:r w:rsidRPr="00E95564">
              <w:rPr>
                <w:rFonts w:ascii="Arial" w:hAnsi="Arial" w:cs="Arial"/>
                <w:lang w:val="en-US"/>
              </w:rPr>
              <w:t>Value-at-Risk</w:t>
            </w:r>
          </w:p>
        </w:tc>
      </w:tr>
      <w:tr w:rsidR="00E95564" w:rsidRPr="00E95564" w14:paraId="7899DD0D" w14:textId="77777777" w:rsidTr="00E95564">
        <w:trPr>
          <w:tblCellSpacing w:w="15" w:type="dxa"/>
          <w:jc w:val="center"/>
        </w:trPr>
        <w:tc>
          <w:tcPr>
            <w:tcW w:w="0" w:type="auto"/>
            <w:vAlign w:val="center"/>
            <w:hideMark/>
          </w:tcPr>
          <w:p w14:paraId="7B92683F" w14:textId="77777777" w:rsidR="00E95564" w:rsidRPr="00E95564" w:rsidRDefault="00E95564" w:rsidP="00E95564">
            <w:pPr>
              <w:rPr>
                <w:rFonts w:ascii="Arial" w:hAnsi="Arial" w:cs="Arial"/>
                <w:lang w:val="en-US"/>
              </w:rPr>
            </w:pPr>
            <w:r w:rsidRPr="00E95564">
              <w:rPr>
                <w:rFonts w:ascii="Arial" w:hAnsi="Arial" w:cs="Arial"/>
                <w:lang w:val="en-US"/>
              </w:rPr>
              <w:t>ES</w:t>
            </w:r>
          </w:p>
        </w:tc>
        <w:tc>
          <w:tcPr>
            <w:tcW w:w="0" w:type="auto"/>
            <w:vAlign w:val="center"/>
            <w:hideMark/>
          </w:tcPr>
          <w:p w14:paraId="3AB62442" w14:textId="77777777" w:rsidR="00E95564" w:rsidRPr="00E95564" w:rsidRDefault="00E95564" w:rsidP="00E95564">
            <w:pPr>
              <w:rPr>
                <w:rFonts w:ascii="Arial" w:hAnsi="Arial" w:cs="Arial"/>
                <w:lang w:val="en-US"/>
              </w:rPr>
            </w:pPr>
            <w:r w:rsidRPr="00E95564">
              <w:rPr>
                <w:rFonts w:ascii="Arial" w:hAnsi="Arial" w:cs="Arial"/>
                <w:lang w:val="en-US"/>
              </w:rPr>
              <w:t>Expected Shortfall</w:t>
            </w:r>
          </w:p>
        </w:tc>
      </w:tr>
      <w:tr w:rsidR="00E95564" w:rsidRPr="00E95564" w14:paraId="07139B1A" w14:textId="77777777" w:rsidTr="00E95564">
        <w:trPr>
          <w:tblCellSpacing w:w="15" w:type="dxa"/>
          <w:jc w:val="center"/>
        </w:trPr>
        <w:tc>
          <w:tcPr>
            <w:tcW w:w="0" w:type="auto"/>
            <w:vAlign w:val="center"/>
            <w:hideMark/>
          </w:tcPr>
          <w:p w14:paraId="41C23D33" w14:textId="77777777" w:rsidR="00E95564" w:rsidRPr="00E95564" w:rsidRDefault="00E95564" w:rsidP="00E95564">
            <w:pPr>
              <w:rPr>
                <w:rFonts w:ascii="Arial" w:hAnsi="Arial" w:cs="Arial"/>
                <w:lang w:val="en-US"/>
              </w:rPr>
            </w:pPr>
            <w:r w:rsidRPr="00E95564">
              <w:rPr>
                <w:rFonts w:ascii="Arial" w:hAnsi="Arial" w:cs="Arial"/>
                <w:lang w:val="en-US"/>
              </w:rPr>
              <w:t>MPT</w:t>
            </w:r>
          </w:p>
        </w:tc>
        <w:tc>
          <w:tcPr>
            <w:tcW w:w="0" w:type="auto"/>
            <w:vAlign w:val="center"/>
            <w:hideMark/>
          </w:tcPr>
          <w:p w14:paraId="53B2A292" w14:textId="77777777" w:rsidR="00E95564" w:rsidRPr="00E95564" w:rsidRDefault="00E95564" w:rsidP="00E95564">
            <w:pPr>
              <w:rPr>
                <w:rFonts w:ascii="Arial" w:hAnsi="Arial" w:cs="Arial"/>
                <w:lang w:val="en-US"/>
              </w:rPr>
            </w:pPr>
            <w:r w:rsidRPr="00E95564">
              <w:rPr>
                <w:rFonts w:ascii="Arial" w:hAnsi="Arial" w:cs="Arial"/>
                <w:lang w:val="en-US"/>
              </w:rPr>
              <w:t>Modern Portfolio Theory</w:t>
            </w:r>
          </w:p>
        </w:tc>
      </w:tr>
      <w:tr w:rsidR="00E95564" w:rsidRPr="00E95564" w14:paraId="190FECD4" w14:textId="77777777" w:rsidTr="00E95564">
        <w:trPr>
          <w:tblCellSpacing w:w="15" w:type="dxa"/>
          <w:jc w:val="center"/>
        </w:trPr>
        <w:tc>
          <w:tcPr>
            <w:tcW w:w="0" w:type="auto"/>
            <w:vAlign w:val="center"/>
            <w:hideMark/>
          </w:tcPr>
          <w:p w14:paraId="1631E2AE" w14:textId="77777777" w:rsidR="00E95564" w:rsidRPr="00E95564" w:rsidRDefault="00E95564" w:rsidP="00E95564">
            <w:pPr>
              <w:rPr>
                <w:rFonts w:ascii="Arial" w:hAnsi="Arial" w:cs="Arial"/>
                <w:lang w:val="en-US"/>
              </w:rPr>
            </w:pPr>
            <w:r w:rsidRPr="00E95564">
              <w:rPr>
                <w:rFonts w:ascii="Arial" w:hAnsi="Arial" w:cs="Arial"/>
                <w:lang w:val="en-US"/>
              </w:rPr>
              <w:t>GARCH</w:t>
            </w:r>
          </w:p>
        </w:tc>
        <w:tc>
          <w:tcPr>
            <w:tcW w:w="0" w:type="auto"/>
            <w:vAlign w:val="center"/>
            <w:hideMark/>
          </w:tcPr>
          <w:p w14:paraId="12D1E376" w14:textId="77777777" w:rsidR="00E95564" w:rsidRPr="00E95564" w:rsidRDefault="00E95564" w:rsidP="00E95564">
            <w:pPr>
              <w:rPr>
                <w:rFonts w:ascii="Arial" w:hAnsi="Arial" w:cs="Arial"/>
                <w:lang w:val="en-US"/>
              </w:rPr>
            </w:pPr>
            <w:r w:rsidRPr="00E95564">
              <w:rPr>
                <w:rFonts w:ascii="Arial" w:hAnsi="Arial" w:cs="Arial"/>
                <w:lang w:val="en-US"/>
              </w:rPr>
              <w:t>Generalised Autoregressive Conditional Heteroskedasticity</w:t>
            </w:r>
          </w:p>
        </w:tc>
      </w:tr>
      <w:tr w:rsidR="00E95564" w:rsidRPr="00E95564" w14:paraId="5252AF0A" w14:textId="77777777" w:rsidTr="00E95564">
        <w:trPr>
          <w:tblCellSpacing w:w="15" w:type="dxa"/>
          <w:jc w:val="center"/>
        </w:trPr>
        <w:tc>
          <w:tcPr>
            <w:tcW w:w="0" w:type="auto"/>
            <w:vAlign w:val="center"/>
            <w:hideMark/>
          </w:tcPr>
          <w:p w14:paraId="12FD3505" w14:textId="77777777" w:rsidR="00E95564" w:rsidRPr="00E95564" w:rsidRDefault="00E95564" w:rsidP="00E95564">
            <w:pPr>
              <w:rPr>
                <w:rFonts w:ascii="Arial" w:hAnsi="Arial" w:cs="Arial"/>
                <w:lang w:val="en-US"/>
              </w:rPr>
            </w:pPr>
            <w:r w:rsidRPr="00E95564">
              <w:rPr>
                <w:rFonts w:ascii="Arial" w:hAnsi="Arial" w:cs="Arial"/>
                <w:lang w:val="en-US"/>
              </w:rPr>
              <w:t>LSTM</w:t>
            </w:r>
          </w:p>
        </w:tc>
        <w:tc>
          <w:tcPr>
            <w:tcW w:w="0" w:type="auto"/>
            <w:vAlign w:val="center"/>
            <w:hideMark/>
          </w:tcPr>
          <w:p w14:paraId="16E7B68B" w14:textId="77777777" w:rsidR="00E95564" w:rsidRPr="00E95564" w:rsidRDefault="00E95564" w:rsidP="00E95564">
            <w:pPr>
              <w:rPr>
                <w:rFonts w:ascii="Arial" w:hAnsi="Arial" w:cs="Arial"/>
                <w:lang w:val="en-US"/>
              </w:rPr>
            </w:pPr>
            <w:r w:rsidRPr="00E95564">
              <w:rPr>
                <w:rFonts w:ascii="Arial" w:hAnsi="Arial" w:cs="Arial"/>
                <w:lang w:val="en-US"/>
              </w:rPr>
              <w:t>Long Short-Term Memory</w:t>
            </w:r>
          </w:p>
        </w:tc>
      </w:tr>
      <w:tr w:rsidR="00E95564" w:rsidRPr="00E95564" w14:paraId="0AC1EA00" w14:textId="77777777" w:rsidTr="00E95564">
        <w:trPr>
          <w:tblCellSpacing w:w="15" w:type="dxa"/>
          <w:jc w:val="center"/>
        </w:trPr>
        <w:tc>
          <w:tcPr>
            <w:tcW w:w="0" w:type="auto"/>
            <w:vAlign w:val="center"/>
            <w:hideMark/>
          </w:tcPr>
          <w:p w14:paraId="4911E37B" w14:textId="77777777" w:rsidR="00E95564" w:rsidRPr="00E95564" w:rsidRDefault="00E95564" w:rsidP="00E95564">
            <w:pPr>
              <w:rPr>
                <w:rFonts w:ascii="Arial" w:hAnsi="Arial" w:cs="Arial"/>
                <w:lang w:val="en-US"/>
              </w:rPr>
            </w:pPr>
            <w:r w:rsidRPr="00E95564">
              <w:rPr>
                <w:rFonts w:ascii="Arial" w:hAnsi="Arial" w:cs="Arial"/>
                <w:lang w:val="en-US"/>
              </w:rPr>
              <w:t>ML</w:t>
            </w:r>
          </w:p>
        </w:tc>
        <w:tc>
          <w:tcPr>
            <w:tcW w:w="0" w:type="auto"/>
            <w:vAlign w:val="center"/>
            <w:hideMark/>
          </w:tcPr>
          <w:p w14:paraId="4E50BF26" w14:textId="77777777" w:rsidR="00E95564" w:rsidRPr="00E95564" w:rsidRDefault="00E95564" w:rsidP="00E95564">
            <w:pPr>
              <w:rPr>
                <w:rFonts w:ascii="Arial" w:hAnsi="Arial" w:cs="Arial"/>
                <w:lang w:val="en-US"/>
              </w:rPr>
            </w:pPr>
            <w:r w:rsidRPr="00E95564">
              <w:rPr>
                <w:rFonts w:ascii="Arial" w:hAnsi="Arial" w:cs="Arial"/>
                <w:lang w:val="en-US"/>
              </w:rPr>
              <w:t>Machine Learning</w:t>
            </w:r>
          </w:p>
        </w:tc>
      </w:tr>
      <w:tr w:rsidR="00E95564" w:rsidRPr="00E95564" w14:paraId="2FEB6041" w14:textId="77777777" w:rsidTr="00E95564">
        <w:trPr>
          <w:tblCellSpacing w:w="15" w:type="dxa"/>
          <w:jc w:val="center"/>
        </w:trPr>
        <w:tc>
          <w:tcPr>
            <w:tcW w:w="0" w:type="auto"/>
            <w:vAlign w:val="center"/>
            <w:hideMark/>
          </w:tcPr>
          <w:p w14:paraId="4C3AC9A2" w14:textId="77777777" w:rsidR="00E95564" w:rsidRPr="00E95564" w:rsidRDefault="00E95564" w:rsidP="00E95564">
            <w:pPr>
              <w:rPr>
                <w:rFonts w:ascii="Arial" w:hAnsi="Arial" w:cs="Arial"/>
                <w:lang w:val="en-US"/>
              </w:rPr>
            </w:pPr>
            <w:r w:rsidRPr="00E95564">
              <w:rPr>
                <w:rFonts w:ascii="Arial" w:hAnsi="Arial" w:cs="Arial"/>
                <w:lang w:val="en-US"/>
              </w:rPr>
              <w:t>DL</w:t>
            </w:r>
          </w:p>
        </w:tc>
        <w:tc>
          <w:tcPr>
            <w:tcW w:w="0" w:type="auto"/>
            <w:vAlign w:val="center"/>
            <w:hideMark/>
          </w:tcPr>
          <w:p w14:paraId="06561835" w14:textId="77777777" w:rsidR="00E95564" w:rsidRPr="00E95564" w:rsidRDefault="00E95564" w:rsidP="00E95564">
            <w:pPr>
              <w:rPr>
                <w:rFonts w:ascii="Arial" w:hAnsi="Arial" w:cs="Arial"/>
                <w:lang w:val="en-US"/>
              </w:rPr>
            </w:pPr>
            <w:r w:rsidRPr="00E95564">
              <w:rPr>
                <w:rFonts w:ascii="Arial" w:hAnsi="Arial" w:cs="Arial"/>
                <w:lang w:val="en-US"/>
              </w:rPr>
              <w:t>Deep Learning</w:t>
            </w:r>
          </w:p>
        </w:tc>
      </w:tr>
      <w:tr w:rsidR="00E95564" w:rsidRPr="00E95564" w14:paraId="735BDCC8" w14:textId="77777777" w:rsidTr="00E95564">
        <w:trPr>
          <w:tblCellSpacing w:w="15" w:type="dxa"/>
          <w:jc w:val="center"/>
        </w:trPr>
        <w:tc>
          <w:tcPr>
            <w:tcW w:w="0" w:type="auto"/>
            <w:vAlign w:val="center"/>
            <w:hideMark/>
          </w:tcPr>
          <w:p w14:paraId="73D85D86" w14:textId="77777777" w:rsidR="00E95564" w:rsidRPr="00E95564" w:rsidRDefault="00E95564" w:rsidP="00E95564">
            <w:pPr>
              <w:rPr>
                <w:rFonts w:ascii="Arial" w:hAnsi="Arial" w:cs="Arial"/>
                <w:lang w:val="en-US"/>
              </w:rPr>
            </w:pPr>
            <w:r w:rsidRPr="00E95564">
              <w:rPr>
                <w:rFonts w:ascii="Arial" w:hAnsi="Arial" w:cs="Arial"/>
                <w:lang w:val="en-US"/>
              </w:rPr>
              <w:t>TVP-VAR</w:t>
            </w:r>
          </w:p>
        </w:tc>
        <w:tc>
          <w:tcPr>
            <w:tcW w:w="0" w:type="auto"/>
            <w:vAlign w:val="center"/>
            <w:hideMark/>
          </w:tcPr>
          <w:p w14:paraId="4E88DB8F" w14:textId="77777777" w:rsidR="00E95564" w:rsidRPr="00E95564" w:rsidRDefault="00E95564" w:rsidP="00E95564">
            <w:pPr>
              <w:rPr>
                <w:rFonts w:ascii="Arial" w:hAnsi="Arial" w:cs="Arial"/>
                <w:lang w:val="en-US"/>
              </w:rPr>
            </w:pPr>
            <w:r w:rsidRPr="00E95564">
              <w:rPr>
                <w:rFonts w:ascii="Arial" w:hAnsi="Arial" w:cs="Arial"/>
                <w:lang w:val="en-US"/>
              </w:rPr>
              <w:t>Time-Varying Parameter Vector Autoregression</w:t>
            </w:r>
          </w:p>
        </w:tc>
      </w:tr>
      <w:tr w:rsidR="00E95564" w:rsidRPr="00E95564" w14:paraId="5F230D82" w14:textId="77777777" w:rsidTr="00E95564">
        <w:trPr>
          <w:tblCellSpacing w:w="15" w:type="dxa"/>
          <w:jc w:val="center"/>
        </w:trPr>
        <w:tc>
          <w:tcPr>
            <w:tcW w:w="0" w:type="auto"/>
            <w:vAlign w:val="center"/>
            <w:hideMark/>
          </w:tcPr>
          <w:p w14:paraId="2631CAB6" w14:textId="77777777" w:rsidR="00E95564" w:rsidRPr="00E95564" w:rsidRDefault="00E95564" w:rsidP="00E95564">
            <w:pPr>
              <w:rPr>
                <w:rFonts w:ascii="Arial" w:hAnsi="Arial" w:cs="Arial"/>
                <w:lang w:val="en-US"/>
              </w:rPr>
            </w:pPr>
            <w:r w:rsidRPr="00E95564">
              <w:rPr>
                <w:rFonts w:ascii="Arial" w:hAnsi="Arial" w:cs="Arial"/>
                <w:lang w:val="en-US"/>
              </w:rPr>
              <w:t>PRISMA</w:t>
            </w:r>
          </w:p>
        </w:tc>
        <w:tc>
          <w:tcPr>
            <w:tcW w:w="0" w:type="auto"/>
            <w:vAlign w:val="center"/>
            <w:hideMark/>
          </w:tcPr>
          <w:p w14:paraId="5F3A6AE0" w14:textId="77777777" w:rsidR="00E95564" w:rsidRPr="00E95564" w:rsidRDefault="00E95564" w:rsidP="00E95564">
            <w:pPr>
              <w:rPr>
                <w:rFonts w:ascii="Arial" w:hAnsi="Arial" w:cs="Arial"/>
                <w:lang w:val="en-US"/>
              </w:rPr>
            </w:pPr>
            <w:r w:rsidRPr="00E95564">
              <w:rPr>
                <w:rFonts w:ascii="Arial" w:hAnsi="Arial" w:cs="Arial"/>
                <w:lang w:val="en-US"/>
              </w:rPr>
              <w:t>Preferred Reporting Items for Systematic Reviews and Meta-Analyses</w:t>
            </w:r>
          </w:p>
        </w:tc>
      </w:tr>
      <w:tr w:rsidR="00E95564" w:rsidRPr="00E95564" w14:paraId="20FEDD12" w14:textId="77777777" w:rsidTr="00E95564">
        <w:trPr>
          <w:tblCellSpacing w:w="15" w:type="dxa"/>
          <w:jc w:val="center"/>
        </w:trPr>
        <w:tc>
          <w:tcPr>
            <w:tcW w:w="0" w:type="auto"/>
            <w:vAlign w:val="center"/>
            <w:hideMark/>
          </w:tcPr>
          <w:p w14:paraId="5ECA10E9" w14:textId="77777777" w:rsidR="00E95564" w:rsidRPr="00E95564" w:rsidRDefault="00E95564" w:rsidP="00E95564">
            <w:pPr>
              <w:rPr>
                <w:rFonts w:ascii="Arial" w:hAnsi="Arial" w:cs="Arial"/>
                <w:lang w:val="en-US"/>
              </w:rPr>
            </w:pPr>
            <w:r w:rsidRPr="00E95564">
              <w:rPr>
                <w:rFonts w:ascii="Arial" w:hAnsi="Arial" w:cs="Arial"/>
                <w:lang w:val="en-US"/>
              </w:rPr>
              <w:t>EMH</w:t>
            </w:r>
          </w:p>
        </w:tc>
        <w:tc>
          <w:tcPr>
            <w:tcW w:w="0" w:type="auto"/>
            <w:vAlign w:val="center"/>
            <w:hideMark/>
          </w:tcPr>
          <w:p w14:paraId="08F7AEF0" w14:textId="77777777" w:rsidR="00E95564" w:rsidRPr="00E95564" w:rsidRDefault="00E95564" w:rsidP="00E95564">
            <w:pPr>
              <w:rPr>
                <w:rFonts w:ascii="Arial" w:hAnsi="Arial" w:cs="Arial"/>
                <w:lang w:val="en-US"/>
              </w:rPr>
            </w:pPr>
            <w:r w:rsidRPr="00E95564">
              <w:rPr>
                <w:rFonts w:ascii="Arial" w:hAnsi="Arial" w:cs="Arial"/>
                <w:lang w:val="en-US"/>
              </w:rPr>
              <w:t>Efficient Market Hypothesis</w:t>
            </w:r>
          </w:p>
        </w:tc>
      </w:tr>
      <w:tr w:rsidR="00E95564" w:rsidRPr="00E95564" w14:paraId="207B6544" w14:textId="77777777" w:rsidTr="00E95564">
        <w:trPr>
          <w:tblCellSpacing w:w="15" w:type="dxa"/>
          <w:jc w:val="center"/>
        </w:trPr>
        <w:tc>
          <w:tcPr>
            <w:tcW w:w="0" w:type="auto"/>
            <w:vAlign w:val="center"/>
            <w:hideMark/>
          </w:tcPr>
          <w:p w14:paraId="6C73B1A3" w14:textId="77777777" w:rsidR="00E95564" w:rsidRPr="00E95564" w:rsidRDefault="00E95564" w:rsidP="00E95564">
            <w:pPr>
              <w:rPr>
                <w:rFonts w:ascii="Arial" w:hAnsi="Arial" w:cs="Arial"/>
                <w:lang w:val="en-US"/>
              </w:rPr>
            </w:pPr>
            <w:r w:rsidRPr="00E95564">
              <w:rPr>
                <w:rFonts w:ascii="Arial" w:hAnsi="Arial" w:cs="Arial"/>
                <w:lang w:val="en-US"/>
              </w:rPr>
              <w:t>SLR</w:t>
            </w:r>
          </w:p>
        </w:tc>
        <w:tc>
          <w:tcPr>
            <w:tcW w:w="0" w:type="auto"/>
            <w:vAlign w:val="center"/>
            <w:hideMark/>
          </w:tcPr>
          <w:p w14:paraId="2D72999A" w14:textId="77777777" w:rsidR="00E95564" w:rsidRPr="00E95564" w:rsidRDefault="00E95564" w:rsidP="00E95564">
            <w:pPr>
              <w:rPr>
                <w:rFonts w:ascii="Arial" w:hAnsi="Arial" w:cs="Arial"/>
                <w:lang w:val="en-US"/>
              </w:rPr>
            </w:pPr>
            <w:r w:rsidRPr="00E95564">
              <w:rPr>
                <w:rFonts w:ascii="Arial" w:hAnsi="Arial" w:cs="Arial"/>
                <w:lang w:val="en-US"/>
              </w:rPr>
              <w:t>Systematic Literature Review</w:t>
            </w:r>
          </w:p>
        </w:tc>
      </w:tr>
    </w:tbl>
    <w:p w14:paraId="62FCB815" w14:textId="77777777" w:rsidR="00E95564" w:rsidRDefault="00E95564" w:rsidP="00E95564"/>
    <w:p w14:paraId="12F49A80" w14:textId="77777777" w:rsidR="00E95564" w:rsidRDefault="00E95564" w:rsidP="00E95564"/>
    <w:p w14:paraId="0D8D3F46" w14:textId="77777777" w:rsidR="00E95564" w:rsidRDefault="00E95564" w:rsidP="00E95564"/>
    <w:p w14:paraId="1B40F9F8" w14:textId="77777777" w:rsidR="00E95564" w:rsidRDefault="00E95564" w:rsidP="00E95564"/>
    <w:p w14:paraId="6B2CE174" w14:textId="77777777" w:rsidR="00E95564" w:rsidRDefault="00E95564" w:rsidP="00E95564"/>
    <w:p w14:paraId="48174F9F" w14:textId="77777777" w:rsidR="00E95564" w:rsidRPr="00E95564" w:rsidRDefault="00E95564" w:rsidP="00E95564"/>
    <w:p w14:paraId="3AB8FE51" w14:textId="77777777" w:rsidR="003A5072" w:rsidRPr="00FF6757" w:rsidRDefault="003A5072" w:rsidP="006B357C">
      <w:pPr>
        <w:pStyle w:val="Heading1"/>
        <w:jc w:val="center"/>
        <w:rPr>
          <w:rFonts w:cs="Arial"/>
        </w:rPr>
      </w:pPr>
      <w:bookmarkStart w:id="5" w:name="_Toc228917182"/>
      <w:r w:rsidRPr="00FF6757">
        <w:rPr>
          <w:rFonts w:cs="Arial"/>
        </w:rPr>
        <w:lastRenderedPageBreak/>
        <w:t>Chapter 1: Introduction</w:t>
      </w:r>
      <w:bookmarkEnd w:id="5"/>
    </w:p>
    <w:p w14:paraId="66013CF8" w14:textId="77777777" w:rsidR="003A5072" w:rsidRPr="00FF6757" w:rsidRDefault="003A5072" w:rsidP="006B357C">
      <w:pPr>
        <w:pStyle w:val="Heading2"/>
      </w:pPr>
      <w:bookmarkStart w:id="6" w:name="_Toc228917183"/>
      <w:r w:rsidRPr="00FF6757">
        <w:t>1.1 Background and Context</w:t>
      </w:r>
      <w:bookmarkEnd w:id="6"/>
    </w:p>
    <w:p w14:paraId="7F698575" w14:textId="77777777" w:rsidR="006B357C" w:rsidRPr="00FF6757" w:rsidRDefault="006B357C" w:rsidP="006B357C"/>
    <w:p w14:paraId="4B2D5A52" w14:textId="77777777" w:rsidR="00B007C0" w:rsidRPr="00FF6757" w:rsidRDefault="00B007C0" w:rsidP="00B007C0">
      <w:pPr>
        <w:ind w:firstLine="720"/>
        <w:rPr>
          <w:rFonts w:ascii="Arial" w:hAnsi="Arial" w:cs="Arial"/>
        </w:rPr>
      </w:pPr>
      <w:r w:rsidRPr="00FF6757">
        <w:rPr>
          <w:rFonts w:ascii="Arial" w:hAnsi="Arial" w:cs="Arial"/>
        </w:rPr>
        <w:t>The foreign exchange (Forex) market is the biggest and most liquid financial market in the world, and it is very important for international trade, investment flows, and maintaining macroeconomic balance. When exchange rates change, they have an immediate impact on the ways in which capital is allocated, competitiveness of different countries, and financial decision-making. Recently, the rise in global uncertainty, geopolitical tensions, and economic recovery after the pandemic have together led to a significant increase in exchange rate volatility, thus making risk management very important for investors and institutions (Haddad, 2023).</w:t>
      </w:r>
    </w:p>
    <w:p w14:paraId="385290B2" w14:textId="33087BA6" w:rsidR="006B357C" w:rsidRPr="00FF6757" w:rsidRDefault="00B007C0" w:rsidP="00B007C0">
      <w:pPr>
        <w:ind w:firstLine="720"/>
        <w:rPr>
          <w:rFonts w:ascii="Arial" w:hAnsi="Arial" w:cs="Arial"/>
        </w:rPr>
      </w:pPr>
      <w:r w:rsidRPr="00FF6757">
        <w:rPr>
          <w:rFonts w:ascii="Arial" w:hAnsi="Arial" w:cs="Arial"/>
        </w:rPr>
        <w:t>Moreover, the different financial markets have got more connected to each other, so the risks are not limited to certain currencies but are transmitted to different parts of the world and various asset categories. This has led to a high degree of difficulty in managing Forex investment and to the emergence of strong demand for comprehensive and flexible risk management methods (Nerantzidis, Stoupos and Tzeremes, 2024).</w:t>
      </w:r>
    </w:p>
    <w:p w14:paraId="11451264" w14:textId="77777777" w:rsidR="00B007C0" w:rsidRPr="00FF6757" w:rsidRDefault="00B007C0" w:rsidP="00B007C0">
      <w:pPr>
        <w:ind w:firstLine="720"/>
        <w:rPr>
          <w:rFonts w:ascii="Arial" w:hAnsi="Arial" w:cs="Arial"/>
        </w:rPr>
      </w:pPr>
    </w:p>
    <w:p w14:paraId="34A89955" w14:textId="77777777" w:rsidR="00B007C0" w:rsidRPr="00FF6757" w:rsidRDefault="00B007C0" w:rsidP="00B007C0">
      <w:pPr>
        <w:pStyle w:val="Heading2"/>
      </w:pPr>
      <w:bookmarkStart w:id="7" w:name="_Toc228917184"/>
      <w:r w:rsidRPr="00FF6757">
        <w:t>1.2 Research Gap</w:t>
      </w:r>
      <w:bookmarkEnd w:id="7"/>
    </w:p>
    <w:p w14:paraId="430F14CA" w14:textId="77777777" w:rsidR="00B007C0" w:rsidRPr="00FF6757" w:rsidRDefault="00B007C0" w:rsidP="00B007C0"/>
    <w:p w14:paraId="4A2B13D5" w14:textId="22EF5D3F" w:rsidR="00B007C0" w:rsidRPr="00FF6757" w:rsidRDefault="00B007C0" w:rsidP="00B007C0">
      <w:pPr>
        <w:ind w:firstLine="360"/>
        <w:rPr>
          <w:rFonts w:ascii="Arial" w:hAnsi="Arial" w:cs="Arial"/>
        </w:rPr>
      </w:pPr>
      <w:r w:rsidRPr="00FF6757">
        <w:rPr>
          <w:rFonts w:ascii="Arial" w:hAnsi="Arial" w:cs="Arial"/>
        </w:rPr>
        <w:t xml:space="preserve">The literature is extensive on volatility modelling, spillovers and risk measure, but is not cohesive. Most studies focus on individual components such as forecasting accuracy or risk estimation, rather than examining how these elements work together to improve trading performance. While many authors have addressed the importance of spillovers in forecasting, there is no cohesive study on how these models could be integrated into an integrated risk management framework for FX trading and the impact on performance (Fathi, Grobys and Kolari, 2024; Yildirim, Erdoğan and Tarin, 2022). </w:t>
      </w:r>
    </w:p>
    <w:p w14:paraId="0ED5A1B0" w14:textId="1FCDEDF2" w:rsidR="00B007C0" w:rsidRPr="00FF6757" w:rsidRDefault="00B007C0" w:rsidP="00B007C0">
      <w:pPr>
        <w:ind w:firstLine="360"/>
        <w:rPr>
          <w:rFonts w:ascii="Arial" w:hAnsi="Arial" w:cs="Arial"/>
        </w:rPr>
      </w:pPr>
      <w:r w:rsidRPr="00FF6757">
        <w:rPr>
          <w:rFonts w:ascii="Arial" w:hAnsi="Arial" w:cs="Arial"/>
        </w:rPr>
        <w:t xml:space="preserve">There is limited research that integrates risk identification, measurement, and mitigation into a unified framework linked directly to Forex trading outcomes. Similarly, the relationship between advanced risk management techniques and actual </w:t>
      </w:r>
      <w:r w:rsidRPr="00FF6757">
        <w:rPr>
          <w:rFonts w:ascii="Arial" w:hAnsi="Arial" w:cs="Arial"/>
        </w:rPr>
        <w:lastRenderedPageBreak/>
        <w:t>investment performance remains underexplored. These issues have led to the objective of this research to develop and assess a systematic and integrated risk management framework to enhance FX trading performance (Ayitey Junior et al., 2023; Zhao and Yan, 2024).</w:t>
      </w:r>
    </w:p>
    <w:p w14:paraId="2779490B" w14:textId="77777777" w:rsidR="00B007C0" w:rsidRPr="00FF6757" w:rsidRDefault="00B007C0" w:rsidP="00B007C0">
      <w:pPr>
        <w:ind w:firstLine="720"/>
        <w:rPr>
          <w:rFonts w:ascii="Arial" w:hAnsi="Arial" w:cs="Arial"/>
        </w:rPr>
      </w:pPr>
    </w:p>
    <w:p w14:paraId="2A3A70E8" w14:textId="7CF536C9" w:rsidR="003A5072" w:rsidRPr="00FF6757" w:rsidRDefault="003A5072" w:rsidP="006B357C">
      <w:pPr>
        <w:pStyle w:val="Heading2"/>
      </w:pPr>
      <w:bookmarkStart w:id="8" w:name="_Toc228917185"/>
      <w:r w:rsidRPr="00FF6757">
        <w:t>1.</w:t>
      </w:r>
      <w:r w:rsidR="00B007C0" w:rsidRPr="00FF6757">
        <w:t>3</w:t>
      </w:r>
      <w:r w:rsidRPr="00FF6757">
        <w:t xml:space="preserve"> Financial Risk in Forex Markets</w:t>
      </w:r>
      <w:bookmarkEnd w:id="8"/>
    </w:p>
    <w:p w14:paraId="71BF58A2" w14:textId="77777777" w:rsidR="006B357C" w:rsidRPr="00FF6757" w:rsidRDefault="006B357C" w:rsidP="006B357C"/>
    <w:p w14:paraId="1F0A39F8" w14:textId="599E6FEE" w:rsidR="003A5072" w:rsidRPr="00FF6757" w:rsidRDefault="003A5072" w:rsidP="006B357C">
      <w:pPr>
        <w:ind w:firstLine="720"/>
        <w:rPr>
          <w:rFonts w:ascii="Arial" w:hAnsi="Arial" w:cs="Arial"/>
        </w:rPr>
      </w:pPr>
      <w:r w:rsidRPr="00FF6757">
        <w:rPr>
          <w:rFonts w:ascii="Arial" w:hAnsi="Arial" w:cs="Arial"/>
        </w:rPr>
        <w:t xml:space="preserve">The key risk in Forex trading would be financial risks due to exchange </w:t>
      </w:r>
      <w:r w:rsidR="00BF258A" w:rsidRPr="00FF6757">
        <w:rPr>
          <w:rFonts w:ascii="Arial" w:hAnsi="Arial" w:cs="Arial"/>
        </w:rPr>
        <w:t>rate</w:t>
      </w:r>
      <w:r w:rsidRPr="00FF6757">
        <w:rPr>
          <w:rFonts w:ascii="Arial" w:hAnsi="Arial" w:cs="Arial"/>
        </w:rPr>
        <w:t xml:space="preserve"> volatility, tail dependence, liquidity constraints, </w:t>
      </w:r>
      <w:r w:rsidR="00BF258A" w:rsidRPr="00FF6757">
        <w:rPr>
          <w:rFonts w:ascii="Arial" w:hAnsi="Arial" w:cs="Arial"/>
        </w:rPr>
        <w:t xml:space="preserve">and </w:t>
      </w:r>
      <w:r w:rsidRPr="00FF6757">
        <w:rPr>
          <w:rFonts w:ascii="Arial" w:hAnsi="Arial" w:cs="Arial"/>
        </w:rPr>
        <w:t>systemic spillovers. Empirical studies emphasise that tail dependence and volatility cluster substantially high probabilities of extreme losses</w:t>
      </w:r>
      <w:r w:rsidR="00BF258A" w:rsidRPr="00FF6757">
        <w:rPr>
          <w:rFonts w:ascii="Arial" w:hAnsi="Arial" w:cs="Arial"/>
        </w:rPr>
        <w:t>,</w:t>
      </w:r>
      <w:r w:rsidRPr="00FF6757">
        <w:rPr>
          <w:rFonts w:ascii="Arial" w:hAnsi="Arial" w:cs="Arial"/>
        </w:rPr>
        <w:t xml:space="preserve"> especially in emerging markets and the most integrated ones (Arismendi-Zambrano et al., 2022; Fathi, Grobys and Kolari, 2024). Also, dynamic connectedness models demonstrate that </w:t>
      </w:r>
      <w:r w:rsidR="00BF258A" w:rsidRPr="00FF6757">
        <w:rPr>
          <w:rFonts w:ascii="Arial" w:hAnsi="Arial" w:cs="Arial"/>
        </w:rPr>
        <w:t xml:space="preserve">the </w:t>
      </w:r>
      <w:r w:rsidRPr="00FF6757">
        <w:rPr>
          <w:rFonts w:ascii="Arial" w:hAnsi="Arial" w:cs="Arial"/>
        </w:rPr>
        <w:t>conduct of exchange rate volatility is distributed among currency pairs and regions frequency-dependently (Barunzik and Krehelik, 2021; Nerantzidis, Stoupos and Tzeremes, 2024).</w:t>
      </w:r>
    </w:p>
    <w:p w14:paraId="54BC81A0" w14:textId="7914ACED" w:rsidR="003A5072" w:rsidRPr="00FF6757" w:rsidRDefault="003A5072" w:rsidP="006B357C">
      <w:pPr>
        <w:ind w:firstLine="720"/>
        <w:rPr>
          <w:rFonts w:ascii="Arial" w:hAnsi="Arial" w:cs="Arial"/>
        </w:rPr>
      </w:pPr>
      <w:r w:rsidRPr="00FF6757">
        <w:rPr>
          <w:rFonts w:ascii="Arial" w:hAnsi="Arial" w:cs="Arial"/>
        </w:rPr>
        <w:t>These spillover mechanisms suggest that risk management should take into consideration cross-market interdependencies as opposed to taking the single-currency exposure. Experiments examining the roles of volatility communicators and recipients in financial markets show that there are asymmetric effects</w:t>
      </w:r>
      <w:r w:rsidR="00BF258A" w:rsidRPr="00FF6757">
        <w:rPr>
          <w:rFonts w:ascii="Arial" w:hAnsi="Arial" w:cs="Arial"/>
        </w:rPr>
        <w:t>,</w:t>
      </w:r>
      <w:r w:rsidRPr="00FF6757">
        <w:rPr>
          <w:rFonts w:ascii="Arial" w:hAnsi="Arial" w:cs="Arial"/>
        </w:rPr>
        <w:t xml:space="preserve"> and it is essential to apply a detailed risk identification model (Jiang et al., 2022). Moreover, the currency crisis early warning systems show that ineffective risk management contributes to the systemic susceptibility in the emerging economies (Ferdous et al., 2022).</w:t>
      </w:r>
    </w:p>
    <w:p w14:paraId="618A40BF" w14:textId="1B2FF8A3" w:rsidR="003A5072" w:rsidRPr="00FF6757" w:rsidRDefault="003A5072" w:rsidP="006B357C">
      <w:pPr>
        <w:ind w:firstLine="720"/>
        <w:rPr>
          <w:rFonts w:ascii="Arial" w:hAnsi="Arial" w:cs="Arial"/>
        </w:rPr>
      </w:pPr>
      <w:r w:rsidRPr="00FF6757">
        <w:rPr>
          <w:rFonts w:ascii="Arial" w:hAnsi="Arial" w:cs="Arial"/>
        </w:rPr>
        <w:t>More sophisticated modelling approaches have enhanced the predictability rate of the occurrence of extreme losses in relation to advanced modelling methods such as expectile-based risk measures and machine learning-enhanced VaR estimation (Jiang, Hu and Yu, 2022; Blom, Petter and Risstad, 2023). Nevertheless, there is a tendency in the literature to separate risk quantification and practical trading decision-making</w:t>
      </w:r>
      <w:r w:rsidR="00BF258A" w:rsidRPr="00FF6757">
        <w:rPr>
          <w:rFonts w:ascii="Arial" w:hAnsi="Arial" w:cs="Arial"/>
        </w:rPr>
        <w:t>,</w:t>
      </w:r>
      <w:r w:rsidRPr="00FF6757">
        <w:rPr>
          <w:rFonts w:ascii="Arial" w:hAnsi="Arial" w:cs="Arial"/>
        </w:rPr>
        <w:t xml:space="preserve"> and this severely limits the knowledge about how these tools can turn into significantly better investment results.</w:t>
      </w:r>
    </w:p>
    <w:p w14:paraId="043377B4" w14:textId="77777777" w:rsidR="006B357C" w:rsidRPr="00FF6757" w:rsidRDefault="006B357C" w:rsidP="006B357C">
      <w:pPr>
        <w:ind w:firstLine="720"/>
        <w:rPr>
          <w:rFonts w:ascii="Arial" w:hAnsi="Arial" w:cs="Arial"/>
        </w:rPr>
      </w:pPr>
    </w:p>
    <w:p w14:paraId="3AEB72A2" w14:textId="50997BA0" w:rsidR="003A5072" w:rsidRPr="00FF6757" w:rsidRDefault="003A5072" w:rsidP="006B357C">
      <w:pPr>
        <w:pStyle w:val="Heading2"/>
      </w:pPr>
      <w:bookmarkStart w:id="9" w:name="_Toc228917186"/>
      <w:r w:rsidRPr="00FF6757">
        <w:lastRenderedPageBreak/>
        <w:t>1.</w:t>
      </w:r>
      <w:r w:rsidR="00B007C0" w:rsidRPr="00FF6757">
        <w:t>4</w:t>
      </w:r>
      <w:r w:rsidRPr="00FF6757">
        <w:t xml:space="preserve"> Risk Management Strategies and Hedging Practices</w:t>
      </w:r>
      <w:bookmarkEnd w:id="9"/>
    </w:p>
    <w:p w14:paraId="74EFF41C" w14:textId="77777777" w:rsidR="006B357C" w:rsidRPr="00FF6757" w:rsidRDefault="006B357C" w:rsidP="006B357C"/>
    <w:p w14:paraId="7599964D" w14:textId="730E76CE" w:rsidR="003A5072" w:rsidRPr="00FF6757" w:rsidRDefault="003A5072" w:rsidP="006B357C">
      <w:pPr>
        <w:ind w:firstLine="720"/>
        <w:rPr>
          <w:rFonts w:ascii="Arial" w:hAnsi="Arial" w:cs="Arial"/>
        </w:rPr>
      </w:pPr>
      <w:r w:rsidRPr="00FF6757">
        <w:rPr>
          <w:rFonts w:ascii="Arial" w:hAnsi="Arial" w:cs="Arial"/>
        </w:rPr>
        <w:t xml:space="preserve">Forex markets </w:t>
      </w:r>
      <w:r w:rsidR="00BF258A" w:rsidRPr="00FF6757">
        <w:rPr>
          <w:rFonts w:ascii="Arial" w:hAnsi="Arial" w:cs="Arial"/>
        </w:rPr>
        <w:t>practice</w:t>
      </w:r>
      <w:r w:rsidRPr="00FF6757">
        <w:rPr>
          <w:rFonts w:ascii="Arial" w:hAnsi="Arial" w:cs="Arial"/>
        </w:rPr>
        <w:t xml:space="preserve"> financial risk management, in which both risk measurements and mitigating measures are undertaken. The best practises in hedging with the use of derivatives, active rebalancing of a portfolio and diversification are often used to align the exposure to unfavourable currency movements (Almeida and Goncalves, 2022b; Zakaria, 2023). The empirical evidence shows that right hedging can lead to stabilising returns and augment volatility, especially in </w:t>
      </w:r>
      <w:r w:rsidR="00BF258A" w:rsidRPr="00FF6757">
        <w:rPr>
          <w:rFonts w:ascii="Arial" w:hAnsi="Arial" w:cs="Arial"/>
        </w:rPr>
        <w:t>times</w:t>
      </w:r>
      <w:r w:rsidRPr="00FF6757">
        <w:rPr>
          <w:rFonts w:ascii="Arial" w:hAnsi="Arial" w:cs="Arial"/>
        </w:rPr>
        <w:t xml:space="preserve"> of crisis (Mezghani, Boujelbène and Boutouria, 2023).</w:t>
      </w:r>
    </w:p>
    <w:p w14:paraId="3A783BFA" w14:textId="7E73DD22" w:rsidR="003A5072" w:rsidRPr="00FF6757" w:rsidRDefault="003A5072" w:rsidP="006B357C">
      <w:pPr>
        <w:ind w:firstLine="720"/>
        <w:rPr>
          <w:rFonts w:ascii="Arial" w:hAnsi="Arial" w:cs="Arial"/>
        </w:rPr>
      </w:pPr>
      <w:r w:rsidRPr="00FF6757">
        <w:rPr>
          <w:rFonts w:ascii="Arial" w:hAnsi="Arial" w:cs="Arial"/>
        </w:rPr>
        <w:t>The integration of financial derivatives was found to affect the performance of the firms and the stability of the working capital</w:t>
      </w:r>
      <w:r w:rsidR="00BF258A" w:rsidRPr="00FF6757">
        <w:rPr>
          <w:rFonts w:ascii="Arial" w:hAnsi="Arial" w:cs="Arial"/>
        </w:rPr>
        <w:t>,</w:t>
      </w:r>
      <w:r w:rsidRPr="00FF6757">
        <w:rPr>
          <w:rFonts w:ascii="Arial" w:hAnsi="Arial" w:cs="Arial"/>
        </w:rPr>
        <w:t xml:space="preserve"> and emphasise the </w:t>
      </w:r>
      <w:r w:rsidR="00BF258A" w:rsidRPr="00FF6757">
        <w:rPr>
          <w:rFonts w:ascii="Arial" w:hAnsi="Arial" w:cs="Arial"/>
        </w:rPr>
        <w:t>connection</w:t>
      </w:r>
      <w:r w:rsidRPr="00FF6757">
        <w:rPr>
          <w:rFonts w:ascii="Arial" w:hAnsi="Arial" w:cs="Arial"/>
        </w:rPr>
        <w:t xml:space="preserve"> between risk mitigation and financial performance (Reyad et al., 2022). However, systematic reviews demonstrate that the effectiveness of hedging is not consistent in every situation and exchange rate regime (Putri Ayu Lestari and Adekunle, 2024). It shows that the performance effect of risk management is contextual</w:t>
      </w:r>
      <w:r w:rsidR="00BF258A" w:rsidRPr="00FF6757">
        <w:rPr>
          <w:rFonts w:ascii="Arial" w:hAnsi="Arial" w:cs="Arial"/>
        </w:rPr>
        <w:t>,</w:t>
      </w:r>
      <w:r w:rsidRPr="00FF6757">
        <w:rPr>
          <w:rFonts w:ascii="Arial" w:hAnsi="Arial" w:cs="Arial"/>
        </w:rPr>
        <w:t xml:space="preserve"> with a need to further synthesise analytically.</w:t>
      </w:r>
    </w:p>
    <w:p w14:paraId="21C4904A" w14:textId="77777777" w:rsidR="003A5072" w:rsidRPr="00FF6757" w:rsidRDefault="003A5072" w:rsidP="006B357C">
      <w:pPr>
        <w:ind w:firstLine="720"/>
        <w:rPr>
          <w:rFonts w:ascii="Arial" w:hAnsi="Arial" w:cs="Arial"/>
        </w:rPr>
      </w:pPr>
      <w:r w:rsidRPr="00FF6757">
        <w:rPr>
          <w:rFonts w:ascii="Arial" w:hAnsi="Arial" w:cs="Arial"/>
        </w:rPr>
        <w:t>Furthermore, the risk exposure in the financial market has become more complicated due to the introduction of financial market integration, and novel and flexible risk management strategies must be implemented (Haddad, 2023; Kuznyetsova et al., 2024). Attempts to improve the predictive performance in volatile settings are manifested in the emergence of hybrid econometric and machine learning forecasting models, including GARCH-LSTM and transformer-based architectures (Nsengiyumva, Mung’atu and Ruranga, 2025; Bilis et al., 2025). However, whereas the predictive advancements have been documented to improve forecasting of improvements, a smaller amount of literature relates the advancements of predictive improvements to the observable advancements in trading profitability.</w:t>
      </w:r>
    </w:p>
    <w:p w14:paraId="2A7D32B2" w14:textId="77777777" w:rsidR="006B357C" w:rsidRPr="00FF6757" w:rsidRDefault="006B357C" w:rsidP="00B007C0">
      <w:pPr>
        <w:rPr>
          <w:rFonts w:ascii="Arial" w:hAnsi="Arial" w:cs="Arial"/>
        </w:rPr>
      </w:pPr>
    </w:p>
    <w:p w14:paraId="1409A012" w14:textId="77777777" w:rsidR="00B007C0" w:rsidRPr="00FF6757" w:rsidRDefault="00B007C0" w:rsidP="00B007C0">
      <w:pPr>
        <w:rPr>
          <w:rFonts w:ascii="Arial" w:hAnsi="Arial" w:cs="Arial"/>
        </w:rPr>
      </w:pPr>
    </w:p>
    <w:p w14:paraId="7388AA4E" w14:textId="77777777" w:rsidR="00B007C0" w:rsidRPr="00FF6757" w:rsidRDefault="00B007C0" w:rsidP="00B007C0">
      <w:pPr>
        <w:rPr>
          <w:rFonts w:ascii="Arial" w:hAnsi="Arial" w:cs="Arial"/>
        </w:rPr>
      </w:pPr>
    </w:p>
    <w:p w14:paraId="5D180908" w14:textId="77777777" w:rsidR="00B007C0" w:rsidRPr="00FF6757" w:rsidRDefault="00B007C0" w:rsidP="00B007C0">
      <w:pPr>
        <w:rPr>
          <w:rFonts w:ascii="Arial" w:hAnsi="Arial" w:cs="Arial"/>
        </w:rPr>
      </w:pPr>
    </w:p>
    <w:p w14:paraId="462CF296" w14:textId="44C44061" w:rsidR="003A5072" w:rsidRPr="00FF6757" w:rsidRDefault="003A5072" w:rsidP="006B357C">
      <w:pPr>
        <w:pStyle w:val="Heading2"/>
      </w:pPr>
      <w:bookmarkStart w:id="10" w:name="_Toc228917187"/>
      <w:r w:rsidRPr="00FF6757">
        <w:lastRenderedPageBreak/>
        <w:t xml:space="preserve">1.5 </w:t>
      </w:r>
      <w:bookmarkStart w:id="11" w:name="_Toc221799722"/>
      <w:r w:rsidRPr="00FF6757">
        <w:t>Research Aim, Objectives and Questions</w:t>
      </w:r>
      <w:bookmarkEnd w:id="10"/>
      <w:bookmarkEnd w:id="11"/>
    </w:p>
    <w:p w14:paraId="46A10C63" w14:textId="77777777" w:rsidR="006B357C" w:rsidRPr="00FF6757" w:rsidRDefault="006B357C" w:rsidP="00E02FB3">
      <w:pPr>
        <w:rPr>
          <w:rFonts w:ascii="Arial" w:hAnsi="Arial" w:cs="Arial"/>
          <w:b/>
          <w:bCs/>
        </w:rPr>
      </w:pPr>
    </w:p>
    <w:p w14:paraId="456339B0" w14:textId="5C4B0F91" w:rsidR="003A5072" w:rsidRPr="00FF6757" w:rsidRDefault="003A5072" w:rsidP="006B357C">
      <w:pPr>
        <w:ind w:firstLine="720"/>
        <w:rPr>
          <w:rFonts w:ascii="Arial" w:hAnsi="Arial" w:cs="Arial"/>
          <w:b/>
          <w:bCs/>
        </w:rPr>
      </w:pPr>
      <w:r w:rsidRPr="00FF6757">
        <w:rPr>
          <w:rFonts w:ascii="Arial" w:hAnsi="Arial" w:cs="Arial"/>
          <w:b/>
          <w:bCs/>
        </w:rPr>
        <w:t>Research Aim</w:t>
      </w:r>
    </w:p>
    <w:p w14:paraId="0AA8DC93" w14:textId="77777777" w:rsidR="003A5072" w:rsidRPr="00FF6757" w:rsidRDefault="003A5072" w:rsidP="006B357C">
      <w:pPr>
        <w:ind w:firstLine="720"/>
        <w:rPr>
          <w:rFonts w:ascii="Arial" w:hAnsi="Arial" w:cs="Arial"/>
        </w:rPr>
      </w:pPr>
      <w:r w:rsidRPr="00FF6757">
        <w:rPr>
          <w:rFonts w:ascii="Arial" w:hAnsi="Arial" w:cs="Arial"/>
        </w:rPr>
        <w:t>This study aims to critically examine how financial risk management contributes to improving Forex trading investment outcomes through a systematic review of academic literature and published research.</w:t>
      </w:r>
    </w:p>
    <w:p w14:paraId="0B229965" w14:textId="77777777" w:rsidR="003A5072" w:rsidRPr="00FF6757" w:rsidRDefault="003A5072" w:rsidP="006B357C">
      <w:pPr>
        <w:ind w:firstLine="360"/>
        <w:rPr>
          <w:rFonts w:ascii="Arial" w:hAnsi="Arial" w:cs="Arial"/>
          <w:b/>
          <w:bCs/>
        </w:rPr>
      </w:pPr>
      <w:r w:rsidRPr="00FF6757">
        <w:rPr>
          <w:rFonts w:ascii="Arial" w:hAnsi="Arial" w:cs="Arial"/>
          <w:b/>
          <w:bCs/>
        </w:rPr>
        <w:t>Research Objectives</w:t>
      </w:r>
    </w:p>
    <w:p w14:paraId="49636EB0" w14:textId="77777777" w:rsidR="003A5072" w:rsidRPr="00FF6757" w:rsidRDefault="003A5072" w:rsidP="00E02FB3">
      <w:pPr>
        <w:numPr>
          <w:ilvl w:val="0"/>
          <w:numId w:val="4"/>
        </w:numPr>
        <w:rPr>
          <w:rFonts w:ascii="Arial" w:hAnsi="Arial" w:cs="Arial"/>
        </w:rPr>
      </w:pPr>
      <w:r w:rsidRPr="00FF6757">
        <w:rPr>
          <w:rFonts w:ascii="Arial" w:hAnsi="Arial" w:cs="Arial"/>
        </w:rPr>
        <w:t>To critically list and analyse the key financial risks involved in the Forex trading investments.</w:t>
      </w:r>
    </w:p>
    <w:p w14:paraId="069A3C38" w14:textId="77777777" w:rsidR="003A5072" w:rsidRPr="00FF6757" w:rsidRDefault="003A5072" w:rsidP="00E02FB3">
      <w:pPr>
        <w:numPr>
          <w:ilvl w:val="0"/>
          <w:numId w:val="4"/>
        </w:numPr>
        <w:rPr>
          <w:rFonts w:ascii="Arial" w:hAnsi="Arial" w:cs="Arial"/>
        </w:rPr>
      </w:pPr>
      <w:r w:rsidRPr="00FF6757">
        <w:rPr>
          <w:rFonts w:ascii="Arial" w:hAnsi="Arial" w:cs="Arial"/>
        </w:rPr>
        <w:t>To examine the financial risk analysis tools and techniques applied in Forex markets.</w:t>
      </w:r>
    </w:p>
    <w:p w14:paraId="6604E17F" w14:textId="77777777" w:rsidR="003A5072" w:rsidRPr="00FF6757" w:rsidRDefault="003A5072" w:rsidP="00E02FB3">
      <w:pPr>
        <w:numPr>
          <w:ilvl w:val="0"/>
          <w:numId w:val="4"/>
        </w:numPr>
        <w:rPr>
          <w:rFonts w:ascii="Arial" w:hAnsi="Arial" w:cs="Arial"/>
        </w:rPr>
      </w:pPr>
      <w:r w:rsidRPr="00FF6757">
        <w:rPr>
          <w:rFonts w:ascii="Arial" w:hAnsi="Arial" w:cs="Arial"/>
        </w:rPr>
        <w:t>To determine the relationship between the financial risk management practises and Forex trading performance.</w:t>
      </w:r>
    </w:p>
    <w:p w14:paraId="644BA4F8" w14:textId="77777777" w:rsidR="003A5072" w:rsidRPr="00FF6757" w:rsidRDefault="003A5072" w:rsidP="00E02FB3">
      <w:pPr>
        <w:numPr>
          <w:ilvl w:val="0"/>
          <w:numId w:val="4"/>
        </w:numPr>
        <w:rPr>
          <w:rFonts w:ascii="Arial" w:hAnsi="Arial" w:cs="Arial"/>
        </w:rPr>
      </w:pPr>
      <w:r w:rsidRPr="00FF6757">
        <w:rPr>
          <w:rFonts w:ascii="Arial" w:hAnsi="Arial" w:cs="Arial"/>
        </w:rPr>
        <w:t>To use the synthesising evidence that would identify the best practises in Forex risk management.</w:t>
      </w:r>
    </w:p>
    <w:p w14:paraId="4504A425" w14:textId="77777777" w:rsidR="003A5072" w:rsidRPr="00FF6757" w:rsidRDefault="003A5072" w:rsidP="006B357C">
      <w:pPr>
        <w:ind w:firstLine="360"/>
        <w:rPr>
          <w:rFonts w:ascii="Arial" w:hAnsi="Arial" w:cs="Arial"/>
          <w:b/>
          <w:bCs/>
        </w:rPr>
      </w:pPr>
      <w:r w:rsidRPr="00FF6757">
        <w:rPr>
          <w:rFonts w:ascii="Arial" w:hAnsi="Arial" w:cs="Arial"/>
          <w:b/>
          <w:bCs/>
        </w:rPr>
        <w:t>Research Questions</w:t>
      </w:r>
    </w:p>
    <w:p w14:paraId="5E1A086A" w14:textId="77777777" w:rsidR="003A5072" w:rsidRPr="00FF6757" w:rsidRDefault="003A5072" w:rsidP="00E02FB3">
      <w:pPr>
        <w:numPr>
          <w:ilvl w:val="0"/>
          <w:numId w:val="5"/>
        </w:numPr>
        <w:rPr>
          <w:rFonts w:ascii="Arial" w:hAnsi="Arial" w:cs="Arial"/>
        </w:rPr>
      </w:pPr>
      <w:r w:rsidRPr="00FF6757">
        <w:rPr>
          <w:rFonts w:ascii="Arial" w:hAnsi="Arial" w:cs="Arial"/>
        </w:rPr>
        <w:t>What key financial risks affect Forex trading investments?</w:t>
      </w:r>
    </w:p>
    <w:p w14:paraId="27C1B6B5" w14:textId="77777777" w:rsidR="003A5072" w:rsidRPr="00FF6757" w:rsidRDefault="003A5072" w:rsidP="00E02FB3">
      <w:pPr>
        <w:numPr>
          <w:ilvl w:val="0"/>
          <w:numId w:val="5"/>
        </w:numPr>
        <w:rPr>
          <w:rFonts w:ascii="Arial" w:hAnsi="Arial" w:cs="Arial"/>
        </w:rPr>
      </w:pPr>
      <w:r w:rsidRPr="00FF6757">
        <w:rPr>
          <w:rFonts w:ascii="Arial" w:hAnsi="Arial" w:cs="Arial"/>
        </w:rPr>
        <w:t>What financial risk management tools and strategies are used in Forex markets?</w:t>
      </w:r>
    </w:p>
    <w:p w14:paraId="4D8AFC52" w14:textId="77777777" w:rsidR="003A5072" w:rsidRPr="00FF6757" w:rsidRDefault="003A5072" w:rsidP="00E02FB3">
      <w:pPr>
        <w:numPr>
          <w:ilvl w:val="0"/>
          <w:numId w:val="5"/>
        </w:numPr>
        <w:rPr>
          <w:rFonts w:ascii="Arial" w:hAnsi="Arial" w:cs="Arial"/>
        </w:rPr>
      </w:pPr>
      <w:r w:rsidRPr="00FF6757">
        <w:rPr>
          <w:rFonts w:ascii="Arial" w:hAnsi="Arial" w:cs="Arial"/>
        </w:rPr>
        <w:t>What relationship exists between financial risk management practices and Forex trading performance?</w:t>
      </w:r>
    </w:p>
    <w:p w14:paraId="67FEA2F7" w14:textId="77777777" w:rsidR="003A5072" w:rsidRPr="00FF6757" w:rsidRDefault="003A5072" w:rsidP="00E02FB3">
      <w:pPr>
        <w:numPr>
          <w:ilvl w:val="0"/>
          <w:numId w:val="5"/>
        </w:numPr>
        <w:rPr>
          <w:rFonts w:ascii="Arial" w:hAnsi="Arial" w:cs="Arial"/>
        </w:rPr>
      </w:pPr>
      <w:r w:rsidRPr="00FF6757">
        <w:rPr>
          <w:rFonts w:ascii="Arial" w:hAnsi="Arial" w:cs="Arial"/>
        </w:rPr>
        <w:t>Which risk management practices are most effective in improving trading outcomes?</w:t>
      </w:r>
    </w:p>
    <w:p w14:paraId="5C2CCA68" w14:textId="77777777" w:rsidR="006B357C" w:rsidRPr="00FF6757" w:rsidRDefault="006B357C" w:rsidP="001A4C3F">
      <w:pPr>
        <w:ind w:left="720"/>
        <w:rPr>
          <w:rFonts w:ascii="Arial" w:hAnsi="Arial" w:cs="Arial"/>
        </w:rPr>
      </w:pPr>
    </w:p>
    <w:p w14:paraId="5D4EEA37" w14:textId="0AC290DF" w:rsidR="003A5072" w:rsidRPr="00FF6757" w:rsidRDefault="003A5072" w:rsidP="006B357C">
      <w:pPr>
        <w:pStyle w:val="Heading2"/>
      </w:pPr>
      <w:bookmarkStart w:id="12" w:name="_Toc228917188"/>
      <w:r w:rsidRPr="00FF6757">
        <w:t>1.6 Significance of the Study</w:t>
      </w:r>
      <w:bookmarkEnd w:id="12"/>
    </w:p>
    <w:p w14:paraId="55283C72" w14:textId="77777777" w:rsidR="006B357C" w:rsidRPr="00FF6757" w:rsidRDefault="006B357C" w:rsidP="006B357C"/>
    <w:p w14:paraId="377C291B" w14:textId="3858277F" w:rsidR="003A5072" w:rsidRPr="00FF6757" w:rsidRDefault="003A5072" w:rsidP="006B357C">
      <w:pPr>
        <w:ind w:firstLine="720"/>
        <w:rPr>
          <w:rFonts w:ascii="Arial" w:hAnsi="Arial" w:cs="Arial"/>
        </w:rPr>
      </w:pPr>
      <w:r w:rsidRPr="00FF6757">
        <w:rPr>
          <w:rFonts w:ascii="Arial" w:hAnsi="Arial" w:cs="Arial"/>
        </w:rPr>
        <w:t xml:space="preserve">The study makes </w:t>
      </w:r>
      <w:r w:rsidR="00BF258A" w:rsidRPr="00FF6757">
        <w:rPr>
          <w:rFonts w:ascii="Arial" w:hAnsi="Arial" w:cs="Arial"/>
        </w:rPr>
        <w:t xml:space="preserve">a </w:t>
      </w:r>
      <w:r w:rsidRPr="00FF6757">
        <w:rPr>
          <w:rFonts w:ascii="Arial" w:hAnsi="Arial" w:cs="Arial"/>
        </w:rPr>
        <w:t>great contribution to the academic and professional circles. Research-wise</w:t>
      </w:r>
      <w:r w:rsidR="00BF258A" w:rsidRPr="00FF6757">
        <w:rPr>
          <w:rFonts w:ascii="Arial" w:hAnsi="Arial" w:cs="Arial"/>
        </w:rPr>
        <w:t>,</w:t>
      </w:r>
      <w:r w:rsidRPr="00FF6757">
        <w:rPr>
          <w:rFonts w:ascii="Arial" w:hAnsi="Arial" w:cs="Arial"/>
        </w:rPr>
        <w:t xml:space="preserve"> it helps in the development of precedence regarding literature on </w:t>
      </w:r>
      <w:r w:rsidRPr="00FF6757">
        <w:rPr>
          <w:rFonts w:ascii="Arial" w:hAnsi="Arial" w:cs="Arial"/>
        </w:rPr>
        <w:lastRenderedPageBreak/>
        <w:t>volatility, spillovers, forecasting and hedging</w:t>
      </w:r>
      <w:r w:rsidR="00BF258A" w:rsidRPr="00FF6757">
        <w:rPr>
          <w:rFonts w:ascii="Arial" w:hAnsi="Arial" w:cs="Arial"/>
        </w:rPr>
        <w:t>,</w:t>
      </w:r>
      <w:r w:rsidRPr="00FF6757">
        <w:rPr>
          <w:rFonts w:ascii="Arial" w:hAnsi="Arial" w:cs="Arial"/>
        </w:rPr>
        <w:t xml:space="preserve"> and it engulfs it into one cohesive performance-based framework. The study contributes to a better comprehension of how the risk identification, its measurement and mitigation as </w:t>
      </w:r>
      <w:r w:rsidR="00BF258A" w:rsidRPr="00FF6757">
        <w:rPr>
          <w:rFonts w:ascii="Arial" w:hAnsi="Arial" w:cs="Arial"/>
        </w:rPr>
        <w:t>a</w:t>
      </w:r>
      <w:r w:rsidRPr="00FF6757">
        <w:rPr>
          <w:rFonts w:ascii="Arial" w:hAnsi="Arial" w:cs="Arial"/>
        </w:rPr>
        <w:t xml:space="preserve"> whole affect the outcomes of investment by filling the identified knowledge gap.</w:t>
      </w:r>
    </w:p>
    <w:p w14:paraId="431F3E74" w14:textId="51F32F91" w:rsidR="003A5072" w:rsidRPr="00FF6757" w:rsidRDefault="003A5072" w:rsidP="006B357C">
      <w:pPr>
        <w:ind w:firstLine="720"/>
        <w:rPr>
          <w:rFonts w:ascii="Arial" w:hAnsi="Arial" w:cs="Arial"/>
        </w:rPr>
      </w:pPr>
      <w:r w:rsidRPr="00FF6757">
        <w:rPr>
          <w:rFonts w:ascii="Arial" w:hAnsi="Arial" w:cs="Arial"/>
        </w:rPr>
        <w:t xml:space="preserve">The implications of the findings in the professional front are the initiation of ideas by traders, financial institutions, </w:t>
      </w:r>
      <w:r w:rsidR="00BF258A" w:rsidRPr="00FF6757">
        <w:rPr>
          <w:rFonts w:ascii="Arial" w:hAnsi="Arial" w:cs="Arial"/>
        </w:rPr>
        <w:t xml:space="preserve">and </w:t>
      </w:r>
      <w:r w:rsidRPr="00FF6757">
        <w:rPr>
          <w:rFonts w:ascii="Arial" w:hAnsi="Arial" w:cs="Arial"/>
        </w:rPr>
        <w:t xml:space="preserve">portfolio managers to enhance resilience in the unstable currency markets. In light of the growing complexity of international financial infrastructure and interdependencies of markets across the majority of markets (Haddad, 2023), sustainability-based risk control is central </w:t>
      </w:r>
      <w:r w:rsidR="00BF258A" w:rsidRPr="00FF6757">
        <w:rPr>
          <w:rFonts w:ascii="Arial" w:hAnsi="Arial" w:cs="Arial"/>
        </w:rPr>
        <w:t>to</w:t>
      </w:r>
      <w:r w:rsidRPr="00FF6757">
        <w:rPr>
          <w:rFonts w:ascii="Arial" w:hAnsi="Arial" w:cs="Arial"/>
        </w:rPr>
        <w:t xml:space="preserve"> successful trading.</w:t>
      </w:r>
    </w:p>
    <w:p w14:paraId="7674806A" w14:textId="07D4B132" w:rsidR="003A5072" w:rsidRPr="00FF6757" w:rsidRDefault="003A5072" w:rsidP="006B357C">
      <w:pPr>
        <w:ind w:firstLine="720"/>
        <w:rPr>
          <w:rFonts w:ascii="Arial" w:hAnsi="Arial" w:cs="Arial"/>
        </w:rPr>
      </w:pPr>
      <w:r w:rsidRPr="00FF6757">
        <w:rPr>
          <w:rFonts w:ascii="Arial" w:hAnsi="Arial" w:cs="Arial"/>
        </w:rPr>
        <w:t xml:space="preserve">Poor risk discipline in highly leveraged Forex setups is quite often the cause of excessive drawdowns and market exits (Ferdous et al., 2022). Consequently, it is of practical significance to learn how the tools of risk management could be effectively incorporated into the trading strategies. </w:t>
      </w:r>
    </w:p>
    <w:p w14:paraId="3F80CE2D" w14:textId="77777777" w:rsidR="006B357C" w:rsidRPr="00FF6757" w:rsidRDefault="006B357C" w:rsidP="006B357C">
      <w:pPr>
        <w:ind w:firstLine="720"/>
        <w:rPr>
          <w:rFonts w:ascii="Arial" w:hAnsi="Arial" w:cs="Arial"/>
        </w:rPr>
      </w:pPr>
    </w:p>
    <w:p w14:paraId="2B35242A" w14:textId="656A5724" w:rsidR="003A5072" w:rsidRPr="00FF6757" w:rsidRDefault="003A5072" w:rsidP="006B357C">
      <w:pPr>
        <w:pStyle w:val="Heading2"/>
      </w:pPr>
      <w:bookmarkStart w:id="13" w:name="_Toc228917189"/>
      <w:r w:rsidRPr="00FF6757">
        <w:t>1.7 Structure of the Dissertation</w:t>
      </w:r>
      <w:bookmarkEnd w:id="13"/>
    </w:p>
    <w:p w14:paraId="24B4ECF6" w14:textId="77777777" w:rsidR="006B357C" w:rsidRPr="00FF6757" w:rsidRDefault="006B357C" w:rsidP="006B357C"/>
    <w:p w14:paraId="30B92E9C" w14:textId="61222515" w:rsidR="003A5072" w:rsidRPr="00FF6757" w:rsidRDefault="003A5072" w:rsidP="006B357C">
      <w:pPr>
        <w:ind w:firstLine="720"/>
        <w:rPr>
          <w:rFonts w:ascii="Arial" w:hAnsi="Arial" w:cs="Arial"/>
        </w:rPr>
      </w:pPr>
      <w:r w:rsidRPr="00FF6757">
        <w:rPr>
          <w:rFonts w:ascii="Arial" w:hAnsi="Arial" w:cs="Arial"/>
        </w:rPr>
        <w:t>Chapter Two provides a critical review of the available literature concerning Forex volatilities and spillovers, risk measurement and hedging strategies following this introduction. The third chapter specifies the research methodology, which involves the systematic literature review methodology. The results are in Chapter Four</w:t>
      </w:r>
      <w:r w:rsidR="00BF258A" w:rsidRPr="00FF6757">
        <w:rPr>
          <w:rFonts w:ascii="Arial" w:hAnsi="Arial" w:cs="Arial"/>
        </w:rPr>
        <w:t>,</w:t>
      </w:r>
      <w:r w:rsidRPr="00FF6757">
        <w:rPr>
          <w:rFonts w:ascii="Arial" w:hAnsi="Arial" w:cs="Arial"/>
        </w:rPr>
        <w:t xml:space="preserve"> which outlines some thematic findings and discussions in Chapter Five. The dissertation</w:t>
      </w:r>
      <w:r w:rsidR="00BF258A" w:rsidRPr="00FF6757">
        <w:rPr>
          <w:rFonts w:ascii="Arial" w:hAnsi="Arial" w:cs="Arial"/>
        </w:rPr>
        <w:t>,</w:t>
      </w:r>
      <w:r w:rsidRPr="00FF6757">
        <w:rPr>
          <w:rFonts w:ascii="Arial" w:hAnsi="Arial" w:cs="Arial"/>
        </w:rPr>
        <w:t xml:space="preserve"> in its conclusion</w:t>
      </w:r>
      <w:r w:rsidR="00BF258A" w:rsidRPr="00FF6757">
        <w:rPr>
          <w:rFonts w:ascii="Arial" w:hAnsi="Arial" w:cs="Arial"/>
        </w:rPr>
        <w:t>,</w:t>
      </w:r>
      <w:r w:rsidRPr="00FF6757">
        <w:rPr>
          <w:rFonts w:ascii="Arial" w:hAnsi="Arial" w:cs="Arial"/>
        </w:rPr>
        <w:t xml:space="preserve"> will have implications, limitation and future research recommendations.</w:t>
      </w:r>
    </w:p>
    <w:p w14:paraId="531F2660" w14:textId="77777777" w:rsidR="006B357C" w:rsidRPr="00FF6757" w:rsidRDefault="006B357C" w:rsidP="006B357C">
      <w:pPr>
        <w:ind w:firstLine="720"/>
        <w:rPr>
          <w:rFonts w:ascii="Arial" w:hAnsi="Arial" w:cs="Arial"/>
        </w:rPr>
      </w:pPr>
    </w:p>
    <w:p w14:paraId="29419127" w14:textId="77777777" w:rsidR="006B357C" w:rsidRPr="00FF6757" w:rsidRDefault="006B357C" w:rsidP="006B357C">
      <w:pPr>
        <w:ind w:firstLine="720"/>
        <w:rPr>
          <w:rFonts w:ascii="Arial" w:hAnsi="Arial" w:cs="Arial"/>
        </w:rPr>
      </w:pPr>
    </w:p>
    <w:p w14:paraId="0C893D20" w14:textId="77777777" w:rsidR="006B357C" w:rsidRPr="00FF6757" w:rsidRDefault="006B357C" w:rsidP="006B357C">
      <w:pPr>
        <w:ind w:firstLine="720"/>
        <w:rPr>
          <w:rFonts w:ascii="Arial" w:hAnsi="Arial" w:cs="Arial"/>
        </w:rPr>
      </w:pPr>
    </w:p>
    <w:p w14:paraId="286AC4EE" w14:textId="77777777" w:rsidR="006B357C" w:rsidRPr="00FF6757" w:rsidRDefault="006B357C" w:rsidP="006B357C">
      <w:pPr>
        <w:ind w:firstLine="720"/>
        <w:rPr>
          <w:rFonts w:ascii="Arial" w:hAnsi="Arial" w:cs="Arial"/>
        </w:rPr>
      </w:pPr>
    </w:p>
    <w:p w14:paraId="5AC00F5D" w14:textId="77777777" w:rsidR="006B357C" w:rsidRPr="00FF6757" w:rsidRDefault="006B357C" w:rsidP="006B357C">
      <w:pPr>
        <w:ind w:firstLine="720"/>
        <w:rPr>
          <w:rFonts w:ascii="Arial" w:hAnsi="Arial" w:cs="Arial"/>
        </w:rPr>
      </w:pPr>
    </w:p>
    <w:p w14:paraId="6DA0BADA" w14:textId="486057DF" w:rsidR="003A5072" w:rsidRPr="00FF6757" w:rsidRDefault="003A5072" w:rsidP="006B357C">
      <w:pPr>
        <w:pStyle w:val="Heading1"/>
        <w:jc w:val="center"/>
        <w:rPr>
          <w:rFonts w:cs="Arial"/>
        </w:rPr>
      </w:pPr>
      <w:bookmarkStart w:id="14" w:name="_Toc228917190"/>
      <w:r w:rsidRPr="00FF6757">
        <w:rPr>
          <w:rFonts w:cs="Arial"/>
        </w:rPr>
        <w:lastRenderedPageBreak/>
        <w:t>Chapter 2: Literature Review</w:t>
      </w:r>
      <w:bookmarkEnd w:id="14"/>
    </w:p>
    <w:p w14:paraId="5337996E" w14:textId="77777777" w:rsidR="006B357C" w:rsidRPr="00FF6757" w:rsidRDefault="006B357C" w:rsidP="006B357C"/>
    <w:p w14:paraId="428A1087" w14:textId="21695363" w:rsidR="003A5072" w:rsidRPr="00FF6757" w:rsidRDefault="003A5072" w:rsidP="006B357C">
      <w:pPr>
        <w:pStyle w:val="Heading2"/>
      </w:pPr>
      <w:bookmarkStart w:id="15" w:name="_Toc228917191"/>
      <w:r w:rsidRPr="00FF6757">
        <w:t>2.1 Introduction to the Literature Review</w:t>
      </w:r>
      <w:bookmarkEnd w:id="15"/>
    </w:p>
    <w:p w14:paraId="0A846ED0" w14:textId="77777777" w:rsidR="006B357C" w:rsidRPr="00FF6757" w:rsidRDefault="006B357C" w:rsidP="006B357C"/>
    <w:p w14:paraId="34B612B2" w14:textId="06944342" w:rsidR="003A5072" w:rsidRPr="00FF6757" w:rsidRDefault="003A5072" w:rsidP="006B357C">
      <w:pPr>
        <w:ind w:firstLine="720"/>
        <w:rPr>
          <w:rFonts w:ascii="Arial" w:hAnsi="Arial" w:cs="Arial"/>
        </w:rPr>
      </w:pPr>
      <w:r w:rsidRPr="00FF6757">
        <w:rPr>
          <w:rFonts w:ascii="Arial" w:hAnsi="Arial" w:cs="Arial"/>
        </w:rPr>
        <w:t xml:space="preserve">The foreign exchange (Forex) market has become a highly interlocked and the volatility sensitive financial system, which is influenced by the macroeconomic uncertainty, corporate capital flow and technological change. Currency risk impacts international trade, cross-border investments and corporate profits and business, which makes the management of currency risk the core element of financial decision-making (Ahmed et al., 2024; Ameziane and Benyacoub, 2022). The demand </w:t>
      </w:r>
      <w:r w:rsidR="00BF258A" w:rsidRPr="00FF6757">
        <w:rPr>
          <w:rFonts w:ascii="Arial" w:hAnsi="Arial" w:cs="Arial"/>
        </w:rPr>
        <w:t>for</w:t>
      </w:r>
      <w:r w:rsidRPr="00FF6757">
        <w:rPr>
          <w:rFonts w:ascii="Arial" w:hAnsi="Arial" w:cs="Arial"/>
        </w:rPr>
        <w:t xml:space="preserve"> structured financial risk management instruments in Forex markets has increased in recent years in terms of heightened spillover effects, mechanisms and mechanisms of crisis transmission, as well as nonlinear volatility regimes (Huynh, Nasir and Nguyen, 2023; Nerantzidis, Stoupos and Tzeremes, 2024).</w:t>
      </w:r>
    </w:p>
    <w:p w14:paraId="11398693" w14:textId="6B1EE81F" w:rsidR="003A5072" w:rsidRPr="00FF6757" w:rsidRDefault="003A5072" w:rsidP="006B357C">
      <w:pPr>
        <w:ind w:firstLine="720"/>
        <w:rPr>
          <w:rFonts w:ascii="Arial" w:hAnsi="Arial" w:cs="Arial"/>
        </w:rPr>
      </w:pPr>
      <w:r w:rsidRPr="00FF6757">
        <w:rPr>
          <w:rFonts w:ascii="Arial" w:hAnsi="Arial" w:cs="Arial"/>
        </w:rPr>
        <w:t xml:space="preserve">The volatility clustering, regime changes and the dynamical </w:t>
      </w:r>
      <w:r w:rsidR="00BF258A" w:rsidRPr="00FF6757">
        <w:rPr>
          <w:rFonts w:ascii="Arial" w:hAnsi="Arial" w:cs="Arial"/>
        </w:rPr>
        <w:t>connections</w:t>
      </w:r>
      <w:r w:rsidRPr="00FF6757">
        <w:rPr>
          <w:rFonts w:ascii="Arial" w:hAnsi="Arial" w:cs="Arial"/>
        </w:rPr>
        <w:t xml:space="preserve"> in currencies and asset types are recorded in the studies (Barunik and Krezhlik, 2021; Yildirim, Erdo and Tarini, 2022). These studies also show that currency markets are transmitters and receivers of systemic shocks, which support greater complexity of risk exposure (Jiang et al., 2022). The implications of these findings include the idea that the proper management of a Forex risk simply involves taking an integrated approach that considers the inter-market dependencies as opposed to individual movements of currency.</w:t>
      </w:r>
    </w:p>
    <w:p w14:paraId="18467CFB" w14:textId="423BB740" w:rsidR="003A5072" w:rsidRPr="00FF6757" w:rsidRDefault="003A5072" w:rsidP="006B357C">
      <w:pPr>
        <w:ind w:firstLine="720"/>
        <w:rPr>
          <w:rFonts w:ascii="Arial" w:hAnsi="Arial" w:cs="Arial"/>
        </w:rPr>
      </w:pPr>
      <w:r w:rsidRPr="00FF6757">
        <w:rPr>
          <w:rFonts w:ascii="Arial" w:hAnsi="Arial" w:cs="Arial"/>
        </w:rPr>
        <w:t>In line with the econometric modelling, there has been progress in machine learning and deep learning</w:t>
      </w:r>
      <w:r w:rsidR="00BF258A" w:rsidRPr="00FF6757">
        <w:rPr>
          <w:rFonts w:ascii="Arial" w:hAnsi="Arial" w:cs="Arial"/>
        </w:rPr>
        <w:t>,</w:t>
      </w:r>
      <w:r w:rsidRPr="00FF6757">
        <w:rPr>
          <w:rFonts w:ascii="Arial" w:hAnsi="Arial" w:cs="Arial"/>
        </w:rPr>
        <w:t xml:space="preserve"> which has increased the accuracy of the forecasts in the currency markets (Ayitey Junior et al., 2023; Zhao and Yan, 2024). The hybrid models like GARCH-LSTM and transformer-based </w:t>
      </w:r>
      <w:r w:rsidR="00BF258A" w:rsidRPr="00FF6757">
        <w:rPr>
          <w:rFonts w:ascii="Arial" w:hAnsi="Arial" w:cs="Arial"/>
        </w:rPr>
        <w:t xml:space="preserve">models </w:t>
      </w:r>
      <w:r w:rsidRPr="00FF6757">
        <w:rPr>
          <w:rFonts w:ascii="Arial" w:hAnsi="Arial" w:cs="Arial"/>
        </w:rPr>
        <w:t>develop a way of capturing nonlinear dynamics in predicting a phenomenon and enhance the predictive ability (Nsengiyumva, Mung’atu and Ruranga, 2025; Bilis et al., 2025). Nevertheless, the accuracy of its forecasts has been increasing, although there is still a growing lack of literature on whether the enhanced prediction directly correlates with the elevated trading results.</w:t>
      </w:r>
    </w:p>
    <w:p w14:paraId="11479009" w14:textId="77777777" w:rsidR="003A5072" w:rsidRPr="00FF6757" w:rsidRDefault="003A5072" w:rsidP="006B357C">
      <w:pPr>
        <w:ind w:firstLine="720"/>
        <w:rPr>
          <w:rFonts w:ascii="Arial" w:hAnsi="Arial" w:cs="Arial"/>
        </w:rPr>
      </w:pPr>
      <w:r w:rsidRPr="00FF6757">
        <w:rPr>
          <w:rFonts w:ascii="Arial" w:hAnsi="Arial" w:cs="Arial"/>
        </w:rPr>
        <w:lastRenderedPageBreak/>
        <w:t>Also, the downside risk has been optimised to measure risk in currency markets using risk measurement instruments like Value-at-Risk (VaR), Expected Shortfall (ES) and copula-based tail modelling (Blom, Petter and Risstad, 2023; Arismendi-Zambrano et al., 2022). However, the interrelation between quantification of risk and the long-term investment performance is yet to be well-synthesised.</w:t>
      </w:r>
    </w:p>
    <w:p w14:paraId="5C499486" w14:textId="5B870528" w:rsidR="003A5072" w:rsidRPr="00FF6757" w:rsidRDefault="003A5072" w:rsidP="00E02FB3">
      <w:pPr>
        <w:rPr>
          <w:rFonts w:ascii="Arial" w:hAnsi="Arial" w:cs="Arial"/>
        </w:rPr>
      </w:pPr>
      <w:r w:rsidRPr="00FF6757">
        <w:rPr>
          <w:rFonts w:ascii="Arial" w:hAnsi="Arial" w:cs="Arial"/>
        </w:rPr>
        <w:t xml:space="preserve">The chapter shifts the theoretical backgrounds to practical empirical studies, which end in discovering gaps in research that </w:t>
      </w:r>
      <w:r w:rsidR="00BF258A" w:rsidRPr="00FF6757">
        <w:rPr>
          <w:rFonts w:ascii="Arial" w:hAnsi="Arial" w:cs="Arial"/>
        </w:rPr>
        <w:t>provide</w:t>
      </w:r>
      <w:r w:rsidRPr="00FF6757">
        <w:rPr>
          <w:rFonts w:ascii="Arial" w:hAnsi="Arial" w:cs="Arial"/>
        </w:rPr>
        <w:t xml:space="preserve"> the justification </w:t>
      </w:r>
      <w:r w:rsidR="00BF258A" w:rsidRPr="00FF6757">
        <w:rPr>
          <w:rFonts w:ascii="Arial" w:hAnsi="Arial" w:cs="Arial"/>
        </w:rPr>
        <w:t>for</w:t>
      </w:r>
      <w:r w:rsidRPr="00FF6757">
        <w:rPr>
          <w:rFonts w:ascii="Arial" w:hAnsi="Arial" w:cs="Arial"/>
        </w:rPr>
        <w:t xml:space="preserve"> the current study.</w:t>
      </w:r>
    </w:p>
    <w:p w14:paraId="15E6F6B4" w14:textId="77777777" w:rsidR="006B357C" w:rsidRPr="00FF6757" w:rsidRDefault="006B357C" w:rsidP="00E02FB3">
      <w:pPr>
        <w:rPr>
          <w:rFonts w:ascii="Arial" w:hAnsi="Arial" w:cs="Arial"/>
        </w:rPr>
      </w:pPr>
    </w:p>
    <w:p w14:paraId="75DF7B57" w14:textId="071CF391" w:rsidR="003A5072" w:rsidRPr="00FF6757" w:rsidRDefault="003A5072" w:rsidP="006B357C">
      <w:pPr>
        <w:pStyle w:val="Heading2"/>
      </w:pPr>
      <w:bookmarkStart w:id="16" w:name="_Toc228917192"/>
      <w:r w:rsidRPr="00FF6757">
        <w:t>2.2 Theoretical Foundations of Financial Risk Management in Forex Markets</w:t>
      </w:r>
      <w:bookmarkEnd w:id="16"/>
    </w:p>
    <w:p w14:paraId="1FC38DE7" w14:textId="77777777" w:rsidR="006B357C" w:rsidRPr="00FF6757" w:rsidRDefault="006B357C" w:rsidP="006B357C"/>
    <w:p w14:paraId="6D8923DC" w14:textId="11C07A31" w:rsidR="003A5072" w:rsidRPr="00FF6757" w:rsidRDefault="003A5072" w:rsidP="006B357C">
      <w:pPr>
        <w:pStyle w:val="Heading3"/>
        <w:ind w:firstLine="720"/>
        <w:rPr>
          <w:rFonts w:ascii="Arial" w:hAnsi="Arial" w:cs="Arial"/>
        </w:rPr>
      </w:pPr>
      <w:bookmarkStart w:id="17" w:name="_Toc228917193"/>
      <w:r w:rsidRPr="00FF6757">
        <w:rPr>
          <w:rFonts w:ascii="Arial" w:hAnsi="Arial" w:cs="Arial"/>
        </w:rPr>
        <w:t>2.2.1 Risk–Return Trade-Off and Portfolio Theory</w:t>
      </w:r>
      <w:bookmarkEnd w:id="17"/>
    </w:p>
    <w:p w14:paraId="221F3C7D" w14:textId="5B664513" w:rsidR="003A5072" w:rsidRPr="00FF6757" w:rsidRDefault="003A5072" w:rsidP="006B357C">
      <w:pPr>
        <w:ind w:firstLine="720"/>
        <w:rPr>
          <w:rFonts w:ascii="Arial" w:hAnsi="Arial" w:cs="Arial"/>
        </w:rPr>
      </w:pPr>
      <w:r w:rsidRPr="00FF6757">
        <w:rPr>
          <w:rFonts w:ascii="Arial" w:hAnsi="Arial" w:cs="Arial"/>
        </w:rPr>
        <w:t>The fallacy of financial risk management is rooted in the Modern Portfolio Theory (MPT), which is the theory that investors rationalise their portfolios by determining the balance between expected return and risk (in terms of variance or standard deviation). Findings of empirical studies on cross-market volatility spillovers show that the currency markets are dynamically interdependent</w:t>
      </w:r>
      <w:r w:rsidR="00BF258A" w:rsidRPr="00FF6757">
        <w:rPr>
          <w:rFonts w:ascii="Arial" w:hAnsi="Arial" w:cs="Arial"/>
        </w:rPr>
        <w:t>,</w:t>
      </w:r>
      <w:r w:rsidRPr="00FF6757">
        <w:rPr>
          <w:rFonts w:ascii="Arial" w:hAnsi="Arial" w:cs="Arial"/>
        </w:rPr>
        <w:t xml:space="preserve"> making it hard to assume that there are consistent gains </w:t>
      </w:r>
      <w:r w:rsidR="00BF258A" w:rsidRPr="00FF6757">
        <w:rPr>
          <w:rFonts w:ascii="Arial" w:hAnsi="Arial" w:cs="Arial"/>
        </w:rPr>
        <w:t>from</w:t>
      </w:r>
      <w:r w:rsidRPr="00FF6757">
        <w:rPr>
          <w:rFonts w:ascii="Arial" w:hAnsi="Arial" w:cs="Arial"/>
        </w:rPr>
        <w:t xml:space="preserve"> diversification benefits (Martial and Mbodja Mougouée, 2021; Nerantzidis, Stoupos and Tzeremes, 2024).</w:t>
      </w:r>
    </w:p>
    <w:p w14:paraId="3F4116CF" w14:textId="2E8535FA" w:rsidR="003A5072" w:rsidRPr="00FF6757" w:rsidRDefault="003A5072" w:rsidP="006B357C">
      <w:pPr>
        <w:ind w:firstLine="720"/>
        <w:rPr>
          <w:rFonts w:ascii="Arial" w:hAnsi="Arial" w:cs="Arial"/>
        </w:rPr>
      </w:pPr>
      <w:r w:rsidRPr="00FF6757">
        <w:rPr>
          <w:rFonts w:ascii="Arial" w:hAnsi="Arial" w:cs="Arial"/>
        </w:rPr>
        <w:t>Originally, MPT assumes a normality of returns and a constant correlation</w:t>
      </w:r>
      <w:r w:rsidR="00BF258A" w:rsidRPr="00FF6757">
        <w:rPr>
          <w:rFonts w:ascii="Arial" w:hAnsi="Arial" w:cs="Arial"/>
        </w:rPr>
        <w:t>,</w:t>
      </w:r>
      <w:r w:rsidRPr="00FF6757">
        <w:rPr>
          <w:rFonts w:ascii="Arial" w:hAnsi="Arial" w:cs="Arial"/>
        </w:rPr>
        <w:t xml:space="preserve"> whereas the Forex markets have a fat tail, volatility clustering and structural break (Fathi, Grobys and Kolari, 2024). This is non-standard in respect to theoretical premises, which implies that </w:t>
      </w:r>
      <w:r w:rsidR="00BF258A" w:rsidRPr="00FF6757">
        <w:rPr>
          <w:rFonts w:ascii="Arial" w:hAnsi="Arial" w:cs="Arial"/>
        </w:rPr>
        <w:t xml:space="preserve">the </w:t>
      </w:r>
      <w:r w:rsidRPr="00FF6757">
        <w:rPr>
          <w:rFonts w:ascii="Arial" w:hAnsi="Arial" w:cs="Arial"/>
        </w:rPr>
        <w:t>classical outlook based on optimisation could undervalue the severe decline risk. This</w:t>
      </w:r>
      <w:r w:rsidR="00BF258A" w:rsidRPr="00FF6757">
        <w:rPr>
          <w:rFonts w:ascii="Arial" w:hAnsi="Arial" w:cs="Arial"/>
        </w:rPr>
        <w:t>,</w:t>
      </w:r>
      <w:r w:rsidRPr="00FF6757">
        <w:rPr>
          <w:rFonts w:ascii="Arial" w:hAnsi="Arial" w:cs="Arial"/>
        </w:rPr>
        <w:t xml:space="preserve"> therefore</w:t>
      </w:r>
      <w:r w:rsidR="00BF258A" w:rsidRPr="00FF6757">
        <w:rPr>
          <w:rFonts w:ascii="Arial" w:hAnsi="Arial" w:cs="Arial"/>
        </w:rPr>
        <w:t>,</w:t>
      </w:r>
      <w:r w:rsidRPr="00FF6757">
        <w:rPr>
          <w:rFonts w:ascii="Arial" w:hAnsi="Arial" w:cs="Arial"/>
        </w:rPr>
        <w:t xml:space="preserve"> means that theoretical models had to be modified to include nonlinear and </w:t>
      </w:r>
      <w:r w:rsidR="00BF258A" w:rsidRPr="00FF6757">
        <w:rPr>
          <w:rFonts w:ascii="Arial" w:hAnsi="Arial" w:cs="Arial"/>
        </w:rPr>
        <w:t>regime-dependent</w:t>
      </w:r>
      <w:r w:rsidRPr="00FF6757">
        <w:rPr>
          <w:rFonts w:ascii="Arial" w:hAnsi="Arial" w:cs="Arial"/>
        </w:rPr>
        <w:t xml:space="preserve"> volatility structures.</w:t>
      </w:r>
    </w:p>
    <w:p w14:paraId="23DD83E8" w14:textId="77777777" w:rsidR="006B357C" w:rsidRPr="00FF6757" w:rsidRDefault="006B357C" w:rsidP="007B65D5">
      <w:pPr>
        <w:pStyle w:val="Heading3"/>
        <w:rPr>
          <w:rFonts w:ascii="Arial" w:hAnsi="Arial" w:cs="Arial"/>
        </w:rPr>
      </w:pPr>
    </w:p>
    <w:p w14:paraId="3F14CD74" w14:textId="3A066F02" w:rsidR="003A5072" w:rsidRPr="00FF6757" w:rsidRDefault="003A5072" w:rsidP="006B357C">
      <w:pPr>
        <w:pStyle w:val="Heading3"/>
        <w:ind w:firstLine="720"/>
        <w:rPr>
          <w:rFonts w:ascii="Arial" w:hAnsi="Arial" w:cs="Arial"/>
        </w:rPr>
      </w:pPr>
      <w:bookmarkStart w:id="18" w:name="_Toc228917194"/>
      <w:r w:rsidRPr="00FF6757">
        <w:rPr>
          <w:rFonts w:ascii="Arial" w:hAnsi="Arial" w:cs="Arial"/>
        </w:rPr>
        <w:t>2.2.2 Market Efficiency and Exchange Rate Determination</w:t>
      </w:r>
      <w:bookmarkEnd w:id="18"/>
    </w:p>
    <w:p w14:paraId="15CA9E19" w14:textId="63D88605" w:rsidR="003A5072" w:rsidRPr="00FF6757" w:rsidRDefault="003A5072" w:rsidP="006B357C">
      <w:pPr>
        <w:ind w:firstLine="720"/>
        <w:rPr>
          <w:rFonts w:ascii="Arial" w:hAnsi="Arial" w:cs="Arial"/>
        </w:rPr>
      </w:pPr>
      <w:r w:rsidRPr="00FF6757">
        <w:rPr>
          <w:rFonts w:ascii="Arial" w:hAnsi="Arial" w:cs="Arial"/>
        </w:rPr>
        <w:t xml:space="preserve">In the currency markets, the informational efficiency </w:t>
      </w:r>
      <w:r w:rsidR="000354EE" w:rsidRPr="00FF6757">
        <w:rPr>
          <w:rFonts w:ascii="Arial" w:hAnsi="Arial" w:cs="Arial"/>
        </w:rPr>
        <w:t>is</w:t>
      </w:r>
      <w:r w:rsidRPr="00FF6757">
        <w:rPr>
          <w:rFonts w:ascii="Arial" w:hAnsi="Arial" w:cs="Arial"/>
        </w:rPr>
        <w:t xml:space="preserve"> affected by macroeconomic announcements, the interest rate differentials, and geopolitical developments (Ahmed et al., 2024). Nevertheless, the ongoing volatility spillover and contagion effects demonstrate that the market might not react and respond to new </w:t>
      </w:r>
      <w:r w:rsidRPr="00FF6757">
        <w:rPr>
          <w:rFonts w:ascii="Arial" w:hAnsi="Arial" w:cs="Arial"/>
        </w:rPr>
        <w:lastRenderedPageBreak/>
        <w:t>information immediately and in a symmetrical manner (Huynh, Nasir and Nguyen, 2023).</w:t>
      </w:r>
    </w:p>
    <w:p w14:paraId="77A981C3" w14:textId="69BB48AA" w:rsidR="003A5072" w:rsidRPr="00FF6757" w:rsidRDefault="003A5072" w:rsidP="006B357C">
      <w:pPr>
        <w:ind w:firstLine="720"/>
        <w:rPr>
          <w:rFonts w:ascii="Arial" w:hAnsi="Arial" w:cs="Arial"/>
        </w:rPr>
      </w:pPr>
      <w:r w:rsidRPr="00FF6757">
        <w:rPr>
          <w:rFonts w:ascii="Arial" w:hAnsi="Arial" w:cs="Arial"/>
        </w:rPr>
        <w:t xml:space="preserve">In other words, empirical studies have shown that frequency-dependent connectedness structures are present in Forex markets, indicating inefficiency in the Forex markets regarding various time horizons (Baruník and Křehlík, 2021). Further, behavioural factors like speculative sentiment are some of the contributors </w:t>
      </w:r>
      <w:r w:rsidR="00BF258A" w:rsidRPr="00FF6757">
        <w:rPr>
          <w:rFonts w:ascii="Arial" w:hAnsi="Arial" w:cs="Arial"/>
        </w:rPr>
        <w:t>to</w:t>
      </w:r>
      <w:r w:rsidRPr="00FF6757">
        <w:rPr>
          <w:rFonts w:ascii="Arial" w:hAnsi="Arial" w:cs="Arial"/>
        </w:rPr>
        <w:t xml:space="preserve"> the alternatives in rational pricing models (Chen et al., 2021). Such results undermine the general EMH assumptions and give them a theoretical defence of active risk management and forecast strategies.</w:t>
      </w:r>
    </w:p>
    <w:p w14:paraId="7B9D21A1" w14:textId="77777777" w:rsidR="006B357C" w:rsidRPr="00FF6757" w:rsidRDefault="006B357C" w:rsidP="006B357C">
      <w:pPr>
        <w:ind w:firstLine="720"/>
        <w:rPr>
          <w:rFonts w:ascii="Arial" w:hAnsi="Arial" w:cs="Arial"/>
        </w:rPr>
      </w:pPr>
    </w:p>
    <w:p w14:paraId="143A20D0" w14:textId="64B329EC" w:rsidR="003A5072" w:rsidRPr="00FF6757" w:rsidRDefault="003A5072" w:rsidP="006B357C">
      <w:pPr>
        <w:pStyle w:val="Heading3"/>
        <w:ind w:firstLine="720"/>
        <w:rPr>
          <w:rFonts w:ascii="Arial" w:hAnsi="Arial" w:cs="Arial"/>
        </w:rPr>
      </w:pPr>
      <w:bookmarkStart w:id="19" w:name="_Toc228917195"/>
      <w:r w:rsidRPr="00FF6757">
        <w:rPr>
          <w:rFonts w:ascii="Arial" w:hAnsi="Arial" w:cs="Arial"/>
        </w:rPr>
        <w:t>2.2.3 Theory of Hedging off the risk and risk avoidance</w:t>
      </w:r>
      <w:bookmarkEnd w:id="19"/>
    </w:p>
    <w:p w14:paraId="2B21745D" w14:textId="09BE0D78" w:rsidR="003A5072" w:rsidRPr="00FF6757" w:rsidRDefault="003A5072" w:rsidP="006B357C">
      <w:pPr>
        <w:ind w:firstLine="720"/>
        <w:rPr>
          <w:rFonts w:ascii="Arial" w:hAnsi="Arial" w:cs="Arial"/>
        </w:rPr>
      </w:pPr>
      <w:r w:rsidRPr="00FF6757">
        <w:rPr>
          <w:rFonts w:ascii="Arial" w:hAnsi="Arial" w:cs="Arial"/>
        </w:rPr>
        <w:t>The hedging theory puts forward the hypothesis that risk-averse investors also make use of derivatives and counter-positions to reduce their exposure to negative price fluctuations. Currency futures and options are usually used to trade the exchange rate risk, more so in multinational companies and institutional investors. Original experiences point to the fact that the adoption of derivatives may stabilise financial performance and lower the working capital volatility (Reyad et al., 2022).</w:t>
      </w:r>
    </w:p>
    <w:p w14:paraId="067BE8E2" w14:textId="7B4F1564" w:rsidR="003A5072" w:rsidRPr="00FF6757" w:rsidRDefault="003A5072" w:rsidP="006B357C">
      <w:pPr>
        <w:ind w:firstLine="720"/>
        <w:rPr>
          <w:rFonts w:ascii="Arial" w:hAnsi="Arial" w:cs="Arial"/>
        </w:rPr>
      </w:pPr>
      <w:r w:rsidRPr="00FF6757">
        <w:rPr>
          <w:rFonts w:ascii="Arial" w:hAnsi="Arial" w:cs="Arial"/>
        </w:rPr>
        <w:t xml:space="preserve">However, the success of hedging is </w:t>
      </w:r>
      <w:r w:rsidR="00BF258A" w:rsidRPr="00FF6757">
        <w:rPr>
          <w:rFonts w:ascii="Arial" w:hAnsi="Arial" w:cs="Arial"/>
        </w:rPr>
        <w:t>situation-specific,</w:t>
      </w:r>
      <w:r w:rsidRPr="00FF6757">
        <w:rPr>
          <w:rFonts w:ascii="Arial" w:hAnsi="Arial" w:cs="Arial"/>
        </w:rPr>
        <w:t xml:space="preserve"> and it depends on volatility regimes, liquidity status and transaction costs (Zakaria, 2023). It is also found that correlation breakdowns can negatively affect the benefits of diversification by making the strategy of hedging more complex when the crisis occurs (Mezghani, Boujelbene and Boutouria, 2023). This serves to highlight the theoretical shortcomings of the traditional forms of hedging models and also to emphasise the </w:t>
      </w:r>
      <w:r w:rsidR="00BF258A" w:rsidRPr="00FF6757">
        <w:rPr>
          <w:rFonts w:ascii="Arial" w:hAnsi="Arial" w:cs="Arial"/>
        </w:rPr>
        <w:t>relevance</w:t>
      </w:r>
      <w:r w:rsidRPr="00FF6757">
        <w:rPr>
          <w:rFonts w:ascii="Arial" w:hAnsi="Arial" w:cs="Arial"/>
        </w:rPr>
        <w:t xml:space="preserve"> of generally adaptive/data-driven strategies.</w:t>
      </w:r>
    </w:p>
    <w:p w14:paraId="39CE4577" w14:textId="77777777" w:rsidR="006B357C" w:rsidRPr="00FF6757" w:rsidRDefault="006B357C" w:rsidP="006B357C">
      <w:pPr>
        <w:ind w:firstLine="720"/>
        <w:rPr>
          <w:rFonts w:ascii="Arial" w:hAnsi="Arial" w:cs="Arial"/>
        </w:rPr>
      </w:pPr>
    </w:p>
    <w:p w14:paraId="0DE87728" w14:textId="7CAF1B31" w:rsidR="003A5072" w:rsidRPr="00FF6757" w:rsidRDefault="003A5072" w:rsidP="006B357C">
      <w:pPr>
        <w:pStyle w:val="Heading3"/>
        <w:ind w:firstLine="720"/>
        <w:rPr>
          <w:rFonts w:ascii="Arial" w:hAnsi="Arial" w:cs="Arial"/>
        </w:rPr>
      </w:pPr>
      <w:bookmarkStart w:id="20" w:name="_Toc228917196"/>
      <w:r w:rsidRPr="00FF6757">
        <w:rPr>
          <w:rFonts w:ascii="Arial" w:hAnsi="Arial" w:cs="Arial"/>
        </w:rPr>
        <w:t>2.2.4 Theoretical Limitations and Measurement of Risk</w:t>
      </w:r>
      <w:bookmarkEnd w:id="20"/>
    </w:p>
    <w:p w14:paraId="0D0B873C" w14:textId="4E2D902A" w:rsidR="003A5072" w:rsidRPr="00FF6757" w:rsidRDefault="003A5072" w:rsidP="006B357C">
      <w:pPr>
        <w:ind w:firstLine="720"/>
        <w:rPr>
          <w:rFonts w:ascii="Arial" w:hAnsi="Arial" w:cs="Arial"/>
        </w:rPr>
      </w:pPr>
      <w:r w:rsidRPr="00FF6757">
        <w:rPr>
          <w:rFonts w:ascii="Arial" w:hAnsi="Arial" w:cs="Arial"/>
        </w:rPr>
        <w:t xml:space="preserve">Conventional theoretical frameworks are based on the risk estimation using volatility, but extreme events and tail dependence require </w:t>
      </w:r>
      <w:r w:rsidR="00BF258A" w:rsidRPr="00FF6757">
        <w:rPr>
          <w:rFonts w:ascii="Arial" w:hAnsi="Arial" w:cs="Arial"/>
        </w:rPr>
        <w:t xml:space="preserve">a </w:t>
      </w:r>
      <w:r w:rsidRPr="00FF6757">
        <w:rPr>
          <w:rFonts w:ascii="Arial" w:hAnsi="Arial" w:cs="Arial"/>
        </w:rPr>
        <w:t xml:space="preserve">more complex methodology. Copula-dependent modelling and expectile-dependent risk controls achieve more than mere variance assumptions on the theoretical frameworks (Arismendi-Zambrano et al., 2022; Jiang, Hu and Yu, 2022). These advancements are </w:t>
      </w:r>
      <w:r w:rsidRPr="00FF6757">
        <w:rPr>
          <w:rFonts w:ascii="Arial" w:hAnsi="Arial" w:cs="Arial"/>
        </w:rPr>
        <w:lastRenderedPageBreak/>
        <w:t>in line with theoretical acknowledgement of the fact that financial risk is multidimensional and interconnected.</w:t>
      </w:r>
    </w:p>
    <w:p w14:paraId="125283D4" w14:textId="08D3926A" w:rsidR="000354EE" w:rsidRPr="00FF6757" w:rsidRDefault="000354EE" w:rsidP="006B357C">
      <w:pPr>
        <w:ind w:firstLine="720"/>
        <w:rPr>
          <w:rFonts w:ascii="Arial" w:hAnsi="Arial" w:cs="Arial"/>
        </w:rPr>
      </w:pPr>
      <w:r w:rsidRPr="00FF6757">
        <w:rPr>
          <w:rFonts w:ascii="Arial" w:hAnsi="Arial" w:cs="Arial"/>
        </w:rPr>
        <w:t xml:space="preserve">These developments notwithstanding, there is still a theoretical vacuum: the issue of risk models enhancing the accuracy of measurement is </w:t>
      </w:r>
      <w:r w:rsidR="00BF258A" w:rsidRPr="00FF6757">
        <w:rPr>
          <w:rFonts w:ascii="Arial" w:hAnsi="Arial" w:cs="Arial"/>
        </w:rPr>
        <w:t>addressed</w:t>
      </w:r>
      <w:r w:rsidRPr="00FF6757">
        <w:rPr>
          <w:rFonts w:ascii="Arial" w:hAnsi="Arial" w:cs="Arial"/>
        </w:rPr>
        <w:t xml:space="preserve">; nevertheless, fewer studies use these frameworks in comprehensive performance-enhancing techniques. The theoretical background can, therefore, give </w:t>
      </w:r>
      <w:r w:rsidR="00BF258A" w:rsidRPr="00FF6757">
        <w:rPr>
          <w:rFonts w:ascii="Arial" w:hAnsi="Arial" w:cs="Arial"/>
        </w:rPr>
        <w:t xml:space="preserve">a </w:t>
      </w:r>
      <w:r w:rsidRPr="00FF6757">
        <w:rPr>
          <w:rFonts w:ascii="Arial" w:hAnsi="Arial" w:cs="Arial"/>
        </w:rPr>
        <w:t>valuable perspective into risk-return relationship, market efficiency and hedging behaviour, but is still illogical when used to forex trade performance.</w:t>
      </w:r>
    </w:p>
    <w:p w14:paraId="21DA69CF" w14:textId="77777777" w:rsidR="006B357C" w:rsidRPr="00FF6757" w:rsidRDefault="006B357C" w:rsidP="006B357C">
      <w:pPr>
        <w:ind w:firstLine="720"/>
        <w:rPr>
          <w:rFonts w:ascii="Arial" w:hAnsi="Arial" w:cs="Arial"/>
        </w:rPr>
      </w:pPr>
    </w:p>
    <w:p w14:paraId="63C9314C" w14:textId="77777777" w:rsidR="000354EE" w:rsidRPr="00FF6757" w:rsidRDefault="000354EE" w:rsidP="006B357C">
      <w:pPr>
        <w:pStyle w:val="Heading2"/>
      </w:pPr>
      <w:bookmarkStart w:id="21" w:name="_Toc228917197"/>
      <w:r w:rsidRPr="00FF6757">
        <w:t>2.3 Exchange Rate Volatility and Risk Transmission</w:t>
      </w:r>
      <w:bookmarkEnd w:id="21"/>
      <w:r w:rsidRPr="00FF6757">
        <w:t xml:space="preserve"> </w:t>
      </w:r>
    </w:p>
    <w:p w14:paraId="54B334AD" w14:textId="77777777" w:rsidR="006B357C" w:rsidRPr="00FF6757" w:rsidRDefault="006B357C" w:rsidP="006B357C"/>
    <w:p w14:paraId="75978D22" w14:textId="6A75C6BA" w:rsidR="000354EE" w:rsidRPr="00FF6757" w:rsidRDefault="000354EE" w:rsidP="006B357C">
      <w:pPr>
        <w:ind w:firstLine="720"/>
        <w:rPr>
          <w:rFonts w:ascii="Arial" w:hAnsi="Arial" w:cs="Arial"/>
        </w:rPr>
      </w:pPr>
      <w:r w:rsidRPr="00FF6757">
        <w:rPr>
          <w:rFonts w:ascii="Arial" w:hAnsi="Arial" w:cs="Arial"/>
        </w:rPr>
        <w:t>Contrary to the equity markets, the currency markets are extremely vulnerable to perceptual declarations in macroeconomic matters or even to the distinctions of interest rates and geopolitical advancements, which yield sudden anticipatory alterations, alongside the changes in liquidity situations (Ahmed et al., 2024</w:t>
      </w:r>
      <w:r w:rsidR="002E5BCF" w:rsidRPr="00FF6757">
        <w:rPr>
          <w:rFonts w:ascii="Arial" w:hAnsi="Arial" w:cs="Arial"/>
        </w:rPr>
        <w:t>; Latief and Lefen, 2021</w:t>
      </w:r>
      <w:r w:rsidRPr="00FF6757">
        <w:rPr>
          <w:rFonts w:ascii="Arial" w:hAnsi="Arial" w:cs="Arial"/>
        </w:rPr>
        <w:t xml:space="preserve">). </w:t>
      </w:r>
    </w:p>
    <w:p w14:paraId="42C6EFA7" w14:textId="77777777" w:rsidR="006B357C" w:rsidRPr="00FF6757" w:rsidRDefault="006B357C" w:rsidP="007B65D5">
      <w:pPr>
        <w:pStyle w:val="Heading3"/>
        <w:rPr>
          <w:rFonts w:ascii="Arial" w:hAnsi="Arial" w:cs="Arial"/>
        </w:rPr>
      </w:pPr>
    </w:p>
    <w:p w14:paraId="066D8A87" w14:textId="601FE5FC" w:rsidR="000354EE" w:rsidRPr="00FF6757" w:rsidRDefault="000354EE" w:rsidP="006B357C">
      <w:pPr>
        <w:pStyle w:val="Heading3"/>
        <w:ind w:firstLine="720"/>
        <w:rPr>
          <w:rFonts w:ascii="Arial" w:hAnsi="Arial" w:cs="Arial"/>
        </w:rPr>
      </w:pPr>
      <w:bookmarkStart w:id="22" w:name="_Toc228917198"/>
      <w:r w:rsidRPr="00FF6757">
        <w:rPr>
          <w:rFonts w:ascii="Arial" w:hAnsi="Arial" w:cs="Arial"/>
        </w:rPr>
        <w:t>2.3.1 Characteristics of Forex Volatility</w:t>
      </w:r>
      <w:bookmarkEnd w:id="22"/>
    </w:p>
    <w:p w14:paraId="3C5118D7" w14:textId="674B255E" w:rsidR="000354EE" w:rsidRPr="00FF6757" w:rsidRDefault="000354EE" w:rsidP="006B357C">
      <w:pPr>
        <w:ind w:firstLine="720"/>
        <w:rPr>
          <w:rFonts w:ascii="Arial" w:hAnsi="Arial" w:cs="Arial"/>
        </w:rPr>
      </w:pPr>
      <w:r w:rsidRPr="00FF6757">
        <w:rPr>
          <w:rFonts w:ascii="Arial" w:hAnsi="Arial" w:cs="Arial"/>
        </w:rPr>
        <w:t xml:space="preserve">The empirical evidence consistently proves that exchange rate returns are volatile, have fat-tailed distributions and regime-specific behaviour (Fathi, Grobys and Kolari, 2024). The feature contradicts </w:t>
      </w:r>
      <w:r w:rsidR="00BF258A" w:rsidRPr="00FF6757">
        <w:rPr>
          <w:rFonts w:ascii="Arial" w:hAnsi="Arial" w:cs="Arial"/>
        </w:rPr>
        <w:t xml:space="preserve">the </w:t>
      </w:r>
      <w:r w:rsidRPr="00FF6757">
        <w:rPr>
          <w:rFonts w:ascii="Arial" w:hAnsi="Arial" w:cs="Arial"/>
        </w:rPr>
        <w:t>constant variance assumptions of the classical models of portfolio and advocates for using conditional heteroskedasticity models.</w:t>
      </w:r>
    </w:p>
    <w:p w14:paraId="4C188A7E" w14:textId="71506E57" w:rsidR="000354EE" w:rsidRPr="00FF6757" w:rsidRDefault="000354EE" w:rsidP="006B357C">
      <w:pPr>
        <w:ind w:firstLine="720"/>
        <w:rPr>
          <w:rFonts w:ascii="Arial" w:hAnsi="Arial" w:cs="Arial"/>
        </w:rPr>
      </w:pPr>
      <w:r w:rsidRPr="00FF6757">
        <w:rPr>
          <w:rFonts w:ascii="Arial" w:hAnsi="Arial" w:cs="Arial"/>
        </w:rPr>
        <w:t xml:space="preserve">Moreover, exchange rate stability is quite different in a variety of economic situations. Research analysing the impact of emerging markets reveals that structural characteristics, exchange </w:t>
      </w:r>
      <w:r w:rsidR="00BF258A" w:rsidRPr="00FF6757">
        <w:rPr>
          <w:rFonts w:ascii="Arial" w:hAnsi="Arial" w:cs="Arial"/>
        </w:rPr>
        <w:t>rate</w:t>
      </w:r>
      <w:r w:rsidRPr="00FF6757">
        <w:rPr>
          <w:rFonts w:ascii="Arial" w:hAnsi="Arial" w:cs="Arial"/>
        </w:rPr>
        <w:t xml:space="preserve"> regimes and macroeconomic fundamentals affect volatility persistence (Ameziale and Benyacoub, 2022; Chikwira and Jahed, 2024). The instability of the currency is prone to exacerbation in weak institutional frameworks and turbulence of capital flows, which make the system vulnerable in developing economies. </w:t>
      </w:r>
    </w:p>
    <w:p w14:paraId="7FBBB462" w14:textId="764CB29F" w:rsidR="000354EE" w:rsidRPr="00FF6757" w:rsidRDefault="000354EE" w:rsidP="006B357C">
      <w:pPr>
        <w:ind w:firstLine="720"/>
        <w:rPr>
          <w:rFonts w:ascii="Arial" w:hAnsi="Arial" w:cs="Arial"/>
        </w:rPr>
      </w:pPr>
      <w:r w:rsidRPr="00FF6757">
        <w:rPr>
          <w:rFonts w:ascii="Arial" w:hAnsi="Arial" w:cs="Arial"/>
        </w:rPr>
        <w:lastRenderedPageBreak/>
        <w:t xml:space="preserve">Also, volatility regimes are enhanced by external shocks that include global pandemics or financial crises. Shehryari et al. (2025) reveal that the uncertainty in COVID-19 policies has had a major impact on the pattern of exchange </w:t>
      </w:r>
      <w:r w:rsidR="00BF258A" w:rsidRPr="00FF6757">
        <w:rPr>
          <w:rFonts w:ascii="Arial" w:hAnsi="Arial" w:cs="Arial"/>
        </w:rPr>
        <w:t>rate</w:t>
      </w:r>
      <w:r w:rsidRPr="00FF6757">
        <w:rPr>
          <w:rFonts w:ascii="Arial" w:hAnsi="Arial" w:cs="Arial"/>
        </w:rPr>
        <w:t xml:space="preserve"> volatility in India and corroborates the nonlinearity and time variance of currency risk. On the same note, </w:t>
      </w:r>
      <w:r w:rsidR="00BF258A" w:rsidRPr="00FF6757">
        <w:rPr>
          <w:rFonts w:ascii="Arial" w:hAnsi="Arial" w:cs="Arial"/>
        </w:rPr>
        <w:t xml:space="preserve">the </w:t>
      </w:r>
      <w:r w:rsidRPr="00FF6757">
        <w:rPr>
          <w:rFonts w:ascii="Arial" w:hAnsi="Arial" w:cs="Arial"/>
        </w:rPr>
        <w:t xml:space="preserve">literature of spillover studies indicates that volatility is not within a </w:t>
      </w:r>
      <w:r w:rsidR="00BF258A" w:rsidRPr="00FF6757">
        <w:rPr>
          <w:rFonts w:ascii="Arial" w:hAnsi="Arial" w:cs="Arial"/>
        </w:rPr>
        <w:t>country's</w:t>
      </w:r>
      <w:r w:rsidRPr="00FF6757">
        <w:rPr>
          <w:rFonts w:ascii="Arial" w:hAnsi="Arial" w:cs="Arial"/>
        </w:rPr>
        <w:t xml:space="preserve"> boundary but spreads to </w:t>
      </w:r>
      <w:r w:rsidR="00BF258A" w:rsidRPr="00FF6757">
        <w:rPr>
          <w:rFonts w:ascii="Arial" w:hAnsi="Arial" w:cs="Arial"/>
        </w:rPr>
        <w:t xml:space="preserve">the </w:t>
      </w:r>
      <w:r w:rsidRPr="00FF6757">
        <w:rPr>
          <w:rFonts w:ascii="Arial" w:hAnsi="Arial" w:cs="Arial"/>
        </w:rPr>
        <w:t xml:space="preserve">regional and international </w:t>
      </w:r>
      <w:r w:rsidR="00BF258A" w:rsidRPr="00FF6757">
        <w:rPr>
          <w:rFonts w:ascii="Arial" w:hAnsi="Arial" w:cs="Arial"/>
        </w:rPr>
        <w:t>markets</w:t>
      </w:r>
      <w:r w:rsidRPr="00FF6757">
        <w:rPr>
          <w:rFonts w:ascii="Arial" w:hAnsi="Arial" w:cs="Arial"/>
        </w:rPr>
        <w:t>.</w:t>
      </w:r>
    </w:p>
    <w:p w14:paraId="3748570F" w14:textId="77777777" w:rsidR="006B357C" w:rsidRPr="00FF6757" w:rsidRDefault="006B357C" w:rsidP="007B65D5">
      <w:pPr>
        <w:pStyle w:val="Heading3"/>
        <w:rPr>
          <w:rFonts w:ascii="Arial" w:hAnsi="Arial" w:cs="Arial"/>
        </w:rPr>
      </w:pPr>
    </w:p>
    <w:p w14:paraId="3A087C8D" w14:textId="64E4C437" w:rsidR="000354EE" w:rsidRPr="00FF6757" w:rsidRDefault="000354EE" w:rsidP="006B357C">
      <w:pPr>
        <w:pStyle w:val="Heading3"/>
        <w:ind w:firstLine="720"/>
        <w:rPr>
          <w:rFonts w:ascii="Arial" w:hAnsi="Arial" w:cs="Arial"/>
        </w:rPr>
      </w:pPr>
      <w:bookmarkStart w:id="23" w:name="_Toc228917199"/>
      <w:r w:rsidRPr="00FF6757">
        <w:rPr>
          <w:rFonts w:ascii="Arial" w:hAnsi="Arial" w:cs="Arial"/>
        </w:rPr>
        <w:t>2.3.2 Volatility Spillovers and Dynamic Connectedness</w:t>
      </w:r>
      <w:bookmarkEnd w:id="23"/>
    </w:p>
    <w:p w14:paraId="5AE456B7" w14:textId="5B01F270" w:rsidR="000354EE" w:rsidRPr="00FF6757" w:rsidRDefault="000354EE" w:rsidP="006B357C">
      <w:pPr>
        <w:ind w:firstLine="720"/>
        <w:rPr>
          <w:rFonts w:ascii="Arial" w:hAnsi="Arial" w:cs="Arial"/>
        </w:rPr>
      </w:pPr>
      <w:r w:rsidRPr="00FF6757">
        <w:rPr>
          <w:rFonts w:ascii="Arial" w:hAnsi="Arial" w:cs="Arial"/>
        </w:rPr>
        <w:t xml:space="preserve">Volatility spillovers have become the focus in the perception of policies in transmitting risks in </w:t>
      </w:r>
      <w:r w:rsidR="00BF258A" w:rsidRPr="00FF6757">
        <w:rPr>
          <w:rFonts w:ascii="Arial" w:hAnsi="Arial" w:cs="Arial"/>
        </w:rPr>
        <w:t xml:space="preserve">the </w:t>
      </w:r>
      <w:r w:rsidRPr="00FF6757">
        <w:rPr>
          <w:rFonts w:ascii="Arial" w:hAnsi="Arial" w:cs="Arial"/>
        </w:rPr>
        <w:t>Forex. To include this dynamics, high-order econometric models, including time-varying parameter vector autoregressions (TVP-VAR) and frequency-domain connectedness frameworks</w:t>
      </w:r>
      <w:r w:rsidR="00BF258A" w:rsidRPr="00FF6757">
        <w:rPr>
          <w:rFonts w:ascii="Arial" w:hAnsi="Arial" w:cs="Arial"/>
        </w:rPr>
        <w:t>,</w:t>
      </w:r>
      <w:r w:rsidRPr="00FF6757">
        <w:rPr>
          <w:rFonts w:ascii="Arial" w:hAnsi="Arial" w:cs="Arial"/>
        </w:rPr>
        <w:t xml:space="preserve"> have been used (Barunik and Krehlik 2021). Such strategies show that the currency markets have short-term and long-term relatedness structures of movements, which means that different levels of investment timelines have varying propagation of risks.</w:t>
      </w:r>
    </w:p>
    <w:p w14:paraId="0F20413D" w14:textId="2FF47A8A" w:rsidR="000354EE" w:rsidRPr="00FF6757" w:rsidRDefault="000354EE" w:rsidP="006B357C">
      <w:pPr>
        <w:ind w:firstLine="720"/>
        <w:rPr>
          <w:rFonts w:ascii="Arial" w:hAnsi="Arial" w:cs="Arial"/>
        </w:rPr>
      </w:pPr>
      <w:r w:rsidRPr="00FF6757">
        <w:rPr>
          <w:rFonts w:ascii="Arial" w:hAnsi="Arial" w:cs="Arial"/>
        </w:rPr>
        <w:t>Empirical evidence indicates that some currencies are net transmitters of volatility, whereas the other ones can be receivers (</w:t>
      </w:r>
      <w:r w:rsidR="002E5BCF" w:rsidRPr="00FF6757">
        <w:rPr>
          <w:rFonts w:ascii="Arial" w:hAnsi="Arial" w:cs="Arial"/>
        </w:rPr>
        <w:t>(Jiang et al., 2022; Mohammed, 2021).</w:t>
      </w:r>
      <w:r w:rsidRPr="00FF6757">
        <w:rPr>
          <w:rFonts w:ascii="Arial" w:hAnsi="Arial" w:cs="Arial"/>
        </w:rPr>
        <w:t xml:space="preserve"> When faced with a crisis, the associated connectedness increases the systemic risk in addition to lowering the gains of diversification (Huynh, Nasir and Nguyen, 2023). As a result</w:t>
      </w:r>
      <w:r w:rsidR="00BF258A" w:rsidRPr="00FF6757">
        <w:rPr>
          <w:rFonts w:ascii="Arial" w:hAnsi="Arial" w:cs="Arial"/>
        </w:rPr>
        <w:t>,</w:t>
      </w:r>
      <w:r w:rsidRPr="00FF6757">
        <w:rPr>
          <w:rFonts w:ascii="Arial" w:hAnsi="Arial" w:cs="Arial"/>
        </w:rPr>
        <w:t xml:space="preserve"> these investors using only historical correlations might underestimate the actual risk exposure.</w:t>
      </w:r>
    </w:p>
    <w:p w14:paraId="604B5781" w14:textId="77777777" w:rsidR="000354EE" w:rsidRPr="00FF6757" w:rsidRDefault="000354EE" w:rsidP="006B357C">
      <w:pPr>
        <w:ind w:firstLine="720"/>
        <w:rPr>
          <w:rFonts w:ascii="Arial" w:hAnsi="Arial" w:cs="Arial"/>
        </w:rPr>
      </w:pPr>
      <w:r w:rsidRPr="00FF6757">
        <w:rPr>
          <w:rFonts w:ascii="Arial" w:hAnsi="Arial" w:cs="Arial"/>
        </w:rPr>
        <w:t>Regional research also shows that there are always transitory spillovers between European currencies in the aftermath of sovereign debt crises (Nerantzidis, Stoupos and Tzeremes, 2024) and between African currency markets (Martial and Mbodja Mougoue, 2021). These results confirm the fact that currency markets are connected to the global risk net and not localised national frameworks.</w:t>
      </w:r>
    </w:p>
    <w:p w14:paraId="63226CA0" w14:textId="1397065A" w:rsidR="000354EE" w:rsidRPr="00FF6757" w:rsidRDefault="000354EE" w:rsidP="006B357C">
      <w:pPr>
        <w:ind w:firstLine="720"/>
        <w:rPr>
          <w:rFonts w:ascii="Arial" w:hAnsi="Arial" w:cs="Arial"/>
        </w:rPr>
      </w:pPr>
      <w:r w:rsidRPr="00FF6757">
        <w:rPr>
          <w:rFonts w:ascii="Arial" w:hAnsi="Arial" w:cs="Arial"/>
        </w:rPr>
        <w:t xml:space="preserve">Additionally, there are no intra-currency relationships </w:t>
      </w:r>
      <w:r w:rsidR="00BF258A" w:rsidRPr="00FF6757">
        <w:rPr>
          <w:rFonts w:ascii="Arial" w:hAnsi="Arial" w:cs="Arial"/>
        </w:rPr>
        <w:t>that are only</w:t>
      </w:r>
      <w:r w:rsidRPr="00FF6757">
        <w:rPr>
          <w:rFonts w:ascii="Arial" w:hAnsi="Arial" w:cs="Arial"/>
        </w:rPr>
        <w:t xml:space="preserve"> spill-overed. </w:t>
      </w:r>
      <w:r w:rsidR="00BF258A" w:rsidRPr="00FF6757">
        <w:rPr>
          <w:rFonts w:ascii="Arial" w:hAnsi="Arial" w:cs="Arial"/>
        </w:rPr>
        <w:t>The sharing</w:t>
      </w:r>
      <w:r w:rsidRPr="00FF6757">
        <w:rPr>
          <w:rFonts w:ascii="Arial" w:hAnsi="Arial" w:cs="Arial"/>
        </w:rPr>
        <w:t xml:space="preserve"> of the market between exchange rates and commodities has been much documented. According to Yildirim, Erdogan and Tariri (2022), there </w:t>
      </w:r>
      <w:r w:rsidR="00BF258A" w:rsidRPr="00FF6757">
        <w:rPr>
          <w:rFonts w:ascii="Arial" w:hAnsi="Arial" w:cs="Arial"/>
        </w:rPr>
        <w:t>is</w:t>
      </w:r>
      <w:r w:rsidRPr="00FF6757">
        <w:rPr>
          <w:rFonts w:ascii="Arial" w:hAnsi="Arial" w:cs="Arial"/>
        </w:rPr>
        <w:t xml:space="preserve"> high volatility </w:t>
      </w:r>
      <w:r w:rsidR="00BF258A" w:rsidRPr="00FF6757">
        <w:rPr>
          <w:rFonts w:ascii="Arial" w:hAnsi="Arial" w:cs="Arial"/>
        </w:rPr>
        <w:t>in</w:t>
      </w:r>
      <w:r w:rsidRPr="00FF6757">
        <w:rPr>
          <w:rFonts w:ascii="Arial" w:hAnsi="Arial" w:cs="Arial"/>
        </w:rPr>
        <w:t xml:space="preserve"> surpluses among the real exchange rate and commodity prices in the emerging economies. On the same note, Wang, Wu and Zhou (2022) determine dynamic dependence frameworks between exchange rates and crude oil </w:t>
      </w:r>
      <w:r w:rsidR="00BF258A" w:rsidRPr="00FF6757">
        <w:rPr>
          <w:rFonts w:ascii="Arial" w:hAnsi="Arial" w:cs="Arial"/>
        </w:rPr>
        <w:t>prices</w:t>
      </w:r>
      <w:r w:rsidRPr="00FF6757">
        <w:rPr>
          <w:rFonts w:ascii="Arial" w:hAnsi="Arial" w:cs="Arial"/>
        </w:rPr>
        <w:t xml:space="preserve"> through the </w:t>
      </w:r>
      <w:r w:rsidRPr="00FF6757">
        <w:rPr>
          <w:rFonts w:ascii="Arial" w:hAnsi="Arial" w:cs="Arial"/>
        </w:rPr>
        <w:lastRenderedPageBreak/>
        <w:t>copula-supported modelling. These cross-asset correlations are known to make traders of diversified portfolios susceptible to macroeconomic shocks, making the determination of risk management more difficult.</w:t>
      </w:r>
    </w:p>
    <w:p w14:paraId="66822A5B" w14:textId="77777777" w:rsidR="006B357C" w:rsidRPr="00FF6757" w:rsidRDefault="006B357C" w:rsidP="007B65D5">
      <w:pPr>
        <w:pStyle w:val="Heading3"/>
        <w:rPr>
          <w:rFonts w:ascii="Arial" w:hAnsi="Arial" w:cs="Arial"/>
        </w:rPr>
      </w:pPr>
    </w:p>
    <w:p w14:paraId="45D7A3AC" w14:textId="6D40B58F" w:rsidR="000354EE" w:rsidRPr="00FF6757" w:rsidRDefault="000354EE" w:rsidP="006B357C">
      <w:pPr>
        <w:pStyle w:val="Heading3"/>
        <w:ind w:firstLine="720"/>
        <w:rPr>
          <w:rFonts w:ascii="Arial" w:hAnsi="Arial" w:cs="Arial"/>
        </w:rPr>
      </w:pPr>
      <w:bookmarkStart w:id="24" w:name="_Toc228917200"/>
      <w:r w:rsidRPr="00FF6757">
        <w:rPr>
          <w:rFonts w:ascii="Arial" w:hAnsi="Arial" w:cs="Arial"/>
        </w:rPr>
        <w:t>2.3.3 Tail Risk and Extreme Event Transmission</w:t>
      </w:r>
      <w:bookmarkEnd w:id="24"/>
    </w:p>
    <w:p w14:paraId="5D4A7D02" w14:textId="64AB5324" w:rsidR="000354EE" w:rsidRPr="00FF6757" w:rsidRDefault="000354EE" w:rsidP="006B357C">
      <w:pPr>
        <w:ind w:firstLine="720"/>
        <w:rPr>
          <w:rFonts w:ascii="Arial" w:hAnsi="Arial" w:cs="Arial"/>
        </w:rPr>
      </w:pPr>
      <w:r w:rsidRPr="00FF6757">
        <w:rPr>
          <w:rFonts w:ascii="Arial" w:hAnsi="Arial" w:cs="Arial"/>
        </w:rPr>
        <w:t>Extreme risk events are essential in Forex markets beyond the average volatility transmission. Tail dependence analysis shows that extreme losses are frequently correlated across the markets during times in which financial stressful situations occur (Arismendi-Zambrano et al., 2022). This tail co-movement aggravates the downside exposure</w:t>
      </w:r>
      <w:r w:rsidR="00BF258A" w:rsidRPr="00FF6757">
        <w:rPr>
          <w:rFonts w:ascii="Arial" w:hAnsi="Arial" w:cs="Arial"/>
        </w:rPr>
        <w:t>,</w:t>
      </w:r>
      <w:r w:rsidRPr="00FF6757">
        <w:rPr>
          <w:rFonts w:ascii="Arial" w:hAnsi="Arial" w:cs="Arial"/>
        </w:rPr>
        <w:t xml:space="preserve"> and the diversification strategies used in times of crisis do not work well.</w:t>
      </w:r>
    </w:p>
    <w:p w14:paraId="668E5A1A" w14:textId="553D3EA8" w:rsidR="000354EE" w:rsidRPr="00FF6757" w:rsidRDefault="000354EE" w:rsidP="006B357C">
      <w:pPr>
        <w:ind w:firstLine="720"/>
        <w:rPr>
          <w:rFonts w:ascii="Arial" w:hAnsi="Arial" w:cs="Arial"/>
        </w:rPr>
      </w:pPr>
      <w:r w:rsidRPr="00FF6757">
        <w:rPr>
          <w:rFonts w:ascii="Arial" w:hAnsi="Arial" w:cs="Arial"/>
        </w:rPr>
        <w:t xml:space="preserve">Currency crisis early warning models are another good example of the systemic risk transmission (Ferdous et al., 2022). Such signs like flight of capital, falling reserves and macroeconomic imbalances are commonly obtained before sudden drops in the </w:t>
      </w:r>
      <w:r w:rsidR="00BF258A" w:rsidRPr="00FF6757">
        <w:rPr>
          <w:rFonts w:ascii="Arial" w:hAnsi="Arial" w:cs="Arial"/>
        </w:rPr>
        <w:t>value</w:t>
      </w:r>
      <w:r w:rsidRPr="00FF6757">
        <w:rPr>
          <w:rFonts w:ascii="Arial" w:hAnsi="Arial" w:cs="Arial"/>
        </w:rPr>
        <w:t xml:space="preserve"> of currency and stress the need </w:t>
      </w:r>
      <w:r w:rsidR="00BF258A" w:rsidRPr="00FF6757">
        <w:rPr>
          <w:rFonts w:ascii="Arial" w:hAnsi="Arial" w:cs="Arial"/>
        </w:rPr>
        <w:t>for</w:t>
      </w:r>
      <w:r w:rsidRPr="00FF6757">
        <w:rPr>
          <w:rFonts w:ascii="Arial" w:hAnsi="Arial" w:cs="Arial"/>
        </w:rPr>
        <w:t xml:space="preserve"> </w:t>
      </w:r>
      <w:r w:rsidR="00B277DE" w:rsidRPr="00FF6757">
        <w:rPr>
          <w:rFonts w:ascii="Arial" w:hAnsi="Arial" w:cs="Arial"/>
        </w:rPr>
        <w:t>pre-emptive</w:t>
      </w:r>
      <w:r w:rsidRPr="00FF6757">
        <w:rPr>
          <w:rFonts w:ascii="Arial" w:hAnsi="Arial" w:cs="Arial"/>
        </w:rPr>
        <w:t xml:space="preserve"> risk detection. These macro-level warning systems are, however, hardly ever combined with trading-level risk management approaches to create a sense of disconnect between systemic risk prediction and portfolio</w:t>
      </w:r>
      <w:r w:rsidR="00BF258A" w:rsidRPr="00FF6757">
        <w:rPr>
          <w:rFonts w:ascii="Arial" w:hAnsi="Arial" w:cs="Arial"/>
        </w:rPr>
        <w:t xml:space="preserve"> management</w:t>
      </w:r>
      <w:r w:rsidRPr="00FF6757">
        <w:rPr>
          <w:rFonts w:ascii="Arial" w:hAnsi="Arial" w:cs="Arial"/>
        </w:rPr>
        <w:t>.</w:t>
      </w:r>
    </w:p>
    <w:p w14:paraId="31088BD5" w14:textId="732B276B" w:rsidR="000354EE" w:rsidRPr="00FF6757" w:rsidRDefault="000354EE" w:rsidP="006B357C">
      <w:pPr>
        <w:ind w:firstLine="720"/>
        <w:rPr>
          <w:rFonts w:ascii="Arial" w:hAnsi="Arial" w:cs="Arial"/>
        </w:rPr>
      </w:pPr>
      <w:r w:rsidRPr="00FF6757">
        <w:rPr>
          <w:rFonts w:ascii="Arial" w:hAnsi="Arial" w:cs="Arial"/>
        </w:rPr>
        <w:t>Volatility has also been enhanced by the use of high-frequency trading and algorithmic designs</w:t>
      </w:r>
      <w:r w:rsidR="00BF258A" w:rsidRPr="00FF6757">
        <w:rPr>
          <w:rFonts w:ascii="Arial" w:hAnsi="Arial" w:cs="Arial"/>
        </w:rPr>
        <w:t>,</w:t>
      </w:r>
      <w:r w:rsidRPr="00FF6757">
        <w:rPr>
          <w:rFonts w:ascii="Arial" w:hAnsi="Arial" w:cs="Arial"/>
        </w:rPr>
        <w:t xml:space="preserve"> among others</w:t>
      </w:r>
      <w:r w:rsidR="00BF258A" w:rsidRPr="00FF6757">
        <w:rPr>
          <w:rFonts w:ascii="Arial" w:hAnsi="Arial" w:cs="Arial"/>
        </w:rPr>
        <w:t>,</w:t>
      </w:r>
      <w:r w:rsidRPr="00FF6757">
        <w:rPr>
          <w:rFonts w:ascii="Arial" w:hAnsi="Arial" w:cs="Arial"/>
        </w:rPr>
        <w:t xml:space="preserve"> which are becoming increasingly popular.</w:t>
      </w:r>
      <w:r w:rsidR="00E777CC" w:rsidRPr="00FF6757">
        <w:rPr>
          <w:rFonts w:ascii="Arial" w:hAnsi="Arial" w:cs="Arial"/>
        </w:rPr>
        <w:t xml:space="preserve"> </w:t>
      </w:r>
      <w:r w:rsidRPr="00FF6757">
        <w:rPr>
          <w:rFonts w:ascii="Arial" w:hAnsi="Arial" w:cs="Arial"/>
        </w:rPr>
        <w:t xml:space="preserve">Even though machine learning-oriented prediction models can be very effective </w:t>
      </w:r>
      <w:r w:rsidR="00BF258A" w:rsidRPr="00FF6757">
        <w:rPr>
          <w:rFonts w:ascii="Arial" w:hAnsi="Arial" w:cs="Arial"/>
        </w:rPr>
        <w:t>in predicting</w:t>
      </w:r>
      <w:r w:rsidRPr="00FF6757">
        <w:rPr>
          <w:rFonts w:ascii="Arial" w:hAnsi="Arial" w:cs="Arial"/>
        </w:rPr>
        <w:t xml:space="preserve"> volatility (Ayitey Junior et al., 2023; Zhao and Yan, 2024), the inductance of machine learning does not automatically reduce the systemic transmission risk in banking and finance without specific implementation in a structured risk management setting.</w:t>
      </w:r>
    </w:p>
    <w:p w14:paraId="2D0BF720" w14:textId="77777777" w:rsidR="006B357C" w:rsidRPr="00FF6757" w:rsidRDefault="006B357C" w:rsidP="00B007C0">
      <w:pPr>
        <w:rPr>
          <w:rFonts w:ascii="Arial" w:hAnsi="Arial" w:cs="Arial"/>
        </w:rPr>
      </w:pPr>
    </w:p>
    <w:p w14:paraId="606DCB3E" w14:textId="77777777" w:rsidR="006B357C" w:rsidRPr="00FF6757" w:rsidRDefault="000354EE" w:rsidP="006B357C">
      <w:pPr>
        <w:pStyle w:val="Heading2"/>
      </w:pPr>
      <w:bookmarkStart w:id="25" w:name="_Toc228917201"/>
      <w:r w:rsidRPr="00FF6757">
        <w:t>2.4 Risk Measurement Techniques in Forex Markets</w:t>
      </w:r>
      <w:bookmarkEnd w:id="25"/>
    </w:p>
    <w:p w14:paraId="54F4E5D8" w14:textId="19C61DB1" w:rsidR="000354EE" w:rsidRPr="00FF6757" w:rsidRDefault="000354EE" w:rsidP="006B357C">
      <w:pPr>
        <w:pStyle w:val="Heading2"/>
        <w:jc w:val="both"/>
      </w:pPr>
      <w:r w:rsidRPr="00FF6757">
        <w:t xml:space="preserve"> </w:t>
      </w:r>
    </w:p>
    <w:p w14:paraId="2468DCE7" w14:textId="5045A069" w:rsidR="000354EE" w:rsidRPr="00FF6757" w:rsidRDefault="000354EE" w:rsidP="006B357C">
      <w:pPr>
        <w:ind w:firstLine="720"/>
        <w:rPr>
          <w:rFonts w:ascii="Arial" w:hAnsi="Arial" w:cs="Arial"/>
        </w:rPr>
      </w:pPr>
      <w:r w:rsidRPr="00FF6757">
        <w:rPr>
          <w:rFonts w:ascii="Arial" w:hAnsi="Arial" w:cs="Arial"/>
        </w:rPr>
        <w:t xml:space="preserve">Forex trading is all about risk management; </w:t>
      </w:r>
      <w:r w:rsidR="00BF258A" w:rsidRPr="00FF6757">
        <w:rPr>
          <w:rFonts w:ascii="Arial" w:hAnsi="Arial" w:cs="Arial"/>
        </w:rPr>
        <w:t xml:space="preserve">the </w:t>
      </w:r>
      <w:r w:rsidRPr="00FF6757">
        <w:rPr>
          <w:rFonts w:ascii="Arial" w:hAnsi="Arial" w:cs="Arial"/>
        </w:rPr>
        <w:t>measurement of risks is the key to effective risk management. The literature shows that there has been a massive transformation of the traditional volatility-based measures to advanced econometric and machine learning based procedures.</w:t>
      </w:r>
    </w:p>
    <w:p w14:paraId="775D23C3" w14:textId="77777777" w:rsidR="006B357C" w:rsidRPr="00FF6757" w:rsidRDefault="006B357C" w:rsidP="007B65D5">
      <w:pPr>
        <w:pStyle w:val="Heading3"/>
        <w:rPr>
          <w:rFonts w:ascii="Arial" w:hAnsi="Arial" w:cs="Arial"/>
        </w:rPr>
      </w:pPr>
    </w:p>
    <w:p w14:paraId="1988DBD5" w14:textId="6F1AEF59" w:rsidR="000354EE" w:rsidRPr="00FF6757" w:rsidRDefault="000354EE" w:rsidP="006B357C">
      <w:pPr>
        <w:pStyle w:val="Heading3"/>
        <w:ind w:firstLine="720"/>
        <w:rPr>
          <w:rFonts w:ascii="Arial" w:hAnsi="Arial" w:cs="Arial"/>
        </w:rPr>
      </w:pPr>
      <w:bookmarkStart w:id="26" w:name="_Toc228917202"/>
      <w:r w:rsidRPr="00FF6757">
        <w:rPr>
          <w:rFonts w:ascii="Arial" w:hAnsi="Arial" w:cs="Arial"/>
        </w:rPr>
        <w:t>2.4.1 Traditional Volatility-Based Risk Metrics</w:t>
      </w:r>
      <w:bookmarkEnd w:id="26"/>
    </w:p>
    <w:p w14:paraId="093F9D1F" w14:textId="4607FD91" w:rsidR="000354EE" w:rsidRPr="00FF6757" w:rsidRDefault="000354EE" w:rsidP="006B357C">
      <w:pPr>
        <w:ind w:firstLine="720"/>
        <w:rPr>
          <w:rFonts w:ascii="Arial" w:hAnsi="Arial" w:cs="Arial"/>
        </w:rPr>
      </w:pPr>
      <w:r w:rsidRPr="00FF6757">
        <w:rPr>
          <w:rFonts w:ascii="Arial" w:hAnsi="Arial" w:cs="Arial"/>
        </w:rPr>
        <w:t xml:space="preserve">In the past, the exchange rate risk has been evaluated based on </w:t>
      </w:r>
      <w:r w:rsidR="00BF258A" w:rsidRPr="00FF6757">
        <w:rPr>
          <w:rFonts w:ascii="Arial" w:hAnsi="Arial" w:cs="Arial"/>
        </w:rPr>
        <w:t xml:space="preserve">the </w:t>
      </w:r>
      <w:r w:rsidRPr="00FF6757">
        <w:rPr>
          <w:rFonts w:ascii="Arial" w:hAnsi="Arial" w:cs="Arial"/>
        </w:rPr>
        <w:t xml:space="preserve">variance and standard deviation of the return series. Conditional heteroskedasticity models, more specifically, </w:t>
      </w:r>
      <w:r w:rsidR="00BF258A" w:rsidRPr="00FF6757">
        <w:rPr>
          <w:rFonts w:ascii="Arial" w:hAnsi="Arial" w:cs="Arial"/>
        </w:rPr>
        <w:t xml:space="preserve">the </w:t>
      </w:r>
      <w:r w:rsidRPr="00FF6757">
        <w:rPr>
          <w:rFonts w:ascii="Arial" w:hAnsi="Arial" w:cs="Arial"/>
        </w:rPr>
        <w:t>GARCH family has been extensively used to model volatility clustering and persistence in the currency markets. Despite useful base predictions by traditional models, they assume that the market is linear and has a parametric distribution, which tends to undermine their performance in extreme market conditions.</w:t>
      </w:r>
    </w:p>
    <w:p w14:paraId="60084557" w14:textId="445AF1B2" w:rsidR="000354EE" w:rsidRPr="00FF6757" w:rsidRDefault="000354EE" w:rsidP="006B357C">
      <w:pPr>
        <w:ind w:firstLine="720"/>
        <w:rPr>
          <w:rFonts w:ascii="Arial" w:hAnsi="Arial" w:cs="Arial"/>
        </w:rPr>
      </w:pPr>
      <w:r w:rsidRPr="00FF6757">
        <w:rPr>
          <w:rFonts w:ascii="Arial" w:hAnsi="Arial" w:cs="Arial"/>
        </w:rPr>
        <w:t>Value-at-Risk (VaR) has still been one of the most popular risk measurements in Forex trading.</w:t>
      </w:r>
      <w:r w:rsidR="00E777CC" w:rsidRPr="00FF6757">
        <w:rPr>
          <w:rFonts w:ascii="Arial" w:hAnsi="Arial" w:cs="Arial"/>
        </w:rPr>
        <w:t xml:space="preserve"> </w:t>
      </w:r>
      <w:r w:rsidRPr="00FF6757">
        <w:rPr>
          <w:rFonts w:ascii="Arial" w:hAnsi="Arial" w:cs="Arial"/>
        </w:rPr>
        <w:t>Empirical studies using VaR in currency markets and prone to risk management and capital allocation decisions prove the practicality of VaR (Blom, Petter and Risstad, 2023). The shortcoming of VaR</w:t>
      </w:r>
      <w:r w:rsidR="00BF258A" w:rsidRPr="00FF6757">
        <w:rPr>
          <w:rFonts w:ascii="Arial" w:hAnsi="Arial" w:cs="Arial"/>
        </w:rPr>
        <w:t>,</w:t>
      </w:r>
      <w:r w:rsidRPr="00FF6757">
        <w:rPr>
          <w:rFonts w:ascii="Arial" w:hAnsi="Arial" w:cs="Arial"/>
        </w:rPr>
        <w:t xml:space="preserve"> however</w:t>
      </w:r>
      <w:r w:rsidR="00BF258A" w:rsidRPr="00FF6757">
        <w:rPr>
          <w:rFonts w:ascii="Arial" w:hAnsi="Arial" w:cs="Arial"/>
        </w:rPr>
        <w:t>,</w:t>
      </w:r>
      <w:r w:rsidRPr="00FF6757">
        <w:rPr>
          <w:rFonts w:ascii="Arial" w:hAnsi="Arial" w:cs="Arial"/>
        </w:rPr>
        <w:t xml:space="preserve"> is that it fails to record losses beyond the level of confidence</w:t>
      </w:r>
      <w:r w:rsidR="00BF258A" w:rsidRPr="00FF6757">
        <w:rPr>
          <w:rFonts w:ascii="Arial" w:hAnsi="Arial" w:cs="Arial"/>
        </w:rPr>
        <w:t>,</w:t>
      </w:r>
      <w:r w:rsidRPr="00FF6757">
        <w:rPr>
          <w:rFonts w:ascii="Arial" w:hAnsi="Arial" w:cs="Arial"/>
        </w:rPr>
        <w:t xml:space="preserve"> especially in tail events.</w:t>
      </w:r>
    </w:p>
    <w:p w14:paraId="497B1601" w14:textId="14A8DB4C" w:rsidR="000354EE" w:rsidRPr="00FF6757" w:rsidRDefault="000354EE" w:rsidP="006B357C">
      <w:pPr>
        <w:ind w:firstLine="720"/>
        <w:rPr>
          <w:rFonts w:ascii="Arial" w:hAnsi="Arial" w:cs="Arial"/>
        </w:rPr>
      </w:pPr>
      <w:r w:rsidRPr="00FF6757">
        <w:rPr>
          <w:rFonts w:ascii="Arial" w:hAnsi="Arial" w:cs="Arial"/>
        </w:rPr>
        <w:t>Expected Shortfall (ES) is proposing itself as a more rational and logical risk measure when it comes to filling this gap. ES measures based on the loss averages that are conditional on the loss going beyond the VaR threshold</w:t>
      </w:r>
      <w:r w:rsidR="00BF258A" w:rsidRPr="00FF6757">
        <w:rPr>
          <w:rFonts w:ascii="Arial" w:hAnsi="Arial" w:cs="Arial"/>
        </w:rPr>
        <w:t>,</w:t>
      </w:r>
      <w:r w:rsidRPr="00FF6757">
        <w:rPr>
          <w:rFonts w:ascii="Arial" w:hAnsi="Arial" w:cs="Arial"/>
        </w:rPr>
        <w:t xml:space="preserve"> and this gives a more detailed measure of the extreme downside exposure. Jiang, Hu and Yu (2022) put forward expectile-based models in estimating ES, which have better tail-risk estimation under non-normal returns distributions. These developments indicate that fat-tailed behaviour in Forex markets and asymmetric shocks is often recognised.</w:t>
      </w:r>
    </w:p>
    <w:p w14:paraId="5A7022E0" w14:textId="5921F295" w:rsidR="000354EE" w:rsidRPr="00FF6757" w:rsidRDefault="000354EE" w:rsidP="006B357C">
      <w:pPr>
        <w:ind w:firstLine="720"/>
        <w:rPr>
          <w:rFonts w:ascii="Arial" w:hAnsi="Arial" w:cs="Arial"/>
        </w:rPr>
      </w:pPr>
      <w:r w:rsidRPr="00FF6757">
        <w:rPr>
          <w:rFonts w:ascii="Arial" w:hAnsi="Arial" w:cs="Arial"/>
        </w:rPr>
        <w:t xml:space="preserve">However, conventional risk measures are usually faced with criticism that they are </w:t>
      </w:r>
      <w:r w:rsidR="00BF258A" w:rsidRPr="00FF6757">
        <w:rPr>
          <w:rFonts w:ascii="Arial" w:hAnsi="Arial" w:cs="Arial"/>
        </w:rPr>
        <w:t>regressive</w:t>
      </w:r>
      <w:r w:rsidRPr="00FF6757">
        <w:rPr>
          <w:rFonts w:ascii="Arial" w:hAnsi="Arial" w:cs="Arial"/>
        </w:rPr>
        <w:t>. The use of historical data-based models can not necessarily predict a shift in the regime, particularly in the cases of financial crisis or macroeconomic instability (Syed et al., 2025). This indicates the necessity to have adaptive risk measurement methods that are able to capture time-varying dynamics.</w:t>
      </w:r>
    </w:p>
    <w:p w14:paraId="580AD7C8" w14:textId="77777777" w:rsidR="006B357C" w:rsidRPr="00FF6757" w:rsidRDefault="006B357C" w:rsidP="007B65D5">
      <w:pPr>
        <w:pStyle w:val="Heading3"/>
        <w:rPr>
          <w:rFonts w:ascii="Arial" w:hAnsi="Arial" w:cs="Arial"/>
        </w:rPr>
      </w:pPr>
    </w:p>
    <w:p w14:paraId="3175DCE8" w14:textId="1705E40F" w:rsidR="000354EE" w:rsidRPr="00FF6757" w:rsidRDefault="000354EE" w:rsidP="006B357C">
      <w:pPr>
        <w:pStyle w:val="Heading3"/>
        <w:ind w:firstLine="720"/>
        <w:rPr>
          <w:rFonts w:ascii="Arial" w:hAnsi="Arial" w:cs="Arial"/>
        </w:rPr>
      </w:pPr>
      <w:bookmarkStart w:id="27" w:name="_Toc228917203"/>
      <w:r w:rsidRPr="00FF6757">
        <w:rPr>
          <w:rFonts w:ascii="Arial" w:hAnsi="Arial" w:cs="Arial"/>
        </w:rPr>
        <w:t>2.4.2 Dependence Modelling and Tail Risk Estimation</w:t>
      </w:r>
      <w:bookmarkEnd w:id="27"/>
    </w:p>
    <w:p w14:paraId="32A68339" w14:textId="7929B5A7" w:rsidR="000354EE" w:rsidRPr="00FF6757" w:rsidRDefault="000354EE" w:rsidP="006B357C">
      <w:pPr>
        <w:ind w:firstLine="720"/>
        <w:rPr>
          <w:rFonts w:ascii="Arial" w:hAnsi="Arial" w:cs="Arial"/>
        </w:rPr>
      </w:pPr>
      <w:r w:rsidRPr="00FF6757">
        <w:rPr>
          <w:rFonts w:ascii="Arial" w:hAnsi="Arial" w:cs="Arial"/>
        </w:rPr>
        <w:t xml:space="preserve">In addition to single assets risk estimation, values of interdependence between the currencies and asset classes are a requirement in the correct assessment of portfolio risks. The models using copulas give the flexibility of modelling nonlinear structures of dependence and tail co-movements between financial variables. As </w:t>
      </w:r>
      <w:r w:rsidRPr="00FF6757">
        <w:rPr>
          <w:rFonts w:ascii="Arial" w:hAnsi="Arial" w:cs="Arial"/>
        </w:rPr>
        <w:lastRenderedPageBreak/>
        <w:t>Arismendi-Zambrano et al. (2022) show, tail dependence plays a strong role in counterparty credit risk pricing</w:t>
      </w:r>
      <w:r w:rsidR="00BF258A" w:rsidRPr="00FF6757">
        <w:rPr>
          <w:rFonts w:ascii="Arial" w:hAnsi="Arial" w:cs="Arial"/>
        </w:rPr>
        <w:t>,</w:t>
      </w:r>
      <w:r w:rsidRPr="00FF6757">
        <w:rPr>
          <w:rFonts w:ascii="Arial" w:hAnsi="Arial" w:cs="Arial"/>
        </w:rPr>
        <w:t xml:space="preserve"> which could also have the same implication on cross-currency portfolio exposure.</w:t>
      </w:r>
    </w:p>
    <w:p w14:paraId="100A91D6" w14:textId="32E5891F" w:rsidR="000354EE" w:rsidRPr="00FF6757" w:rsidRDefault="000354EE" w:rsidP="006B357C">
      <w:pPr>
        <w:ind w:firstLine="720"/>
        <w:rPr>
          <w:rFonts w:ascii="Arial" w:hAnsi="Arial" w:cs="Arial"/>
        </w:rPr>
      </w:pPr>
      <w:r w:rsidRPr="00FF6757">
        <w:rPr>
          <w:rFonts w:ascii="Arial" w:hAnsi="Arial" w:cs="Arial"/>
        </w:rPr>
        <w:t xml:space="preserve">There has also been a dynamic factor copula that </w:t>
      </w:r>
      <w:r w:rsidR="00BF258A" w:rsidRPr="00FF6757">
        <w:rPr>
          <w:rFonts w:ascii="Arial" w:hAnsi="Arial" w:cs="Arial"/>
        </w:rPr>
        <w:t>checks</w:t>
      </w:r>
      <w:r w:rsidRPr="00FF6757">
        <w:rPr>
          <w:rFonts w:ascii="Arial" w:hAnsi="Arial" w:cs="Arial"/>
        </w:rPr>
        <w:t xml:space="preserve"> on conditional dependence between exchange rates and commodity prices (Wang, Wu and Zhou, 2022). These models improve the knowledge about the systemic transmission risk and make it possible to stress-test diversified portfolios much better. Nevertheless, although these techniques improve the dependency modelling, in many empirical studies, too much attention is paid to the methodology rather than the actual implementation of trading.</w:t>
      </w:r>
    </w:p>
    <w:p w14:paraId="338B048B" w14:textId="5A3013A8" w:rsidR="000354EE" w:rsidRPr="00FF6757" w:rsidRDefault="000354EE" w:rsidP="006B357C">
      <w:pPr>
        <w:ind w:firstLine="720"/>
        <w:rPr>
          <w:rFonts w:ascii="Arial" w:hAnsi="Arial" w:cs="Arial"/>
        </w:rPr>
      </w:pPr>
      <w:r w:rsidRPr="00FF6757">
        <w:rPr>
          <w:rFonts w:ascii="Arial" w:hAnsi="Arial" w:cs="Arial"/>
        </w:rPr>
        <w:t xml:space="preserve">Risk perspectives based on fractal models go further in adding volatility modelling techniques by identifying the long-memory characteristics of exchange rates </w:t>
      </w:r>
      <w:r w:rsidR="00BF258A" w:rsidRPr="00FF6757">
        <w:rPr>
          <w:rFonts w:ascii="Arial" w:hAnsi="Arial" w:cs="Arial"/>
        </w:rPr>
        <w:t>in</w:t>
      </w:r>
      <w:r w:rsidRPr="00FF6757">
        <w:rPr>
          <w:rFonts w:ascii="Arial" w:hAnsi="Arial" w:cs="Arial"/>
        </w:rPr>
        <w:t xml:space="preserve"> a series (Fathi, Grobys and Kolari, 2024). This method contradicts </w:t>
      </w:r>
      <w:r w:rsidR="00BF258A" w:rsidRPr="00FF6757">
        <w:rPr>
          <w:rFonts w:ascii="Arial" w:hAnsi="Arial" w:cs="Arial"/>
        </w:rPr>
        <w:t xml:space="preserve">the </w:t>
      </w:r>
      <w:r w:rsidRPr="00FF6757">
        <w:rPr>
          <w:rFonts w:ascii="Arial" w:hAnsi="Arial" w:cs="Arial"/>
        </w:rPr>
        <w:t>traditional belief of short-term memory and linear variance</w:t>
      </w:r>
      <w:r w:rsidR="00BF258A" w:rsidRPr="00FF6757">
        <w:rPr>
          <w:rFonts w:ascii="Arial" w:hAnsi="Arial" w:cs="Arial"/>
        </w:rPr>
        <w:t>,</w:t>
      </w:r>
      <w:r w:rsidRPr="00FF6757">
        <w:rPr>
          <w:rFonts w:ascii="Arial" w:hAnsi="Arial" w:cs="Arial"/>
        </w:rPr>
        <w:t xml:space="preserve"> which implies that risk persistence can be embedded in the structure of currency markets. In spite of their theoretical foundation, the application of the approaches of fractal trading is comparatively insufficient.</w:t>
      </w:r>
    </w:p>
    <w:p w14:paraId="62DDC75A" w14:textId="77777777" w:rsidR="006B357C" w:rsidRPr="00FF6757" w:rsidRDefault="006B357C" w:rsidP="007B65D5">
      <w:pPr>
        <w:pStyle w:val="Heading3"/>
        <w:rPr>
          <w:rFonts w:ascii="Arial" w:hAnsi="Arial" w:cs="Arial"/>
        </w:rPr>
      </w:pPr>
    </w:p>
    <w:p w14:paraId="0AD14B1A" w14:textId="330506AC" w:rsidR="000354EE" w:rsidRPr="00FF6757" w:rsidRDefault="000354EE" w:rsidP="006B357C">
      <w:pPr>
        <w:pStyle w:val="Heading3"/>
        <w:ind w:firstLine="720"/>
        <w:rPr>
          <w:rFonts w:ascii="Arial" w:hAnsi="Arial" w:cs="Arial"/>
        </w:rPr>
      </w:pPr>
      <w:bookmarkStart w:id="28" w:name="_Toc228917204"/>
      <w:r w:rsidRPr="00FF6757">
        <w:rPr>
          <w:rFonts w:ascii="Arial" w:hAnsi="Arial" w:cs="Arial"/>
        </w:rPr>
        <w:t>2.4.3 Machine Learning and Hybrid Forecasting Models</w:t>
      </w:r>
      <w:bookmarkEnd w:id="28"/>
    </w:p>
    <w:p w14:paraId="5FCD7B25" w14:textId="5F5D486C" w:rsidR="000354EE" w:rsidRPr="00FF6757" w:rsidRDefault="000354EE" w:rsidP="006B357C">
      <w:pPr>
        <w:ind w:firstLine="720"/>
        <w:rPr>
          <w:rFonts w:ascii="Arial" w:hAnsi="Arial" w:cs="Arial"/>
        </w:rPr>
      </w:pPr>
      <w:r w:rsidRPr="00FF6757">
        <w:rPr>
          <w:rFonts w:ascii="Arial" w:hAnsi="Arial" w:cs="Arial"/>
        </w:rPr>
        <w:t>The application of machine learning (ML) and deep learning (DL) methods is one of the major changes in the field of forecasting risks in Forex. The neural network models, such as Long Short-Term Memory (LSTM) and transformer-based networks</w:t>
      </w:r>
      <w:r w:rsidR="00BF258A" w:rsidRPr="00FF6757">
        <w:rPr>
          <w:rFonts w:ascii="Arial" w:hAnsi="Arial" w:cs="Arial"/>
        </w:rPr>
        <w:t>,</w:t>
      </w:r>
      <w:r w:rsidRPr="00FF6757">
        <w:rPr>
          <w:rFonts w:ascii="Arial" w:hAnsi="Arial" w:cs="Arial"/>
        </w:rPr>
        <w:t xml:space="preserve"> have also proven to be more accurate in their predictions as compared to those of the traditional econometric models (Ayitey Junior et al., 2023; Zhao and Yan, 2024). The models have been extensively used to describe non-linear relations and </w:t>
      </w:r>
      <w:r w:rsidR="00BF258A" w:rsidRPr="00FF6757">
        <w:rPr>
          <w:rFonts w:ascii="Arial" w:hAnsi="Arial" w:cs="Arial"/>
        </w:rPr>
        <w:t>high-frequency</w:t>
      </w:r>
      <w:r w:rsidRPr="00FF6757">
        <w:rPr>
          <w:rFonts w:ascii="Arial" w:hAnsi="Arial" w:cs="Arial"/>
        </w:rPr>
        <w:t xml:space="preserve"> changes in volatility.</w:t>
      </w:r>
    </w:p>
    <w:p w14:paraId="5EB4CB22" w14:textId="3B606CED" w:rsidR="000354EE" w:rsidRPr="00FF6757" w:rsidRDefault="000354EE" w:rsidP="006B357C">
      <w:pPr>
        <w:ind w:firstLine="720"/>
        <w:rPr>
          <w:rFonts w:ascii="Arial" w:hAnsi="Arial" w:cs="Arial"/>
        </w:rPr>
      </w:pPr>
      <w:r w:rsidRPr="00FF6757">
        <w:rPr>
          <w:rFonts w:ascii="Arial" w:hAnsi="Arial" w:cs="Arial"/>
        </w:rPr>
        <w:t xml:space="preserve">Hybrid models, including GARCH-LSTM models, integrate the </w:t>
      </w:r>
      <w:r w:rsidR="00BF258A" w:rsidRPr="00FF6757">
        <w:rPr>
          <w:rFonts w:ascii="Arial" w:hAnsi="Arial" w:cs="Arial"/>
        </w:rPr>
        <w:t>ease</w:t>
      </w:r>
      <w:r w:rsidRPr="00FF6757">
        <w:rPr>
          <w:rFonts w:ascii="Arial" w:hAnsi="Arial" w:cs="Arial"/>
        </w:rPr>
        <w:t xml:space="preserve"> of econometric frameworks of volatility with the pattern-recognition features of a deep-learning model (Nsengiyumva, Mung’atu and Ruranga, 2025). Likewise, prediction systems that are founded on transformers are trying to capture complex sequential associations in the exchange rate information (Bilis et al., 2025). The above </w:t>
      </w:r>
      <w:r w:rsidRPr="00FF6757">
        <w:rPr>
          <w:rFonts w:ascii="Arial" w:hAnsi="Arial" w:cs="Arial"/>
        </w:rPr>
        <w:lastRenderedPageBreak/>
        <w:t xml:space="preserve">developments are a sign of increasing overlap in existing risk management </w:t>
      </w:r>
      <w:r w:rsidR="00BF258A" w:rsidRPr="00FF6757">
        <w:rPr>
          <w:rFonts w:ascii="Arial" w:hAnsi="Arial" w:cs="Arial"/>
        </w:rPr>
        <w:t>practices</w:t>
      </w:r>
      <w:r w:rsidRPr="00FF6757">
        <w:rPr>
          <w:rFonts w:ascii="Arial" w:hAnsi="Arial" w:cs="Arial"/>
        </w:rPr>
        <w:t xml:space="preserve"> involving financial econometrics and artificial intelligence.</w:t>
      </w:r>
    </w:p>
    <w:p w14:paraId="69F20172" w14:textId="5F5F64E3" w:rsidR="000354EE" w:rsidRPr="00FF6757" w:rsidRDefault="000354EE" w:rsidP="006B357C">
      <w:pPr>
        <w:ind w:firstLine="720"/>
        <w:rPr>
          <w:rFonts w:ascii="Arial" w:hAnsi="Arial" w:cs="Arial"/>
        </w:rPr>
      </w:pPr>
      <w:r w:rsidRPr="00FF6757">
        <w:rPr>
          <w:rFonts w:ascii="Arial" w:hAnsi="Arial" w:cs="Arial"/>
        </w:rPr>
        <w:t xml:space="preserve">Although these advancements have been achieved, there are other limitations that exist. There is a tendency </w:t>
      </w:r>
      <w:r w:rsidR="00BF258A" w:rsidRPr="00FF6757">
        <w:rPr>
          <w:rFonts w:ascii="Arial" w:hAnsi="Arial" w:cs="Arial"/>
        </w:rPr>
        <w:t>towards</w:t>
      </w:r>
      <w:r w:rsidRPr="00FF6757">
        <w:rPr>
          <w:rFonts w:ascii="Arial" w:hAnsi="Arial" w:cs="Arial"/>
        </w:rPr>
        <w:t xml:space="preserve"> overfitting machine learning models, as well as the lack of transparency and excessive computational needs. Furthermore, though a predictive value can enhance volatility forecasting measures, there is minimal empirical research that shows that risk-adjusted trading returns were enhanced consistently through an ML-based risk model. The ability to predict is not necessarily converted to profitable trading until incorporated in the disciplined risk management structures.</w:t>
      </w:r>
    </w:p>
    <w:p w14:paraId="049F6CB2" w14:textId="77777777" w:rsidR="000354EE" w:rsidRPr="00FF6757" w:rsidRDefault="000354EE" w:rsidP="006B357C">
      <w:pPr>
        <w:pStyle w:val="Heading3"/>
        <w:ind w:firstLine="720"/>
        <w:rPr>
          <w:rFonts w:ascii="Arial" w:hAnsi="Arial" w:cs="Arial"/>
        </w:rPr>
      </w:pPr>
      <w:bookmarkStart w:id="29" w:name="_Toc228917205"/>
      <w:r w:rsidRPr="00FF6757">
        <w:rPr>
          <w:rFonts w:ascii="Arial" w:hAnsi="Arial" w:cs="Arial"/>
        </w:rPr>
        <w:t>2.4.4 Critical Evaluation</w:t>
      </w:r>
      <w:bookmarkEnd w:id="29"/>
    </w:p>
    <w:p w14:paraId="38822302" w14:textId="77777777" w:rsidR="000354EE" w:rsidRPr="00FF6757" w:rsidRDefault="000354EE" w:rsidP="006B357C">
      <w:pPr>
        <w:ind w:firstLine="720"/>
        <w:rPr>
          <w:rFonts w:ascii="Arial" w:hAnsi="Arial" w:cs="Arial"/>
        </w:rPr>
      </w:pPr>
      <w:r w:rsidRPr="00FF6757">
        <w:rPr>
          <w:rFonts w:ascii="Arial" w:hAnsi="Arial" w:cs="Arial"/>
        </w:rPr>
        <w:t>The literature shows that there is a significant advancement in methodologies used in measuring risks of Forex markets. Since the estimate of VaR and ES were traditional and based on simple copulas to develop dependence models and predictive modelling by using deep learning, the precision of analysis has been enhanced significantly. Nevertheless, the same limitation is apparently one of the recurring weaknesses: the dissociation between risk quantification and performance evaluation. Most of the researches evaluate the accuracy of forecasts or model efficiency, but do not measure their actual contribution to the control of portfolio drawdowns (or improved returns).</w:t>
      </w:r>
    </w:p>
    <w:p w14:paraId="30996882" w14:textId="72BCC7E5" w:rsidR="000354EE" w:rsidRPr="00FF6757" w:rsidRDefault="000354EE" w:rsidP="006B357C">
      <w:pPr>
        <w:ind w:firstLine="720"/>
        <w:rPr>
          <w:rFonts w:ascii="Arial" w:hAnsi="Arial" w:cs="Arial"/>
        </w:rPr>
      </w:pPr>
      <w:r w:rsidRPr="00FF6757">
        <w:rPr>
          <w:rFonts w:ascii="Arial" w:hAnsi="Arial" w:cs="Arial"/>
        </w:rPr>
        <w:t>Moreover, the methodological sophistication is not always a guarantee of the strength in crisis situation. Regimes of extreme volatility are easily showing model failure especially in data and parametric-based approaches. Thus, although the measurement of risk has been enhanced particularly, the role in risk enhancement of the Forex trading series in the context of unified financial risk management systems has not been fully ventured. The need to deal with this disconnect is an important starting point of the current research.</w:t>
      </w:r>
    </w:p>
    <w:p w14:paraId="36A75B36" w14:textId="77777777" w:rsidR="006B357C" w:rsidRPr="00FF6757" w:rsidRDefault="006B357C" w:rsidP="006B357C">
      <w:pPr>
        <w:ind w:firstLine="720"/>
        <w:rPr>
          <w:rFonts w:ascii="Arial" w:hAnsi="Arial" w:cs="Arial"/>
        </w:rPr>
      </w:pPr>
    </w:p>
    <w:p w14:paraId="33484F73" w14:textId="77777777" w:rsidR="00B007C0" w:rsidRPr="00FF6757" w:rsidRDefault="00B007C0" w:rsidP="006B357C">
      <w:pPr>
        <w:ind w:firstLine="720"/>
        <w:rPr>
          <w:rFonts w:ascii="Arial" w:hAnsi="Arial" w:cs="Arial"/>
        </w:rPr>
      </w:pPr>
    </w:p>
    <w:p w14:paraId="125EF3D5" w14:textId="77777777" w:rsidR="00B007C0" w:rsidRPr="00FF6757" w:rsidRDefault="00B007C0" w:rsidP="006B357C">
      <w:pPr>
        <w:ind w:firstLine="720"/>
        <w:rPr>
          <w:rFonts w:ascii="Arial" w:hAnsi="Arial" w:cs="Arial"/>
        </w:rPr>
      </w:pPr>
    </w:p>
    <w:p w14:paraId="639B01DC" w14:textId="63705E7D" w:rsidR="00313F46" w:rsidRPr="00FF6757" w:rsidRDefault="00DB39F0" w:rsidP="006B357C">
      <w:pPr>
        <w:pStyle w:val="Heading2"/>
      </w:pPr>
      <w:bookmarkStart w:id="30" w:name="_Toc228917206"/>
      <w:r w:rsidRPr="00FF6757">
        <w:lastRenderedPageBreak/>
        <w:t>2.5 Hedging Strategies and Risk Mitigation in Forex Markets</w:t>
      </w:r>
      <w:bookmarkEnd w:id="30"/>
    </w:p>
    <w:p w14:paraId="0D165E50" w14:textId="77777777" w:rsidR="006B357C" w:rsidRPr="00FF6757" w:rsidRDefault="006B357C" w:rsidP="006B357C"/>
    <w:p w14:paraId="47E8C61B" w14:textId="1AB46A0E" w:rsidR="00CD4D04" w:rsidRPr="00FF6757" w:rsidRDefault="00CD4D04" w:rsidP="006B357C">
      <w:pPr>
        <w:ind w:firstLine="720"/>
        <w:rPr>
          <w:rFonts w:ascii="Arial" w:hAnsi="Arial" w:cs="Arial"/>
        </w:rPr>
      </w:pPr>
      <w:r w:rsidRPr="00FF6757">
        <w:rPr>
          <w:rFonts w:ascii="Arial" w:hAnsi="Arial" w:cs="Arial"/>
        </w:rPr>
        <w:t>One of the central elements of the management of financial risks in the foreign exchange markets is hedging, which is aimed at compensating the exposure to the unfavourable currency dynamics and maintain the stability of the portfolio. Maximising the utility of hedging is however subject to the market conditions, choice of instruments as well as the structural properties of the volatility regimes.</w:t>
      </w:r>
    </w:p>
    <w:p w14:paraId="49458D1B" w14:textId="77777777" w:rsidR="00E777CC" w:rsidRPr="00FF6757" w:rsidRDefault="00CD4D04" w:rsidP="006B357C">
      <w:pPr>
        <w:ind w:firstLine="720"/>
        <w:rPr>
          <w:rFonts w:ascii="Arial" w:hAnsi="Arial" w:cs="Arial"/>
        </w:rPr>
      </w:pPr>
      <w:r w:rsidRPr="00FF6757">
        <w:rPr>
          <w:rFonts w:ascii="Arial" w:hAnsi="Arial" w:cs="Arial"/>
        </w:rPr>
        <w:t xml:space="preserve">The most common ways of managing the exchange rate risk include derivative instruments especially currency futures and options. Empirical studies confirm that the use of derivatives could also lead to earnings reduction and enhanced financial stability of companies that face fluctuation of the foreign currency (Reyad et al., 2022). This data confirms the theoretical assumption according to which hedging increases the resilience through the compression of cash flows and preventing unanticipated currency shocks. Hedging with derivatives is however not free of cost. </w:t>
      </w:r>
    </w:p>
    <w:p w14:paraId="75F7609B" w14:textId="5E67E47D" w:rsidR="00CD4D04" w:rsidRPr="00FF6757" w:rsidRDefault="00CD4D04" w:rsidP="006B357C">
      <w:pPr>
        <w:ind w:firstLine="720"/>
        <w:rPr>
          <w:rFonts w:ascii="Arial" w:hAnsi="Arial" w:cs="Arial"/>
        </w:rPr>
      </w:pPr>
      <w:r w:rsidRPr="00FF6757">
        <w:rPr>
          <w:rFonts w:ascii="Arial" w:hAnsi="Arial" w:cs="Arial"/>
        </w:rPr>
        <w:t>Hedging strategies also do not work in all regimes. The argument of Zakaria (2023) is that hedging performance is not viewed as constant in times of calm and turbulence. When the market is in low-volatility mode, hedging could be unnecessary because there could be higher gains which could be realised</w:t>
      </w:r>
      <w:r w:rsidR="00BF258A" w:rsidRPr="00FF6757">
        <w:rPr>
          <w:rFonts w:ascii="Arial" w:hAnsi="Arial" w:cs="Arial"/>
        </w:rPr>
        <w:t>. When</w:t>
      </w:r>
      <w:r w:rsidRPr="00FF6757">
        <w:rPr>
          <w:rFonts w:ascii="Arial" w:hAnsi="Arial" w:cs="Arial"/>
        </w:rPr>
        <w:t xml:space="preserve"> it is at the high-volatility level, then it becomes a necessity to control the drawdowns. The above trade-off is where adaptive hedging strategies lead to greater importance instead of the one-size-fits-all hedging strategies.</w:t>
      </w:r>
    </w:p>
    <w:p w14:paraId="38398E56" w14:textId="77B8F4F3" w:rsidR="00CD4D04" w:rsidRPr="00FF6757" w:rsidRDefault="00CD4D04" w:rsidP="006B357C">
      <w:pPr>
        <w:ind w:firstLine="720"/>
        <w:rPr>
          <w:rFonts w:ascii="Arial" w:hAnsi="Arial" w:cs="Arial"/>
        </w:rPr>
      </w:pPr>
      <w:r w:rsidRPr="00FF6757">
        <w:rPr>
          <w:rFonts w:ascii="Arial" w:hAnsi="Arial" w:cs="Arial"/>
        </w:rPr>
        <w:t xml:space="preserve">Another fundamental risk management method is diversification in the currency pairs and asset classes. According to the portfolio theory, the process of diversification lowers the unsystematic risks by having imperfect correlations among the assets. Nevertheless, spillover studies </w:t>
      </w:r>
      <w:r w:rsidR="00BF258A" w:rsidRPr="00FF6757">
        <w:rPr>
          <w:rFonts w:ascii="Arial" w:hAnsi="Arial" w:cs="Arial"/>
        </w:rPr>
        <w:t>assess</w:t>
      </w:r>
      <w:r w:rsidRPr="00FF6757">
        <w:rPr>
          <w:rFonts w:ascii="Arial" w:hAnsi="Arial" w:cs="Arial"/>
        </w:rPr>
        <w:t xml:space="preserve"> both the consistency of such correlations. Research shows that transmission of volatility rises and cross-currency correlations go up under the influence of financial distress, thus improving the willpower of diversification (Huynh, Nasir and Nguyen, 2023; Nerantzidis, Stoupos and Tzeremes, 2024). This has come to be commonly referred to as contagion and means that the concept of diversification could be unreliable at the time one needs it the most to mitigate the risk.</w:t>
      </w:r>
    </w:p>
    <w:p w14:paraId="59224DF3" w14:textId="3C782F18" w:rsidR="00CD4D04" w:rsidRPr="00FF6757" w:rsidRDefault="00CD4D04" w:rsidP="006B357C">
      <w:pPr>
        <w:ind w:firstLine="720"/>
        <w:rPr>
          <w:rFonts w:ascii="Arial" w:hAnsi="Arial" w:cs="Arial"/>
        </w:rPr>
      </w:pPr>
      <w:r w:rsidRPr="00FF6757">
        <w:rPr>
          <w:rFonts w:ascii="Arial" w:hAnsi="Arial" w:cs="Arial"/>
        </w:rPr>
        <w:lastRenderedPageBreak/>
        <w:t xml:space="preserve">They have also looked at cross-hedging strategies; cross-hedging is a set of strategies that involve the use of related assets like commodities or equities to counter a currency exposure. Wang, Wu and Zhou (2022) list the active dependence between the prices of oil and the exchange rates, implying possible hedging opportunities. On the same note, Meersghani, Boujelbene and Boutouria (2023) show that financial stress has an impact on hedging between financial and oil markets. These results support the argument </w:t>
      </w:r>
      <w:r w:rsidR="00BF258A" w:rsidRPr="00FF6757">
        <w:rPr>
          <w:rFonts w:ascii="Arial" w:hAnsi="Arial" w:cs="Arial"/>
        </w:rPr>
        <w:t>for</w:t>
      </w:r>
      <w:r w:rsidRPr="00FF6757">
        <w:rPr>
          <w:rFonts w:ascii="Arial" w:hAnsi="Arial" w:cs="Arial"/>
        </w:rPr>
        <w:t xml:space="preserve"> using time-varying dependence structures in hedging decisions.</w:t>
      </w:r>
    </w:p>
    <w:p w14:paraId="0DC25A7B" w14:textId="4F0FCCC2" w:rsidR="00CD4D04" w:rsidRPr="00FF6757" w:rsidRDefault="00CD4D04" w:rsidP="006B357C">
      <w:pPr>
        <w:ind w:firstLine="720"/>
        <w:rPr>
          <w:rFonts w:ascii="Arial" w:hAnsi="Arial" w:cs="Arial"/>
        </w:rPr>
      </w:pPr>
      <w:r w:rsidRPr="00FF6757">
        <w:rPr>
          <w:rFonts w:ascii="Arial" w:hAnsi="Arial" w:cs="Arial"/>
        </w:rPr>
        <w:t xml:space="preserve">Although a lot has been done to research hedging instruments and strategies, there is still one crucial weakness. The literature pays a lot of attention to the stabilisation of corporate risk, instead of speculative performance in the Forex trading. The goals of corporate hedging tend to focus on </w:t>
      </w:r>
      <w:r w:rsidR="00BF258A" w:rsidRPr="00FF6757">
        <w:rPr>
          <w:rFonts w:ascii="Arial" w:hAnsi="Arial" w:cs="Arial"/>
        </w:rPr>
        <w:t xml:space="preserve">the </w:t>
      </w:r>
      <w:r w:rsidRPr="00FF6757">
        <w:rPr>
          <w:rFonts w:ascii="Arial" w:hAnsi="Arial" w:cs="Arial"/>
        </w:rPr>
        <w:t xml:space="preserve">predictability of earnings, and the aim of Forex traders is to achieve the highest returns that are risk-adjusted. As a result, there is a lack of studies that directly analyse the </w:t>
      </w:r>
      <w:r w:rsidR="00BF258A" w:rsidRPr="00FF6757">
        <w:rPr>
          <w:rFonts w:ascii="Arial" w:hAnsi="Arial" w:cs="Arial"/>
        </w:rPr>
        <w:t>connection</w:t>
      </w:r>
      <w:r w:rsidRPr="00FF6757">
        <w:rPr>
          <w:rFonts w:ascii="Arial" w:hAnsi="Arial" w:cs="Arial"/>
        </w:rPr>
        <w:t xml:space="preserve"> between hedging discipline and the long-term profitability of trading.</w:t>
      </w:r>
    </w:p>
    <w:p w14:paraId="02FAABC5" w14:textId="0EF319F4" w:rsidR="00CD4D04" w:rsidRPr="00FF6757" w:rsidRDefault="00CD4D04" w:rsidP="006B357C">
      <w:pPr>
        <w:ind w:firstLine="720"/>
        <w:rPr>
          <w:rFonts w:ascii="Arial" w:hAnsi="Arial" w:cs="Arial"/>
        </w:rPr>
      </w:pPr>
      <w:r w:rsidRPr="00FF6757">
        <w:rPr>
          <w:rFonts w:ascii="Arial" w:hAnsi="Arial" w:cs="Arial"/>
        </w:rPr>
        <w:t xml:space="preserve">Besides, behavioural dimensions make hedging decisions difficult. The effect of speculative mood and overconfidence can be the discouragement of the regularity of hedging, especially over the long-term </w:t>
      </w:r>
      <w:r w:rsidR="00BF258A" w:rsidRPr="00FF6757">
        <w:rPr>
          <w:rFonts w:ascii="Arial" w:hAnsi="Arial" w:cs="Arial"/>
        </w:rPr>
        <w:t>market's</w:t>
      </w:r>
      <w:r w:rsidRPr="00FF6757">
        <w:rPr>
          <w:rFonts w:ascii="Arial" w:hAnsi="Arial" w:cs="Arial"/>
        </w:rPr>
        <w:t xml:space="preserve"> stable period (Chen et al., 2021). This lack of consistency in behaviour is a weakness </w:t>
      </w:r>
      <w:r w:rsidR="00BF258A" w:rsidRPr="00FF6757">
        <w:rPr>
          <w:rFonts w:ascii="Arial" w:hAnsi="Arial" w:cs="Arial"/>
        </w:rPr>
        <w:t>of</w:t>
      </w:r>
      <w:r w:rsidRPr="00FF6757">
        <w:rPr>
          <w:rFonts w:ascii="Arial" w:hAnsi="Arial" w:cs="Arial"/>
        </w:rPr>
        <w:t xml:space="preserve"> the theoretical advantages of hedging frameworks.</w:t>
      </w:r>
    </w:p>
    <w:p w14:paraId="3B829D4E" w14:textId="7F5B8E2F" w:rsidR="00CD4D04" w:rsidRPr="00FF6757" w:rsidRDefault="00CD4D04" w:rsidP="006B357C">
      <w:pPr>
        <w:ind w:firstLine="720"/>
        <w:rPr>
          <w:rFonts w:ascii="Arial" w:hAnsi="Arial" w:cs="Arial"/>
        </w:rPr>
      </w:pPr>
      <w:r w:rsidRPr="00FF6757">
        <w:rPr>
          <w:rFonts w:ascii="Arial" w:hAnsi="Arial" w:cs="Arial"/>
        </w:rPr>
        <w:t>To conclude, a hedging approach is theoretically a sound way of reducing the risk of currency risk, which</w:t>
      </w:r>
      <w:r w:rsidR="00BF258A" w:rsidRPr="00FF6757">
        <w:rPr>
          <w:rFonts w:ascii="Arial" w:hAnsi="Arial" w:cs="Arial"/>
        </w:rPr>
        <w:t>,</w:t>
      </w:r>
      <w:r w:rsidRPr="00FF6757">
        <w:rPr>
          <w:rFonts w:ascii="Arial" w:hAnsi="Arial" w:cs="Arial"/>
        </w:rPr>
        <w:t xml:space="preserve"> however</w:t>
      </w:r>
      <w:r w:rsidR="00BF258A" w:rsidRPr="00FF6757">
        <w:rPr>
          <w:rFonts w:ascii="Arial" w:hAnsi="Arial" w:cs="Arial"/>
        </w:rPr>
        <w:t>,</w:t>
      </w:r>
      <w:r w:rsidRPr="00FF6757">
        <w:rPr>
          <w:rFonts w:ascii="Arial" w:hAnsi="Arial" w:cs="Arial"/>
        </w:rPr>
        <w:t xml:space="preserve"> depends on volatility regimes, cost and behavioural discipline of transactions. </w:t>
      </w:r>
      <w:r w:rsidR="002F21AB" w:rsidRPr="00FF6757">
        <w:rPr>
          <w:rFonts w:ascii="Arial" w:hAnsi="Arial" w:cs="Arial"/>
        </w:rPr>
        <w:t>Even though there is empirical evidence that coherent and systematic Forex trading arrangements can mitigate currency risks, there is yet to be developed integration with the derivatives and diversification strategy. This explains the necessity of a more formalised approach that would tie disciplined hedging behaviours to quantified trading performance effects.</w:t>
      </w:r>
    </w:p>
    <w:p w14:paraId="08C7C277" w14:textId="77777777" w:rsidR="006B357C" w:rsidRPr="00FF6757" w:rsidRDefault="006B357C" w:rsidP="006B357C">
      <w:pPr>
        <w:ind w:firstLine="720"/>
        <w:rPr>
          <w:rFonts w:ascii="Arial" w:hAnsi="Arial" w:cs="Arial"/>
          <w:b/>
          <w:bCs/>
        </w:rPr>
      </w:pPr>
    </w:p>
    <w:p w14:paraId="4C7A8ED6" w14:textId="77777777" w:rsidR="00B007C0" w:rsidRPr="00FF6757" w:rsidRDefault="00B007C0" w:rsidP="006B357C">
      <w:pPr>
        <w:ind w:firstLine="720"/>
        <w:rPr>
          <w:rFonts w:ascii="Arial" w:hAnsi="Arial" w:cs="Arial"/>
          <w:b/>
          <w:bCs/>
        </w:rPr>
      </w:pPr>
    </w:p>
    <w:p w14:paraId="01126DC7" w14:textId="77777777" w:rsidR="00B007C0" w:rsidRPr="00FF6757" w:rsidRDefault="00B007C0" w:rsidP="006B357C">
      <w:pPr>
        <w:ind w:firstLine="720"/>
        <w:rPr>
          <w:rFonts w:ascii="Arial" w:hAnsi="Arial" w:cs="Arial"/>
          <w:b/>
          <w:bCs/>
        </w:rPr>
      </w:pPr>
    </w:p>
    <w:p w14:paraId="5A695E67" w14:textId="77777777" w:rsidR="00B007C0" w:rsidRPr="00FF6757" w:rsidRDefault="00B007C0" w:rsidP="006B357C">
      <w:pPr>
        <w:ind w:firstLine="720"/>
        <w:rPr>
          <w:rFonts w:ascii="Arial" w:hAnsi="Arial" w:cs="Arial"/>
          <w:b/>
          <w:bCs/>
        </w:rPr>
      </w:pPr>
    </w:p>
    <w:p w14:paraId="63DB80E7" w14:textId="3A9C6DD9" w:rsidR="00CD4D04" w:rsidRPr="00FF6757" w:rsidRDefault="00CD4D04" w:rsidP="006B357C">
      <w:pPr>
        <w:pStyle w:val="Heading2"/>
      </w:pPr>
      <w:bookmarkStart w:id="31" w:name="_Toc228917207"/>
      <w:r w:rsidRPr="00FF6757">
        <w:lastRenderedPageBreak/>
        <w:t>2.6 Forex Trading Performance and Risk Discipline</w:t>
      </w:r>
      <w:bookmarkEnd w:id="31"/>
    </w:p>
    <w:p w14:paraId="2E82E55A" w14:textId="77777777" w:rsidR="006B357C" w:rsidRPr="00FF6757" w:rsidRDefault="006B357C" w:rsidP="006B357C"/>
    <w:p w14:paraId="52A75272" w14:textId="2C7392F3" w:rsidR="00CD4D04" w:rsidRPr="00FF6757" w:rsidRDefault="002F21AB" w:rsidP="006B357C">
      <w:pPr>
        <w:ind w:firstLine="720"/>
        <w:rPr>
          <w:rFonts w:ascii="Arial" w:hAnsi="Arial" w:cs="Arial"/>
        </w:rPr>
      </w:pPr>
      <w:r w:rsidRPr="00FF6757">
        <w:rPr>
          <w:rFonts w:ascii="Arial" w:hAnsi="Arial" w:cs="Arial"/>
        </w:rPr>
        <w:t>Forex highly leveraged, and the trading frequency is very high hence risk exposure is interwoven with the trading performance.</w:t>
      </w:r>
      <w:r w:rsidR="00CD4D04" w:rsidRPr="00FF6757">
        <w:rPr>
          <w:rFonts w:ascii="Arial" w:hAnsi="Arial" w:cs="Arial"/>
        </w:rPr>
        <w:t xml:space="preserve"> Performance evaluation thus goes beyond the conventional returns to risk-adjusted returns</w:t>
      </w:r>
      <w:r w:rsidR="00BF258A" w:rsidRPr="00FF6757">
        <w:rPr>
          <w:rFonts w:ascii="Arial" w:hAnsi="Arial" w:cs="Arial"/>
        </w:rPr>
        <w:t>,</w:t>
      </w:r>
      <w:r w:rsidR="00CD4D04" w:rsidRPr="00FF6757">
        <w:rPr>
          <w:rFonts w:ascii="Arial" w:hAnsi="Arial" w:cs="Arial"/>
        </w:rPr>
        <w:t xml:space="preserve"> accommodating volatility, drawdowns and capital conservation. Structured risk discipline is a foundation upon which </w:t>
      </w:r>
      <w:r w:rsidR="00BF258A" w:rsidRPr="00FF6757">
        <w:rPr>
          <w:rFonts w:ascii="Arial" w:hAnsi="Arial" w:cs="Arial"/>
        </w:rPr>
        <w:t xml:space="preserve">the </w:t>
      </w:r>
      <w:r w:rsidR="00CD4D04" w:rsidRPr="00FF6757">
        <w:rPr>
          <w:rFonts w:ascii="Arial" w:hAnsi="Arial" w:cs="Arial"/>
        </w:rPr>
        <w:t xml:space="preserve">sustainability of Forex trading strategies </w:t>
      </w:r>
      <w:r w:rsidR="00BF258A" w:rsidRPr="00FF6757">
        <w:rPr>
          <w:rFonts w:ascii="Arial" w:hAnsi="Arial" w:cs="Arial"/>
        </w:rPr>
        <w:t>relies,</w:t>
      </w:r>
      <w:r w:rsidR="00CD4D04" w:rsidRPr="00FF6757">
        <w:rPr>
          <w:rFonts w:ascii="Arial" w:hAnsi="Arial" w:cs="Arial"/>
        </w:rPr>
        <w:t xml:space="preserve"> as opposed to predictive accuracy.</w:t>
      </w:r>
    </w:p>
    <w:p w14:paraId="005FAF8A" w14:textId="1F23CEBF" w:rsidR="00CD4D04" w:rsidRPr="00FF6757" w:rsidRDefault="00CD4D04" w:rsidP="006B357C">
      <w:pPr>
        <w:ind w:firstLine="720"/>
        <w:rPr>
          <w:rFonts w:ascii="Arial" w:hAnsi="Arial" w:cs="Arial"/>
        </w:rPr>
      </w:pPr>
      <w:r w:rsidRPr="00FF6757">
        <w:rPr>
          <w:rFonts w:ascii="Arial" w:hAnsi="Arial" w:cs="Arial"/>
        </w:rPr>
        <w:t xml:space="preserve">The Sharpe ratio and the analysis of maximum drawdown are risk-adjusted performance </w:t>
      </w:r>
      <w:r w:rsidR="00BF258A" w:rsidRPr="00FF6757">
        <w:rPr>
          <w:rFonts w:ascii="Arial" w:hAnsi="Arial" w:cs="Arial"/>
        </w:rPr>
        <w:t>measurements</w:t>
      </w:r>
      <w:r w:rsidRPr="00FF6757">
        <w:rPr>
          <w:rFonts w:ascii="Arial" w:hAnsi="Arial" w:cs="Arial"/>
        </w:rPr>
        <w:t xml:space="preserve"> instead of the raw returns, which offer more dedicated indicators of strategy strength. The study by Malhotra et al. (2023) shows that performance analysis should include </w:t>
      </w:r>
      <w:r w:rsidR="00BF258A" w:rsidRPr="00FF6757">
        <w:rPr>
          <w:rFonts w:ascii="Arial" w:hAnsi="Arial" w:cs="Arial"/>
        </w:rPr>
        <w:t>volatility-adjusted</w:t>
      </w:r>
      <w:r w:rsidRPr="00FF6757">
        <w:rPr>
          <w:rFonts w:ascii="Arial" w:hAnsi="Arial" w:cs="Arial"/>
        </w:rPr>
        <w:t xml:space="preserve"> returns, which should not lead to a misleading conclusion on profitability. In very volatile Forex markets, large short-term profits can mask excess exposure to downside risks</w:t>
      </w:r>
      <w:r w:rsidR="00BF258A" w:rsidRPr="00FF6757">
        <w:rPr>
          <w:rFonts w:ascii="Arial" w:hAnsi="Arial" w:cs="Arial"/>
        </w:rPr>
        <w:t>,</w:t>
      </w:r>
      <w:r w:rsidRPr="00FF6757">
        <w:rPr>
          <w:rFonts w:ascii="Arial" w:hAnsi="Arial" w:cs="Arial"/>
        </w:rPr>
        <w:t xml:space="preserve"> especially in cases where leverage is taken.</w:t>
      </w:r>
    </w:p>
    <w:p w14:paraId="6CEC4019" w14:textId="50CA141A" w:rsidR="00CD4D04" w:rsidRPr="00FF6757" w:rsidRDefault="00CD4D04" w:rsidP="006B357C">
      <w:pPr>
        <w:ind w:firstLine="720"/>
        <w:rPr>
          <w:rFonts w:ascii="Arial" w:hAnsi="Arial" w:cs="Arial"/>
        </w:rPr>
      </w:pPr>
      <w:r w:rsidRPr="00FF6757">
        <w:rPr>
          <w:rFonts w:ascii="Arial" w:hAnsi="Arial" w:cs="Arial"/>
        </w:rPr>
        <w:t xml:space="preserve">Available evidence shows that well-organised risk management will improve resilience in times of crisis. In predicting instability in the </w:t>
      </w:r>
      <w:r w:rsidR="00BF258A" w:rsidRPr="00FF6757">
        <w:rPr>
          <w:rFonts w:ascii="Arial" w:hAnsi="Arial" w:cs="Arial"/>
        </w:rPr>
        <w:t>exchange rate</w:t>
      </w:r>
      <w:r w:rsidRPr="00FF6757">
        <w:rPr>
          <w:rFonts w:ascii="Arial" w:hAnsi="Arial" w:cs="Arial"/>
        </w:rPr>
        <w:t xml:space="preserve">, Ferdous et al. (2022) design early warning mechanisms against currency crisis that </w:t>
      </w:r>
      <w:r w:rsidR="00BF258A" w:rsidRPr="00FF6757">
        <w:rPr>
          <w:rFonts w:ascii="Arial" w:hAnsi="Arial" w:cs="Arial"/>
        </w:rPr>
        <w:t>emphasise</w:t>
      </w:r>
      <w:r w:rsidRPr="00FF6757">
        <w:rPr>
          <w:rFonts w:ascii="Arial" w:hAnsi="Arial" w:cs="Arial"/>
        </w:rPr>
        <w:t xml:space="preserve"> the use of macroeconomic indicators. Nonetheless, the identification of the macro-level risks does not necessarily result in the proper risk management at the portfolio level. Retail Forex traders often do not have systematic guidelines on position sizing and how to place a stop-loss</w:t>
      </w:r>
      <w:r w:rsidR="00BF258A" w:rsidRPr="00FF6757">
        <w:rPr>
          <w:rFonts w:ascii="Arial" w:hAnsi="Arial" w:cs="Arial"/>
        </w:rPr>
        <w:t>,</w:t>
      </w:r>
      <w:r w:rsidRPr="00FF6757">
        <w:rPr>
          <w:rFonts w:ascii="Arial" w:hAnsi="Arial" w:cs="Arial"/>
        </w:rPr>
        <w:t xml:space="preserve"> and the capital, which puts them at risk of massive drawdowns.</w:t>
      </w:r>
    </w:p>
    <w:p w14:paraId="54E5E3A2" w14:textId="274EEF50" w:rsidR="00CD4D04" w:rsidRPr="00FF6757" w:rsidRDefault="00CD4D04" w:rsidP="006B357C">
      <w:pPr>
        <w:ind w:firstLine="720"/>
        <w:rPr>
          <w:rFonts w:ascii="Arial" w:hAnsi="Arial" w:cs="Arial"/>
        </w:rPr>
      </w:pPr>
      <w:r w:rsidRPr="00FF6757">
        <w:rPr>
          <w:rFonts w:ascii="Arial" w:hAnsi="Arial" w:cs="Arial"/>
        </w:rPr>
        <w:t>The progress of machine learning models has enhanced the accuracy of forecasting in the exchange rate markets (Ayitey Junior et al., 2023; Zhao and Yan, 2024). Nonlinear volatility dynamics are modelled by hybrid models like GARCH-LSTM</w:t>
      </w:r>
      <w:r w:rsidR="00BF258A" w:rsidRPr="00FF6757">
        <w:rPr>
          <w:rFonts w:ascii="Arial" w:hAnsi="Arial" w:cs="Arial"/>
        </w:rPr>
        <w:t>,</w:t>
      </w:r>
      <w:r w:rsidRPr="00FF6757">
        <w:rPr>
          <w:rFonts w:ascii="Arial" w:hAnsi="Arial" w:cs="Arial"/>
        </w:rPr>
        <w:t xml:space="preserve"> and they improve the accuracy of short-term prediction (Nsengiyumva, Mung’atu and Ruranga, 2025). However, a high prediction rate does not necessarily have an impact on greater profitability. Predictive gains that may be a result of predictive improvement may be undermined by overfitting, transaction costs and market slippage.</w:t>
      </w:r>
    </w:p>
    <w:p w14:paraId="31B97E28" w14:textId="42BBDDF3" w:rsidR="00CD4D04" w:rsidRPr="00FF6757" w:rsidRDefault="00CD4D04" w:rsidP="006B357C">
      <w:pPr>
        <w:ind w:firstLine="720"/>
        <w:rPr>
          <w:rFonts w:ascii="Arial" w:hAnsi="Arial" w:cs="Arial"/>
        </w:rPr>
      </w:pPr>
      <w:r w:rsidRPr="00FF6757">
        <w:rPr>
          <w:rFonts w:ascii="Arial" w:hAnsi="Arial" w:cs="Arial"/>
        </w:rPr>
        <w:lastRenderedPageBreak/>
        <w:t>Spillover research also makes life tough with respect to sustainability in performance. The dynamic connectedness models indicate a rapid speed of systemic shocks spread in currency markets (Baruník and Křehlík, 2021). In times of heightened volatility, leveraged potentials can undergo increased losses. This highlighted the importance of spillover awareness implementation in the trading systems as opposed to using individual currency analysis.</w:t>
      </w:r>
    </w:p>
    <w:p w14:paraId="3B7C9662" w14:textId="2F82BC48" w:rsidR="00CD4D04" w:rsidRPr="00FF6757" w:rsidRDefault="00CD4D04" w:rsidP="006B357C">
      <w:pPr>
        <w:ind w:firstLine="720"/>
        <w:rPr>
          <w:rFonts w:ascii="Arial" w:hAnsi="Arial" w:cs="Arial"/>
        </w:rPr>
      </w:pPr>
      <w:r w:rsidRPr="00FF6757">
        <w:rPr>
          <w:rFonts w:ascii="Arial" w:hAnsi="Arial" w:cs="Arial"/>
        </w:rPr>
        <w:t>There are also behavioural factors of performance. Chen et al. (2021) emphasise the importance of speculative sentiment in increasing volatility and promoting taking an excessive amount of risk. Rational risk assessment may be flawed by overconfidence and loss aversion</w:t>
      </w:r>
      <w:r w:rsidR="00BF258A" w:rsidRPr="00FF6757">
        <w:rPr>
          <w:rFonts w:ascii="Arial" w:hAnsi="Arial" w:cs="Arial"/>
        </w:rPr>
        <w:t>,</w:t>
      </w:r>
      <w:r w:rsidRPr="00FF6757">
        <w:rPr>
          <w:rFonts w:ascii="Arial" w:hAnsi="Arial" w:cs="Arial"/>
        </w:rPr>
        <w:t xml:space="preserve"> resulting in inconsistency in following rules on risk management. </w:t>
      </w:r>
    </w:p>
    <w:p w14:paraId="22F33803" w14:textId="19D88843" w:rsidR="00CD4D04" w:rsidRPr="00FF6757" w:rsidRDefault="00CD4D04" w:rsidP="006B357C">
      <w:pPr>
        <w:ind w:firstLine="720"/>
        <w:rPr>
          <w:rFonts w:ascii="Arial" w:hAnsi="Arial" w:cs="Arial"/>
        </w:rPr>
      </w:pPr>
      <w:r w:rsidRPr="00FF6757">
        <w:rPr>
          <w:rFonts w:ascii="Arial" w:hAnsi="Arial" w:cs="Arial"/>
        </w:rPr>
        <w:t>Although there has been a lot of research done on forecasting, volatility modelling and spillovers, it is not common to find the literature that has provided an integration of these dimensions in the framework of performance. Research will tend to measure the forecasting performance without considering risk-adjusted profitability, or will test components of volatility transmission without considering trading results. This fragmentation results in a discontinuity in understanding how organised financial risk management is the way to improve sustainable Forex trading performance.</w:t>
      </w:r>
    </w:p>
    <w:p w14:paraId="1780AFFE" w14:textId="7650D844" w:rsidR="00DB39F0" w:rsidRPr="00FF6757" w:rsidRDefault="00CD4D04" w:rsidP="006B357C">
      <w:pPr>
        <w:ind w:firstLine="720"/>
        <w:rPr>
          <w:rFonts w:ascii="Arial" w:hAnsi="Arial" w:cs="Arial"/>
        </w:rPr>
      </w:pPr>
      <w:r w:rsidRPr="00FF6757">
        <w:rPr>
          <w:rFonts w:ascii="Arial" w:hAnsi="Arial" w:cs="Arial"/>
        </w:rPr>
        <w:t xml:space="preserve">Thus, a </w:t>
      </w:r>
      <w:r w:rsidR="00BF258A" w:rsidRPr="00FF6757">
        <w:rPr>
          <w:rFonts w:ascii="Arial" w:hAnsi="Arial" w:cs="Arial"/>
        </w:rPr>
        <w:t>connection</w:t>
      </w:r>
      <w:r w:rsidRPr="00FF6757">
        <w:rPr>
          <w:rFonts w:ascii="Arial" w:hAnsi="Arial" w:cs="Arial"/>
        </w:rPr>
        <w:t xml:space="preserve"> between risk discipline and performance should be studied as a whole. To trade successfully through Forex, volatility forecasting, tail-risk measurement, hedging approaches and behavioural control systems are all to be incorporated. In its absence, even high-veneered predictive models might not prove to be consistent in terms of risk-adjusted returns. This gap of integration is one of the major tasks of the current study.</w:t>
      </w:r>
    </w:p>
    <w:p w14:paraId="5C1189B0" w14:textId="77777777" w:rsidR="006B357C" w:rsidRPr="00FF6757" w:rsidRDefault="006B357C" w:rsidP="006B357C">
      <w:pPr>
        <w:ind w:firstLine="720"/>
        <w:rPr>
          <w:rFonts w:ascii="Arial" w:hAnsi="Arial" w:cs="Arial"/>
        </w:rPr>
      </w:pPr>
    </w:p>
    <w:p w14:paraId="571D1263" w14:textId="24215EC6" w:rsidR="00CD4D04" w:rsidRPr="00FF6757" w:rsidRDefault="00CD4D04" w:rsidP="006B357C">
      <w:pPr>
        <w:pStyle w:val="Heading2"/>
      </w:pPr>
      <w:bookmarkStart w:id="32" w:name="_Toc228917208"/>
      <w:r w:rsidRPr="00FF6757">
        <w:t>2.7 Synthesis of Literature</w:t>
      </w:r>
      <w:bookmarkEnd w:id="32"/>
    </w:p>
    <w:p w14:paraId="36E72B80" w14:textId="77777777" w:rsidR="006B357C" w:rsidRPr="00FF6757" w:rsidRDefault="006B357C" w:rsidP="006B357C"/>
    <w:p w14:paraId="29A2BA6D" w14:textId="08196FAF" w:rsidR="00CD4D04" w:rsidRPr="00FF6757" w:rsidRDefault="00CD4D04" w:rsidP="006B357C">
      <w:pPr>
        <w:ind w:firstLine="720"/>
        <w:rPr>
          <w:rFonts w:ascii="Arial" w:hAnsi="Arial" w:cs="Arial"/>
        </w:rPr>
      </w:pPr>
      <w:r w:rsidRPr="00FF6757">
        <w:rPr>
          <w:rFonts w:ascii="Arial" w:hAnsi="Arial" w:cs="Arial"/>
        </w:rPr>
        <w:t xml:space="preserve">The review above shows that the literature on foreign exchange risk management is vast and sophisticated in terms of its methods. Nevertheless, even with massive progress in volatility modelling, analysis of spillovers, methods of risk quantification and </w:t>
      </w:r>
      <w:r w:rsidR="00BF258A" w:rsidRPr="00FF6757">
        <w:rPr>
          <w:rFonts w:ascii="Arial" w:hAnsi="Arial" w:cs="Arial"/>
        </w:rPr>
        <w:t>forecasting</w:t>
      </w:r>
      <w:r w:rsidRPr="00FF6757">
        <w:rPr>
          <w:rFonts w:ascii="Arial" w:hAnsi="Arial" w:cs="Arial"/>
        </w:rPr>
        <w:t xml:space="preserve">, the field is conceptually jagged. Critical synthesis </w:t>
      </w:r>
      <w:r w:rsidRPr="00FF6757">
        <w:rPr>
          <w:rFonts w:ascii="Arial" w:hAnsi="Arial" w:cs="Arial"/>
        </w:rPr>
        <w:lastRenderedPageBreak/>
        <w:t>shows that although individual components of financial risk management have been studied in detail, comparatively little has been done in analysing their overall effect on Forex trading performance.</w:t>
      </w:r>
    </w:p>
    <w:p w14:paraId="63E755EF" w14:textId="2F3DA6FA" w:rsidR="00CD4D04" w:rsidRPr="00FF6757" w:rsidRDefault="00CD4D04" w:rsidP="006B357C">
      <w:pPr>
        <w:ind w:firstLine="720"/>
        <w:rPr>
          <w:rFonts w:ascii="Arial" w:hAnsi="Arial" w:cs="Arial"/>
        </w:rPr>
      </w:pPr>
      <w:r w:rsidRPr="00FF6757">
        <w:rPr>
          <w:rFonts w:ascii="Arial" w:hAnsi="Arial" w:cs="Arial"/>
        </w:rPr>
        <w:t xml:space="preserve">First, the studies on volatility and the study of connectedness have made considerable contributions towards the knowledge </w:t>
      </w:r>
      <w:r w:rsidR="00BF258A" w:rsidRPr="00FF6757">
        <w:rPr>
          <w:rFonts w:ascii="Arial" w:hAnsi="Arial" w:cs="Arial"/>
        </w:rPr>
        <w:t>of</w:t>
      </w:r>
      <w:r w:rsidRPr="00FF6757">
        <w:rPr>
          <w:rFonts w:ascii="Arial" w:hAnsi="Arial" w:cs="Arial"/>
        </w:rPr>
        <w:t xml:space="preserve"> the exchange rate dynamics. Both frequency-domain and time-varying models indicate that currency markets possess asymmetric spillovers and </w:t>
      </w:r>
      <w:r w:rsidR="00BF258A" w:rsidRPr="00FF6757">
        <w:rPr>
          <w:rFonts w:ascii="Arial" w:hAnsi="Arial" w:cs="Arial"/>
        </w:rPr>
        <w:t>regime-dependent</w:t>
      </w:r>
      <w:r w:rsidRPr="00FF6757">
        <w:rPr>
          <w:rFonts w:ascii="Arial" w:hAnsi="Arial" w:cs="Arial"/>
        </w:rPr>
        <w:t xml:space="preserve"> interdependencies (Barunzik and Krehlik, 2021; Nerantzidis, Stoupos and Tzeremes, 2024). The cross-market research also shows the channels of transmissions in between the exchange rates, goods and financial assets (Yildirim, Erdoğan and Tarir, 2022; Wang, Wu and Zhou, 2022). These results emphasise the systemic risk of currency and upset the assumption of the static diversification of currency risk. </w:t>
      </w:r>
    </w:p>
    <w:p w14:paraId="5F15F504" w14:textId="6B3B7E83" w:rsidR="00CD4D04" w:rsidRPr="00FF6757" w:rsidRDefault="00CD4D04" w:rsidP="006B357C">
      <w:pPr>
        <w:ind w:firstLine="720"/>
        <w:rPr>
          <w:rFonts w:ascii="Arial" w:hAnsi="Arial" w:cs="Arial"/>
        </w:rPr>
      </w:pPr>
      <w:r w:rsidRPr="00FF6757">
        <w:rPr>
          <w:rFonts w:ascii="Arial" w:hAnsi="Arial" w:cs="Arial"/>
        </w:rPr>
        <w:t xml:space="preserve">Second, there </w:t>
      </w:r>
      <w:r w:rsidR="00BF258A" w:rsidRPr="00FF6757">
        <w:rPr>
          <w:rFonts w:ascii="Arial" w:hAnsi="Arial" w:cs="Arial"/>
        </w:rPr>
        <w:t>has</w:t>
      </w:r>
      <w:r w:rsidRPr="00FF6757">
        <w:rPr>
          <w:rFonts w:ascii="Arial" w:hAnsi="Arial" w:cs="Arial"/>
        </w:rPr>
        <w:t xml:space="preserve"> been an improvement in risk measurement techniques. Expected shortfall, </w:t>
      </w:r>
      <w:r w:rsidR="00BF258A" w:rsidRPr="00FF6757">
        <w:rPr>
          <w:rFonts w:ascii="Arial" w:hAnsi="Arial" w:cs="Arial"/>
        </w:rPr>
        <w:t>expectile-based</w:t>
      </w:r>
      <w:r w:rsidRPr="00FF6757">
        <w:rPr>
          <w:rFonts w:ascii="Arial" w:hAnsi="Arial" w:cs="Arial"/>
        </w:rPr>
        <w:t xml:space="preserve"> models and </w:t>
      </w:r>
      <w:r w:rsidR="00BF258A" w:rsidRPr="00FF6757">
        <w:rPr>
          <w:rFonts w:ascii="Arial" w:hAnsi="Arial" w:cs="Arial"/>
        </w:rPr>
        <w:t>copula-dominated</w:t>
      </w:r>
      <w:r w:rsidRPr="00FF6757">
        <w:rPr>
          <w:rFonts w:ascii="Arial" w:hAnsi="Arial" w:cs="Arial"/>
        </w:rPr>
        <w:t xml:space="preserve"> dependence modelling have replaced the traditional Value-at-Risk models (Blom, Petter and Risstad, 2023; Jiang, Hu and Yu, 2022; Arismendi-Zambrano et al., 2022). The methods increase accuracy in estimating tail risks and extreme co-movements. </w:t>
      </w:r>
    </w:p>
    <w:p w14:paraId="1AC029AA" w14:textId="6471628C" w:rsidR="00CD4D04" w:rsidRPr="00FF6757" w:rsidRDefault="00CD4D04" w:rsidP="006B357C">
      <w:pPr>
        <w:ind w:firstLine="720"/>
        <w:rPr>
          <w:rFonts w:ascii="Arial" w:hAnsi="Arial" w:cs="Arial"/>
        </w:rPr>
      </w:pPr>
      <w:r w:rsidRPr="00FF6757">
        <w:rPr>
          <w:rFonts w:ascii="Arial" w:hAnsi="Arial" w:cs="Arial"/>
        </w:rPr>
        <w:t xml:space="preserve">Third, machine learning and hybrid econometric models have been successfully applied in more and more studies by forecasting research to make predictions of nonlinear volatility dynamics (Ayitey Junior et al., 2023; Zhao and Yan, 2024; Nsengiyumva, Mung’atu and Ruranga, 2025). </w:t>
      </w:r>
    </w:p>
    <w:p w14:paraId="1CEC09C0" w14:textId="6687A5A1" w:rsidR="00CD4D04" w:rsidRPr="00FF6757" w:rsidRDefault="00CD4D04" w:rsidP="00B007C0">
      <w:pPr>
        <w:ind w:firstLine="360"/>
        <w:rPr>
          <w:rFonts w:ascii="Arial" w:hAnsi="Arial" w:cs="Arial"/>
        </w:rPr>
      </w:pPr>
      <w:r w:rsidRPr="00FF6757">
        <w:rPr>
          <w:rFonts w:ascii="Arial" w:hAnsi="Arial" w:cs="Arial"/>
        </w:rPr>
        <w:t xml:space="preserve">Fourth, it is shown in hedging literature that the use of derivatives and diversification can stabilise the financial results (Reyad et al., 2022; Zakaria, 2023). However, most research concentrates on the stability of corporate earnings and not on the Forex trading speculation results. Besides, spillover studies show that diversification benefits deteriorate when the system is stressed (Huynh, Nasir and Nguyen, 2023), which </w:t>
      </w:r>
      <w:r w:rsidR="00BF258A" w:rsidRPr="00FF6757">
        <w:rPr>
          <w:rFonts w:ascii="Arial" w:hAnsi="Arial" w:cs="Arial"/>
        </w:rPr>
        <w:t>raises</w:t>
      </w:r>
      <w:r w:rsidRPr="00FF6757">
        <w:rPr>
          <w:rFonts w:ascii="Arial" w:hAnsi="Arial" w:cs="Arial"/>
        </w:rPr>
        <w:t xml:space="preserve"> the issue of the resilience of hedging in a crisis.</w:t>
      </w:r>
    </w:p>
    <w:p w14:paraId="3378ED96" w14:textId="77777777" w:rsidR="006B357C" w:rsidRPr="00FF6757" w:rsidRDefault="006B357C" w:rsidP="000E7A71">
      <w:pPr>
        <w:pStyle w:val="Heading1"/>
      </w:pPr>
    </w:p>
    <w:p w14:paraId="5DE8B676" w14:textId="77777777" w:rsidR="006B357C" w:rsidRPr="00FF6757" w:rsidRDefault="006B357C" w:rsidP="006B357C"/>
    <w:p w14:paraId="75E725F3" w14:textId="77777777" w:rsidR="006B357C" w:rsidRPr="00FF6757" w:rsidRDefault="006B357C" w:rsidP="006B357C"/>
    <w:p w14:paraId="0C1FF1BE" w14:textId="727A1586" w:rsidR="001F7D14" w:rsidRPr="00FF6757" w:rsidRDefault="001F7D14" w:rsidP="006B357C">
      <w:pPr>
        <w:pStyle w:val="Heading1"/>
        <w:jc w:val="center"/>
      </w:pPr>
      <w:bookmarkStart w:id="33" w:name="_Toc228917209"/>
      <w:r w:rsidRPr="00FF6757">
        <w:lastRenderedPageBreak/>
        <w:t>Chapter 3: Research Methodology</w:t>
      </w:r>
      <w:bookmarkEnd w:id="33"/>
    </w:p>
    <w:p w14:paraId="3BE25704" w14:textId="77777777" w:rsidR="006B357C" w:rsidRPr="00FF6757" w:rsidRDefault="006B357C" w:rsidP="006B357C"/>
    <w:p w14:paraId="4089CE7B" w14:textId="77777777" w:rsidR="001F7D14" w:rsidRPr="00FF6757" w:rsidRDefault="001F7D14" w:rsidP="006B357C">
      <w:pPr>
        <w:pStyle w:val="Heading2"/>
      </w:pPr>
      <w:bookmarkStart w:id="34" w:name="_Toc228917210"/>
      <w:r w:rsidRPr="00FF6757">
        <w:t>3.1 Introduction</w:t>
      </w:r>
      <w:bookmarkEnd w:id="34"/>
    </w:p>
    <w:p w14:paraId="025D8D80" w14:textId="77777777" w:rsidR="006B357C" w:rsidRPr="00FF6757" w:rsidRDefault="006B357C" w:rsidP="006B357C"/>
    <w:p w14:paraId="01C310F7" w14:textId="77777777" w:rsidR="001F7D14" w:rsidRPr="00FF6757" w:rsidRDefault="001F7D14" w:rsidP="006B357C">
      <w:pPr>
        <w:ind w:firstLine="720"/>
        <w:rPr>
          <w:rFonts w:ascii="Arial" w:hAnsi="Arial" w:cs="Arial"/>
        </w:rPr>
      </w:pPr>
      <w:r w:rsidRPr="00FF6757">
        <w:rPr>
          <w:rFonts w:ascii="Arial" w:hAnsi="Arial" w:cs="Arial"/>
        </w:rPr>
        <w:t>The chapter describes the research design that is used to investigate the role of financial risk management in improving the results of Forex trading investment. The corresponding chapters made it clear that although ample empirical studies were carried out on the volatility modelling, spillover dynamics, forecasting methods and hedging strategies, they are all conceptually disunified. As such, it is required to have a systematic methodology to package current evidence into an integrated performance-based framework.</w:t>
      </w:r>
    </w:p>
    <w:p w14:paraId="336E83C3" w14:textId="77777777" w:rsidR="001F7D14" w:rsidRPr="00FF6757" w:rsidRDefault="001F7D14" w:rsidP="006B357C">
      <w:pPr>
        <w:ind w:firstLine="720"/>
        <w:rPr>
          <w:rFonts w:ascii="Arial" w:hAnsi="Arial" w:cs="Arial"/>
        </w:rPr>
      </w:pPr>
      <w:r w:rsidRPr="00FF6757">
        <w:rPr>
          <w:rFonts w:ascii="Arial" w:hAnsi="Arial" w:cs="Arial"/>
        </w:rPr>
        <w:t>It is a volatile and interdependent financial ecosystem in which the foreign exchange business operates and maintains regime-dependent behaviour and dynamic risk transmission (Barunik and Kdlhik, 2021; Huynh, Nasir and Nguyen, 2023). Moreover, the recent progress in machine learning forecasting and hybrid volatility models has only added to the methodology diversity in the given field (Zhao and Yan, 2024; Nsengiyumva, Mung’atu and Ruranga, 2025). Nonetheless, the methodological sophistication does not necessarily lead to better trading results of trading.</w:t>
      </w:r>
    </w:p>
    <w:p w14:paraId="31C193E1" w14:textId="77777777" w:rsidR="001F7D14" w:rsidRPr="00FF6757" w:rsidRDefault="001F7D14" w:rsidP="006B357C">
      <w:pPr>
        <w:ind w:firstLine="720"/>
        <w:rPr>
          <w:rFonts w:ascii="Arial" w:hAnsi="Arial" w:cs="Arial"/>
        </w:rPr>
      </w:pPr>
      <w:r w:rsidRPr="00FF6757">
        <w:rPr>
          <w:rFonts w:ascii="Arial" w:hAnsi="Arial" w:cs="Arial"/>
        </w:rPr>
        <w:t>In its turn, the given research opts to employ a systematic literature review approach that will synthesise the results of various research strands. The analyses in this chapter include research philosophy, approach and design, and data collection procedure, which form the basis of the analytical framework of the dissertation.</w:t>
      </w:r>
    </w:p>
    <w:p w14:paraId="517D31B3" w14:textId="77777777" w:rsidR="006B357C" w:rsidRPr="00FF6757" w:rsidRDefault="006B357C" w:rsidP="006B357C">
      <w:pPr>
        <w:ind w:firstLine="720"/>
        <w:rPr>
          <w:rFonts w:ascii="Arial" w:hAnsi="Arial" w:cs="Arial"/>
        </w:rPr>
      </w:pPr>
    </w:p>
    <w:p w14:paraId="6A52E684" w14:textId="77777777" w:rsidR="001F7D14" w:rsidRPr="00FF6757" w:rsidRDefault="001F7D14" w:rsidP="006B357C">
      <w:pPr>
        <w:pStyle w:val="Heading2"/>
      </w:pPr>
      <w:bookmarkStart w:id="35" w:name="_Toc228917211"/>
      <w:r w:rsidRPr="00FF6757">
        <w:t>3.2 Research Philosophy</w:t>
      </w:r>
      <w:bookmarkEnd w:id="35"/>
    </w:p>
    <w:p w14:paraId="5CB71EAF" w14:textId="77777777" w:rsidR="006B357C" w:rsidRPr="00FF6757" w:rsidRDefault="006B357C" w:rsidP="006B357C"/>
    <w:p w14:paraId="4AC9766B" w14:textId="50320CB1" w:rsidR="00B007C0" w:rsidRPr="00FF6757" w:rsidRDefault="00B007C0" w:rsidP="00B007C0">
      <w:pPr>
        <w:ind w:firstLine="720"/>
        <w:rPr>
          <w:rFonts w:ascii="Arial" w:hAnsi="Arial" w:cs="Arial"/>
        </w:rPr>
      </w:pPr>
      <w:r w:rsidRPr="00FF6757">
        <w:rPr>
          <w:rFonts w:ascii="Arial" w:hAnsi="Arial" w:cs="Arial"/>
        </w:rPr>
        <w:t xml:space="preserve">A pragmatic research philosophy underpins this study, one that is particularly appropriate in a context where the problem is complex and the research question is applied, such as in financial research. Pragmatism is the philosophy which is most focused on what practical consequence knowledge has and on using the most </w:t>
      </w:r>
      <w:r w:rsidRPr="00FF6757">
        <w:rPr>
          <w:rFonts w:ascii="Arial" w:hAnsi="Arial" w:cs="Arial"/>
        </w:rPr>
        <w:lastRenderedPageBreak/>
        <w:t xml:space="preserve">appropriate methods to answer the research questions regardless of any philosophical position. The problem tackled by this study is not just understanding risk but understanding the extent of risk and whether or not managing it properly can improve trading performance in the foreign exchange market. It thus is necessary to use many different ways to understand it (Barunik and Krezhlik, 2021). </w:t>
      </w:r>
    </w:p>
    <w:p w14:paraId="3B4765C2" w14:textId="77777777" w:rsidR="00B007C0" w:rsidRPr="00FF6757" w:rsidRDefault="00B007C0" w:rsidP="00B007C0">
      <w:pPr>
        <w:ind w:firstLine="720"/>
        <w:rPr>
          <w:rFonts w:ascii="Arial" w:hAnsi="Arial" w:cs="Arial"/>
        </w:rPr>
      </w:pPr>
      <w:r w:rsidRPr="00FF6757">
        <w:rPr>
          <w:rFonts w:ascii="Arial" w:hAnsi="Arial" w:cs="Arial"/>
        </w:rPr>
        <w:t xml:space="preserve">This study is not primarily an empirical research project and therefore the use of a systematic literature review (SLR) is an appropriate approach for this research. SLR is a method where the findings of previous studies are integrated together and where this process results in new insights to emerge as to the connections and patterns between studies and to the consequences that can arise. As opposed to empirical research, where one gathers empirical data from the primary data, it uses previously gathered empirical data. </w:t>
      </w:r>
    </w:p>
    <w:p w14:paraId="4B9F5941" w14:textId="65FB8163" w:rsidR="00B007C0" w:rsidRPr="00FF6757" w:rsidRDefault="00B007C0" w:rsidP="00B007C0">
      <w:pPr>
        <w:ind w:firstLine="720"/>
        <w:rPr>
          <w:rFonts w:ascii="Arial" w:hAnsi="Arial" w:cs="Arial"/>
        </w:rPr>
      </w:pPr>
      <w:r w:rsidRPr="00FF6757">
        <w:rPr>
          <w:rFonts w:ascii="Arial" w:hAnsi="Arial" w:cs="Arial"/>
        </w:rPr>
        <w:t xml:space="preserve">The research philosophy that is adopted is, therefore, consistent with the ideas of positivism where the reality is seen as a constant, and the interpretivism, which sees reality as constructed, albeit to a smaller extent since it draws on different interpretations of data from different studies. This is because knowledge is seen to be a product of interpretation, which is consistent with the idea that the reality that is investigated has been interpreted in a variety of ways in past empirical research (Jiang, Hu and Yu, 2022). </w:t>
      </w:r>
    </w:p>
    <w:p w14:paraId="270E3138" w14:textId="6682E7AA" w:rsidR="00B007C0" w:rsidRPr="00FF6757" w:rsidRDefault="00B007C0" w:rsidP="00B007C0">
      <w:pPr>
        <w:ind w:firstLine="720"/>
        <w:rPr>
          <w:rFonts w:ascii="Arial" w:hAnsi="Arial" w:cs="Arial"/>
        </w:rPr>
      </w:pPr>
      <w:r w:rsidRPr="00FF6757">
        <w:rPr>
          <w:rFonts w:ascii="Arial" w:hAnsi="Arial" w:cs="Arial"/>
        </w:rPr>
        <w:t>This study’s overall position, however, is based on a pragmatic philosophy, which is in line with the pragmatic philosophy in terms of generating useful knowledge that can lead to improvements in financial risk management practices in the area of foreign exchange trading. The aim of this study is not to produce a singular theory that can be tested, but rather to generate knowledge by using previously established knowledge to improve the decision-making process in trading and investment (Zhao and Yan, 2024).</w:t>
      </w:r>
    </w:p>
    <w:p w14:paraId="1B39234F" w14:textId="77777777" w:rsidR="00B007C0" w:rsidRPr="00FF6757" w:rsidRDefault="00B007C0" w:rsidP="006B357C">
      <w:pPr>
        <w:pStyle w:val="Heading2"/>
      </w:pPr>
    </w:p>
    <w:p w14:paraId="4F2A0B99" w14:textId="7726813E" w:rsidR="001F7D14" w:rsidRPr="00FF6757" w:rsidRDefault="001F7D14" w:rsidP="006B357C">
      <w:pPr>
        <w:pStyle w:val="Heading2"/>
      </w:pPr>
      <w:bookmarkStart w:id="36" w:name="_Toc228917212"/>
      <w:r w:rsidRPr="00FF6757">
        <w:t>3.3 Research Approach</w:t>
      </w:r>
      <w:bookmarkEnd w:id="36"/>
    </w:p>
    <w:p w14:paraId="1B6A2308" w14:textId="77777777" w:rsidR="006B357C" w:rsidRPr="00FF6757" w:rsidRDefault="006B357C" w:rsidP="006B357C"/>
    <w:p w14:paraId="1B0BC9B8" w14:textId="77777777" w:rsidR="001F7D14" w:rsidRPr="00FF6757" w:rsidRDefault="001F7D14" w:rsidP="006B357C">
      <w:pPr>
        <w:ind w:firstLine="720"/>
        <w:rPr>
          <w:rFonts w:ascii="Arial" w:hAnsi="Arial" w:cs="Arial"/>
        </w:rPr>
      </w:pPr>
      <w:r w:rsidRPr="00FF6757">
        <w:rPr>
          <w:rFonts w:ascii="Arial" w:hAnsi="Arial" w:cs="Arial"/>
        </w:rPr>
        <w:t xml:space="preserve">This study uses an inductive form of analysis. This study synthesises the available empirical evidence as opposed to testing a pre-defined econometric hypothesis so as to detect recurrent patterns, methodological strengths, and gaps in </w:t>
      </w:r>
      <w:r w:rsidRPr="00FF6757">
        <w:rPr>
          <w:rFonts w:ascii="Arial" w:hAnsi="Arial" w:cs="Arial"/>
        </w:rPr>
        <w:lastRenderedPageBreak/>
        <w:t>the conceptualisation of the phenomena in the literature. The Forex risk management market is heavily fragmented, with individual streams discussing the volatility modelling (Fathi, Grobys and Kolari, 2024), the effects of spillovers (Huynh et al., 2023), risk quantification methods (Blom, Petter and Risstad, 2023), and machine learning predictions (Ayitey Junior et al., 2023).</w:t>
      </w:r>
    </w:p>
    <w:p w14:paraId="39A64B7B" w14:textId="77777777" w:rsidR="00B007C0" w:rsidRPr="00FF6757" w:rsidRDefault="00B007C0" w:rsidP="00B007C0">
      <w:pPr>
        <w:ind w:firstLine="720"/>
        <w:rPr>
          <w:rFonts w:ascii="Arial" w:hAnsi="Arial" w:cs="Arial"/>
        </w:rPr>
      </w:pPr>
      <w:r w:rsidRPr="00FF6757">
        <w:rPr>
          <w:rFonts w:ascii="Arial" w:hAnsi="Arial" w:cs="Arial"/>
        </w:rPr>
        <w:t>A systematic literature review would be highly adequate for this study as the research issue/matter is driven by scattered and multidisciplinary pieces of evidence. Past researchers looked at volatility, risk measurement, forecasting, and hedging individually; however, there is little cross-domain integration.</w:t>
      </w:r>
    </w:p>
    <w:p w14:paraId="26AAF79B" w14:textId="57E6CE33" w:rsidR="00B007C0" w:rsidRPr="00FF6757" w:rsidRDefault="00B007C0" w:rsidP="00B007C0">
      <w:pPr>
        <w:ind w:firstLine="720"/>
        <w:rPr>
          <w:rFonts w:ascii="Arial" w:hAnsi="Arial" w:cs="Arial"/>
        </w:rPr>
      </w:pPr>
      <w:r w:rsidRPr="00FF6757">
        <w:rPr>
          <w:rFonts w:ascii="Arial" w:hAnsi="Arial" w:cs="Arial"/>
        </w:rPr>
        <w:t>The SLR method is a well-conducted and clear way to bring together what is already known. It helps find trends and holes which are not seen in separate studies. Therefore, it is perfect for acquiring an in-depth knowledge of the extent to which financial risk management strategies affect the performance of Forex trading.</w:t>
      </w:r>
    </w:p>
    <w:p w14:paraId="2E466938" w14:textId="77777777" w:rsidR="001F7D14" w:rsidRPr="00FF6757" w:rsidRDefault="001F7D14" w:rsidP="006B357C">
      <w:pPr>
        <w:ind w:firstLine="720"/>
        <w:rPr>
          <w:rFonts w:ascii="Arial" w:hAnsi="Arial" w:cs="Arial"/>
        </w:rPr>
      </w:pPr>
      <w:r w:rsidRPr="00FF6757">
        <w:rPr>
          <w:rFonts w:ascii="Arial" w:hAnsi="Arial" w:cs="Arial"/>
        </w:rPr>
        <w:t>With this variety, an inductive method allows one to come up with a comprehensive analytical system that is based on empirical evidence. Instead of defining a strict theoretical framework, the analysis draws a comprehension based on the determined outcomes of research and comparative analysis.</w:t>
      </w:r>
    </w:p>
    <w:p w14:paraId="5E3F46DC" w14:textId="77777777" w:rsidR="001F7D14" w:rsidRPr="00FF6757" w:rsidRDefault="001F7D14" w:rsidP="006B357C">
      <w:pPr>
        <w:ind w:firstLine="720"/>
        <w:rPr>
          <w:rFonts w:ascii="Arial" w:hAnsi="Arial" w:cs="Arial"/>
        </w:rPr>
      </w:pPr>
      <w:r w:rsidRPr="00FF6757">
        <w:rPr>
          <w:rFonts w:ascii="Arial" w:hAnsi="Arial" w:cs="Arial"/>
        </w:rPr>
        <w:t>Such a strategy aligns with systematic review methodologies that have been applied in financial research, in which integration and critical synthesis become a necessity to have domains of knowledge to be consolidated (Almeida and Goncalves, 2022a). The inductive orientation thus justifies the aim of the dissertation, which is to correlate organised risk management practices with the results of the Forex trading performance.</w:t>
      </w:r>
    </w:p>
    <w:p w14:paraId="00ABF0EE" w14:textId="77777777" w:rsidR="006B357C" w:rsidRPr="00FF6757" w:rsidRDefault="006B357C" w:rsidP="006B357C">
      <w:pPr>
        <w:ind w:firstLine="720"/>
        <w:rPr>
          <w:rFonts w:ascii="Arial" w:hAnsi="Arial" w:cs="Arial"/>
        </w:rPr>
      </w:pPr>
    </w:p>
    <w:p w14:paraId="3C8E44A2" w14:textId="77777777" w:rsidR="001F7D14" w:rsidRPr="00FF6757" w:rsidRDefault="001F7D14" w:rsidP="006B357C">
      <w:pPr>
        <w:pStyle w:val="Heading2"/>
      </w:pPr>
      <w:bookmarkStart w:id="37" w:name="_Toc228917213"/>
      <w:r w:rsidRPr="00FF6757">
        <w:t>3.4 Research Design: Systematic Literature Review</w:t>
      </w:r>
      <w:bookmarkEnd w:id="37"/>
    </w:p>
    <w:p w14:paraId="258FE765" w14:textId="77777777" w:rsidR="006B357C" w:rsidRPr="00FF6757" w:rsidRDefault="006B357C" w:rsidP="006B357C"/>
    <w:p w14:paraId="38EBC51B" w14:textId="77777777" w:rsidR="001F7D14" w:rsidRPr="00FF6757" w:rsidRDefault="001F7D14" w:rsidP="006B357C">
      <w:pPr>
        <w:ind w:firstLine="720"/>
        <w:rPr>
          <w:rFonts w:ascii="Arial" w:hAnsi="Arial" w:cs="Arial"/>
        </w:rPr>
      </w:pPr>
      <w:r w:rsidRPr="00FF6757">
        <w:rPr>
          <w:rFonts w:ascii="Arial" w:hAnsi="Arial" w:cs="Arial"/>
        </w:rPr>
        <w:t xml:space="preserve">The systematic literature review (SLR) is the research design of this dissertation. One of the aspects was the use of the SLR method that guarantees the transparency, methodological rigour, and systematic synthesis of existing empirical studies. The mechanism of systematic reviews, as compared to narrative reviews, can </w:t>
      </w:r>
      <w:r w:rsidRPr="00FF6757">
        <w:rPr>
          <w:rFonts w:ascii="Arial" w:hAnsi="Arial" w:cs="Arial"/>
        </w:rPr>
        <w:lastRenderedPageBreak/>
        <w:t>be selective and descriptive, reducing the possibility of bias and increasing their replicability with the help of the predetermined search strategy and screening criteria.</w:t>
      </w:r>
    </w:p>
    <w:p w14:paraId="47F576DF" w14:textId="77777777" w:rsidR="001F7D14" w:rsidRPr="00FF6757" w:rsidRDefault="001F7D14" w:rsidP="006B357C">
      <w:pPr>
        <w:ind w:firstLine="720"/>
        <w:rPr>
          <w:rFonts w:ascii="Arial" w:hAnsi="Arial" w:cs="Arial"/>
        </w:rPr>
      </w:pPr>
      <w:r w:rsidRPr="00FF6757">
        <w:rPr>
          <w:rFonts w:ascii="Arial" w:hAnsi="Arial" w:cs="Arial"/>
        </w:rPr>
        <w:t>The systematic reviews have been applied by recent financial studies to summarise the existing research on volatility forecasting and risk management (Almeida and Goncalves, 2022a; Alhattali et al., 2024). Taking into consideration the fast development of econometric modelling, tail-risk estimation and the use of machine learning in Forex markets, a systematic method of reviewing articles is required to combine these efforts in a way that makes sense.</w:t>
      </w:r>
    </w:p>
    <w:p w14:paraId="2EDE2F97" w14:textId="77777777" w:rsidR="001F7D14" w:rsidRPr="00FF6757" w:rsidRDefault="001F7D14" w:rsidP="006B357C">
      <w:pPr>
        <w:ind w:firstLine="720"/>
        <w:rPr>
          <w:rFonts w:ascii="Arial" w:hAnsi="Arial" w:cs="Arial"/>
        </w:rPr>
      </w:pPr>
      <w:r w:rsidRPr="00FF6757">
        <w:rPr>
          <w:rFonts w:ascii="Arial" w:hAnsi="Arial" w:cs="Arial"/>
        </w:rPr>
        <w:t>This review was conducted through the process of identifying the pertinent peer-reviewed studies and new ones, screening them using the selection and inclusion criteria, assessing them in terms of their full-texts, and using the thematic synthesis technique. This is a structured design which enables critical comparison across methodologies and analytical consistency. The literature review framework is systematic to provide a methodologically sound and analytically clear framework for performing a critical evaluation of the performance implications of structured financial risk management practices in a complex Forex trading environment.</w:t>
      </w:r>
    </w:p>
    <w:p w14:paraId="498968B9" w14:textId="77777777" w:rsidR="006B357C" w:rsidRPr="00FF6757" w:rsidRDefault="006B357C" w:rsidP="006B357C">
      <w:pPr>
        <w:ind w:firstLine="720"/>
        <w:rPr>
          <w:rFonts w:ascii="Arial" w:hAnsi="Arial" w:cs="Arial"/>
        </w:rPr>
      </w:pPr>
    </w:p>
    <w:p w14:paraId="1CD480E2" w14:textId="77777777" w:rsidR="001F7D14" w:rsidRPr="00FF6757" w:rsidRDefault="001F7D14" w:rsidP="006B357C">
      <w:pPr>
        <w:pStyle w:val="Heading2"/>
      </w:pPr>
      <w:bookmarkStart w:id="38" w:name="_Toc228917214"/>
      <w:r w:rsidRPr="00FF6757">
        <w:t>3.5 Data Sources and Search Strategy</w:t>
      </w:r>
      <w:bookmarkEnd w:id="38"/>
      <w:r w:rsidRPr="00FF6757">
        <w:t xml:space="preserve"> </w:t>
      </w:r>
    </w:p>
    <w:p w14:paraId="6F8CBDE0" w14:textId="77777777" w:rsidR="006B357C" w:rsidRPr="00FF6757" w:rsidRDefault="006B357C" w:rsidP="006B357C"/>
    <w:p w14:paraId="1F612D74" w14:textId="77777777" w:rsidR="001F7D14" w:rsidRPr="00FF6757" w:rsidRDefault="001F7D14" w:rsidP="006B357C">
      <w:pPr>
        <w:ind w:firstLine="720"/>
        <w:rPr>
          <w:rFonts w:ascii="Arial" w:hAnsi="Arial" w:cs="Arial"/>
        </w:rPr>
      </w:pPr>
      <w:r w:rsidRPr="00FF6757">
        <w:rPr>
          <w:rFonts w:ascii="Arial" w:hAnsi="Arial" w:cs="Arial"/>
        </w:rPr>
        <w:t>The selected academic databases comprised Scopus, ScienceDirect, MDPI and Web of Science and were used to do the literature search. The choice of these databases was based on the ability to access empirical research of high quality and peer-reviewed articles focused on the areas of financial econometrics, risk control, and Forex market analysis. The focus was on studies that had been published since 2020 with the aim of covering the current trends in methodology, especially in machine learning forecasts, and hybrid volatility modelling.</w:t>
      </w:r>
    </w:p>
    <w:p w14:paraId="6E197C53" w14:textId="77777777" w:rsidR="001F7D14" w:rsidRPr="00FF6757" w:rsidRDefault="001F7D14" w:rsidP="006B357C">
      <w:pPr>
        <w:ind w:firstLine="720"/>
        <w:rPr>
          <w:rFonts w:ascii="Arial" w:hAnsi="Arial" w:cs="Arial"/>
        </w:rPr>
      </w:pPr>
      <w:r w:rsidRPr="00FF6757">
        <w:rPr>
          <w:rFonts w:ascii="Arial" w:hAnsi="Arial" w:cs="Arial"/>
        </w:rPr>
        <w:t xml:space="preserve">The search terms were formulated upon the concepts that appeared as major in the literature review and consisted of a combination of phrases that included: foreign exchange risk management, volatility spillovers, Value-at-Risk, exchange rate, expected shortfall, currency markets, machine learning forex forecasting, and hedging effectiveness in currency markets. These keywords indicate prevailing research topics </w:t>
      </w:r>
      <w:r w:rsidRPr="00FF6757">
        <w:rPr>
          <w:rFonts w:ascii="Arial" w:hAnsi="Arial" w:cs="Arial"/>
        </w:rPr>
        <w:lastRenderedPageBreak/>
        <w:t>investigated by Baruník and Křehlík (2021), Jiang, Hu and Yu (2022), and Zhao and Yan (2024), which makes the search strategy in accordance with the research purposes.</w:t>
      </w:r>
    </w:p>
    <w:p w14:paraId="4B22D201" w14:textId="77777777" w:rsidR="006B357C" w:rsidRPr="00FF6757" w:rsidRDefault="006B357C" w:rsidP="006B357C">
      <w:pPr>
        <w:ind w:firstLine="720"/>
        <w:rPr>
          <w:rFonts w:ascii="Arial" w:hAnsi="Arial" w:cs="Arial"/>
        </w:rPr>
      </w:pPr>
    </w:p>
    <w:p w14:paraId="62C37D67" w14:textId="77777777" w:rsidR="001F7D14" w:rsidRPr="00FF6757" w:rsidRDefault="001F7D14" w:rsidP="006B357C">
      <w:pPr>
        <w:pStyle w:val="Heading2"/>
      </w:pPr>
      <w:bookmarkStart w:id="39" w:name="_Toc228917215"/>
      <w:r w:rsidRPr="00FF6757">
        <w:t>3.6 Inclusion, Exclusion and Screening Procedures</w:t>
      </w:r>
      <w:bookmarkEnd w:id="39"/>
    </w:p>
    <w:p w14:paraId="2BE36AD3" w14:textId="77777777" w:rsidR="006B357C" w:rsidRPr="00FF6757" w:rsidRDefault="006B357C" w:rsidP="006B357C"/>
    <w:p w14:paraId="4BAEE53A" w14:textId="77777777" w:rsidR="00463950" w:rsidRPr="00FF6757" w:rsidRDefault="001F7D14" w:rsidP="006B357C">
      <w:pPr>
        <w:ind w:firstLine="720"/>
        <w:rPr>
          <w:rFonts w:ascii="Arial" w:hAnsi="Arial" w:cs="Arial"/>
        </w:rPr>
      </w:pPr>
      <w:r w:rsidRPr="00FF6757">
        <w:rPr>
          <w:rFonts w:ascii="Arial" w:hAnsi="Arial" w:cs="Arial"/>
        </w:rPr>
        <w:t>In order to retain analytical rigour, there were predetermined inclusion and exclusion criteria which were in place before the screening process was done. It was only in studies that are peer-reviewed, empirical articles that research on currency markets and volatility modelling, spillover effects, measurement of risks, forecasting techniques, or hedging procedures. Studies needed to be done to be able to show methodological soundness and offer strict implications on the risks or performance results.</w:t>
      </w:r>
    </w:p>
    <w:p w14:paraId="4AE209AA" w14:textId="2A31985D" w:rsidR="001F7D14" w:rsidRPr="00FF6757" w:rsidRDefault="001F7D14" w:rsidP="006B357C">
      <w:pPr>
        <w:ind w:firstLine="720"/>
        <w:rPr>
          <w:rFonts w:ascii="Arial" w:hAnsi="Arial" w:cs="Arial"/>
        </w:rPr>
      </w:pPr>
      <w:r w:rsidRPr="00FF6757">
        <w:rPr>
          <w:rFonts w:ascii="Arial" w:hAnsi="Arial" w:cs="Arial"/>
        </w:rPr>
        <w:t>Only peer-reviewed studies that contained no theoretical studies, only the theory without empirical validation, or those that were irrelevant to currency markets were shunned. Screening of articles in terms of titles and abstracts was done to remove irrelevant articles after initial identification of the relevant articles. The assessment was then done through full-text in order to assess the methodological quality, relevance and empirical robustness. Special focus was put on the articles which explore the concept of connectedness modelling using advanced models (Baruník and Křehlík, 2021), tail-risk forecasting (Jiang et al., 2022), and hybrid models (Nsengiyumva, Mung’atu and Ruranga, 2025).</w:t>
      </w:r>
    </w:p>
    <w:p w14:paraId="44862191" w14:textId="77777777" w:rsidR="006B357C" w:rsidRPr="00FF6757" w:rsidRDefault="006B357C" w:rsidP="006B357C">
      <w:pPr>
        <w:ind w:firstLine="720"/>
        <w:rPr>
          <w:rFonts w:ascii="Arial" w:hAnsi="Arial" w:cs="Arial"/>
        </w:rPr>
      </w:pPr>
    </w:p>
    <w:tbl>
      <w:tblPr>
        <w:tblStyle w:val="TableGrid"/>
        <w:tblW w:w="0" w:type="auto"/>
        <w:tblLook w:val="04A0" w:firstRow="1" w:lastRow="0" w:firstColumn="1" w:lastColumn="0" w:noHBand="0" w:noVBand="1"/>
      </w:tblPr>
      <w:tblGrid>
        <w:gridCol w:w="2405"/>
        <w:gridCol w:w="4253"/>
        <w:gridCol w:w="2358"/>
      </w:tblGrid>
      <w:tr w:rsidR="001F7D14" w:rsidRPr="00FF6757" w14:paraId="30D92B79" w14:textId="77777777" w:rsidTr="00184C92">
        <w:tc>
          <w:tcPr>
            <w:tcW w:w="2405" w:type="dxa"/>
            <w:hideMark/>
          </w:tcPr>
          <w:p w14:paraId="5C998E1B" w14:textId="77777777" w:rsidR="001F7D14" w:rsidRPr="00FF6757" w:rsidRDefault="001F7D14" w:rsidP="006B357C">
            <w:pPr>
              <w:rPr>
                <w:rFonts w:ascii="Arial" w:hAnsi="Arial" w:cs="Arial"/>
                <w:b/>
                <w:bCs/>
              </w:rPr>
            </w:pPr>
            <w:r w:rsidRPr="00FF6757">
              <w:rPr>
                <w:rFonts w:ascii="Arial" w:hAnsi="Arial" w:cs="Arial"/>
                <w:b/>
                <w:bCs/>
              </w:rPr>
              <w:t>Stage</w:t>
            </w:r>
          </w:p>
        </w:tc>
        <w:tc>
          <w:tcPr>
            <w:tcW w:w="4253" w:type="dxa"/>
            <w:hideMark/>
          </w:tcPr>
          <w:p w14:paraId="09ED94D4" w14:textId="77777777" w:rsidR="001F7D14" w:rsidRPr="00FF6757" w:rsidRDefault="001F7D14" w:rsidP="006B357C">
            <w:pPr>
              <w:rPr>
                <w:rFonts w:ascii="Arial" w:hAnsi="Arial" w:cs="Arial"/>
                <w:b/>
                <w:bCs/>
              </w:rPr>
            </w:pPr>
            <w:r w:rsidRPr="00FF6757">
              <w:rPr>
                <w:rFonts w:ascii="Arial" w:hAnsi="Arial" w:cs="Arial"/>
                <w:b/>
                <w:bCs/>
              </w:rPr>
              <w:t>Description</w:t>
            </w:r>
          </w:p>
        </w:tc>
        <w:tc>
          <w:tcPr>
            <w:tcW w:w="2358" w:type="dxa"/>
            <w:hideMark/>
          </w:tcPr>
          <w:p w14:paraId="7A733585" w14:textId="77777777" w:rsidR="001F7D14" w:rsidRPr="00FF6757" w:rsidRDefault="001F7D14" w:rsidP="006B357C">
            <w:pPr>
              <w:rPr>
                <w:rFonts w:ascii="Arial" w:hAnsi="Arial" w:cs="Arial"/>
                <w:b/>
                <w:bCs/>
              </w:rPr>
            </w:pPr>
            <w:r w:rsidRPr="00FF6757">
              <w:rPr>
                <w:rFonts w:ascii="Arial" w:hAnsi="Arial" w:cs="Arial"/>
                <w:b/>
                <w:bCs/>
              </w:rPr>
              <w:t>Number of Studies</w:t>
            </w:r>
          </w:p>
        </w:tc>
      </w:tr>
      <w:tr w:rsidR="001F7D14" w:rsidRPr="00FF6757" w14:paraId="2C417F8F" w14:textId="77777777" w:rsidTr="00184C92">
        <w:tc>
          <w:tcPr>
            <w:tcW w:w="2405" w:type="dxa"/>
            <w:hideMark/>
          </w:tcPr>
          <w:p w14:paraId="16659A0D" w14:textId="77777777" w:rsidR="001F7D14" w:rsidRPr="00FF6757" w:rsidRDefault="001F7D14" w:rsidP="006B357C">
            <w:pPr>
              <w:rPr>
                <w:rFonts w:ascii="Arial" w:hAnsi="Arial" w:cs="Arial"/>
              </w:rPr>
            </w:pPr>
            <w:r w:rsidRPr="00FF6757">
              <w:rPr>
                <w:rFonts w:ascii="Arial" w:hAnsi="Arial" w:cs="Arial"/>
              </w:rPr>
              <w:t>Initial Identification</w:t>
            </w:r>
          </w:p>
        </w:tc>
        <w:tc>
          <w:tcPr>
            <w:tcW w:w="4253" w:type="dxa"/>
            <w:hideMark/>
          </w:tcPr>
          <w:p w14:paraId="52D39713" w14:textId="77777777" w:rsidR="001F7D14" w:rsidRPr="00FF6757" w:rsidRDefault="001F7D14" w:rsidP="006B357C">
            <w:pPr>
              <w:rPr>
                <w:rFonts w:ascii="Arial" w:hAnsi="Arial" w:cs="Arial"/>
              </w:rPr>
            </w:pPr>
            <w:r w:rsidRPr="00FF6757">
              <w:rPr>
                <w:rFonts w:ascii="Arial" w:hAnsi="Arial" w:cs="Arial"/>
              </w:rPr>
              <w:t>Records identified through database search</w:t>
            </w:r>
          </w:p>
        </w:tc>
        <w:tc>
          <w:tcPr>
            <w:tcW w:w="2358" w:type="dxa"/>
            <w:hideMark/>
          </w:tcPr>
          <w:p w14:paraId="1A579024" w14:textId="77777777" w:rsidR="001F7D14" w:rsidRPr="00FF6757" w:rsidRDefault="001F7D14" w:rsidP="006B357C">
            <w:pPr>
              <w:jc w:val="center"/>
              <w:rPr>
                <w:rFonts w:ascii="Arial" w:hAnsi="Arial" w:cs="Arial"/>
              </w:rPr>
            </w:pPr>
            <w:r w:rsidRPr="00FF6757">
              <w:rPr>
                <w:rFonts w:ascii="Arial" w:hAnsi="Arial" w:cs="Arial"/>
              </w:rPr>
              <w:t>215</w:t>
            </w:r>
          </w:p>
        </w:tc>
      </w:tr>
      <w:tr w:rsidR="001F7D14" w:rsidRPr="00FF6757" w14:paraId="2E6E12E9" w14:textId="77777777" w:rsidTr="00184C92">
        <w:tc>
          <w:tcPr>
            <w:tcW w:w="2405" w:type="dxa"/>
            <w:hideMark/>
          </w:tcPr>
          <w:p w14:paraId="67C7598D" w14:textId="77777777" w:rsidR="001F7D14" w:rsidRPr="00FF6757" w:rsidRDefault="001F7D14" w:rsidP="006B357C">
            <w:pPr>
              <w:rPr>
                <w:rFonts w:ascii="Arial" w:hAnsi="Arial" w:cs="Arial"/>
              </w:rPr>
            </w:pPr>
            <w:r w:rsidRPr="00FF6757">
              <w:rPr>
                <w:rFonts w:ascii="Arial" w:hAnsi="Arial" w:cs="Arial"/>
              </w:rPr>
              <w:t>Duplicate Removal</w:t>
            </w:r>
          </w:p>
        </w:tc>
        <w:tc>
          <w:tcPr>
            <w:tcW w:w="4253" w:type="dxa"/>
            <w:hideMark/>
          </w:tcPr>
          <w:p w14:paraId="65C376CC" w14:textId="77777777" w:rsidR="001F7D14" w:rsidRPr="00FF6757" w:rsidRDefault="001F7D14" w:rsidP="006B357C">
            <w:pPr>
              <w:rPr>
                <w:rFonts w:ascii="Arial" w:hAnsi="Arial" w:cs="Arial"/>
              </w:rPr>
            </w:pPr>
            <w:r w:rsidRPr="00FF6757">
              <w:rPr>
                <w:rFonts w:ascii="Arial" w:hAnsi="Arial" w:cs="Arial"/>
              </w:rPr>
              <w:t>Duplicate records removed</w:t>
            </w:r>
          </w:p>
        </w:tc>
        <w:tc>
          <w:tcPr>
            <w:tcW w:w="2358" w:type="dxa"/>
            <w:hideMark/>
          </w:tcPr>
          <w:p w14:paraId="16B164A0" w14:textId="77777777" w:rsidR="001F7D14" w:rsidRPr="00FF6757" w:rsidRDefault="001F7D14" w:rsidP="006B357C">
            <w:pPr>
              <w:jc w:val="center"/>
              <w:rPr>
                <w:rFonts w:ascii="Arial" w:hAnsi="Arial" w:cs="Arial"/>
              </w:rPr>
            </w:pPr>
            <w:r w:rsidRPr="00FF6757">
              <w:rPr>
                <w:rFonts w:ascii="Arial" w:hAnsi="Arial" w:cs="Arial"/>
              </w:rPr>
              <w:t>32</w:t>
            </w:r>
          </w:p>
        </w:tc>
      </w:tr>
      <w:tr w:rsidR="001F7D14" w:rsidRPr="00FF6757" w14:paraId="362AE9AA" w14:textId="77777777" w:rsidTr="00184C92">
        <w:tc>
          <w:tcPr>
            <w:tcW w:w="2405" w:type="dxa"/>
            <w:hideMark/>
          </w:tcPr>
          <w:p w14:paraId="4FD844BE" w14:textId="77777777" w:rsidR="001F7D14" w:rsidRPr="00FF6757" w:rsidRDefault="001F7D14" w:rsidP="006B357C">
            <w:pPr>
              <w:jc w:val="left"/>
              <w:rPr>
                <w:rFonts w:ascii="Arial" w:hAnsi="Arial" w:cs="Arial"/>
              </w:rPr>
            </w:pPr>
            <w:r w:rsidRPr="00FF6757">
              <w:rPr>
                <w:rFonts w:ascii="Arial" w:hAnsi="Arial" w:cs="Arial"/>
              </w:rPr>
              <w:t>Title &amp; Abstract Screening</w:t>
            </w:r>
          </w:p>
        </w:tc>
        <w:tc>
          <w:tcPr>
            <w:tcW w:w="4253" w:type="dxa"/>
            <w:hideMark/>
          </w:tcPr>
          <w:p w14:paraId="36D20D88" w14:textId="77777777" w:rsidR="001F7D14" w:rsidRPr="00FF6757" w:rsidRDefault="001F7D14" w:rsidP="006B357C">
            <w:pPr>
              <w:rPr>
                <w:rFonts w:ascii="Arial" w:hAnsi="Arial" w:cs="Arial"/>
              </w:rPr>
            </w:pPr>
            <w:r w:rsidRPr="00FF6757">
              <w:rPr>
                <w:rFonts w:ascii="Arial" w:hAnsi="Arial" w:cs="Arial"/>
              </w:rPr>
              <w:t>Irrelevant or non-Forex studies excluded</w:t>
            </w:r>
          </w:p>
        </w:tc>
        <w:tc>
          <w:tcPr>
            <w:tcW w:w="2358" w:type="dxa"/>
            <w:hideMark/>
          </w:tcPr>
          <w:p w14:paraId="335DF273" w14:textId="77777777" w:rsidR="001F7D14" w:rsidRPr="00FF6757" w:rsidRDefault="001F7D14" w:rsidP="006B357C">
            <w:pPr>
              <w:jc w:val="center"/>
              <w:rPr>
                <w:rFonts w:ascii="Arial" w:hAnsi="Arial" w:cs="Arial"/>
              </w:rPr>
            </w:pPr>
            <w:r w:rsidRPr="00FF6757">
              <w:rPr>
                <w:rFonts w:ascii="Arial" w:hAnsi="Arial" w:cs="Arial"/>
              </w:rPr>
              <w:t>98</w:t>
            </w:r>
          </w:p>
        </w:tc>
      </w:tr>
      <w:tr w:rsidR="001F7D14" w:rsidRPr="00FF6757" w14:paraId="22F11194" w14:textId="77777777" w:rsidTr="00184C92">
        <w:tc>
          <w:tcPr>
            <w:tcW w:w="2405" w:type="dxa"/>
            <w:hideMark/>
          </w:tcPr>
          <w:p w14:paraId="2752E7F7" w14:textId="77777777" w:rsidR="001F7D14" w:rsidRPr="00FF6757" w:rsidRDefault="001F7D14" w:rsidP="006B357C">
            <w:pPr>
              <w:rPr>
                <w:rFonts w:ascii="Arial" w:hAnsi="Arial" w:cs="Arial"/>
              </w:rPr>
            </w:pPr>
            <w:r w:rsidRPr="00FF6757">
              <w:rPr>
                <w:rFonts w:ascii="Arial" w:hAnsi="Arial" w:cs="Arial"/>
              </w:rPr>
              <w:t>Full-Text Assessment</w:t>
            </w:r>
          </w:p>
        </w:tc>
        <w:tc>
          <w:tcPr>
            <w:tcW w:w="4253" w:type="dxa"/>
            <w:hideMark/>
          </w:tcPr>
          <w:p w14:paraId="3299B3F7" w14:textId="77777777" w:rsidR="001F7D14" w:rsidRPr="00FF6757" w:rsidRDefault="001F7D14" w:rsidP="006B357C">
            <w:pPr>
              <w:rPr>
                <w:rFonts w:ascii="Arial" w:hAnsi="Arial" w:cs="Arial"/>
              </w:rPr>
            </w:pPr>
            <w:r w:rsidRPr="00FF6757">
              <w:rPr>
                <w:rFonts w:ascii="Arial" w:hAnsi="Arial" w:cs="Arial"/>
              </w:rPr>
              <w:t>Studies assessed for methodological relevance</w:t>
            </w:r>
          </w:p>
        </w:tc>
        <w:tc>
          <w:tcPr>
            <w:tcW w:w="2358" w:type="dxa"/>
            <w:hideMark/>
          </w:tcPr>
          <w:p w14:paraId="4D99DE46" w14:textId="77777777" w:rsidR="001F7D14" w:rsidRPr="00FF6757" w:rsidRDefault="001F7D14" w:rsidP="006B357C">
            <w:pPr>
              <w:jc w:val="center"/>
              <w:rPr>
                <w:rFonts w:ascii="Arial" w:hAnsi="Arial" w:cs="Arial"/>
              </w:rPr>
            </w:pPr>
            <w:r w:rsidRPr="00FF6757">
              <w:rPr>
                <w:rFonts w:ascii="Arial" w:hAnsi="Arial" w:cs="Arial"/>
              </w:rPr>
              <w:t>85</w:t>
            </w:r>
          </w:p>
        </w:tc>
      </w:tr>
      <w:tr w:rsidR="001F7D14" w:rsidRPr="00FF6757" w14:paraId="645DD407" w14:textId="77777777" w:rsidTr="00184C92">
        <w:tc>
          <w:tcPr>
            <w:tcW w:w="2405" w:type="dxa"/>
            <w:hideMark/>
          </w:tcPr>
          <w:p w14:paraId="153C0EB2" w14:textId="77777777" w:rsidR="001F7D14" w:rsidRPr="00FF6757" w:rsidRDefault="001F7D14" w:rsidP="006B357C">
            <w:pPr>
              <w:rPr>
                <w:rFonts w:ascii="Arial" w:hAnsi="Arial" w:cs="Arial"/>
              </w:rPr>
            </w:pPr>
            <w:r w:rsidRPr="00FF6757">
              <w:rPr>
                <w:rFonts w:ascii="Arial" w:hAnsi="Arial" w:cs="Arial"/>
              </w:rPr>
              <w:lastRenderedPageBreak/>
              <w:t>Final Included Studies</w:t>
            </w:r>
          </w:p>
        </w:tc>
        <w:tc>
          <w:tcPr>
            <w:tcW w:w="4253" w:type="dxa"/>
            <w:hideMark/>
          </w:tcPr>
          <w:p w14:paraId="3C0C716B" w14:textId="77777777" w:rsidR="001F7D14" w:rsidRPr="00FF6757" w:rsidRDefault="001F7D14" w:rsidP="006B357C">
            <w:pPr>
              <w:rPr>
                <w:rFonts w:ascii="Arial" w:hAnsi="Arial" w:cs="Arial"/>
              </w:rPr>
            </w:pPr>
            <w:r w:rsidRPr="00FF6757">
              <w:rPr>
                <w:rFonts w:ascii="Arial" w:hAnsi="Arial" w:cs="Arial"/>
              </w:rPr>
              <w:t>Empirical studies meeting the inclusion criteria</w:t>
            </w:r>
          </w:p>
        </w:tc>
        <w:tc>
          <w:tcPr>
            <w:tcW w:w="2358" w:type="dxa"/>
            <w:hideMark/>
          </w:tcPr>
          <w:p w14:paraId="4467FCE6" w14:textId="77777777" w:rsidR="001F7D14" w:rsidRPr="00FF6757" w:rsidRDefault="001F7D14" w:rsidP="006B357C">
            <w:pPr>
              <w:keepNext/>
              <w:jc w:val="center"/>
              <w:rPr>
                <w:rFonts w:ascii="Arial" w:hAnsi="Arial" w:cs="Arial"/>
              </w:rPr>
            </w:pPr>
            <w:r w:rsidRPr="00FF6757">
              <w:rPr>
                <w:rFonts w:ascii="Arial" w:hAnsi="Arial" w:cs="Arial"/>
              </w:rPr>
              <w:t>70</w:t>
            </w:r>
          </w:p>
        </w:tc>
      </w:tr>
    </w:tbl>
    <w:p w14:paraId="7E9BED87" w14:textId="4871643F" w:rsidR="001F7D14" w:rsidRPr="00FF6757" w:rsidRDefault="001F7D14" w:rsidP="001F7D14">
      <w:pPr>
        <w:pStyle w:val="Caption"/>
        <w:spacing w:line="360" w:lineRule="auto"/>
        <w:jc w:val="center"/>
        <w:rPr>
          <w:rFonts w:ascii="Arial" w:hAnsi="Arial" w:cs="Arial"/>
          <w:sz w:val="24"/>
          <w:szCs w:val="24"/>
        </w:rPr>
      </w:pPr>
      <w:bookmarkStart w:id="40" w:name="_Toc222946976"/>
      <w:r w:rsidRPr="00FF6757">
        <w:rPr>
          <w:rFonts w:ascii="Arial" w:hAnsi="Arial" w:cs="Arial"/>
          <w:sz w:val="24"/>
          <w:szCs w:val="24"/>
        </w:rPr>
        <w:t xml:space="preserve">Table </w:t>
      </w:r>
      <w:r w:rsidRPr="00FF6757">
        <w:rPr>
          <w:rFonts w:ascii="Arial" w:hAnsi="Arial" w:cs="Arial"/>
          <w:sz w:val="24"/>
          <w:szCs w:val="24"/>
        </w:rPr>
        <w:fldChar w:fldCharType="begin"/>
      </w:r>
      <w:r w:rsidRPr="00FF6757">
        <w:rPr>
          <w:rFonts w:ascii="Arial" w:hAnsi="Arial" w:cs="Arial"/>
          <w:sz w:val="24"/>
          <w:szCs w:val="24"/>
        </w:rPr>
        <w:instrText xml:space="preserve"> SEQ Table \* ARABIC </w:instrText>
      </w:r>
      <w:r w:rsidRPr="00FF6757">
        <w:rPr>
          <w:rFonts w:ascii="Arial" w:hAnsi="Arial" w:cs="Arial"/>
          <w:sz w:val="24"/>
          <w:szCs w:val="24"/>
        </w:rPr>
        <w:fldChar w:fldCharType="separate"/>
      </w:r>
      <w:r w:rsidRPr="00FF6757">
        <w:rPr>
          <w:rFonts w:ascii="Arial" w:hAnsi="Arial" w:cs="Arial"/>
          <w:sz w:val="24"/>
          <w:szCs w:val="24"/>
        </w:rPr>
        <w:t>1</w:t>
      </w:r>
      <w:r w:rsidRPr="00FF6757">
        <w:rPr>
          <w:rFonts w:ascii="Arial" w:hAnsi="Arial" w:cs="Arial"/>
          <w:sz w:val="24"/>
          <w:szCs w:val="24"/>
        </w:rPr>
        <w:fldChar w:fldCharType="end"/>
      </w:r>
      <w:r w:rsidRPr="00FF6757">
        <w:rPr>
          <w:rFonts w:ascii="Arial" w:hAnsi="Arial" w:cs="Arial"/>
          <w:sz w:val="24"/>
          <w:szCs w:val="24"/>
        </w:rPr>
        <w:t>: Study Selection and Screening Process</w:t>
      </w:r>
      <w:bookmarkEnd w:id="40"/>
    </w:p>
    <w:p w14:paraId="454AF186" w14:textId="67207320" w:rsidR="00B007C0" w:rsidRPr="00FF6757" w:rsidRDefault="00B007C0" w:rsidP="00B007C0">
      <w:pPr>
        <w:spacing w:after="0"/>
        <w:jc w:val="center"/>
        <w:rPr>
          <w:rFonts w:ascii="Arial" w:hAnsi="Arial" w:cs="Arial"/>
          <w:i/>
          <w:iCs/>
          <w:sz w:val="20"/>
          <w:szCs w:val="20"/>
        </w:rPr>
      </w:pPr>
      <w:r w:rsidRPr="00FF6757">
        <w:rPr>
          <w:rFonts w:ascii="Arial" w:hAnsi="Arial" w:cs="Arial"/>
          <w:i/>
          <w:iCs/>
          <w:sz w:val="20"/>
          <w:szCs w:val="20"/>
        </w:rPr>
        <w:t>(Source: Mung’atu and Ruranga, 2025)</w:t>
      </w:r>
    </w:p>
    <w:p w14:paraId="48D7E676" w14:textId="77777777" w:rsidR="00B007C0" w:rsidRPr="00FF6757" w:rsidRDefault="00B007C0" w:rsidP="00B007C0">
      <w:pPr>
        <w:rPr>
          <w:rFonts w:ascii="Arial" w:hAnsi="Arial" w:cs="Arial"/>
        </w:rPr>
      </w:pPr>
    </w:p>
    <w:p w14:paraId="7DE857F4" w14:textId="77777777" w:rsidR="00463950" w:rsidRPr="00FF6757" w:rsidRDefault="00463950" w:rsidP="00463950">
      <w:pPr>
        <w:keepNext/>
        <w:jc w:val="center"/>
      </w:pPr>
      <w:r w:rsidRPr="00FF6757">
        <w:rPr>
          <w:noProof/>
        </w:rPr>
        <w:drawing>
          <wp:inline distT="0" distB="0" distL="0" distR="0" wp14:anchorId="22756364" wp14:editId="242F864A">
            <wp:extent cx="3981449" cy="2362200"/>
            <wp:effectExtent l="19050" t="19050" r="19685" b="19050"/>
            <wp:docPr id="1840288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88047" name=""/>
                    <pic:cNvPicPr/>
                  </pic:nvPicPr>
                  <pic:blipFill>
                    <a:blip r:embed="rId8"/>
                    <a:stretch>
                      <a:fillRect/>
                    </a:stretch>
                  </pic:blipFill>
                  <pic:spPr>
                    <a:xfrm>
                      <a:off x="0" y="0"/>
                      <a:ext cx="3999167" cy="2372712"/>
                    </a:xfrm>
                    <a:prstGeom prst="rect">
                      <a:avLst/>
                    </a:prstGeom>
                    <a:ln>
                      <a:solidFill>
                        <a:schemeClr val="tx1"/>
                      </a:solidFill>
                    </a:ln>
                  </pic:spPr>
                </pic:pic>
              </a:graphicData>
            </a:graphic>
          </wp:inline>
        </w:drawing>
      </w:r>
    </w:p>
    <w:p w14:paraId="23A3114F" w14:textId="5FE6AD50" w:rsidR="00321E9B" w:rsidRPr="00FF6757" w:rsidRDefault="00463950" w:rsidP="00321E9B">
      <w:pPr>
        <w:pStyle w:val="Caption"/>
        <w:jc w:val="center"/>
        <w:rPr>
          <w:rFonts w:ascii="Arial" w:hAnsi="Arial" w:cs="Arial"/>
          <w:sz w:val="24"/>
          <w:szCs w:val="24"/>
        </w:rPr>
      </w:pPr>
      <w:bookmarkStart w:id="41" w:name="_Toc222947493"/>
      <w:r w:rsidRPr="00FF6757">
        <w:rPr>
          <w:rFonts w:ascii="Arial" w:hAnsi="Arial" w:cs="Arial"/>
          <w:sz w:val="24"/>
          <w:szCs w:val="24"/>
        </w:rPr>
        <w:t xml:space="preserve">Figure </w:t>
      </w:r>
      <w:r w:rsidR="00C161DB" w:rsidRPr="00FF6757">
        <w:rPr>
          <w:rFonts w:ascii="Arial" w:hAnsi="Arial" w:cs="Arial"/>
          <w:sz w:val="24"/>
          <w:szCs w:val="24"/>
        </w:rPr>
        <w:fldChar w:fldCharType="begin"/>
      </w:r>
      <w:r w:rsidR="00C161DB" w:rsidRPr="00FF6757">
        <w:rPr>
          <w:rFonts w:ascii="Arial" w:hAnsi="Arial" w:cs="Arial"/>
          <w:sz w:val="24"/>
          <w:szCs w:val="24"/>
        </w:rPr>
        <w:instrText xml:space="preserve"> SEQ Figure \* ARABIC </w:instrText>
      </w:r>
      <w:r w:rsidR="00C161DB" w:rsidRPr="00FF6757">
        <w:rPr>
          <w:rFonts w:ascii="Arial" w:hAnsi="Arial" w:cs="Arial"/>
          <w:sz w:val="24"/>
          <w:szCs w:val="24"/>
        </w:rPr>
        <w:fldChar w:fldCharType="separate"/>
      </w:r>
      <w:r w:rsidR="00C161DB" w:rsidRPr="00FF6757">
        <w:rPr>
          <w:rFonts w:ascii="Arial" w:hAnsi="Arial" w:cs="Arial"/>
          <w:sz w:val="24"/>
          <w:szCs w:val="24"/>
        </w:rPr>
        <w:t>1</w:t>
      </w:r>
      <w:r w:rsidR="00C161DB" w:rsidRPr="00FF6757">
        <w:rPr>
          <w:rFonts w:ascii="Arial" w:hAnsi="Arial" w:cs="Arial"/>
          <w:sz w:val="24"/>
          <w:szCs w:val="24"/>
        </w:rPr>
        <w:fldChar w:fldCharType="end"/>
      </w:r>
      <w:r w:rsidRPr="00FF6757">
        <w:rPr>
          <w:rFonts w:ascii="Arial" w:hAnsi="Arial" w:cs="Arial"/>
          <w:sz w:val="24"/>
          <w:szCs w:val="24"/>
        </w:rPr>
        <w:t>: PRISMA Framework Study Selection Process</w:t>
      </w:r>
      <w:bookmarkEnd w:id="41"/>
    </w:p>
    <w:p w14:paraId="524DE153" w14:textId="2DA25A5D" w:rsidR="006B357C" w:rsidRPr="00FF6757" w:rsidRDefault="00321E9B" w:rsidP="00B007C0">
      <w:pPr>
        <w:pStyle w:val="Caption"/>
        <w:jc w:val="center"/>
        <w:rPr>
          <w:rFonts w:ascii="Arial" w:hAnsi="Arial" w:cs="Arial"/>
          <w:sz w:val="20"/>
          <w:szCs w:val="20"/>
        </w:rPr>
      </w:pPr>
      <w:r w:rsidRPr="00FF6757">
        <w:rPr>
          <w:rFonts w:ascii="Arial" w:hAnsi="Arial" w:cs="Arial"/>
          <w:sz w:val="20"/>
          <w:szCs w:val="20"/>
        </w:rPr>
        <w:t xml:space="preserve">(Source: </w:t>
      </w:r>
      <w:r w:rsidR="00B007C0" w:rsidRPr="00FF6757">
        <w:rPr>
          <w:rFonts w:ascii="Arial" w:hAnsi="Arial" w:cs="Arial"/>
          <w:sz w:val="20"/>
          <w:szCs w:val="20"/>
        </w:rPr>
        <w:t>Mung’atu and Ruranga, 2025</w:t>
      </w:r>
      <w:r w:rsidRPr="00FF6757">
        <w:rPr>
          <w:rFonts w:ascii="Arial" w:hAnsi="Arial" w:cs="Arial"/>
          <w:sz w:val="20"/>
          <w:szCs w:val="20"/>
        </w:rPr>
        <w:t>)</w:t>
      </w:r>
    </w:p>
    <w:p w14:paraId="71734EE6" w14:textId="77777777" w:rsidR="00B007C0" w:rsidRPr="00FF6757" w:rsidRDefault="00B007C0" w:rsidP="00B007C0"/>
    <w:p w14:paraId="3EF43DD8" w14:textId="77777777" w:rsidR="001F7D14" w:rsidRPr="00FF6757" w:rsidRDefault="001F7D14" w:rsidP="006B357C">
      <w:pPr>
        <w:pStyle w:val="Heading2"/>
      </w:pPr>
      <w:bookmarkStart w:id="42" w:name="_Toc228917216"/>
      <w:r w:rsidRPr="00FF6757">
        <w:t>3.7 Data Extraction and Analytical Framework</w:t>
      </w:r>
      <w:bookmarkEnd w:id="42"/>
      <w:r w:rsidRPr="00FF6757">
        <w:t xml:space="preserve"> </w:t>
      </w:r>
    </w:p>
    <w:p w14:paraId="1CEEAFDF" w14:textId="77777777" w:rsidR="006B357C" w:rsidRPr="00FF6757" w:rsidRDefault="006B357C" w:rsidP="006B357C"/>
    <w:p w14:paraId="3AF54D3A" w14:textId="77777777" w:rsidR="001F7D14" w:rsidRPr="00FF6757" w:rsidRDefault="001F7D14" w:rsidP="006B357C">
      <w:pPr>
        <w:ind w:firstLine="720"/>
        <w:rPr>
          <w:rFonts w:ascii="Arial" w:hAnsi="Arial" w:cs="Arial"/>
        </w:rPr>
      </w:pPr>
      <w:r w:rsidRPr="00FF6757">
        <w:rPr>
          <w:rFonts w:ascii="Arial" w:hAnsi="Arial" w:cs="Arial"/>
        </w:rPr>
        <w:t>To guarantee the consistency of the selection process of the reviewed studies, a structured data extraction template was created. The articles were analysed as to their objective of research, data, modelling approaches, validation processes, measurement of risks, and the reported implications on performance. Such a methodical systematisation of their retrieval made cross-study comparison/reduced interpretive bias easier.</w:t>
      </w:r>
    </w:p>
    <w:p w14:paraId="58DA3625" w14:textId="77777777" w:rsidR="00463950" w:rsidRPr="00FF6757" w:rsidRDefault="00463950" w:rsidP="00463950">
      <w:pPr>
        <w:keepNext/>
      </w:pPr>
      <w:r w:rsidRPr="00FF6757">
        <w:rPr>
          <w:noProof/>
        </w:rPr>
        <w:lastRenderedPageBreak/>
        <w:drawing>
          <wp:inline distT="0" distB="0" distL="0" distR="0" wp14:anchorId="51F11E99" wp14:editId="2A2FA45B">
            <wp:extent cx="5731510" cy="2450465"/>
            <wp:effectExtent l="19050" t="19050" r="21590" b="26035"/>
            <wp:docPr id="1901487753" name="Picture 3" descr="Hybrid GARCH-LSTM Forecasting for Foreign Exchange Ri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ybrid GARCH-LSTM Forecasting for Foreign Exchange Ris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50465"/>
                    </a:xfrm>
                    <a:prstGeom prst="rect">
                      <a:avLst/>
                    </a:prstGeom>
                    <a:noFill/>
                    <a:ln>
                      <a:solidFill>
                        <a:schemeClr val="tx1"/>
                      </a:solidFill>
                    </a:ln>
                  </pic:spPr>
                </pic:pic>
              </a:graphicData>
            </a:graphic>
          </wp:inline>
        </w:drawing>
      </w:r>
    </w:p>
    <w:p w14:paraId="068B2A3B" w14:textId="0D37C45A" w:rsidR="00B438F2" w:rsidRPr="00FF6757" w:rsidRDefault="00463950" w:rsidP="00463950">
      <w:pPr>
        <w:pStyle w:val="Caption"/>
        <w:jc w:val="center"/>
        <w:rPr>
          <w:rFonts w:ascii="Arial" w:hAnsi="Arial" w:cs="Arial"/>
          <w:sz w:val="24"/>
          <w:szCs w:val="24"/>
        </w:rPr>
      </w:pPr>
      <w:bookmarkStart w:id="43" w:name="_Toc222947494"/>
      <w:r w:rsidRPr="00FF6757">
        <w:rPr>
          <w:rFonts w:ascii="Arial" w:hAnsi="Arial" w:cs="Arial"/>
          <w:sz w:val="24"/>
          <w:szCs w:val="24"/>
        </w:rPr>
        <w:t xml:space="preserve">Figure </w:t>
      </w:r>
      <w:r w:rsidR="00C161DB" w:rsidRPr="00FF6757">
        <w:rPr>
          <w:rFonts w:ascii="Arial" w:hAnsi="Arial" w:cs="Arial"/>
          <w:sz w:val="24"/>
          <w:szCs w:val="24"/>
        </w:rPr>
        <w:fldChar w:fldCharType="begin"/>
      </w:r>
      <w:r w:rsidR="00C161DB" w:rsidRPr="00FF6757">
        <w:rPr>
          <w:rFonts w:ascii="Arial" w:hAnsi="Arial" w:cs="Arial"/>
          <w:sz w:val="24"/>
          <w:szCs w:val="24"/>
        </w:rPr>
        <w:instrText xml:space="preserve"> SEQ Figure \* ARABIC </w:instrText>
      </w:r>
      <w:r w:rsidR="00C161DB" w:rsidRPr="00FF6757">
        <w:rPr>
          <w:rFonts w:ascii="Arial" w:hAnsi="Arial" w:cs="Arial"/>
          <w:sz w:val="24"/>
          <w:szCs w:val="24"/>
        </w:rPr>
        <w:fldChar w:fldCharType="separate"/>
      </w:r>
      <w:r w:rsidR="00C161DB" w:rsidRPr="00FF6757">
        <w:rPr>
          <w:rFonts w:ascii="Arial" w:hAnsi="Arial" w:cs="Arial"/>
          <w:sz w:val="24"/>
          <w:szCs w:val="24"/>
        </w:rPr>
        <w:t>2</w:t>
      </w:r>
      <w:r w:rsidR="00C161DB" w:rsidRPr="00FF6757">
        <w:rPr>
          <w:rFonts w:ascii="Arial" w:hAnsi="Arial" w:cs="Arial"/>
          <w:sz w:val="24"/>
          <w:szCs w:val="24"/>
        </w:rPr>
        <w:fldChar w:fldCharType="end"/>
      </w:r>
      <w:r w:rsidRPr="00FF6757">
        <w:rPr>
          <w:rFonts w:ascii="Arial" w:hAnsi="Arial" w:cs="Arial"/>
          <w:sz w:val="24"/>
          <w:szCs w:val="24"/>
        </w:rPr>
        <w:t>: Hybrid GARCH–LSTM Framework for VaR Forecasting</w:t>
      </w:r>
      <w:bookmarkEnd w:id="43"/>
    </w:p>
    <w:p w14:paraId="465BFC76" w14:textId="736FA980" w:rsidR="00463950" w:rsidRPr="00FF6757" w:rsidRDefault="00B438F2" w:rsidP="00463950">
      <w:pPr>
        <w:pStyle w:val="Caption"/>
        <w:jc w:val="center"/>
        <w:rPr>
          <w:rFonts w:ascii="Arial" w:hAnsi="Arial" w:cs="Arial"/>
          <w:sz w:val="20"/>
          <w:szCs w:val="20"/>
        </w:rPr>
      </w:pPr>
      <w:r w:rsidRPr="00FF6757">
        <w:rPr>
          <w:rFonts w:ascii="Arial" w:hAnsi="Arial" w:cs="Arial"/>
          <w:sz w:val="20"/>
          <w:szCs w:val="20"/>
        </w:rPr>
        <w:t>(Source: Nsengiyumva, Mung’atu and Ruranga, 2025)</w:t>
      </w:r>
    </w:p>
    <w:p w14:paraId="3180CFB0" w14:textId="77777777" w:rsidR="006B357C" w:rsidRPr="00FF6757" w:rsidRDefault="006B357C" w:rsidP="001F7D14">
      <w:pPr>
        <w:rPr>
          <w:rFonts w:ascii="Arial" w:hAnsi="Arial" w:cs="Arial"/>
        </w:rPr>
      </w:pPr>
    </w:p>
    <w:p w14:paraId="6FA08807" w14:textId="10CA0725" w:rsidR="001F7D14" w:rsidRPr="00FF6757" w:rsidRDefault="001F7D14" w:rsidP="006B357C">
      <w:pPr>
        <w:ind w:firstLine="720"/>
        <w:rPr>
          <w:rFonts w:ascii="Arial" w:hAnsi="Arial" w:cs="Arial"/>
        </w:rPr>
      </w:pPr>
      <w:r w:rsidRPr="00FF6757">
        <w:rPr>
          <w:rFonts w:ascii="Arial" w:hAnsi="Arial" w:cs="Arial"/>
        </w:rPr>
        <w:t>The thematic classification put in place studies that fit under the thematic areas of volatility modelling, spillover and connectedness analysis, risk quantification techniques, machine learning forecasting, and hedging effectiveness. Then comparative synthesis was used to determine convergence, divergence and gaps over these domains. Instead of paying particular attention to the statistical accuracy, one was also concerned with the methods used to assess whether the methods contributed to the enhancement of the results of the risk-adjusted trading. The thematic integration made possible the creation of a performance-based synthesis, which is compatible with the main aim of the dissertation.</w:t>
      </w:r>
    </w:p>
    <w:tbl>
      <w:tblPr>
        <w:tblStyle w:val="TableGrid"/>
        <w:tblW w:w="0" w:type="auto"/>
        <w:tblLook w:val="04A0" w:firstRow="1" w:lastRow="0" w:firstColumn="1" w:lastColumn="0" w:noHBand="0" w:noVBand="1"/>
      </w:tblPr>
      <w:tblGrid>
        <w:gridCol w:w="1843"/>
        <w:gridCol w:w="2880"/>
        <w:gridCol w:w="2283"/>
        <w:gridCol w:w="2010"/>
      </w:tblGrid>
      <w:tr w:rsidR="001F7D14" w:rsidRPr="00FF6757" w14:paraId="3FB80770" w14:textId="77777777" w:rsidTr="00184C92">
        <w:tc>
          <w:tcPr>
            <w:tcW w:w="0" w:type="auto"/>
            <w:hideMark/>
          </w:tcPr>
          <w:p w14:paraId="45D0F240"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Thematic Domain</w:t>
            </w:r>
          </w:p>
        </w:tc>
        <w:tc>
          <w:tcPr>
            <w:tcW w:w="0" w:type="auto"/>
            <w:hideMark/>
          </w:tcPr>
          <w:p w14:paraId="7BEA4DF9"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Key Authors</w:t>
            </w:r>
          </w:p>
        </w:tc>
        <w:tc>
          <w:tcPr>
            <w:tcW w:w="0" w:type="auto"/>
            <w:hideMark/>
          </w:tcPr>
          <w:p w14:paraId="66BE49A8"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Core Focus</w:t>
            </w:r>
          </w:p>
        </w:tc>
        <w:tc>
          <w:tcPr>
            <w:tcW w:w="0" w:type="auto"/>
            <w:hideMark/>
          </w:tcPr>
          <w:p w14:paraId="2D1CAA25"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Performance Relevance</w:t>
            </w:r>
          </w:p>
        </w:tc>
      </w:tr>
      <w:tr w:rsidR="001F7D14" w:rsidRPr="00FF6757" w14:paraId="60DEFF4B" w14:textId="77777777" w:rsidTr="00184C92">
        <w:tc>
          <w:tcPr>
            <w:tcW w:w="0" w:type="auto"/>
            <w:hideMark/>
          </w:tcPr>
          <w:p w14:paraId="12021DCB"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Volatility Modelling</w:t>
            </w:r>
          </w:p>
        </w:tc>
        <w:tc>
          <w:tcPr>
            <w:tcW w:w="0" w:type="auto"/>
            <w:hideMark/>
          </w:tcPr>
          <w:p w14:paraId="763DC0DF"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Baruník &amp; Křehlík (2021); Fathi et al. (2024)</w:t>
            </w:r>
          </w:p>
        </w:tc>
        <w:tc>
          <w:tcPr>
            <w:tcW w:w="0" w:type="auto"/>
            <w:hideMark/>
          </w:tcPr>
          <w:p w14:paraId="3A1D19D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Dynamic connectedness; fractal volatility</w:t>
            </w:r>
          </w:p>
        </w:tc>
        <w:tc>
          <w:tcPr>
            <w:tcW w:w="0" w:type="auto"/>
            <w:hideMark/>
          </w:tcPr>
          <w:p w14:paraId="0974CCBC"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Identifies systemic spillover exposure</w:t>
            </w:r>
          </w:p>
        </w:tc>
      </w:tr>
      <w:tr w:rsidR="001F7D14" w:rsidRPr="00FF6757" w14:paraId="7E0D9BC7" w14:textId="77777777" w:rsidTr="00184C92">
        <w:tc>
          <w:tcPr>
            <w:tcW w:w="0" w:type="auto"/>
            <w:hideMark/>
          </w:tcPr>
          <w:p w14:paraId="65F4C68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Risk Measurement</w:t>
            </w:r>
          </w:p>
        </w:tc>
        <w:tc>
          <w:tcPr>
            <w:tcW w:w="0" w:type="auto"/>
            <w:hideMark/>
          </w:tcPr>
          <w:p w14:paraId="7A70DA31"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Jiang et al. (2022); Blom et al. (2023)</w:t>
            </w:r>
          </w:p>
        </w:tc>
        <w:tc>
          <w:tcPr>
            <w:tcW w:w="0" w:type="auto"/>
            <w:hideMark/>
          </w:tcPr>
          <w:p w14:paraId="566F8FFF"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VaR, ES, expectile models</w:t>
            </w:r>
          </w:p>
        </w:tc>
        <w:tc>
          <w:tcPr>
            <w:tcW w:w="0" w:type="auto"/>
            <w:hideMark/>
          </w:tcPr>
          <w:p w14:paraId="10F40FC4"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Improves downside risk estimation</w:t>
            </w:r>
          </w:p>
        </w:tc>
      </w:tr>
      <w:tr w:rsidR="001F7D14" w:rsidRPr="00FF6757" w14:paraId="67BA60F5" w14:textId="77777777" w:rsidTr="00184C92">
        <w:tc>
          <w:tcPr>
            <w:tcW w:w="0" w:type="auto"/>
            <w:hideMark/>
          </w:tcPr>
          <w:p w14:paraId="6B1E2FBB"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Machine Learning Forecasting</w:t>
            </w:r>
          </w:p>
        </w:tc>
        <w:tc>
          <w:tcPr>
            <w:tcW w:w="0" w:type="auto"/>
            <w:hideMark/>
          </w:tcPr>
          <w:p w14:paraId="0019FE51"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Ayitey Junior et al. (2023); Zhao &amp; Yan (2024); Nsengiyumva et al. (2025)</w:t>
            </w:r>
          </w:p>
        </w:tc>
        <w:tc>
          <w:tcPr>
            <w:tcW w:w="0" w:type="auto"/>
            <w:hideMark/>
          </w:tcPr>
          <w:p w14:paraId="003E13C4"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Hybrid GARCH-LSTM; Transformers</w:t>
            </w:r>
          </w:p>
        </w:tc>
        <w:tc>
          <w:tcPr>
            <w:tcW w:w="0" w:type="auto"/>
            <w:hideMark/>
          </w:tcPr>
          <w:p w14:paraId="6888EB5E"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Enhances predictive accuracy</w:t>
            </w:r>
          </w:p>
        </w:tc>
      </w:tr>
      <w:tr w:rsidR="001F7D14" w:rsidRPr="00FF6757" w14:paraId="2A0F3619" w14:textId="77777777" w:rsidTr="00184C92">
        <w:tc>
          <w:tcPr>
            <w:tcW w:w="0" w:type="auto"/>
            <w:hideMark/>
          </w:tcPr>
          <w:p w14:paraId="742679D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lastRenderedPageBreak/>
              <w:t>Hedging Strategies</w:t>
            </w:r>
          </w:p>
        </w:tc>
        <w:tc>
          <w:tcPr>
            <w:tcW w:w="0" w:type="auto"/>
            <w:hideMark/>
          </w:tcPr>
          <w:p w14:paraId="031CD0A0"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Reyad et al. (2022); Zakaria (2023)</w:t>
            </w:r>
          </w:p>
        </w:tc>
        <w:tc>
          <w:tcPr>
            <w:tcW w:w="0" w:type="auto"/>
            <w:hideMark/>
          </w:tcPr>
          <w:p w14:paraId="037C4180"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Derivative usage; regime-sensitive hedging</w:t>
            </w:r>
          </w:p>
        </w:tc>
        <w:tc>
          <w:tcPr>
            <w:tcW w:w="0" w:type="auto"/>
            <w:hideMark/>
          </w:tcPr>
          <w:p w14:paraId="50E987E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Reduces volatility exposure</w:t>
            </w:r>
          </w:p>
        </w:tc>
      </w:tr>
      <w:tr w:rsidR="001F7D14" w:rsidRPr="00FF6757" w14:paraId="376EE423" w14:textId="77777777" w:rsidTr="00184C92">
        <w:tc>
          <w:tcPr>
            <w:tcW w:w="0" w:type="auto"/>
            <w:hideMark/>
          </w:tcPr>
          <w:p w14:paraId="249B2670"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Behavioural Governance</w:t>
            </w:r>
          </w:p>
        </w:tc>
        <w:tc>
          <w:tcPr>
            <w:tcW w:w="0" w:type="auto"/>
            <w:hideMark/>
          </w:tcPr>
          <w:p w14:paraId="6F1E69DB"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Chen et al. (2021); Liu et al. (2022)</w:t>
            </w:r>
          </w:p>
        </w:tc>
        <w:tc>
          <w:tcPr>
            <w:tcW w:w="0" w:type="auto"/>
            <w:hideMark/>
          </w:tcPr>
          <w:p w14:paraId="7CCFE839"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Sentiment; risk tolerance alignment</w:t>
            </w:r>
          </w:p>
        </w:tc>
        <w:tc>
          <w:tcPr>
            <w:tcW w:w="0" w:type="auto"/>
            <w:hideMark/>
          </w:tcPr>
          <w:p w14:paraId="4F0CC1AD" w14:textId="77777777" w:rsidR="001F7D14" w:rsidRPr="00FF6757" w:rsidRDefault="001F7D14" w:rsidP="001F7D14">
            <w:pPr>
              <w:keepNext/>
              <w:spacing w:after="160"/>
              <w:rPr>
                <w:rFonts w:ascii="Arial" w:hAnsi="Arial" w:cs="Arial"/>
                <w:sz w:val="20"/>
                <w:szCs w:val="20"/>
              </w:rPr>
            </w:pPr>
            <w:r w:rsidRPr="00FF6757">
              <w:rPr>
                <w:rFonts w:ascii="Arial" w:hAnsi="Arial" w:cs="Arial"/>
                <w:sz w:val="20"/>
                <w:szCs w:val="20"/>
              </w:rPr>
              <w:t>Supports disciplined execution</w:t>
            </w:r>
          </w:p>
        </w:tc>
      </w:tr>
    </w:tbl>
    <w:p w14:paraId="3432E7D6" w14:textId="77777777" w:rsidR="001F7D14" w:rsidRPr="00FF6757" w:rsidRDefault="001F7D14" w:rsidP="001F7D14">
      <w:pPr>
        <w:pStyle w:val="Caption"/>
        <w:spacing w:line="360" w:lineRule="auto"/>
        <w:jc w:val="center"/>
        <w:rPr>
          <w:rFonts w:ascii="Arial" w:hAnsi="Arial" w:cs="Arial"/>
          <w:sz w:val="24"/>
          <w:szCs w:val="24"/>
        </w:rPr>
      </w:pPr>
      <w:bookmarkStart w:id="44" w:name="_Toc222946977"/>
      <w:r w:rsidRPr="00FF6757">
        <w:rPr>
          <w:rFonts w:ascii="Arial" w:hAnsi="Arial" w:cs="Arial"/>
          <w:sz w:val="24"/>
          <w:szCs w:val="24"/>
        </w:rPr>
        <w:t xml:space="preserve">Table </w:t>
      </w:r>
      <w:r w:rsidRPr="00FF6757">
        <w:rPr>
          <w:rFonts w:ascii="Arial" w:hAnsi="Arial" w:cs="Arial"/>
          <w:sz w:val="24"/>
          <w:szCs w:val="24"/>
        </w:rPr>
        <w:fldChar w:fldCharType="begin"/>
      </w:r>
      <w:r w:rsidRPr="00FF6757">
        <w:rPr>
          <w:rFonts w:ascii="Arial" w:hAnsi="Arial" w:cs="Arial"/>
          <w:sz w:val="24"/>
          <w:szCs w:val="24"/>
        </w:rPr>
        <w:instrText xml:space="preserve"> SEQ Table \* ARABIC </w:instrText>
      </w:r>
      <w:r w:rsidRPr="00FF6757">
        <w:rPr>
          <w:rFonts w:ascii="Arial" w:hAnsi="Arial" w:cs="Arial"/>
          <w:sz w:val="24"/>
          <w:szCs w:val="24"/>
        </w:rPr>
        <w:fldChar w:fldCharType="separate"/>
      </w:r>
      <w:r w:rsidRPr="00FF6757">
        <w:rPr>
          <w:rFonts w:ascii="Arial" w:hAnsi="Arial" w:cs="Arial"/>
          <w:sz w:val="24"/>
          <w:szCs w:val="24"/>
        </w:rPr>
        <w:t>2</w:t>
      </w:r>
      <w:r w:rsidRPr="00FF6757">
        <w:rPr>
          <w:rFonts w:ascii="Arial" w:hAnsi="Arial" w:cs="Arial"/>
          <w:sz w:val="24"/>
          <w:szCs w:val="24"/>
        </w:rPr>
        <w:fldChar w:fldCharType="end"/>
      </w:r>
      <w:r w:rsidRPr="00FF6757">
        <w:rPr>
          <w:rFonts w:ascii="Arial" w:hAnsi="Arial" w:cs="Arial"/>
          <w:sz w:val="24"/>
          <w:szCs w:val="24"/>
        </w:rPr>
        <w:t>: Thematic Classification of Reviewed Studies</w:t>
      </w:r>
      <w:bookmarkEnd w:id="44"/>
    </w:p>
    <w:p w14:paraId="571E516B" w14:textId="77777777" w:rsidR="00B007C0" w:rsidRPr="00FF6757" w:rsidRDefault="00B007C0" w:rsidP="00B007C0"/>
    <w:p w14:paraId="1FF4BD68" w14:textId="77777777" w:rsidR="001F7D14" w:rsidRPr="00FF6757" w:rsidRDefault="001F7D14" w:rsidP="006B357C">
      <w:pPr>
        <w:pStyle w:val="Heading2"/>
      </w:pPr>
      <w:bookmarkStart w:id="45" w:name="_Toc228917217"/>
      <w:r w:rsidRPr="00FF6757">
        <w:t>3.8 Quality Assessment</w:t>
      </w:r>
      <w:bookmarkEnd w:id="45"/>
      <w:r w:rsidRPr="00FF6757">
        <w:t xml:space="preserve"> </w:t>
      </w:r>
    </w:p>
    <w:p w14:paraId="31886EF8" w14:textId="77777777" w:rsidR="006B357C" w:rsidRPr="00FF6757" w:rsidRDefault="006B357C" w:rsidP="006B357C"/>
    <w:p w14:paraId="0B130F42" w14:textId="77777777" w:rsidR="001F7D14" w:rsidRPr="00FF6757" w:rsidRDefault="001F7D14" w:rsidP="006B357C">
      <w:pPr>
        <w:ind w:firstLine="720"/>
        <w:rPr>
          <w:rFonts w:ascii="Arial" w:hAnsi="Arial" w:cs="Arial"/>
        </w:rPr>
      </w:pPr>
      <w:r w:rsidRPr="00FF6757">
        <w:rPr>
          <w:rFonts w:ascii="Arial" w:hAnsi="Arial" w:cs="Arial"/>
        </w:rPr>
        <w:t>The process of quality assessment was as strict as possible in order to make sure that only methodologically strong and empirically plausible investigations were used in the process of synthesis. Each of them was reviewed according to the clearly set rules, such as the sample appropriateness, research design transparency, the appropriateness of econometric or machine learning methods, robustness testing, and clarity of reported findings. Special consideration was placed on whether research was out-of-sample tested, tested during a crisis period and sensitivity testing because the aspects are critical in gauging the accuracy of the financial risk model.</w:t>
      </w:r>
    </w:p>
    <w:p w14:paraId="753D0D99" w14:textId="3BFEF5D7" w:rsidR="001F7D14" w:rsidRPr="00FF6757" w:rsidRDefault="00AF5267" w:rsidP="006B357C">
      <w:pPr>
        <w:ind w:firstLine="720"/>
        <w:rPr>
          <w:rFonts w:ascii="Arial" w:hAnsi="Arial" w:cs="Arial"/>
        </w:rPr>
      </w:pPr>
      <w:r w:rsidRPr="00FF6757">
        <w:rPr>
          <w:rFonts w:ascii="Arial" w:hAnsi="Arial" w:cs="Arial"/>
        </w:rPr>
        <w:t>As an example, the articles that use frequency-domain connectedness models (Baruník and Křehlík, 2021) and models of tail-risk estimation in the future (Jiang, Hu and Yu, 2022) were regarded as high-quality contributions due to their high-quality cheques of robustness and the overall coverage of the empirical analysis. Likewise, GARCH-LSTM-based studies evaluated the problem of hybrid research, like GARCH-LSTM (Nsengiyumva, Mung’atu and Ruranga, 2025), GRM, and the validity of the validation process. By contrast, the results of studies that had not been actually validated were approached with suspicion when they solely used in-sample results.</w:t>
      </w:r>
    </w:p>
    <w:p w14:paraId="423F9062" w14:textId="7067E974" w:rsidR="001F7D14" w:rsidRPr="00FF6757" w:rsidRDefault="00AF5267" w:rsidP="001F7D14">
      <w:pPr>
        <w:rPr>
          <w:rFonts w:ascii="Arial" w:hAnsi="Arial" w:cs="Arial"/>
        </w:rPr>
      </w:pPr>
      <w:r w:rsidRPr="00FF6757">
        <w:rPr>
          <w:rFonts w:ascii="Arial" w:hAnsi="Arial" w:cs="Arial"/>
        </w:rPr>
        <w:t>This systematic quality checking process made sure that synthesis taken at the end was more empirical and methodological in nature than simply novel in nature thus enhancing the academic soundness of the dissertation.</w:t>
      </w:r>
    </w:p>
    <w:p w14:paraId="14F77BF8" w14:textId="77777777" w:rsidR="006B357C" w:rsidRPr="00FF6757" w:rsidRDefault="006B357C" w:rsidP="001F7D14">
      <w:pPr>
        <w:rPr>
          <w:rFonts w:ascii="Arial" w:hAnsi="Arial" w:cs="Arial"/>
        </w:rPr>
      </w:pPr>
    </w:p>
    <w:p w14:paraId="4BCD9AA3" w14:textId="77777777" w:rsidR="00B007C0" w:rsidRPr="00FF6757" w:rsidRDefault="00B007C0" w:rsidP="001F7D14">
      <w:pPr>
        <w:rPr>
          <w:rFonts w:ascii="Arial" w:hAnsi="Arial" w:cs="Arial"/>
        </w:rPr>
      </w:pPr>
    </w:p>
    <w:p w14:paraId="1B92C55D" w14:textId="77777777" w:rsidR="001F7D14" w:rsidRPr="00FF6757" w:rsidRDefault="001F7D14" w:rsidP="006B357C">
      <w:pPr>
        <w:pStyle w:val="Heading2"/>
      </w:pPr>
      <w:bookmarkStart w:id="46" w:name="_Toc228917218"/>
      <w:r w:rsidRPr="00FF6757">
        <w:lastRenderedPageBreak/>
        <w:t>3.9 Reliability</w:t>
      </w:r>
      <w:bookmarkEnd w:id="46"/>
    </w:p>
    <w:p w14:paraId="55CA7C16" w14:textId="77777777" w:rsidR="006B357C" w:rsidRPr="00FF6757" w:rsidRDefault="006B357C" w:rsidP="006B357C"/>
    <w:p w14:paraId="68AA3861" w14:textId="77777777" w:rsidR="001F7D14" w:rsidRPr="00FF6757" w:rsidRDefault="001F7D14" w:rsidP="006B357C">
      <w:pPr>
        <w:ind w:firstLine="720"/>
        <w:rPr>
          <w:rFonts w:ascii="Arial" w:hAnsi="Arial" w:cs="Arial"/>
        </w:rPr>
      </w:pPr>
      <w:r w:rsidRPr="00FF6757">
        <w:rPr>
          <w:rFonts w:ascii="Arial" w:hAnsi="Arial" w:cs="Arial"/>
        </w:rPr>
        <w:t>Reliability means the consistency and replicability of the research exercise. The reliability in this study was enhanced by the fact that all the stages of the review were subjected to clear and systematic use of predefined procedures. The search strategies, database selection strategies, and inclusion and exclusion criteria are well documented, hence making the review replicable by other researchers. Using the keywords and screening procedures that it employed, the study will minimise the level of ambiguity and improve the level of transparency in the procedure.</w:t>
      </w:r>
    </w:p>
    <w:p w14:paraId="6541D8E6" w14:textId="77777777" w:rsidR="001F7D14" w:rsidRPr="00FF6757" w:rsidRDefault="001F7D14" w:rsidP="006B357C">
      <w:pPr>
        <w:ind w:firstLine="720"/>
        <w:rPr>
          <w:rFonts w:ascii="Arial" w:hAnsi="Arial" w:cs="Arial"/>
        </w:rPr>
      </w:pPr>
      <w:r w:rsidRPr="00FF6757">
        <w:rPr>
          <w:rFonts w:ascii="Arial" w:hAnsi="Arial" w:cs="Arial"/>
        </w:rPr>
        <w:t>Moreover, the data extraction step was done consistently by the use of a structured template that included similar variables in the different studies, such as research objectives, methodologies, validation procedures, and performance implications. This methodology reduced subjectivity and compared the treatment of the chosen works of literature in a similar manner.</w:t>
      </w:r>
    </w:p>
    <w:p w14:paraId="2A2ACC78" w14:textId="77777777" w:rsidR="001F7D14" w:rsidRPr="00FF6757" w:rsidRDefault="001F7D14" w:rsidP="006B357C">
      <w:pPr>
        <w:ind w:firstLine="720"/>
        <w:rPr>
          <w:rFonts w:ascii="Arial" w:hAnsi="Arial" w:cs="Arial"/>
        </w:rPr>
      </w:pPr>
      <w:r w:rsidRPr="00FF6757">
        <w:rPr>
          <w:rFonts w:ascii="Arial" w:hAnsi="Arial" w:cs="Arial"/>
        </w:rPr>
        <w:t>Whereas in the qualitative synthesis, the interpretative judgement is intrinsic, methodological consistency minimises bias in the researcher and increases the validity of the results. The systematic review of the literature choice thus offers a valid starting point to incorporate the different contributions of the empirical knowledge of the field of Forex risk management.</w:t>
      </w:r>
    </w:p>
    <w:p w14:paraId="3611E764" w14:textId="77777777" w:rsidR="006B357C" w:rsidRPr="00FF6757" w:rsidRDefault="006B357C" w:rsidP="006B357C">
      <w:pPr>
        <w:ind w:firstLine="720"/>
        <w:rPr>
          <w:rFonts w:ascii="Arial" w:hAnsi="Arial" w:cs="Arial"/>
        </w:rPr>
      </w:pPr>
    </w:p>
    <w:p w14:paraId="46F2D410" w14:textId="77777777" w:rsidR="001F7D14" w:rsidRPr="00FF6757" w:rsidRDefault="001F7D14" w:rsidP="006B357C">
      <w:pPr>
        <w:pStyle w:val="Heading2"/>
      </w:pPr>
      <w:bookmarkStart w:id="47" w:name="_Toc228917219"/>
      <w:r w:rsidRPr="00FF6757">
        <w:t>3.10 Validity</w:t>
      </w:r>
      <w:bookmarkEnd w:id="47"/>
      <w:r w:rsidRPr="00FF6757">
        <w:t xml:space="preserve"> </w:t>
      </w:r>
    </w:p>
    <w:p w14:paraId="76393116" w14:textId="77777777" w:rsidR="006B357C" w:rsidRPr="00FF6757" w:rsidRDefault="006B357C" w:rsidP="006B357C"/>
    <w:p w14:paraId="6CBE33B0" w14:textId="77777777" w:rsidR="001F7D14" w:rsidRPr="00FF6757" w:rsidRDefault="001F7D14" w:rsidP="006B357C">
      <w:pPr>
        <w:ind w:firstLine="720"/>
        <w:rPr>
          <w:rFonts w:ascii="Arial" w:hAnsi="Arial" w:cs="Arial"/>
        </w:rPr>
      </w:pPr>
      <w:r w:rsidRPr="00FF6757">
        <w:rPr>
          <w:rFonts w:ascii="Arial" w:hAnsi="Arial" w:cs="Arial"/>
        </w:rPr>
        <w:t xml:space="preserve">Validity deals with the reliability and correctness of the inferences that have been made in the course of the research. Triangulation between the different methodological paradigms contributes to strengthening the internal validity of the study, which encompasses the econometric volatility modelling, the spillover analysis, the risk quantification framework, and the machine learning forecasting techniques. Using the combination of different empirical viewpoints, the study minimises reliance on one modelling tradition and increases the conceptual strength.   </w:t>
      </w:r>
    </w:p>
    <w:p w14:paraId="57D1EAE3" w14:textId="77777777" w:rsidR="001F7D14" w:rsidRPr="00FF6757" w:rsidRDefault="001F7D14" w:rsidP="006B357C">
      <w:pPr>
        <w:ind w:firstLine="720"/>
        <w:rPr>
          <w:rFonts w:ascii="Arial" w:hAnsi="Arial" w:cs="Arial"/>
        </w:rPr>
      </w:pPr>
      <w:r w:rsidRPr="00FF6757">
        <w:rPr>
          <w:rFonts w:ascii="Arial" w:hAnsi="Arial" w:cs="Arial"/>
        </w:rPr>
        <w:t xml:space="preserve">Construct validity was achieved through the assumption of the same search key words and inclusion criteria, and thematic analysis as related to the objectives of </w:t>
      </w:r>
      <w:r w:rsidRPr="00FF6757">
        <w:rPr>
          <w:rFonts w:ascii="Arial" w:hAnsi="Arial" w:cs="Arial"/>
        </w:rPr>
        <w:lastRenderedPageBreak/>
        <w:t>the research. The study stuck to the same pinch on the interrelation of the structured financial risk management and trading performance results. Also, the synthesis's profitability can be increased with the prioritisation of peer-reviewed and empirically supported studies. All these measures make the methodological framework more valid.</w:t>
      </w:r>
    </w:p>
    <w:p w14:paraId="762E66FA" w14:textId="77777777" w:rsidR="006B357C" w:rsidRPr="00FF6757" w:rsidRDefault="006B357C" w:rsidP="006B357C">
      <w:pPr>
        <w:ind w:firstLine="720"/>
        <w:rPr>
          <w:rFonts w:ascii="Arial" w:hAnsi="Arial" w:cs="Arial"/>
        </w:rPr>
      </w:pPr>
    </w:p>
    <w:p w14:paraId="2B2CDB5C" w14:textId="77777777" w:rsidR="001F7D14" w:rsidRPr="00FF6757" w:rsidRDefault="001F7D14" w:rsidP="006B357C">
      <w:pPr>
        <w:pStyle w:val="Heading2"/>
      </w:pPr>
      <w:bookmarkStart w:id="48" w:name="_Toc228917220"/>
      <w:r w:rsidRPr="00FF6757">
        <w:t>3.11 Ethical Considerations</w:t>
      </w:r>
      <w:bookmarkEnd w:id="48"/>
    </w:p>
    <w:p w14:paraId="1EB7D3E8" w14:textId="77777777" w:rsidR="006B357C" w:rsidRPr="00FF6757" w:rsidRDefault="006B357C" w:rsidP="006B357C"/>
    <w:p w14:paraId="72E82A8A" w14:textId="77777777" w:rsidR="001F7D14" w:rsidRPr="00FF6757" w:rsidRDefault="001F7D14" w:rsidP="006B357C">
      <w:pPr>
        <w:ind w:firstLine="720"/>
        <w:rPr>
          <w:rFonts w:ascii="Arial" w:hAnsi="Arial" w:cs="Arial"/>
        </w:rPr>
      </w:pPr>
      <w:r w:rsidRPr="00FF6757">
        <w:rPr>
          <w:rFonts w:ascii="Arial" w:hAnsi="Arial" w:cs="Arial"/>
        </w:rPr>
        <w:t>This study is anchored on secondary data only through the peer reviewed scholarly studies. No primary data collection among human subjects was implemented, and no proprietary or confidential data in terms of financial situations was explored. In that way, the research is not associated with any privacy, informed consent or data protection risks to participants.</w:t>
      </w:r>
    </w:p>
    <w:p w14:paraId="4FB4F355" w14:textId="77777777" w:rsidR="001F7D14" w:rsidRPr="00FF6757" w:rsidRDefault="001F7D14" w:rsidP="006B357C">
      <w:pPr>
        <w:ind w:firstLine="720"/>
        <w:rPr>
          <w:rFonts w:ascii="Arial" w:hAnsi="Arial" w:cs="Arial"/>
        </w:rPr>
      </w:pPr>
      <w:r w:rsidRPr="00FF6757">
        <w:rPr>
          <w:rFonts w:ascii="Arial" w:hAnsi="Arial" w:cs="Arial"/>
        </w:rPr>
        <w:t>The integrity in ethical matters was upheld by means of proper citation and accurate description of all studies that were referenced. All the sources were critically analysed instead of being picked and chosen to corroborate the conclusions made. The synthesis procedure was to introduce the balanced views, taking into consideration the methodological strengths, as well as the methodological limitations in the reviewed literature.</w:t>
      </w:r>
    </w:p>
    <w:p w14:paraId="6BE7DFD0" w14:textId="77777777" w:rsidR="001F7D14" w:rsidRPr="00FF6757" w:rsidRDefault="001F7D14" w:rsidP="006B357C">
      <w:pPr>
        <w:ind w:firstLine="720"/>
        <w:rPr>
          <w:rFonts w:ascii="Arial" w:hAnsi="Arial" w:cs="Arial"/>
        </w:rPr>
      </w:pPr>
      <w:r w:rsidRPr="00FF6757">
        <w:rPr>
          <w:rFonts w:ascii="Arial" w:hAnsi="Arial" w:cs="Arial"/>
        </w:rPr>
        <w:t>Also, caution was taken against misrepresentation of empirical findings and overstatement of results. Every one of the interpretations is anchored on the reported results of the original authors. The study ensures compliance with the institutional standards of academic integrity and the postgraduate research ethics. The study is ethically responsible in its research process because of transparency, correct attribution, and critical objectivity.</w:t>
      </w:r>
    </w:p>
    <w:p w14:paraId="48AF66D7" w14:textId="77777777" w:rsidR="006B357C" w:rsidRPr="00FF6757" w:rsidRDefault="006B357C" w:rsidP="006B357C">
      <w:pPr>
        <w:ind w:firstLine="720"/>
        <w:rPr>
          <w:rFonts w:ascii="Arial" w:hAnsi="Arial" w:cs="Arial"/>
        </w:rPr>
      </w:pPr>
    </w:p>
    <w:p w14:paraId="398229E5" w14:textId="77777777" w:rsidR="001F7D14" w:rsidRPr="00FF6757" w:rsidRDefault="001F7D14" w:rsidP="006B357C">
      <w:pPr>
        <w:pStyle w:val="Heading2"/>
      </w:pPr>
      <w:bookmarkStart w:id="49" w:name="_Toc228917221"/>
      <w:r w:rsidRPr="00FF6757">
        <w:t>3.12 Methodological Limitations</w:t>
      </w:r>
      <w:bookmarkEnd w:id="49"/>
      <w:r w:rsidRPr="00FF6757">
        <w:t xml:space="preserve"> </w:t>
      </w:r>
    </w:p>
    <w:p w14:paraId="388BF86B" w14:textId="77777777" w:rsidR="006B357C" w:rsidRPr="00FF6757" w:rsidRDefault="006B357C" w:rsidP="006B357C"/>
    <w:p w14:paraId="518E0F6E" w14:textId="08625037" w:rsidR="001F7D14" w:rsidRPr="00FF6757" w:rsidRDefault="001F7D14" w:rsidP="006B357C">
      <w:pPr>
        <w:ind w:firstLine="720"/>
        <w:rPr>
          <w:rFonts w:ascii="Arial" w:hAnsi="Arial" w:cs="Arial"/>
        </w:rPr>
      </w:pPr>
      <w:r w:rsidRPr="00FF6757">
        <w:rPr>
          <w:rFonts w:ascii="Arial" w:hAnsi="Arial" w:cs="Arial"/>
        </w:rPr>
        <w:t xml:space="preserve">Although the design used in the study is systematic and organised, it can be admitted that there are several methodological limitations. First, this might cause </w:t>
      </w:r>
      <w:r w:rsidRPr="00FF6757">
        <w:rPr>
          <w:rFonts w:ascii="Arial" w:hAnsi="Arial" w:cs="Arial"/>
        </w:rPr>
        <w:lastRenderedPageBreak/>
        <w:t xml:space="preserve">publication bias because of the use of published peer-reviewed literature. Empirical studies with statistically significant or novel results have higher chances of publication, whereas studies with insignificant and conflicting results might not get representative publication. </w:t>
      </w:r>
    </w:p>
    <w:p w14:paraId="51F2D59D" w14:textId="77777777" w:rsidR="001F7D14" w:rsidRPr="00FF6757" w:rsidRDefault="001F7D14" w:rsidP="006B357C">
      <w:pPr>
        <w:ind w:firstLine="720"/>
        <w:rPr>
          <w:rFonts w:ascii="Arial" w:hAnsi="Arial" w:cs="Arial"/>
        </w:rPr>
      </w:pPr>
      <w:r w:rsidRPr="00FF6757">
        <w:rPr>
          <w:rFonts w:ascii="Arial" w:hAnsi="Arial" w:cs="Arial"/>
        </w:rPr>
        <w:t>Second, there is considerable heterogeneity among the chosen studies on the analysis of currency pairs, dataset frequencies, time frames of samples and modelling. Variations in the macroeconomic environment, crises and market structure do not permit direct comparability and could influence the overall generalisability of the conclusions. Third, the current high rate of machine learning development and hybrid forecasting model creation implies that the newly emerging techniques might not be thoroughly validated and reviewed by other scholars yet, which may limit the comprehensiveness of the review.</w:t>
      </w:r>
    </w:p>
    <w:p w14:paraId="5DFA5E89" w14:textId="7A8A1D7E" w:rsidR="006B357C" w:rsidRPr="00FF6757" w:rsidRDefault="001F7D14" w:rsidP="00B007C0">
      <w:pPr>
        <w:ind w:firstLine="720"/>
        <w:rPr>
          <w:rFonts w:ascii="Arial" w:hAnsi="Arial" w:cs="Arial"/>
        </w:rPr>
      </w:pPr>
      <w:r w:rsidRPr="00FF6757">
        <w:rPr>
          <w:rFonts w:ascii="Arial" w:hAnsi="Arial" w:cs="Arial"/>
        </w:rPr>
        <w:t>Moreover, primary empirical testing is not used in the study. Its inferences are thus made on systematic synthesis as opposed to quantitative estimation of the same. However, the limitations are addressed by the systematic review framework in the way of being transparent, conducting a critical comparison, and attentively integrating empirical evidence in the framework of recognising regularities in performance-related aspects of conduct, but not being sure of causal links.</w:t>
      </w:r>
    </w:p>
    <w:p w14:paraId="2F78C844" w14:textId="77777777" w:rsidR="006B357C" w:rsidRPr="00FF6757" w:rsidRDefault="006B357C" w:rsidP="006B357C">
      <w:pPr>
        <w:ind w:firstLine="720"/>
        <w:rPr>
          <w:rFonts w:ascii="Arial" w:hAnsi="Arial" w:cs="Arial"/>
        </w:rPr>
      </w:pPr>
    </w:p>
    <w:p w14:paraId="602B3140" w14:textId="77777777" w:rsidR="00E44342" w:rsidRPr="00FF6757" w:rsidRDefault="00E44342" w:rsidP="006B357C">
      <w:pPr>
        <w:pStyle w:val="Heading2"/>
      </w:pPr>
      <w:bookmarkStart w:id="50" w:name="_Toc228917222"/>
      <w:r w:rsidRPr="00FF6757">
        <w:t>3.13 Research Timeline</w:t>
      </w:r>
      <w:bookmarkEnd w:id="50"/>
    </w:p>
    <w:p w14:paraId="2CFB9DC0" w14:textId="77777777" w:rsidR="006B357C" w:rsidRPr="00FF6757" w:rsidRDefault="006B357C" w:rsidP="006B357C"/>
    <w:p w14:paraId="3EA5E0E7" w14:textId="77777777" w:rsidR="00E44342" w:rsidRPr="00FF6757" w:rsidRDefault="00E44342" w:rsidP="006B357C">
      <w:pPr>
        <w:ind w:firstLine="720"/>
        <w:rPr>
          <w:rFonts w:ascii="Arial" w:hAnsi="Arial" w:cs="Arial"/>
        </w:rPr>
      </w:pPr>
      <w:r w:rsidRPr="00FF6757">
        <w:rPr>
          <w:rFonts w:ascii="Arial" w:hAnsi="Arial" w:cs="Arial"/>
        </w:rPr>
        <w:t>In order to meet a systematic development and methodological consistency, the research process was structured into chronological steps over a specific period. The timeline is a measure of the orderly nature of the methodology that was utilised in the literature review process, screening process, thematic analysis, and synthesis of results. Universal scheduling assisted in the depth of analysis, uniformity in screening, and repetitive brokering of chapters.</w:t>
      </w:r>
    </w:p>
    <w:p w14:paraId="70740610" w14:textId="69252723" w:rsidR="006B357C" w:rsidRPr="00FF6757" w:rsidRDefault="00E44342" w:rsidP="004F41A5">
      <w:pPr>
        <w:ind w:firstLine="720"/>
      </w:pPr>
      <w:r w:rsidRPr="00FF6757">
        <w:rPr>
          <w:rFonts w:ascii="Arial" w:hAnsi="Arial" w:cs="Arial"/>
        </w:rPr>
        <w:t>The study was a six-month undertaking, which was sufficient in data-base search process, critical analysis of the empirical research, writing of analysis and reviewing the integrative framework. The stepwise organisation guaranteed the correspondence of the research goals and the dissertation deliverables.</w:t>
      </w:r>
    </w:p>
    <w:p w14:paraId="6DBBE246" w14:textId="5C9AF583" w:rsidR="001F7D14" w:rsidRPr="00FF6757" w:rsidRDefault="001F7D14" w:rsidP="006B357C">
      <w:pPr>
        <w:pStyle w:val="Heading1"/>
        <w:jc w:val="center"/>
      </w:pPr>
      <w:bookmarkStart w:id="51" w:name="_Toc228917223"/>
      <w:r w:rsidRPr="00FF6757">
        <w:lastRenderedPageBreak/>
        <w:t>Chapter 4: Findings and Analysis</w:t>
      </w:r>
      <w:bookmarkEnd w:id="51"/>
    </w:p>
    <w:p w14:paraId="23BB0CF2" w14:textId="77777777" w:rsidR="006B357C" w:rsidRPr="00FF6757" w:rsidRDefault="006B357C" w:rsidP="006B357C"/>
    <w:p w14:paraId="5BE49528" w14:textId="77777777" w:rsidR="001F7D14" w:rsidRPr="00FF6757" w:rsidRDefault="001F7D14" w:rsidP="006B357C">
      <w:pPr>
        <w:pStyle w:val="Heading2"/>
      </w:pPr>
      <w:bookmarkStart w:id="52" w:name="_Toc228917224"/>
      <w:r w:rsidRPr="00FF6757">
        <w:t>4.1 Volatility Dynamics and Systemic Risk Transmission</w:t>
      </w:r>
      <w:bookmarkEnd w:id="52"/>
    </w:p>
    <w:p w14:paraId="1A722D45" w14:textId="77777777" w:rsidR="006B357C" w:rsidRPr="00FF6757" w:rsidRDefault="006B357C" w:rsidP="006B357C"/>
    <w:p w14:paraId="7B241EB0" w14:textId="77777777" w:rsidR="004F41A5" w:rsidRPr="00FF6757" w:rsidRDefault="004F41A5" w:rsidP="004F41A5">
      <w:pPr>
        <w:ind w:firstLine="720"/>
        <w:rPr>
          <w:rFonts w:ascii="Arial" w:hAnsi="Arial" w:cs="Arial"/>
        </w:rPr>
      </w:pPr>
      <w:r w:rsidRPr="00FF6757">
        <w:rPr>
          <w:rFonts w:ascii="Arial" w:hAnsi="Arial" w:cs="Arial"/>
        </w:rPr>
        <w:t>The data suggests that fluctuations in exchange rates in Forex markets are not merely occasional or the result of specific events but are indicative of the ongoing structural features of the financial systems that are globally integrated. Consistent results from empirical works have shown a number of phenomena such as the clustering of volatility, changes in market states, and the spread of influences among different currency markets. For example, connectedness models in the frequency domain reveal that risk transmission varies between short-term and long-term periods, thus exposing the fluctuating character of systemic risk over time (Baruník and Křehlík, 2021). This therefore goes against the regular premises of fixed correlations and implies that Forex risks should be treated as a continuously changing and developing phenomenon.</w:t>
      </w:r>
    </w:p>
    <w:p w14:paraId="33BA3223" w14:textId="77777777" w:rsidR="004F41A5" w:rsidRPr="00FF6757" w:rsidRDefault="004F41A5" w:rsidP="004F41A5">
      <w:pPr>
        <w:ind w:firstLine="720"/>
        <w:rPr>
          <w:rFonts w:ascii="Arial" w:hAnsi="Arial" w:cs="Arial"/>
        </w:rPr>
      </w:pPr>
      <w:r w:rsidRPr="00FF6757">
        <w:rPr>
          <w:rFonts w:ascii="Arial" w:hAnsi="Arial" w:cs="Arial"/>
        </w:rPr>
        <w:t>Besides that, the research focus on global economic factors as major causes of volatility transmission has set the momentum. Whereas, policy uncertainty, geopolitical situations, and financial crises are the factors that significantly increase the frequency of spillovers across different markets, hence leading to the strengthening of the idea that Forex markets are highly interconnected (Huynh, Nasir and Nguyen, 2023). Likewise, findings from European currency markets reveal that the interconnection of volatility tends to increase when there is financial instability, thus showcasing contagion effects which are dependent on market states (Nerantzidis, Stoupos and Tzeremes, 2024).</w:t>
      </w:r>
    </w:p>
    <w:p w14:paraId="09222749" w14:textId="77777777" w:rsidR="004F41A5" w:rsidRPr="00FF6757" w:rsidRDefault="004F41A5" w:rsidP="004F41A5">
      <w:pPr>
        <w:ind w:firstLine="720"/>
        <w:rPr>
          <w:rFonts w:ascii="Arial" w:hAnsi="Arial" w:cs="Arial"/>
        </w:rPr>
      </w:pPr>
      <w:r w:rsidRPr="00FF6757">
        <w:rPr>
          <w:rFonts w:ascii="Arial" w:hAnsi="Arial" w:cs="Arial"/>
        </w:rPr>
        <w:t>The results of these studies pinpoint that the risk involved in trading Forex is not something that only affects a single currency pair but rather is something that gets shaped by larger systemic factors.</w:t>
      </w:r>
    </w:p>
    <w:p w14:paraId="7E49C254" w14:textId="6267C81A" w:rsidR="004F41A5" w:rsidRPr="00FF6757" w:rsidRDefault="004F41A5" w:rsidP="004F41A5">
      <w:pPr>
        <w:ind w:firstLine="720"/>
        <w:rPr>
          <w:rFonts w:ascii="Arial" w:hAnsi="Arial" w:cs="Arial"/>
        </w:rPr>
      </w:pPr>
      <w:r w:rsidRPr="00FF6757">
        <w:rPr>
          <w:rFonts w:ascii="Arial" w:hAnsi="Arial" w:cs="Arial"/>
        </w:rPr>
        <w:t xml:space="preserve">Nonetheless, aside from a substantial analytical input of these models still there are significant defects. An overwhelming proportion of existing researches are </w:t>
      </w:r>
      <w:r w:rsidR="00E95564" w:rsidRPr="00FF6757">
        <w:rPr>
          <w:rFonts w:ascii="Arial" w:hAnsi="Arial" w:cs="Arial"/>
        </w:rPr>
        <w:t>centred</w:t>
      </w:r>
      <w:r w:rsidRPr="00FF6757">
        <w:rPr>
          <w:rFonts w:ascii="Arial" w:hAnsi="Arial" w:cs="Arial"/>
        </w:rPr>
        <w:t xml:space="preserve"> on detecting and quantifying volatility transmission rather than </w:t>
      </w:r>
      <w:r w:rsidR="00E95564" w:rsidRPr="00FF6757">
        <w:rPr>
          <w:rFonts w:ascii="Arial" w:hAnsi="Arial" w:cs="Arial"/>
        </w:rPr>
        <w:t>analysing</w:t>
      </w:r>
      <w:r w:rsidRPr="00FF6757">
        <w:rPr>
          <w:rFonts w:ascii="Arial" w:hAnsi="Arial" w:cs="Arial"/>
        </w:rPr>
        <w:t xml:space="preserve"> its effect on trading performance. Connectedness frameworks, though they are full of insights into </w:t>
      </w:r>
      <w:r w:rsidRPr="00FF6757">
        <w:rPr>
          <w:rFonts w:ascii="Arial" w:hAnsi="Arial" w:cs="Arial"/>
        </w:rPr>
        <w:lastRenderedPageBreak/>
        <w:t>systemic risk, are complicated and quite challenging to factor in the construction of real-world trading strategies. This has led to a disconnect between abstract modelling and ground-level implementation especially for traders who are in need of straightforward and executable risk management tools (Wang, Wu and Zhou, 2022).</w:t>
      </w:r>
    </w:p>
    <w:p w14:paraId="6EB1142A" w14:textId="77777777" w:rsidR="004F41A5" w:rsidRPr="00FF6757" w:rsidRDefault="004F41A5" w:rsidP="004F41A5">
      <w:pPr>
        <w:ind w:firstLine="720"/>
        <w:rPr>
          <w:rFonts w:ascii="Arial" w:hAnsi="Arial" w:cs="Arial"/>
        </w:rPr>
      </w:pPr>
      <w:r w:rsidRPr="00FF6757">
        <w:rPr>
          <w:rFonts w:ascii="Arial" w:hAnsi="Arial" w:cs="Arial"/>
        </w:rPr>
        <w:t>Also, only a few studies offer empirical data to demonstrate how volatility spillover analysis can be directly linked to an increase in risk-adjusted trading results. While it is true that knowledge of systemic risk is necessary, on its own, it will not enable one to make better choices unless it is part of a coherent risk management system (Meng and Chen, 2023).</w:t>
      </w:r>
    </w:p>
    <w:p w14:paraId="0078B60F" w14:textId="77777777" w:rsidR="006B357C" w:rsidRPr="00FF6757" w:rsidRDefault="006B357C" w:rsidP="006B357C">
      <w:pPr>
        <w:ind w:firstLine="720"/>
        <w:rPr>
          <w:rFonts w:ascii="Arial" w:hAnsi="Arial" w:cs="Arial"/>
        </w:rPr>
      </w:pPr>
    </w:p>
    <w:p w14:paraId="793BD82F" w14:textId="77777777" w:rsidR="001F7D14" w:rsidRPr="00FF6757" w:rsidRDefault="001F7D14" w:rsidP="006B357C">
      <w:pPr>
        <w:pStyle w:val="Heading2"/>
      </w:pPr>
      <w:bookmarkStart w:id="53" w:name="_Toc228917225"/>
      <w:r w:rsidRPr="00FF6757">
        <w:t>4.2 Risk Measurement and Tail-Risk Estimation</w:t>
      </w:r>
      <w:bookmarkEnd w:id="53"/>
    </w:p>
    <w:p w14:paraId="7B8C3FB8" w14:textId="77777777" w:rsidR="006B357C" w:rsidRPr="00FF6757" w:rsidRDefault="006B357C" w:rsidP="006B357C"/>
    <w:p w14:paraId="2C9DD322" w14:textId="75C5537C" w:rsidR="004F41A5" w:rsidRPr="00FF6757" w:rsidRDefault="004F41A5" w:rsidP="004F41A5">
      <w:pPr>
        <w:ind w:firstLine="720"/>
        <w:rPr>
          <w:rFonts w:ascii="Arial" w:hAnsi="Arial" w:cs="Arial"/>
        </w:rPr>
      </w:pPr>
      <w:r w:rsidRPr="00FF6757">
        <w:rPr>
          <w:rFonts w:ascii="Arial" w:hAnsi="Arial" w:cs="Arial"/>
        </w:rPr>
        <w:t xml:space="preserve">The results indicate that risk measurement in Forex has changed quite a bit, moving away from just measuring volatility to also looking at extreme risks and market </w:t>
      </w:r>
      <w:r w:rsidR="00E95564" w:rsidRPr="00FF6757">
        <w:rPr>
          <w:rFonts w:ascii="Arial" w:hAnsi="Arial" w:cs="Arial"/>
        </w:rPr>
        <w:t>behaviour</w:t>
      </w:r>
      <w:r w:rsidRPr="00FF6757">
        <w:rPr>
          <w:rFonts w:ascii="Arial" w:hAnsi="Arial" w:cs="Arial"/>
        </w:rPr>
        <w:t xml:space="preserve"> that isn't linear. While Value-at-Risk (VaR) and Expected Shortfall (ES) are still quite popular, recent research shows that better models, especially those using machine learning and expectile-based methods, can more precisely estimate tail risk when returns are not normally distributed (Blom, Petter and Risstad, 2023; Jiang, Hu and Yu, 2022). This is a sign of the literature trend going towards acknowledging extreme events as a very significant aspect of managing financial risks.</w:t>
      </w:r>
    </w:p>
    <w:p w14:paraId="4B271024" w14:textId="77777777" w:rsidR="00FF6757" w:rsidRPr="00FF6757" w:rsidRDefault="004F41A5" w:rsidP="00FF6757">
      <w:pPr>
        <w:ind w:firstLine="720"/>
        <w:rPr>
          <w:rFonts w:ascii="Arial" w:hAnsi="Arial" w:cs="Arial"/>
        </w:rPr>
      </w:pPr>
      <w:r w:rsidRPr="00FF6757">
        <w:rPr>
          <w:rFonts w:ascii="Arial" w:hAnsi="Arial" w:cs="Arial"/>
        </w:rPr>
        <w:t>Moreover, the use of dependence modelling techniques such as copula-based frameworks have greatly contributed to understanding the risk exposure of several markets at the same time. Studies have found that tail dependence gets stronger in times of financial stress, implying that extreme losses happening together across currency pairs and other asset classes are more probable (Arismendi-Zambrano et al., 2022). This puts traditional diversification strategies into question and points out the necessity for more advanced risk measuring tools that consider systemic interconnectedness.</w:t>
      </w:r>
    </w:p>
    <w:p w14:paraId="7D0F2FBB" w14:textId="77777777" w:rsidR="00FF6757" w:rsidRPr="00FF6757" w:rsidRDefault="004F41A5" w:rsidP="00FF6757">
      <w:pPr>
        <w:ind w:firstLine="720"/>
        <w:rPr>
          <w:rFonts w:ascii="Arial" w:hAnsi="Arial" w:cs="Arial"/>
        </w:rPr>
      </w:pPr>
      <w:r w:rsidRPr="00FF6757">
        <w:rPr>
          <w:rFonts w:ascii="Arial" w:hAnsi="Arial" w:cs="Arial"/>
        </w:rPr>
        <w:t xml:space="preserve">On the other hand, the literature shows that, besides the occasional exception, nearly all research work regularly fails to show how new risk estimates influence trading decisions or actual outcomes. The majority of the time, risk models are </w:t>
      </w:r>
      <w:r w:rsidRPr="00FF6757">
        <w:rPr>
          <w:rFonts w:ascii="Arial" w:hAnsi="Arial" w:cs="Arial"/>
        </w:rPr>
        <w:lastRenderedPageBreak/>
        <w:t>assessed based on their ability to predict or fit the data, whereas very few are looked at from the perspective of practical use for exposure management or drawdown reduction (Nsengiyumva, Mung'atu and Ruranga, 2025).</w:t>
      </w:r>
    </w:p>
    <w:p w14:paraId="7E00436A" w14:textId="4AA7196F" w:rsidR="004F41A5" w:rsidRPr="00FF6757" w:rsidRDefault="004F41A5" w:rsidP="00FF6757">
      <w:pPr>
        <w:ind w:firstLine="720"/>
        <w:rPr>
          <w:rFonts w:ascii="Arial" w:hAnsi="Arial" w:cs="Arial"/>
        </w:rPr>
      </w:pPr>
      <w:r w:rsidRPr="00FF6757">
        <w:rPr>
          <w:rFonts w:ascii="Arial" w:hAnsi="Arial" w:cs="Arial"/>
        </w:rPr>
        <w:t>Besides this, complex risk measurement techniques like copula models and machine learning may, on one hand, provide a richer interpretation of the problems at hand, but, on the other hand, they often call for a more powerful computer and specialist knowledge, which may make them less readily available to individual traders.</w:t>
      </w:r>
    </w:p>
    <w:p w14:paraId="07E5E2A6" w14:textId="77777777" w:rsidR="006B357C" w:rsidRPr="00FF6757" w:rsidRDefault="006B357C" w:rsidP="001F7D14">
      <w:pPr>
        <w:rPr>
          <w:rFonts w:ascii="Arial" w:hAnsi="Arial" w:cs="Arial"/>
        </w:rPr>
      </w:pPr>
    </w:p>
    <w:p w14:paraId="19FFD8A1" w14:textId="77777777" w:rsidR="001F7D14" w:rsidRPr="00FF6757" w:rsidRDefault="001F7D14" w:rsidP="006B357C">
      <w:pPr>
        <w:pStyle w:val="Heading2"/>
      </w:pPr>
      <w:bookmarkStart w:id="54" w:name="_Toc228917226"/>
      <w:r w:rsidRPr="00FF6757">
        <w:t>4.3 Forecasting Innovations and Predictive Modelling</w:t>
      </w:r>
      <w:bookmarkEnd w:id="54"/>
    </w:p>
    <w:p w14:paraId="1606F74E" w14:textId="77777777" w:rsidR="006B357C" w:rsidRPr="00FF6757" w:rsidRDefault="006B357C" w:rsidP="006B357C"/>
    <w:p w14:paraId="348EE39F" w14:textId="77777777" w:rsidR="00FF6757" w:rsidRPr="00FF6757" w:rsidRDefault="00FF6757" w:rsidP="00FF6757">
      <w:pPr>
        <w:ind w:firstLine="720"/>
        <w:rPr>
          <w:rFonts w:ascii="Arial" w:hAnsi="Arial" w:cs="Arial"/>
        </w:rPr>
      </w:pPr>
      <w:r w:rsidRPr="00FF6757">
        <w:rPr>
          <w:rFonts w:ascii="Arial" w:hAnsi="Arial" w:cs="Arial"/>
        </w:rPr>
        <w:t>The results reveal a decisive change in Forex research towards the application of machine learning and hybrid econometric models for forecasting exchange rate movements and volatility. In contrast to traditional models such as ARIMA and standard GARCH, machine learning methods, including LSTM networks and transformer-based architectures, show better performance in uncovering nonlinear relationships and complex temporal patterns in financial data (Ayitey Junior et al., 2023; Zhao and Yan, 2024). These methods work best in highly volatile and dynamic market conditions, where linear assumptions of traditional models fail.</w:t>
      </w:r>
    </w:p>
    <w:p w14:paraId="68BF1ED5" w14:textId="44C74C6F" w:rsidR="00FF6757" w:rsidRPr="00FF6757" w:rsidRDefault="00FF6757" w:rsidP="00FF6757">
      <w:pPr>
        <w:ind w:firstLine="720"/>
        <w:rPr>
          <w:rFonts w:ascii="Arial" w:hAnsi="Arial" w:cs="Arial"/>
        </w:rPr>
      </w:pPr>
      <w:r w:rsidRPr="00FF6757">
        <w:rPr>
          <w:rFonts w:ascii="Arial" w:hAnsi="Arial" w:cs="Arial"/>
        </w:rPr>
        <w:t xml:space="preserve">Moreover, hybrid models that merge econometric techniques with machine learning, e.g. GARCH-LSTM, also tremendously improve the predictive accuracy by coupling statistical volatility </w:t>
      </w:r>
      <w:r w:rsidR="00E95564" w:rsidRPr="00FF6757">
        <w:rPr>
          <w:rFonts w:ascii="Arial" w:hAnsi="Arial" w:cs="Arial"/>
        </w:rPr>
        <w:t>modelling</w:t>
      </w:r>
      <w:r w:rsidRPr="00FF6757">
        <w:rPr>
          <w:rFonts w:ascii="Arial" w:hAnsi="Arial" w:cs="Arial"/>
        </w:rPr>
        <w:t xml:space="preserve"> with pattern recognition. This reveals that mixing different methodological approaches may yield a fuller picture of the exchange rate dynamics.</w:t>
      </w:r>
    </w:p>
    <w:p w14:paraId="070EBA95" w14:textId="77777777" w:rsidR="00FF6757" w:rsidRPr="00FF6757" w:rsidRDefault="00FF6757" w:rsidP="00FF6757">
      <w:pPr>
        <w:ind w:firstLine="720"/>
        <w:rPr>
          <w:rFonts w:ascii="Arial" w:hAnsi="Arial" w:cs="Arial"/>
        </w:rPr>
      </w:pPr>
      <w:r w:rsidRPr="00FF6757">
        <w:rPr>
          <w:rFonts w:ascii="Arial" w:hAnsi="Arial" w:cs="Arial"/>
        </w:rPr>
        <w:t xml:space="preserve">Nevertheless, most studies emphasize on predictive accuracy for </w:t>
      </w:r>
      <w:proofErr w:type="spellStart"/>
      <w:r w:rsidRPr="00FF6757">
        <w:rPr>
          <w:rFonts w:ascii="Arial" w:hAnsi="Arial" w:cs="Arial"/>
        </w:rPr>
        <w:t>modeling</w:t>
      </w:r>
      <w:proofErr w:type="spellEnd"/>
      <w:r w:rsidRPr="00FF6757">
        <w:rPr>
          <w:rFonts w:ascii="Arial" w:hAnsi="Arial" w:cs="Arial"/>
        </w:rPr>
        <w:t xml:space="preserve"> purposes only and fail to show convincingly that better forecasts translate into better trading results on a regular basis. Trading profitability is largely affected by non-price-related factors such as transaction costs, execution delays, and leverage management, which may negate the advantages of enhanced prediction (García et al., 2023).</w:t>
      </w:r>
    </w:p>
    <w:p w14:paraId="5B189A81" w14:textId="77777777" w:rsidR="00FF6757" w:rsidRPr="00FF6757" w:rsidRDefault="00FF6757" w:rsidP="00FF6757">
      <w:pPr>
        <w:ind w:firstLine="720"/>
        <w:rPr>
          <w:rFonts w:ascii="Arial" w:hAnsi="Arial" w:cs="Arial"/>
        </w:rPr>
      </w:pPr>
      <w:r w:rsidRPr="00FF6757">
        <w:rPr>
          <w:rFonts w:ascii="Arial" w:hAnsi="Arial" w:cs="Arial"/>
        </w:rPr>
        <w:lastRenderedPageBreak/>
        <w:t>Besides, machine learning-based approaches suffer from issues such as overfitting, lack of explanatory power, and high computational expense. These raise doubts about their dependability and strength, especially during market crashes when assumptions on which models rely may no longer hold. Therefore, whereas forecasting models offer useful avenues for analysis, their success in actual trading activities is not guaranteed.</w:t>
      </w:r>
    </w:p>
    <w:p w14:paraId="4E9C4F24" w14:textId="77777777" w:rsidR="006B357C" w:rsidRPr="00FF6757" w:rsidRDefault="006B357C" w:rsidP="006B357C">
      <w:pPr>
        <w:ind w:firstLine="720"/>
        <w:rPr>
          <w:rFonts w:ascii="Arial" w:hAnsi="Arial" w:cs="Arial"/>
        </w:rPr>
      </w:pPr>
    </w:p>
    <w:p w14:paraId="7B7C9D66" w14:textId="77777777" w:rsidR="001F7D14" w:rsidRPr="00FF6757" w:rsidRDefault="001F7D14" w:rsidP="006B357C">
      <w:pPr>
        <w:pStyle w:val="Heading2"/>
      </w:pPr>
      <w:bookmarkStart w:id="55" w:name="_Toc228917227"/>
      <w:r w:rsidRPr="00FF6757">
        <w:t>4.4 Hedging Strategies and Performance Implications</w:t>
      </w:r>
      <w:bookmarkEnd w:id="55"/>
      <w:r w:rsidRPr="00FF6757">
        <w:t xml:space="preserve"> </w:t>
      </w:r>
    </w:p>
    <w:p w14:paraId="79D255D6" w14:textId="77777777" w:rsidR="006B357C" w:rsidRPr="00FF6757" w:rsidRDefault="006B357C" w:rsidP="006B357C"/>
    <w:p w14:paraId="5C441320" w14:textId="77777777" w:rsidR="00FF6757" w:rsidRPr="00FF6757" w:rsidRDefault="00FF6757" w:rsidP="00FF6757">
      <w:pPr>
        <w:ind w:firstLine="720"/>
        <w:rPr>
          <w:rFonts w:ascii="Arial" w:hAnsi="Arial" w:cs="Arial"/>
        </w:rPr>
      </w:pPr>
      <w:r w:rsidRPr="00FF6757">
        <w:rPr>
          <w:rFonts w:ascii="Arial" w:hAnsi="Arial" w:cs="Arial"/>
        </w:rPr>
        <w:t>The results highlight hedging as a key element in financial risk management of Forex markets. Hedging is fundamentally aimed at minimizing the risk of adverse exchange rate fluctuations. Empirical studies reveal that engaging in derivatives like futures and options is one way to stabilize returns and guard against volatility shocks. To illustrate, the research shows that companies and investors who follow formal hedging strategies are able to cut down the fluctuation in their earnings and increase their financial robustness in times of market turmoil (Reyad et al., 2022). This is in line with the conception that hedging is a means of risk reduction because it balances out the currency exposure.</w:t>
      </w:r>
    </w:p>
    <w:p w14:paraId="3A9E9F6C" w14:textId="77777777" w:rsidR="00FF6757" w:rsidRPr="00FF6757" w:rsidRDefault="00FF6757" w:rsidP="00FF6757">
      <w:pPr>
        <w:ind w:firstLine="720"/>
        <w:rPr>
          <w:rFonts w:ascii="Arial" w:hAnsi="Arial" w:cs="Arial"/>
        </w:rPr>
      </w:pPr>
      <w:r w:rsidRPr="00FF6757">
        <w:rPr>
          <w:rFonts w:ascii="Arial" w:hAnsi="Arial" w:cs="Arial"/>
        </w:rPr>
        <w:t>On the other hand, the capability of hedging to offset risks varies from one market situation to another. Literature suggests that the effectiveness of hedging greatly changes with different volatility regimes, liquidity conditions, and transaction cost levels (Zakaria, 2023). Thus, while hedging in a calm market may hinder one from enjoying the full benefits of the favourable price changes, it becomes the go-to in a highly volatile market for avoiding massive losses. In other words, we are looking at the significance of flexible hedging tactics as opposed to rigid or static ones.</w:t>
      </w:r>
    </w:p>
    <w:p w14:paraId="7256C22E" w14:textId="77777777" w:rsidR="00FF6757" w:rsidRPr="00FF6757" w:rsidRDefault="00FF6757" w:rsidP="00FF6757">
      <w:pPr>
        <w:ind w:firstLine="720"/>
        <w:rPr>
          <w:rFonts w:ascii="Arial" w:hAnsi="Arial" w:cs="Arial"/>
        </w:rPr>
      </w:pPr>
      <w:r w:rsidRPr="00FF6757">
        <w:rPr>
          <w:rFonts w:ascii="Arial" w:hAnsi="Arial" w:cs="Arial"/>
        </w:rPr>
        <w:t>Furthermore, scholarly works highlight that the complexity of hedging is on the rise due to the interplay of stock markets. For instance, it is established that correlations of currencies with other asset classes, like commodities, change over time and even get stronger at times of financial stress (Mezghani, Boujelbene and Boutouria, 2023). Therefore, it may happen that at the very moment when investors are most in need of diversification and cross-hedging strategies to work, these may fail, thus causing a rise in concerns about their reliability under crisis situations.</w:t>
      </w:r>
    </w:p>
    <w:p w14:paraId="056457A6" w14:textId="77777777" w:rsidR="00FF6757" w:rsidRPr="00FF6757" w:rsidRDefault="00FF6757" w:rsidP="00FF6757">
      <w:pPr>
        <w:ind w:firstLine="720"/>
        <w:rPr>
          <w:rFonts w:ascii="Arial" w:hAnsi="Arial" w:cs="Arial"/>
        </w:rPr>
      </w:pPr>
      <w:r w:rsidRPr="00FF6757">
        <w:rPr>
          <w:rFonts w:ascii="Arial" w:hAnsi="Arial" w:cs="Arial"/>
        </w:rPr>
        <w:lastRenderedPageBreak/>
        <w:t>Although multitude of studies have documented how hedging reduces risks, a significant omission is a focus on speculative Forex trading performance and its results. Corporate risk management is the main subject of most research on hedging, where the desire is to achieve stable cash flows rather than to maximize risk-adjusted returns. As a result, there is a scarcity of empirical research directly connecting hedging discipline to long-term trading profitability in highly leveraged Forex scenarios.</w:t>
      </w:r>
    </w:p>
    <w:p w14:paraId="01614941" w14:textId="77777777" w:rsidR="006B357C" w:rsidRPr="00FF6757" w:rsidRDefault="006B357C" w:rsidP="00FF6757">
      <w:pPr>
        <w:rPr>
          <w:rFonts w:ascii="Arial" w:hAnsi="Arial" w:cs="Arial"/>
        </w:rPr>
      </w:pPr>
    </w:p>
    <w:p w14:paraId="574DD42C" w14:textId="77777777" w:rsidR="001F7D14" w:rsidRPr="00FF6757" w:rsidRDefault="001F7D14" w:rsidP="006B357C">
      <w:pPr>
        <w:pStyle w:val="Heading2"/>
      </w:pPr>
      <w:bookmarkStart w:id="56" w:name="_Toc228917228"/>
      <w:r w:rsidRPr="00FF6757">
        <w:t>4.5 Behavioural Dimensions and Risk Discipline</w:t>
      </w:r>
      <w:bookmarkEnd w:id="56"/>
    </w:p>
    <w:p w14:paraId="43345EEA" w14:textId="77777777" w:rsidR="006B357C" w:rsidRPr="00FF6757" w:rsidRDefault="006B357C" w:rsidP="006B357C"/>
    <w:p w14:paraId="7B52C7D5" w14:textId="77777777" w:rsidR="00FF6757" w:rsidRPr="00FF6757" w:rsidRDefault="00FF6757" w:rsidP="00FF6757">
      <w:pPr>
        <w:ind w:firstLine="720"/>
        <w:rPr>
          <w:rFonts w:ascii="Arial" w:hAnsi="Arial" w:cs="Arial"/>
        </w:rPr>
      </w:pPr>
      <w:r w:rsidRPr="00FF6757">
        <w:rPr>
          <w:rFonts w:ascii="Arial" w:hAnsi="Arial" w:cs="Arial"/>
        </w:rPr>
        <w:t>The results point out that behavioural factors may have a paramount influence on the effectiveness of financial risk management in Forex trading, besides quantitative models and hedging strategies. On the one hand, advanced forecasting tools and risk measurement techniques enhance analytical precision, but on the other hand, one major factor that determines their actual use is how consistently traders implement them. According to empirical studies, market behaviour is to a large extent driven by psychological factors, e.g. overconfidence, herd behaviour, and emotional responses to market fluctuations, these factors can increase volatility and cause traders to take excessive risk (Chen et al., 2021).</w:t>
      </w:r>
    </w:p>
    <w:p w14:paraId="31C92DBE" w14:textId="77777777" w:rsidR="00FF6757" w:rsidRPr="00FF6757" w:rsidRDefault="00FF6757" w:rsidP="00FF6757">
      <w:pPr>
        <w:ind w:firstLine="720"/>
        <w:rPr>
          <w:rFonts w:ascii="Arial" w:hAnsi="Arial" w:cs="Arial"/>
        </w:rPr>
      </w:pPr>
      <w:r w:rsidRPr="00FF6757">
        <w:rPr>
          <w:rFonts w:ascii="Arial" w:hAnsi="Arial" w:cs="Arial"/>
        </w:rPr>
        <w:t>Besides, studies reveal that the implementation discipline is a major factor in the success of risk management strategies. Very precise models may not lead to an increase in performance if traders fail to follow the rules set beforehand, such as position sizing, stop-loss limits, and capital allocation strategies (Liu et al., 2022). This means that the level of success of risk management depends both on model quality and behavioural consistency.</w:t>
      </w:r>
    </w:p>
    <w:p w14:paraId="0DEC9324" w14:textId="662D4C3F" w:rsidR="00FF6757" w:rsidRPr="00FF6757" w:rsidRDefault="00FF6757" w:rsidP="00FF6757">
      <w:pPr>
        <w:ind w:firstLine="720"/>
        <w:rPr>
          <w:rFonts w:ascii="Arial" w:hAnsi="Arial" w:cs="Arial"/>
        </w:rPr>
      </w:pPr>
      <w:r w:rsidRPr="00FF6757">
        <w:rPr>
          <w:rFonts w:ascii="Arial" w:hAnsi="Arial" w:cs="Arial"/>
        </w:rPr>
        <w:t>Nevertheless, a major weakness of the literature is that behavioural insights and quantitative risk models are hardly combined in the research. Even though some papers recognize that behavioural biases have an effect, they most frequently consider these factors independently of technical risk management frameworks. Therefore, it remains highly unclear how behavioural discipline can be orderly integrated into trading strategies.</w:t>
      </w:r>
    </w:p>
    <w:p w14:paraId="47D579A2" w14:textId="77777777" w:rsidR="00FF6757" w:rsidRPr="00FF6757" w:rsidRDefault="00FF6757" w:rsidP="00FF6757">
      <w:pPr>
        <w:ind w:firstLine="720"/>
        <w:rPr>
          <w:rFonts w:ascii="Arial" w:hAnsi="Arial" w:cs="Arial"/>
        </w:rPr>
      </w:pPr>
      <w:r w:rsidRPr="00FF6757">
        <w:rPr>
          <w:rFonts w:ascii="Arial" w:hAnsi="Arial" w:cs="Arial"/>
        </w:rPr>
        <w:lastRenderedPageBreak/>
        <w:t>Also, evidence from early warning systems and crisis prediction models points out that a risk signal being identified does not necessarily mean that action is taken in time (Ferdous et al., 2022). The fact that there is a difference between being aware of risk and carrying it out is a huge problem in Forex trading where the need to make decisions amidst uncertainty can dominate over logical strategies.</w:t>
      </w:r>
    </w:p>
    <w:p w14:paraId="25E3DCE1" w14:textId="77777777" w:rsidR="006B357C" w:rsidRPr="00FF6757" w:rsidRDefault="006B357C" w:rsidP="00FF6757">
      <w:pPr>
        <w:rPr>
          <w:rFonts w:ascii="Arial" w:hAnsi="Arial" w:cs="Arial"/>
        </w:rPr>
      </w:pPr>
    </w:p>
    <w:p w14:paraId="01DC9C9F" w14:textId="77777777" w:rsidR="001F7D14" w:rsidRPr="00FF6757" w:rsidRDefault="001F7D14" w:rsidP="006B357C">
      <w:pPr>
        <w:pStyle w:val="Heading2"/>
      </w:pPr>
      <w:bookmarkStart w:id="57" w:name="_Toc228917229"/>
      <w:r w:rsidRPr="00FF6757">
        <w:t>4.6 Integration of Volatility, Risk Measurement and Forecasting</w:t>
      </w:r>
      <w:bookmarkEnd w:id="57"/>
      <w:r w:rsidRPr="00FF6757">
        <w:t xml:space="preserve"> </w:t>
      </w:r>
    </w:p>
    <w:p w14:paraId="3701BAE8" w14:textId="77777777" w:rsidR="006B357C" w:rsidRPr="00FF6757" w:rsidRDefault="006B357C" w:rsidP="006B357C"/>
    <w:p w14:paraId="69139282" w14:textId="77777777" w:rsidR="00FF6757" w:rsidRPr="00FF6757" w:rsidRDefault="00FF6757" w:rsidP="00FF6757">
      <w:pPr>
        <w:ind w:firstLine="720"/>
        <w:rPr>
          <w:rFonts w:ascii="Arial" w:hAnsi="Arial" w:cs="Arial"/>
          <w:lang w:val="en-US"/>
        </w:rPr>
      </w:pPr>
      <w:r w:rsidRPr="00FF6757">
        <w:rPr>
          <w:rFonts w:ascii="Arial" w:hAnsi="Arial" w:cs="Arial"/>
          <w:lang w:val="en-US"/>
        </w:rPr>
        <w:t>The main result of the research is that important elements of financial risk management in the Forex markets are not connected to each other. Although volatility modelling, risk measurement, and forecasting methods have all been significantly improved, they are usually used separately and not as a part of a single framework. Such fragmentation restricts their usefulness in helping to improve the performance of trading in the actual world.</w:t>
      </w:r>
    </w:p>
    <w:p w14:paraId="2EE876E5" w14:textId="77777777" w:rsidR="00FF6757" w:rsidRPr="00FF6757" w:rsidRDefault="00FF6757" w:rsidP="00FF6757">
      <w:pPr>
        <w:ind w:firstLine="720"/>
        <w:rPr>
          <w:rFonts w:ascii="Arial" w:hAnsi="Arial" w:cs="Arial"/>
          <w:lang w:val="en-US"/>
        </w:rPr>
      </w:pPr>
      <w:r w:rsidRPr="00FF6757">
        <w:rPr>
          <w:rFonts w:ascii="Arial" w:hAnsi="Arial" w:cs="Arial"/>
          <w:lang w:val="en-US"/>
        </w:rPr>
        <w:t>Volatility models offer valuable information about systemic risks and the interconnection of markets, especially by revealing spillover effects and market regime changes (Baruník and Křehlík, 2021). Besides that, risk measurement methods like Value-at-Risk (VaR) and Expected Shortfall (ES) provide ways to measure potential losses in different market scenarios (Jiang, Hu and Yu, 2022). At the same time, forecasting models, especially those based on machine learning, can increase the accuracy of forecasts by understanding and predicting complex, nonlinear temporal patterns (Ayitey Junior et al., 2023).</w:t>
      </w:r>
    </w:p>
    <w:p w14:paraId="2725F7B9" w14:textId="77777777" w:rsidR="00FF6757" w:rsidRPr="00FF6757" w:rsidRDefault="00FF6757" w:rsidP="00FF6757">
      <w:pPr>
        <w:ind w:firstLine="720"/>
        <w:rPr>
          <w:rFonts w:ascii="Arial" w:hAnsi="Arial" w:cs="Arial"/>
          <w:lang w:val="en-US"/>
        </w:rPr>
      </w:pPr>
      <w:r w:rsidRPr="00FF6757">
        <w:rPr>
          <w:rFonts w:ascii="Arial" w:hAnsi="Arial" w:cs="Arial"/>
          <w:lang w:val="en-US"/>
        </w:rPr>
        <w:t>Still, studies suggest that these methods are seldom combined in a way that facilitates real-life trading decisions. For example, volatility models can highlight times when systemic risk is rising, but do not offer direct instructions on position sizing or changing a portfolio. Likewise, forecasting models give more precise predictions, but if they are not combined with risk control systems, these forecasts will not necessarily result in better trading results. Risk measurement instruments, although capable of quantifying exposure, are most of the time utilized in a retrospective way rather than being incorporated into the decision-making process on a proactive basis.</w:t>
      </w:r>
    </w:p>
    <w:p w14:paraId="0771212F" w14:textId="601A3942" w:rsidR="001F7D14" w:rsidRPr="00FF6757" w:rsidRDefault="001F7D14" w:rsidP="006B357C">
      <w:pPr>
        <w:ind w:firstLine="720"/>
        <w:rPr>
          <w:rFonts w:ascii="Arial" w:hAnsi="Arial" w:cs="Arial"/>
        </w:rPr>
      </w:pPr>
    </w:p>
    <w:tbl>
      <w:tblPr>
        <w:tblStyle w:val="TableGrid"/>
        <w:tblW w:w="0" w:type="auto"/>
        <w:tblLook w:val="04A0" w:firstRow="1" w:lastRow="0" w:firstColumn="1" w:lastColumn="0" w:noHBand="0" w:noVBand="1"/>
      </w:tblPr>
      <w:tblGrid>
        <w:gridCol w:w="2166"/>
        <w:gridCol w:w="2024"/>
        <w:gridCol w:w="2222"/>
        <w:gridCol w:w="2604"/>
      </w:tblGrid>
      <w:tr w:rsidR="001F7D14" w:rsidRPr="00FF6757" w14:paraId="3CDF156C" w14:textId="77777777" w:rsidTr="00184C92">
        <w:tc>
          <w:tcPr>
            <w:tcW w:w="0" w:type="auto"/>
            <w:hideMark/>
          </w:tcPr>
          <w:p w14:paraId="1A12BC01"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lastRenderedPageBreak/>
              <w:t>Technique</w:t>
            </w:r>
          </w:p>
        </w:tc>
        <w:tc>
          <w:tcPr>
            <w:tcW w:w="0" w:type="auto"/>
            <w:hideMark/>
          </w:tcPr>
          <w:p w14:paraId="5BC3381C"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Strengths</w:t>
            </w:r>
          </w:p>
        </w:tc>
        <w:tc>
          <w:tcPr>
            <w:tcW w:w="0" w:type="auto"/>
            <w:hideMark/>
          </w:tcPr>
          <w:p w14:paraId="6B4C7F3F"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Limitations</w:t>
            </w:r>
          </w:p>
        </w:tc>
        <w:tc>
          <w:tcPr>
            <w:tcW w:w="0" w:type="auto"/>
            <w:hideMark/>
          </w:tcPr>
          <w:p w14:paraId="70BA79C9"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Direct Impact on Trading Performance</w:t>
            </w:r>
          </w:p>
        </w:tc>
      </w:tr>
      <w:tr w:rsidR="001F7D14" w:rsidRPr="00FF6757" w14:paraId="4F816F84" w14:textId="77777777" w:rsidTr="00184C92">
        <w:tc>
          <w:tcPr>
            <w:tcW w:w="0" w:type="auto"/>
            <w:hideMark/>
          </w:tcPr>
          <w:p w14:paraId="55459E62"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Volatility Connectedness Models</w:t>
            </w:r>
          </w:p>
        </w:tc>
        <w:tc>
          <w:tcPr>
            <w:tcW w:w="0" w:type="auto"/>
            <w:hideMark/>
          </w:tcPr>
          <w:p w14:paraId="6ADA00BF"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Captures systemic spillovers</w:t>
            </w:r>
          </w:p>
        </w:tc>
        <w:tc>
          <w:tcPr>
            <w:tcW w:w="0" w:type="auto"/>
            <w:hideMark/>
          </w:tcPr>
          <w:p w14:paraId="485B95D9"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Complex interpretation</w:t>
            </w:r>
          </w:p>
        </w:tc>
        <w:tc>
          <w:tcPr>
            <w:tcW w:w="0" w:type="auto"/>
            <w:hideMark/>
          </w:tcPr>
          <w:p w14:paraId="7C908669"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Improves awareness, indirect performance effect</w:t>
            </w:r>
          </w:p>
        </w:tc>
      </w:tr>
      <w:tr w:rsidR="001F7D14" w:rsidRPr="00FF6757" w14:paraId="6752CDF1" w14:textId="77777777" w:rsidTr="00184C92">
        <w:tc>
          <w:tcPr>
            <w:tcW w:w="0" w:type="auto"/>
            <w:hideMark/>
          </w:tcPr>
          <w:p w14:paraId="33A0011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VaR &amp; Expected Shortfall</w:t>
            </w:r>
          </w:p>
        </w:tc>
        <w:tc>
          <w:tcPr>
            <w:tcW w:w="0" w:type="auto"/>
            <w:hideMark/>
          </w:tcPr>
          <w:p w14:paraId="1C564C36"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Quantifies downside exposure</w:t>
            </w:r>
          </w:p>
        </w:tc>
        <w:tc>
          <w:tcPr>
            <w:tcW w:w="0" w:type="auto"/>
            <w:hideMark/>
          </w:tcPr>
          <w:p w14:paraId="35B6755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Backward-looking bias</w:t>
            </w:r>
          </w:p>
        </w:tc>
        <w:tc>
          <w:tcPr>
            <w:tcW w:w="0" w:type="auto"/>
            <w:hideMark/>
          </w:tcPr>
          <w:p w14:paraId="33BFFCD2"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Supports exposure control</w:t>
            </w:r>
          </w:p>
        </w:tc>
      </w:tr>
      <w:tr w:rsidR="001F7D14" w:rsidRPr="00FF6757" w14:paraId="13A2AB9A" w14:textId="77777777" w:rsidTr="00184C92">
        <w:tc>
          <w:tcPr>
            <w:tcW w:w="0" w:type="auto"/>
            <w:hideMark/>
          </w:tcPr>
          <w:p w14:paraId="6EB3859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Machine Learning Forecasting</w:t>
            </w:r>
          </w:p>
        </w:tc>
        <w:tc>
          <w:tcPr>
            <w:tcW w:w="0" w:type="auto"/>
            <w:hideMark/>
          </w:tcPr>
          <w:p w14:paraId="7818F966"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High predictive accuracy</w:t>
            </w:r>
          </w:p>
        </w:tc>
        <w:tc>
          <w:tcPr>
            <w:tcW w:w="0" w:type="auto"/>
            <w:hideMark/>
          </w:tcPr>
          <w:p w14:paraId="7124AE8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Overfitting risk; execution cost</w:t>
            </w:r>
          </w:p>
        </w:tc>
        <w:tc>
          <w:tcPr>
            <w:tcW w:w="0" w:type="auto"/>
            <w:hideMark/>
          </w:tcPr>
          <w:p w14:paraId="274816E2"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Improves timing, conditional profitability</w:t>
            </w:r>
          </w:p>
        </w:tc>
      </w:tr>
      <w:tr w:rsidR="001F7D14" w:rsidRPr="00FF6757" w14:paraId="5C495007" w14:textId="77777777" w:rsidTr="00184C92">
        <w:tc>
          <w:tcPr>
            <w:tcW w:w="0" w:type="auto"/>
            <w:hideMark/>
          </w:tcPr>
          <w:p w14:paraId="629E0211"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Derivative Hedging</w:t>
            </w:r>
          </w:p>
        </w:tc>
        <w:tc>
          <w:tcPr>
            <w:tcW w:w="0" w:type="auto"/>
            <w:hideMark/>
          </w:tcPr>
          <w:p w14:paraId="62C23F2F"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Reduces adverse currency exposure</w:t>
            </w:r>
          </w:p>
        </w:tc>
        <w:tc>
          <w:tcPr>
            <w:tcW w:w="0" w:type="auto"/>
            <w:hideMark/>
          </w:tcPr>
          <w:p w14:paraId="50FED553"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Transaction cost &amp; liquidity constraints</w:t>
            </w:r>
          </w:p>
        </w:tc>
        <w:tc>
          <w:tcPr>
            <w:tcW w:w="0" w:type="auto"/>
            <w:hideMark/>
          </w:tcPr>
          <w:p w14:paraId="5B4AB687"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Enhances resilience</w:t>
            </w:r>
          </w:p>
        </w:tc>
      </w:tr>
      <w:tr w:rsidR="001F7D14" w:rsidRPr="00FF6757" w14:paraId="097DB2D7" w14:textId="77777777" w:rsidTr="00184C92">
        <w:tc>
          <w:tcPr>
            <w:tcW w:w="0" w:type="auto"/>
            <w:hideMark/>
          </w:tcPr>
          <w:p w14:paraId="0390077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Behavioural Governance</w:t>
            </w:r>
          </w:p>
        </w:tc>
        <w:tc>
          <w:tcPr>
            <w:tcW w:w="0" w:type="auto"/>
            <w:hideMark/>
          </w:tcPr>
          <w:p w14:paraId="477B41C9"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Reduces emotional bias</w:t>
            </w:r>
          </w:p>
        </w:tc>
        <w:tc>
          <w:tcPr>
            <w:tcW w:w="0" w:type="auto"/>
            <w:hideMark/>
          </w:tcPr>
          <w:p w14:paraId="5E97A8E4"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Requires strict discipline</w:t>
            </w:r>
          </w:p>
        </w:tc>
        <w:tc>
          <w:tcPr>
            <w:tcW w:w="0" w:type="auto"/>
            <w:hideMark/>
          </w:tcPr>
          <w:p w14:paraId="7B3709BE" w14:textId="77777777" w:rsidR="001F7D14" w:rsidRPr="00FF6757" w:rsidRDefault="001F7D14" w:rsidP="001F7D14">
            <w:pPr>
              <w:keepNext/>
              <w:spacing w:after="160"/>
              <w:rPr>
                <w:rFonts w:ascii="Arial" w:hAnsi="Arial" w:cs="Arial"/>
                <w:sz w:val="20"/>
                <w:szCs w:val="20"/>
              </w:rPr>
            </w:pPr>
            <w:r w:rsidRPr="00FF6757">
              <w:rPr>
                <w:rFonts w:ascii="Arial" w:hAnsi="Arial" w:cs="Arial"/>
                <w:sz w:val="20"/>
                <w:szCs w:val="20"/>
              </w:rPr>
              <w:t>Strengthens risk-adjusted consistency</w:t>
            </w:r>
          </w:p>
        </w:tc>
      </w:tr>
    </w:tbl>
    <w:p w14:paraId="36429C7A" w14:textId="77777777" w:rsidR="001F7D14" w:rsidRPr="00FF6757" w:rsidRDefault="001F7D14" w:rsidP="001F7D14">
      <w:pPr>
        <w:pStyle w:val="Caption"/>
        <w:spacing w:line="360" w:lineRule="auto"/>
        <w:jc w:val="center"/>
        <w:rPr>
          <w:rFonts w:ascii="Arial" w:hAnsi="Arial" w:cs="Arial"/>
        </w:rPr>
      </w:pPr>
      <w:bookmarkStart w:id="58" w:name="_Toc222946978"/>
      <w:r w:rsidRPr="00FF6757">
        <w:rPr>
          <w:rFonts w:ascii="Arial" w:hAnsi="Arial" w:cs="Arial"/>
        </w:rPr>
        <w:t xml:space="preserve">Table </w:t>
      </w:r>
      <w:r w:rsidRPr="00FF6757">
        <w:rPr>
          <w:rFonts w:ascii="Arial" w:hAnsi="Arial" w:cs="Arial"/>
        </w:rPr>
        <w:fldChar w:fldCharType="begin"/>
      </w:r>
      <w:r w:rsidRPr="00FF6757">
        <w:rPr>
          <w:rFonts w:ascii="Arial" w:hAnsi="Arial" w:cs="Arial"/>
        </w:rPr>
        <w:instrText xml:space="preserve"> SEQ Table \* ARABIC </w:instrText>
      </w:r>
      <w:r w:rsidRPr="00FF6757">
        <w:rPr>
          <w:rFonts w:ascii="Arial" w:hAnsi="Arial" w:cs="Arial"/>
        </w:rPr>
        <w:fldChar w:fldCharType="separate"/>
      </w:r>
      <w:r w:rsidRPr="00FF6757">
        <w:rPr>
          <w:rFonts w:ascii="Arial" w:hAnsi="Arial" w:cs="Arial"/>
        </w:rPr>
        <w:t>3</w:t>
      </w:r>
      <w:r w:rsidRPr="00FF6757">
        <w:rPr>
          <w:rFonts w:ascii="Arial" w:hAnsi="Arial" w:cs="Arial"/>
        </w:rPr>
        <w:fldChar w:fldCharType="end"/>
      </w:r>
      <w:r w:rsidRPr="00FF6757">
        <w:rPr>
          <w:rFonts w:ascii="Arial" w:hAnsi="Arial" w:cs="Arial"/>
        </w:rPr>
        <w:t>: Comparative Evaluation of Risk Management Approaches</w:t>
      </w:r>
      <w:bookmarkEnd w:id="58"/>
    </w:p>
    <w:p w14:paraId="56FDF0F3" w14:textId="77777777" w:rsidR="00FF6757" w:rsidRPr="00FF6757" w:rsidRDefault="00FF6757" w:rsidP="00FF6757">
      <w:pPr>
        <w:ind w:firstLine="720"/>
        <w:rPr>
          <w:rFonts w:ascii="Arial" w:hAnsi="Arial" w:cs="Arial"/>
          <w:lang w:val="en-US"/>
        </w:rPr>
      </w:pPr>
      <w:r w:rsidRPr="00FF6757">
        <w:rPr>
          <w:rFonts w:ascii="Arial" w:hAnsi="Arial" w:cs="Arial"/>
          <w:lang w:val="en-US"/>
        </w:rPr>
        <w:t>This isolation constitutes a major flaw in research to date. Perfecting separate methods alone would not necessarily lead to better results since these methods still would not be working together in one system. Managing Forex risk efficiently actually involves coordinating three main factors:</w:t>
      </w:r>
    </w:p>
    <w:p w14:paraId="671171F1" w14:textId="77777777" w:rsidR="00FF6757" w:rsidRPr="00FF6757" w:rsidRDefault="00FF6757" w:rsidP="00FF6757">
      <w:pPr>
        <w:numPr>
          <w:ilvl w:val="0"/>
          <w:numId w:val="7"/>
        </w:numPr>
        <w:rPr>
          <w:rFonts w:ascii="Arial" w:hAnsi="Arial" w:cs="Arial"/>
          <w:lang w:val="en-US"/>
        </w:rPr>
      </w:pPr>
      <w:r w:rsidRPr="00FF6757">
        <w:rPr>
          <w:rFonts w:ascii="Arial" w:hAnsi="Arial" w:cs="Arial"/>
          <w:lang w:val="en-US"/>
        </w:rPr>
        <w:t>Risk identification (getting the pieces of volatility and spillovers)</w:t>
      </w:r>
    </w:p>
    <w:p w14:paraId="234D1853" w14:textId="77777777" w:rsidR="00FF6757" w:rsidRPr="00FF6757" w:rsidRDefault="00FF6757" w:rsidP="00FF6757">
      <w:pPr>
        <w:numPr>
          <w:ilvl w:val="0"/>
          <w:numId w:val="7"/>
        </w:numPr>
        <w:rPr>
          <w:rFonts w:ascii="Arial" w:hAnsi="Arial" w:cs="Arial"/>
          <w:lang w:val="en-US"/>
        </w:rPr>
      </w:pPr>
      <w:r w:rsidRPr="00FF6757">
        <w:rPr>
          <w:rFonts w:ascii="Arial" w:hAnsi="Arial" w:cs="Arial"/>
          <w:lang w:val="en-US"/>
        </w:rPr>
        <w:t>Risk quantification (using VaR, ES, and tail-risk models to determine exposure)</w:t>
      </w:r>
    </w:p>
    <w:p w14:paraId="5FAADF99" w14:textId="77777777" w:rsidR="00FF6757" w:rsidRPr="00FF6757" w:rsidRDefault="00FF6757" w:rsidP="00FF6757">
      <w:pPr>
        <w:numPr>
          <w:ilvl w:val="0"/>
          <w:numId w:val="7"/>
        </w:numPr>
        <w:rPr>
          <w:rFonts w:ascii="Arial" w:hAnsi="Arial" w:cs="Arial"/>
          <w:lang w:val="en-US"/>
        </w:rPr>
      </w:pPr>
      <w:r w:rsidRPr="00FF6757">
        <w:rPr>
          <w:rFonts w:ascii="Arial" w:hAnsi="Arial" w:cs="Arial"/>
          <w:lang w:val="en-US"/>
        </w:rPr>
        <w:t>Risk mitigation (coming up with hedging strategies and following disciplined execution)</w:t>
      </w:r>
    </w:p>
    <w:p w14:paraId="3950DA4E" w14:textId="77777777" w:rsidR="00FF6757" w:rsidRPr="00FF6757" w:rsidRDefault="00FF6757" w:rsidP="00FF6757">
      <w:pPr>
        <w:ind w:firstLine="720"/>
        <w:rPr>
          <w:rFonts w:ascii="Arial" w:hAnsi="Arial" w:cs="Arial"/>
          <w:lang w:val="en-US"/>
        </w:rPr>
      </w:pPr>
      <w:r w:rsidRPr="00FF6757">
        <w:rPr>
          <w:rFonts w:ascii="Arial" w:hAnsi="Arial" w:cs="Arial"/>
          <w:lang w:val="en-US"/>
        </w:rPr>
        <w:t>In the absence of such working together, a trader may be equipped with the most up-to-date analytical tools, yet not be able to employ them properly.</w:t>
      </w:r>
    </w:p>
    <w:p w14:paraId="6DD3C77D" w14:textId="77777777" w:rsidR="00FF6757" w:rsidRPr="00FF6757" w:rsidRDefault="00FF6757" w:rsidP="00FF6757">
      <w:pPr>
        <w:ind w:firstLine="720"/>
        <w:rPr>
          <w:rFonts w:ascii="Arial" w:hAnsi="Arial" w:cs="Arial"/>
          <w:lang w:val="en-US"/>
        </w:rPr>
      </w:pPr>
      <w:r w:rsidRPr="00FF6757">
        <w:rPr>
          <w:rFonts w:ascii="Arial" w:hAnsi="Arial" w:cs="Arial"/>
          <w:lang w:val="en-US"/>
        </w:rPr>
        <w:t>Evidence thus points to the fact that a trader capable of consistently producing Forex trading results would not be a single method, but rather the bringing together of several risk management components in a well-organized framework.</w:t>
      </w:r>
    </w:p>
    <w:p w14:paraId="3D040DCE" w14:textId="55B15DA6" w:rsidR="001F7D14" w:rsidRPr="00FF6757" w:rsidRDefault="00FF6757" w:rsidP="00FF6757">
      <w:pPr>
        <w:ind w:firstLine="720"/>
        <w:rPr>
          <w:rFonts w:ascii="Arial" w:hAnsi="Arial" w:cs="Arial"/>
          <w:lang w:val="en-US"/>
        </w:rPr>
      </w:pPr>
      <w:r w:rsidRPr="00FF6757">
        <w:rPr>
          <w:rFonts w:ascii="Arial" w:hAnsi="Arial" w:cs="Arial"/>
          <w:lang w:val="en-US"/>
        </w:rPr>
        <w:t xml:space="preserve">The revelation here pretty much backs the very purpose of this paper, i.e., to figure out ways in which financial risk management can be planned so as to enhance performance in trading. This is where the study draws attention to the fact that a </w:t>
      </w:r>
      <w:r w:rsidRPr="00FF6757">
        <w:rPr>
          <w:rFonts w:ascii="Arial" w:hAnsi="Arial" w:cs="Arial"/>
          <w:lang w:val="en-US"/>
        </w:rPr>
        <w:lastRenderedPageBreak/>
        <w:t>performance-based approach which goes beyond the mere invention of methods to their actual application is needed.</w:t>
      </w:r>
    </w:p>
    <w:p w14:paraId="2E4E03DB" w14:textId="77777777" w:rsidR="006B357C" w:rsidRPr="00FF6757" w:rsidRDefault="006B357C" w:rsidP="006B357C">
      <w:pPr>
        <w:ind w:firstLine="720"/>
        <w:rPr>
          <w:rFonts w:ascii="Arial" w:hAnsi="Arial" w:cs="Arial"/>
        </w:rPr>
      </w:pPr>
    </w:p>
    <w:p w14:paraId="5F92622A" w14:textId="77777777" w:rsidR="001F7D14" w:rsidRPr="00FF6757" w:rsidRDefault="001F7D14" w:rsidP="006B357C">
      <w:pPr>
        <w:pStyle w:val="Heading2"/>
      </w:pPr>
      <w:bookmarkStart w:id="59" w:name="_Toc228917230"/>
      <w:r w:rsidRPr="00FF6757">
        <w:t>4.7 Performance Outcomes and Risk-Adjusted Returns</w:t>
      </w:r>
      <w:bookmarkEnd w:id="59"/>
    </w:p>
    <w:p w14:paraId="7369802C" w14:textId="77777777" w:rsidR="006B357C" w:rsidRPr="00FF6757" w:rsidRDefault="006B357C" w:rsidP="006B357C"/>
    <w:p w14:paraId="4D440876" w14:textId="77777777" w:rsidR="00FF6757" w:rsidRPr="00FF6757" w:rsidRDefault="00FF6757" w:rsidP="00FF6757">
      <w:pPr>
        <w:ind w:firstLine="720"/>
        <w:rPr>
          <w:rFonts w:ascii="Arial" w:hAnsi="Arial" w:cs="Arial"/>
          <w:lang w:val="en-US"/>
        </w:rPr>
      </w:pPr>
      <w:r w:rsidRPr="00FF6757">
        <w:rPr>
          <w:rFonts w:ascii="Arial" w:hAnsi="Arial" w:cs="Arial"/>
          <w:lang w:val="en-US"/>
        </w:rPr>
        <w:t>Their results show that the real test of the quality of financial risk management in the Forex trading environment is by means of risk-adjusted performance metrics. Definitely, a high return may signify a winning streak, however, the level of risk taken to get to that point is not really disclosed. So, measures of risk like the Sharpe ratio, the greatest drawdown as well as returns adjusting for volatility are becoming more and more accepted as true indicators of trading performance over time (Malhotra et al., 2023).</w:t>
      </w:r>
    </w:p>
    <w:p w14:paraId="4605834A" w14:textId="77777777" w:rsidR="00FF6757" w:rsidRPr="00FF6757" w:rsidRDefault="00FF6757" w:rsidP="00FF6757">
      <w:pPr>
        <w:ind w:firstLine="720"/>
        <w:rPr>
          <w:rFonts w:ascii="Arial" w:hAnsi="Arial" w:cs="Arial"/>
          <w:lang w:val="en-US"/>
        </w:rPr>
      </w:pPr>
      <w:r w:rsidRPr="00FF6757">
        <w:rPr>
          <w:rFonts w:ascii="Arial" w:hAnsi="Arial" w:cs="Arial"/>
          <w:lang w:val="en-US"/>
        </w:rPr>
        <w:t>Data indicates that formal approaches to risk management cover several practices such as setting the size of each position with control; having reasons for stop-loss orders including the first one on physical stop and the next ones on time, groupings and mixed; and using diversification as giving good results that improving these measures of performance. Those who literally stick to risk control have not only the chance of getting stability in their returns but also the chance of cutting down their losses. Generally, without a doubt, in situations of highly volatile markets, traders who are disciplined tend to come out on top with the least loss of capitals. And from here, it can be concluded that risk discipline becomes an important factor for long-term success in trading.</w:t>
      </w:r>
    </w:p>
    <w:p w14:paraId="5C8A815A" w14:textId="77777777" w:rsidR="00FF6757" w:rsidRPr="00FF6757" w:rsidRDefault="00FF6757" w:rsidP="00FF6757">
      <w:pPr>
        <w:ind w:firstLine="720"/>
        <w:rPr>
          <w:rFonts w:ascii="Arial" w:hAnsi="Arial" w:cs="Arial"/>
          <w:lang w:val="en-US"/>
        </w:rPr>
      </w:pPr>
      <w:r w:rsidRPr="00FF6757">
        <w:rPr>
          <w:rFonts w:ascii="Arial" w:hAnsi="Arial" w:cs="Arial"/>
          <w:lang w:val="en-US"/>
        </w:rPr>
        <w:t>On the other hand, it has been found that the advancement of analytical tools is not a straightforward path to better results in performance. Besides, financial (bond and stock) forecasting and volatility measures improve the knowledge of the markets, what is really important for their profitability is the effectiveness of their incorporation into the trading strategies. Moreover, it has also been pointed out that parameters such as transaction costs, leverage, and behavioral decision-making have a great impact on real performance, and often may even diminish the advantages of high-level modeling techniques.</w:t>
      </w:r>
    </w:p>
    <w:p w14:paraId="489140DF" w14:textId="77777777" w:rsidR="00FF6757" w:rsidRPr="00FF6757" w:rsidRDefault="00FF6757" w:rsidP="00FF6757">
      <w:pPr>
        <w:ind w:firstLine="720"/>
        <w:rPr>
          <w:rFonts w:ascii="Arial" w:hAnsi="Arial" w:cs="Arial"/>
          <w:lang w:val="en-US"/>
        </w:rPr>
      </w:pPr>
      <w:r w:rsidRPr="00FF6757">
        <w:rPr>
          <w:rFonts w:ascii="Arial" w:hAnsi="Arial" w:cs="Arial"/>
          <w:lang w:val="en-US"/>
        </w:rPr>
        <w:lastRenderedPageBreak/>
        <w:t>Besides that, systemic risk and market interconnectedness bring about new difficulties. During financial calamities, for example, the risk contagion increases and the markets tend to achieve their synchronization. Simultaneously, volatility across markets comes to levels which were at times a nice fantasy. Consequently, the situation of having greater drawdowns and lesser benefits of diversification arises. Therefore, it can be safely said that performance results are very much dependent on the outside market conditions and, thus, risk management that is adaptive and integrated is what is needed the most.</w:t>
      </w:r>
    </w:p>
    <w:p w14:paraId="5934D0E9" w14:textId="77777777" w:rsidR="006B357C" w:rsidRPr="00FF6757" w:rsidRDefault="006B357C" w:rsidP="006B357C">
      <w:pPr>
        <w:ind w:firstLine="720"/>
        <w:rPr>
          <w:rFonts w:ascii="Arial" w:hAnsi="Arial" w:cs="Arial"/>
        </w:rPr>
      </w:pPr>
    </w:p>
    <w:p w14:paraId="09502489" w14:textId="77777777" w:rsidR="001F7D14" w:rsidRPr="00FF6757" w:rsidRDefault="001F7D14" w:rsidP="006B357C">
      <w:pPr>
        <w:pStyle w:val="Heading2"/>
      </w:pPr>
      <w:bookmarkStart w:id="60" w:name="_Toc228917231"/>
      <w:r w:rsidRPr="00FF6757">
        <w:t>4.8 Summary of Findings and Thematic Implications</w:t>
      </w:r>
      <w:bookmarkEnd w:id="60"/>
      <w:r w:rsidRPr="00FF6757">
        <w:t xml:space="preserve"> </w:t>
      </w:r>
    </w:p>
    <w:p w14:paraId="4E8D2DD3" w14:textId="77777777" w:rsidR="006B357C" w:rsidRPr="00FF6757" w:rsidRDefault="006B357C" w:rsidP="006B357C"/>
    <w:p w14:paraId="6245B266" w14:textId="77777777" w:rsidR="00FF6757" w:rsidRPr="00FF6757" w:rsidRDefault="00FF6757" w:rsidP="00FF6757">
      <w:pPr>
        <w:ind w:firstLine="720"/>
        <w:rPr>
          <w:rFonts w:ascii="Arial" w:hAnsi="Arial" w:cs="Arial"/>
          <w:lang w:val="en-US"/>
        </w:rPr>
      </w:pPr>
      <w:r w:rsidRPr="00FF6757">
        <w:rPr>
          <w:rFonts w:ascii="Arial" w:hAnsi="Arial" w:cs="Arial"/>
          <w:lang w:val="en-US"/>
        </w:rPr>
        <w:t>The findings of this chapter shed light on important aspects of financial risk management in Forex markets. Firstly, the study of volatility changes and the spreading of systemic risks point out that Forex markets are deeply interconnected and subject to global economic situation changes. Hence, it is absolutely necessary to rely on risk identification methods that are versatile and proactive.</w:t>
      </w:r>
    </w:p>
    <w:p w14:paraId="26D9D8F6" w14:textId="77777777" w:rsidR="00FF6757" w:rsidRPr="00FF6757" w:rsidRDefault="00FF6757" w:rsidP="00FF6757">
      <w:pPr>
        <w:ind w:firstLine="720"/>
        <w:rPr>
          <w:rFonts w:ascii="Arial" w:hAnsi="Arial" w:cs="Arial"/>
          <w:lang w:val="en-US"/>
        </w:rPr>
      </w:pPr>
      <w:r w:rsidRPr="00FF6757">
        <w:rPr>
          <w:rFonts w:ascii="Arial" w:hAnsi="Arial" w:cs="Arial"/>
          <w:lang w:val="en-US"/>
        </w:rPr>
        <w:t>Secondly, development in risk measurement and forecasting methods have undergone a major change from the methodological point of view. Analytical tools including machine learning models, mixed forecasting systems, and tail-risk analytics offer a deeper and more precision-guided understanding of the data. Yet, these technical enhancements remain largely on the level of improving the models instead of the actual trading results.</w:t>
      </w:r>
    </w:p>
    <w:p w14:paraId="0E650A0C" w14:textId="77777777" w:rsidR="00FF6757" w:rsidRPr="00FF6757" w:rsidRDefault="00FF6757" w:rsidP="00FF6757">
      <w:pPr>
        <w:ind w:firstLine="720"/>
        <w:rPr>
          <w:rFonts w:ascii="Arial" w:hAnsi="Arial" w:cs="Arial"/>
          <w:lang w:val="en-US"/>
        </w:rPr>
      </w:pPr>
      <w:r w:rsidRPr="00FF6757">
        <w:rPr>
          <w:rFonts w:ascii="Arial" w:hAnsi="Arial" w:cs="Arial"/>
          <w:lang w:val="en-US"/>
        </w:rPr>
        <w:t>Thirdly, hedging against risks and maintaining behavioural discipline help in risk management to a large extent but their efficiency is affected considerably by a good level of application and market situations. Besides that, behaviour-related elements such as the feeling of being too sure of oneself and the lack of control could weaken even the most sophisticated risk management frameworks.</w:t>
      </w:r>
    </w:p>
    <w:p w14:paraId="553F1612" w14:textId="77777777" w:rsidR="00FF6757" w:rsidRPr="00FF6757" w:rsidRDefault="00FF6757" w:rsidP="00FF6757">
      <w:pPr>
        <w:ind w:firstLine="720"/>
        <w:rPr>
          <w:rFonts w:ascii="Arial" w:hAnsi="Arial" w:cs="Arial"/>
          <w:lang w:val="en-US"/>
        </w:rPr>
      </w:pPr>
      <w:r w:rsidRPr="00FF6757">
        <w:rPr>
          <w:rFonts w:ascii="Arial" w:hAnsi="Arial" w:cs="Arial"/>
          <w:lang w:val="en-US"/>
        </w:rPr>
        <w:t>The most significant issue brought to light by the research is the disconnection between these different areas. Volatility study, risk quantification, prediction, and hedging are different components most of the time, and this limits their overall influence on the trading results. This segmentation is an issue in the literature.</w:t>
      </w:r>
    </w:p>
    <w:p w14:paraId="703E94B7" w14:textId="77777777" w:rsidR="00FF6757" w:rsidRPr="00FF6757" w:rsidRDefault="00FF6757" w:rsidP="00FF6757">
      <w:pPr>
        <w:ind w:firstLine="720"/>
        <w:rPr>
          <w:rFonts w:ascii="Arial" w:hAnsi="Arial" w:cs="Arial"/>
          <w:lang w:val="en-US"/>
        </w:rPr>
      </w:pPr>
      <w:r w:rsidRPr="00FF6757">
        <w:rPr>
          <w:rFonts w:ascii="Arial" w:hAnsi="Arial" w:cs="Arial"/>
          <w:lang w:val="en-US"/>
        </w:rPr>
        <w:lastRenderedPageBreak/>
        <w:t>In brief, the chapter calls attention to a possible way of improving Forex trading results by means of a unified and performance-driven risk management setup. Subsequently, it serves as the basis for the next chapter which will take another step in the examination of these issues and the building of a conceptual framework for financial risk management that practitioners can use effectively.</w:t>
      </w:r>
    </w:p>
    <w:p w14:paraId="430E18CA" w14:textId="77777777" w:rsidR="006B357C" w:rsidRPr="00FF6757" w:rsidRDefault="006B357C" w:rsidP="006B357C">
      <w:pPr>
        <w:ind w:firstLine="720"/>
        <w:rPr>
          <w:rFonts w:ascii="Arial" w:hAnsi="Arial" w:cs="Arial"/>
        </w:rPr>
      </w:pPr>
    </w:p>
    <w:p w14:paraId="58A65A69" w14:textId="77777777" w:rsidR="006B357C" w:rsidRPr="00FF6757" w:rsidRDefault="006B357C" w:rsidP="006B357C">
      <w:pPr>
        <w:ind w:firstLine="720"/>
        <w:rPr>
          <w:rFonts w:ascii="Arial" w:hAnsi="Arial" w:cs="Arial"/>
        </w:rPr>
      </w:pPr>
    </w:p>
    <w:p w14:paraId="43542522" w14:textId="77777777" w:rsidR="006B357C" w:rsidRPr="00FF6757" w:rsidRDefault="006B357C" w:rsidP="006B357C">
      <w:pPr>
        <w:ind w:firstLine="720"/>
        <w:rPr>
          <w:rFonts w:ascii="Arial" w:hAnsi="Arial" w:cs="Arial"/>
        </w:rPr>
      </w:pPr>
    </w:p>
    <w:p w14:paraId="324EA748" w14:textId="77777777" w:rsidR="006B357C" w:rsidRPr="00FF6757" w:rsidRDefault="006B357C" w:rsidP="006B357C">
      <w:pPr>
        <w:ind w:firstLine="720"/>
        <w:rPr>
          <w:rFonts w:ascii="Arial" w:hAnsi="Arial" w:cs="Arial"/>
        </w:rPr>
      </w:pPr>
    </w:p>
    <w:p w14:paraId="1E860421" w14:textId="77777777" w:rsidR="006B357C" w:rsidRPr="00FF6757" w:rsidRDefault="006B357C" w:rsidP="006B357C">
      <w:pPr>
        <w:ind w:firstLine="720"/>
        <w:rPr>
          <w:rFonts w:ascii="Arial" w:hAnsi="Arial" w:cs="Arial"/>
        </w:rPr>
      </w:pPr>
    </w:p>
    <w:p w14:paraId="77ECE574" w14:textId="77777777" w:rsidR="006B357C" w:rsidRPr="00FF6757" w:rsidRDefault="006B357C" w:rsidP="006B357C">
      <w:pPr>
        <w:ind w:firstLine="720"/>
        <w:rPr>
          <w:rFonts w:ascii="Arial" w:hAnsi="Arial" w:cs="Arial"/>
        </w:rPr>
      </w:pPr>
    </w:p>
    <w:p w14:paraId="5F649870" w14:textId="77777777" w:rsidR="006B357C" w:rsidRPr="00FF6757" w:rsidRDefault="006B357C" w:rsidP="006B357C">
      <w:pPr>
        <w:ind w:firstLine="720"/>
        <w:rPr>
          <w:rFonts w:ascii="Arial" w:hAnsi="Arial" w:cs="Arial"/>
        </w:rPr>
      </w:pPr>
    </w:p>
    <w:p w14:paraId="71FA8A07" w14:textId="77777777" w:rsidR="006B357C" w:rsidRPr="00FF6757" w:rsidRDefault="006B357C" w:rsidP="000E7A71">
      <w:pPr>
        <w:pStyle w:val="Heading1"/>
      </w:pPr>
    </w:p>
    <w:p w14:paraId="76A40C87" w14:textId="77777777" w:rsidR="006B357C" w:rsidRDefault="006B357C" w:rsidP="006B357C"/>
    <w:p w14:paraId="1071DF54" w14:textId="77777777" w:rsidR="00FF6757" w:rsidRDefault="00FF6757" w:rsidP="006B357C"/>
    <w:p w14:paraId="0FBC6407" w14:textId="77777777" w:rsidR="00FF6757" w:rsidRDefault="00FF6757" w:rsidP="006B357C"/>
    <w:p w14:paraId="068452E8" w14:textId="77777777" w:rsidR="00FF6757" w:rsidRDefault="00FF6757" w:rsidP="006B357C"/>
    <w:p w14:paraId="0294CBC2" w14:textId="77777777" w:rsidR="00FF6757" w:rsidRDefault="00FF6757" w:rsidP="006B357C"/>
    <w:p w14:paraId="012363C5" w14:textId="77777777" w:rsidR="00FF6757" w:rsidRDefault="00FF6757" w:rsidP="006B357C"/>
    <w:p w14:paraId="1E595794" w14:textId="77777777" w:rsidR="00FF6757" w:rsidRDefault="00FF6757" w:rsidP="006B357C"/>
    <w:p w14:paraId="59680716" w14:textId="77777777" w:rsidR="00FF6757" w:rsidRDefault="00FF6757" w:rsidP="006B357C"/>
    <w:p w14:paraId="112F4CB9" w14:textId="77777777" w:rsidR="00FF6757" w:rsidRPr="00FF6757" w:rsidRDefault="00FF6757" w:rsidP="006B357C"/>
    <w:p w14:paraId="71E81846" w14:textId="77777777" w:rsidR="006B357C" w:rsidRPr="00FF6757" w:rsidRDefault="006B357C" w:rsidP="006B357C"/>
    <w:p w14:paraId="0BBEBFDF" w14:textId="77777777" w:rsidR="006B357C" w:rsidRPr="00FF6757" w:rsidRDefault="006B357C" w:rsidP="006B357C"/>
    <w:p w14:paraId="30820AAA" w14:textId="64141871" w:rsidR="001F7D14" w:rsidRPr="00FF6757" w:rsidRDefault="001F7D14" w:rsidP="006B357C">
      <w:pPr>
        <w:pStyle w:val="Heading1"/>
        <w:jc w:val="center"/>
      </w:pPr>
      <w:bookmarkStart w:id="61" w:name="_Toc228917232"/>
      <w:r w:rsidRPr="00FF6757">
        <w:lastRenderedPageBreak/>
        <w:t>Chapter 5: Discussion</w:t>
      </w:r>
      <w:bookmarkEnd w:id="61"/>
    </w:p>
    <w:p w14:paraId="199A24C2" w14:textId="77777777" w:rsidR="006B357C" w:rsidRPr="00FF6757" w:rsidRDefault="006B357C" w:rsidP="006B357C"/>
    <w:p w14:paraId="07DFDB73" w14:textId="77777777" w:rsidR="001F7D14" w:rsidRPr="00FF6757" w:rsidRDefault="001F7D14" w:rsidP="006B357C">
      <w:pPr>
        <w:pStyle w:val="Heading2"/>
      </w:pPr>
      <w:bookmarkStart w:id="62" w:name="_Toc228917233"/>
      <w:r w:rsidRPr="00FF6757">
        <w:t>5.1 Introduction</w:t>
      </w:r>
      <w:bookmarkEnd w:id="62"/>
    </w:p>
    <w:p w14:paraId="5F15D5D9" w14:textId="77777777" w:rsidR="006B357C" w:rsidRDefault="006B357C" w:rsidP="006B357C"/>
    <w:p w14:paraId="50DDE90C" w14:textId="77777777" w:rsidR="00B53793" w:rsidRPr="00B53793" w:rsidRDefault="00B53793" w:rsidP="00B53793">
      <w:pPr>
        <w:ind w:firstLine="720"/>
        <w:rPr>
          <w:rFonts w:ascii="Arial" w:hAnsi="Arial" w:cs="Arial"/>
          <w:lang w:val="en-US"/>
        </w:rPr>
      </w:pPr>
      <w:r w:rsidRPr="00B53793">
        <w:rPr>
          <w:rFonts w:ascii="Arial" w:hAnsi="Arial" w:cs="Arial"/>
          <w:lang w:val="en-US"/>
        </w:rPr>
        <w:t>This chapter serves as a platform to critically discuss the Chapter 4 findings in relation to the research questions and objective of the whole study. The chapter mainly concentrates on the interpretation of the results, explaining how financial risk management impacts Forex trading performance, rather than simply repeating the literature. Discussion here extends to volatility dynamics, risk measurement, forecasting models, and different hedging strategies (Baruník and Křehlík, 2021; Jiang, Hu and Yu, 2022).</w:t>
      </w:r>
    </w:p>
    <w:p w14:paraId="6C425D7B" w14:textId="77777777" w:rsidR="00B53793" w:rsidRPr="00B53793" w:rsidRDefault="00B53793" w:rsidP="00B53793">
      <w:pPr>
        <w:ind w:firstLine="720"/>
        <w:rPr>
          <w:rFonts w:ascii="Arial" w:hAnsi="Arial" w:cs="Arial"/>
          <w:lang w:val="en-US"/>
        </w:rPr>
      </w:pPr>
      <w:r w:rsidRPr="00B53793">
        <w:rPr>
          <w:rFonts w:ascii="Arial" w:hAnsi="Arial" w:cs="Arial"/>
          <w:lang w:val="en-US"/>
        </w:rPr>
        <w:t>First, the chapter lays out the major discussion themes What is the nature of financial risk? What are the challenges of risk measurement and predictive modelling? Are hedging strategies effective? What role does behavioural discipline play? and then proceeds to develop the argument that even analytical technique enhancements will not necessarily bring about better trading results. This is a manifestation of a larger issue that has also been pointed out in the literature where improvements in modelling and forecasting are often frustrated by the performance inconsistency (Ayitey Junior et al., 2023; Zhao and Yan, 2024).</w:t>
      </w:r>
    </w:p>
    <w:p w14:paraId="490915A5" w14:textId="77777777" w:rsidR="00B53793" w:rsidRPr="00B53793" w:rsidRDefault="00B53793" w:rsidP="00B53793">
      <w:pPr>
        <w:ind w:firstLine="720"/>
        <w:rPr>
          <w:rFonts w:ascii="Arial" w:hAnsi="Arial" w:cs="Arial"/>
          <w:lang w:val="en-US"/>
        </w:rPr>
      </w:pPr>
      <w:r w:rsidRPr="00B53793">
        <w:rPr>
          <w:rFonts w:ascii="Arial" w:hAnsi="Arial" w:cs="Arial"/>
          <w:lang w:val="en-US"/>
        </w:rPr>
        <w:t>On that note, this chapter takes a step further than looking at the individual methods and instead highlight how these elements in the end work together when actually implemented. Up to now, studies of financial risk management have mainly been done separately by volatility modelling, risk quantification, and forecasting, thus resulting in a fragmented understanding of financial risk management (Huynh, Nasir and Nguyen, 2023). As such, the current piece takes a somewhat holistic approach stressing the significance of integrating these aspects into a well-organized system.</w:t>
      </w:r>
    </w:p>
    <w:p w14:paraId="7C902C63" w14:textId="77777777" w:rsidR="00B53793" w:rsidRPr="00B53793" w:rsidRDefault="00B53793" w:rsidP="00B53793">
      <w:pPr>
        <w:ind w:firstLine="720"/>
        <w:rPr>
          <w:rFonts w:ascii="Arial" w:hAnsi="Arial" w:cs="Arial"/>
          <w:lang w:val="en-US"/>
        </w:rPr>
      </w:pPr>
      <w:r w:rsidRPr="00B53793">
        <w:rPr>
          <w:rFonts w:ascii="Arial" w:hAnsi="Arial" w:cs="Arial"/>
          <w:lang w:val="en-US"/>
        </w:rPr>
        <w:t>Ultimately, the above talk results in an integrated, performance-focused financial risk management notion. This model is the central argument of the research work and it fills the void revealed by previous chapters by making risk management practices and Forex trading performance directly interconnected.</w:t>
      </w:r>
    </w:p>
    <w:p w14:paraId="6C5EE896" w14:textId="77777777" w:rsidR="006B357C" w:rsidRPr="00FF6757" w:rsidRDefault="006B357C" w:rsidP="00B53793">
      <w:pPr>
        <w:rPr>
          <w:rFonts w:ascii="Arial" w:hAnsi="Arial" w:cs="Arial"/>
        </w:rPr>
      </w:pPr>
    </w:p>
    <w:p w14:paraId="7856C3D3" w14:textId="77777777" w:rsidR="001F7D14" w:rsidRPr="00FF6757" w:rsidRDefault="001F7D14" w:rsidP="006B357C">
      <w:pPr>
        <w:pStyle w:val="Heading2"/>
      </w:pPr>
      <w:bookmarkStart w:id="63" w:name="_Toc228917234"/>
      <w:r w:rsidRPr="00FF6757">
        <w:lastRenderedPageBreak/>
        <w:t>5.2 Re-examining the Nature of Financial Risk in Forex Markets</w:t>
      </w:r>
      <w:bookmarkEnd w:id="63"/>
    </w:p>
    <w:p w14:paraId="44FCE828" w14:textId="77777777" w:rsidR="006B357C" w:rsidRPr="00B53793" w:rsidRDefault="006B357C" w:rsidP="006B357C">
      <w:pPr>
        <w:rPr>
          <w:rFonts w:ascii="Arial" w:hAnsi="Arial" w:cs="Arial"/>
        </w:rPr>
      </w:pPr>
    </w:p>
    <w:p w14:paraId="3986E566" w14:textId="77777777" w:rsidR="00B53793" w:rsidRPr="00B53793" w:rsidRDefault="00B53793" w:rsidP="00B53793">
      <w:pPr>
        <w:ind w:firstLine="720"/>
        <w:rPr>
          <w:rFonts w:ascii="Arial" w:hAnsi="Arial" w:cs="Arial"/>
          <w:lang w:val="en-US"/>
        </w:rPr>
      </w:pPr>
      <w:r w:rsidRPr="00B53793">
        <w:rPr>
          <w:rFonts w:ascii="Arial" w:hAnsi="Arial" w:cs="Arial"/>
          <w:lang w:val="en-US"/>
        </w:rPr>
        <w:t>The financial risk in Forex markets is best seen as changing, large-scale, and highly interconnected, rather than stable and isolated. The findings of Chapter 4 reveal that the volatility of exchange rates is dependent on the global economic environment, the level of uncertainty in policies and the impact of one market on another, which means that risk is continuously changing in different times and markets (Baruník and Křehlík, 2021; Huynh, Nasir and Nguyen, 2023). This means that risk exposure cannot be focused on individual currency pairs only, but should be looked at in the context of a larger system of financial interdependence.</w:t>
      </w:r>
    </w:p>
    <w:p w14:paraId="071B39E6" w14:textId="77777777" w:rsidR="00B53793" w:rsidRPr="00B53793" w:rsidRDefault="00B53793" w:rsidP="00B53793">
      <w:pPr>
        <w:ind w:firstLine="720"/>
        <w:rPr>
          <w:rFonts w:ascii="Arial" w:hAnsi="Arial" w:cs="Arial"/>
          <w:lang w:val="en-US"/>
        </w:rPr>
      </w:pPr>
      <w:r w:rsidRPr="00B53793">
        <w:rPr>
          <w:rFonts w:ascii="Arial" w:hAnsi="Arial" w:cs="Arial"/>
          <w:lang w:val="en-US"/>
        </w:rPr>
        <w:t>Traditional financial theories, such as Modern Portfolio Theory, are based on the idea that correlations are stable over time, and the risk-return relationship is predictable. However, actual data points to a strong increase in correlations during financial stress periods, thereby significantly diminishing the diversification effectiveness (Nerantzidis, Stoupos and Tzeremes, 2024). This situation leads to a deep paradox in which the diversification advantages are dwindling at the very moment when they are most required for risk management.</w:t>
      </w:r>
    </w:p>
    <w:p w14:paraId="3A88D6BD" w14:textId="77777777" w:rsidR="00B53793" w:rsidRPr="00B53793" w:rsidRDefault="00B53793" w:rsidP="00B53793">
      <w:pPr>
        <w:ind w:firstLine="720"/>
        <w:rPr>
          <w:rFonts w:ascii="Arial" w:hAnsi="Arial" w:cs="Arial"/>
          <w:lang w:val="en-US"/>
        </w:rPr>
      </w:pPr>
      <w:r w:rsidRPr="00B53793">
        <w:rPr>
          <w:rFonts w:ascii="Arial" w:hAnsi="Arial" w:cs="Arial"/>
          <w:lang w:val="en-US"/>
        </w:rPr>
        <w:t>Furthermore, the existence of volatility clustering and regime shifts provides more support for the idea of Forex risk being time-varying and non-linear. Exchange rate movements vary according to the changes in the economic environment, with risk being heightened during times of crisis and uncertainty (Fathi, Grobys and Kolari, 2024). Consequently, models with fixed parameters and traditional assumptions are not adequately capable of describing the intricacies of present-day Forex markets.</w:t>
      </w:r>
    </w:p>
    <w:p w14:paraId="2EA2F49E" w14:textId="77777777" w:rsidR="00B53793" w:rsidRPr="00B53793" w:rsidRDefault="00B53793" w:rsidP="00B53793">
      <w:pPr>
        <w:ind w:firstLine="720"/>
        <w:rPr>
          <w:rFonts w:ascii="Arial" w:hAnsi="Arial" w:cs="Arial"/>
          <w:lang w:val="en-US"/>
        </w:rPr>
      </w:pPr>
      <w:r w:rsidRPr="00B53793">
        <w:rPr>
          <w:rFonts w:ascii="Arial" w:hAnsi="Arial" w:cs="Arial"/>
          <w:lang w:val="en-US"/>
        </w:rPr>
        <w:t>These results point to a significant consequence: successful financial risk management must be flexible and futuristic. Decision-making by traders and institutions should include consideration of fluctuating market conditions, the propagation of systemic risk, and interconnected exposures.</w:t>
      </w:r>
    </w:p>
    <w:p w14:paraId="516A8368" w14:textId="77777777" w:rsidR="00B53793" w:rsidRPr="00FF6757" w:rsidRDefault="00B53793" w:rsidP="006B357C"/>
    <w:p w14:paraId="79EF7418" w14:textId="1DF634E7" w:rsidR="001F7D14" w:rsidRPr="00FF6757" w:rsidRDefault="001F7D14" w:rsidP="006B357C">
      <w:pPr>
        <w:ind w:firstLine="720"/>
        <w:rPr>
          <w:rFonts w:ascii="Arial" w:hAnsi="Arial" w:cs="Arial"/>
        </w:rPr>
      </w:pPr>
    </w:p>
    <w:p w14:paraId="34094EC6" w14:textId="77777777" w:rsidR="006B357C" w:rsidRPr="00FF6757" w:rsidRDefault="006B357C" w:rsidP="006B357C">
      <w:pPr>
        <w:ind w:firstLine="720"/>
        <w:rPr>
          <w:rFonts w:ascii="Arial" w:hAnsi="Arial" w:cs="Arial"/>
        </w:rPr>
      </w:pPr>
    </w:p>
    <w:p w14:paraId="7245A6AA" w14:textId="77777777" w:rsidR="001F7D14" w:rsidRPr="00FF6757" w:rsidRDefault="001F7D14" w:rsidP="006B357C">
      <w:pPr>
        <w:pStyle w:val="Heading2"/>
      </w:pPr>
      <w:bookmarkStart w:id="64" w:name="_Toc228917235"/>
      <w:r w:rsidRPr="00FF6757">
        <w:lastRenderedPageBreak/>
        <w:t>5.3 Risk Measurement: Precision Versus Practical Impact</w:t>
      </w:r>
      <w:bookmarkEnd w:id="64"/>
    </w:p>
    <w:p w14:paraId="0EFBAD27" w14:textId="77777777" w:rsidR="006B357C" w:rsidRPr="00FF6757" w:rsidRDefault="006B357C" w:rsidP="006B357C"/>
    <w:p w14:paraId="6D0DC9DE" w14:textId="77777777" w:rsidR="00B53793" w:rsidRPr="00B53793" w:rsidRDefault="00B53793" w:rsidP="00B53793">
      <w:pPr>
        <w:ind w:firstLine="720"/>
        <w:rPr>
          <w:rFonts w:ascii="Arial" w:hAnsi="Arial" w:cs="Arial"/>
          <w:lang w:val="en-US"/>
        </w:rPr>
      </w:pPr>
      <w:r w:rsidRPr="00B53793">
        <w:rPr>
          <w:rFonts w:ascii="Arial" w:hAnsi="Arial" w:cs="Arial"/>
          <w:lang w:val="en-US"/>
        </w:rPr>
        <w:t>Risk measurement techniques used in Foreign Exchange markets are evolving rapidly, especially in identifying the possibility of huge losses. From what was found in Chapter 4, it seems that methods like Value-at-Risk (VaR), Expected Shortfall (ES), and other sophisticated risk models do a better job in predicting how much one could lose than just relying on old-fashioned volatility records (Blom, Petter and Risstad, 2023; Jiang, Hu and Yu, 2022). In fact, these improvements highlight the methodological upgrades in studying financial risks, particularly when dealing with situations where the normal statistical assumptions are violated or the market behaves unexpectedly.</w:t>
      </w:r>
    </w:p>
    <w:p w14:paraId="4506335F" w14:textId="45141F2D" w:rsidR="00B53793" w:rsidRPr="00B53793" w:rsidRDefault="00B53793" w:rsidP="00B53793">
      <w:pPr>
        <w:ind w:firstLine="720"/>
        <w:rPr>
          <w:rFonts w:ascii="Arial" w:hAnsi="Arial" w:cs="Arial"/>
          <w:lang w:val="en-US"/>
        </w:rPr>
      </w:pPr>
      <w:r w:rsidRPr="00B53793">
        <w:rPr>
          <w:rFonts w:ascii="Arial" w:hAnsi="Arial" w:cs="Arial"/>
          <w:lang w:val="en-US"/>
        </w:rPr>
        <w:t>But it should be noted that being more accurate in measuring risk does not always mean one can make better trade decisions. Although these models give a clearer picture of where the risks lie, most of the time they get treated as mere analytical or documentation tools rather than decision making aids. So, on one hand, you have the quantification of risk and on the other, there/re the actual risk management. And they don't always connect thereby causing the best measurement not to result in the best portfolio or trading performance.</w:t>
      </w:r>
    </w:p>
    <w:p w14:paraId="19EDA8BE" w14:textId="77777777" w:rsidR="00B53793" w:rsidRPr="00B53793" w:rsidRDefault="00B53793" w:rsidP="00B53793">
      <w:pPr>
        <w:ind w:firstLine="720"/>
        <w:rPr>
          <w:rFonts w:ascii="Arial" w:hAnsi="Arial" w:cs="Arial"/>
          <w:lang w:val="en-US"/>
        </w:rPr>
      </w:pPr>
      <w:r w:rsidRPr="00B53793">
        <w:rPr>
          <w:rFonts w:ascii="Arial" w:hAnsi="Arial" w:cs="Arial"/>
          <w:lang w:val="en-US"/>
        </w:rPr>
        <w:t>Besides, lots of the fancy risk models only use past data which means they are blind to sudden changes in market conditions or risks coming from outside the markets. It is well known that Forex markets react sharply to economic news and crisis situations, so using only the past to measure risk might lead to underestimation of potential losses during periods of market upheaval (Huynh, Nasir and Nguyen, 2023). This not only makes these models less useful but also limits their applicability in fast moving trading situations.</w:t>
      </w:r>
    </w:p>
    <w:p w14:paraId="58C6495E" w14:textId="2FFCD605" w:rsidR="006B357C" w:rsidRPr="00B53793" w:rsidRDefault="00B53793" w:rsidP="00B53793">
      <w:pPr>
        <w:ind w:firstLine="720"/>
        <w:rPr>
          <w:rFonts w:ascii="Arial" w:hAnsi="Arial" w:cs="Arial"/>
          <w:lang w:val="en-US"/>
        </w:rPr>
      </w:pPr>
      <w:r w:rsidRPr="00B53793">
        <w:rPr>
          <w:rFonts w:ascii="Arial" w:hAnsi="Arial" w:cs="Arial"/>
          <w:lang w:val="en-US"/>
        </w:rPr>
        <w:t>One more major concern is that these models are not only difficult at the conceptual level but they are also hard to execute in real trading conditions. While things like copula-based dependence modelling and machine learning-assisted risk estimation provide deep insights at the analytical level, they are probably not the best options when it comes to making a prompt and practical trading decision (Arismendi-Zambrano et al., 2022). So, on one hand things are getting more and more advanced but on the other, they face the problem of being practically applicable.</w:t>
      </w:r>
    </w:p>
    <w:p w14:paraId="3341F51C" w14:textId="77777777" w:rsidR="001F7D14" w:rsidRPr="00FF6757" w:rsidRDefault="001F7D14" w:rsidP="006B357C">
      <w:pPr>
        <w:pStyle w:val="Heading2"/>
      </w:pPr>
      <w:bookmarkStart w:id="65" w:name="_Toc228917236"/>
      <w:r w:rsidRPr="00FF6757">
        <w:lastRenderedPageBreak/>
        <w:t>5.4 Predictive Modelling and the Illusion of Accuracy</w:t>
      </w:r>
      <w:bookmarkEnd w:id="65"/>
    </w:p>
    <w:p w14:paraId="1DA60397" w14:textId="731FA166" w:rsidR="001F7D14" w:rsidRPr="00FF6757" w:rsidRDefault="001F7D14" w:rsidP="00B53793">
      <w:pPr>
        <w:rPr>
          <w:rFonts w:ascii="Arial" w:hAnsi="Arial" w:cs="Arial"/>
        </w:rPr>
      </w:pPr>
    </w:p>
    <w:p w14:paraId="763E136B" w14:textId="77777777" w:rsidR="00B53793" w:rsidRPr="00B53793" w:rsidRDefault="00B53793" w:rsidP="00B53793">
      <w:pPr>
        <w:ind w:firstLine="720"/>
        <w:rPr>
          <w:rFonts w:ascii="Arial" w:hAnsi="Arial" w:cs="Arial"/>
          <w:lang w:val="en-US"/>
        </w:rPr>
      </w:pPr>
      <w:r w:rsidRPr="00B53793">
        <w:rPr>
          <w:rFonts w:ascii="Arial" w:hAnsi="Arial" w:cs="Arial"/>
          <w:lang w:val="en-US"/>
        </w:rPr>
        <w:t>Models for forecasting in Forex markets have made great strides, especially with the help of machine learning and hybrid econometric methods. Research shows that deep learning models like LSTM, transformer-based architectures, and hybrids of GARCH and LSTM can better capture the nonlinearities and volatility features of the market than the traditional econometric models (Ayitey Junior et al., 2023; Zhao and Yan, 2024). These innovations have led to more accurate forecasting, particularly in complex and highly volatile market scenarios.</w:t>
      </w:r>
    </w:p>
    <w:p w14:paraId="467BEB21" w14:textId="77777777" w:rsidR="00B53793" w:rsidRPr="00B53793" w:rsidRDefault="00B53793" w:rsidP="00B53793">
      <w:pPr>
        <w:ind w:firstLine="720"/>
        <w:rPr>
          <w:rFonts w:ascii="Arial" w:hAnsi="Arial" w:cs="Arial"/>
          <w:lang w:val="en-US"/>
        </w:rPr>
      </w:pPr>
      <w:r w:rsidRPr="00B53793">
        <w:rPr>
          <w:rFonts w:ascii="Arial" w:hAnsi="Arial" w:cs="Arial"/>
          <w:lang w:val="en-US"/>
        </w:rPr>
        <w:t>Nevertheless, better forecast accuracy does not automatically result in better trading outcomes. Studies reveal that profitability in the real world depends on a number of practical factors, like costs of transactions, delays in executions, decisions on leverage, and the efficiency of risk containment measures (García et al., 2023). Even if a model is able to predict accurately, these elements can drastically diminish or even wipe out potential earnings, thus restricting the models' real-world utility.</w:t>
      </w:r>
    </w:p>
    <w:p w14:paraId="1AF82330" w14:textId="77777777" w:rsidR="00B53793" w:rsidRPr="00B53793" w:rsidRDefault="00B53793" w:rsidP="00B53793">
      <w:pPr>
        <w:ind w:firstLine="720"/>
        <w:rPr>
          <w:rFonts w:ascii="Arial" w:hAnsi="Arial" w:cs="Arial"/>
          <w:lang w:val="en-US"/>
        </w:rPr>
      </w:pPr>
      <w:r w:rsidRPr="00B53793">
        <w:rPr>
          <w:rFonts w:ascii="Arial" w:hAnsi="Arial" w:cs="Arial"/>
          <w:lang w:val="en-US"/>
        </w:rPr>
        <w:t>This ends up creating what could be called an "accuracy illusion", where enhanced performance in prediction is taken for granted to lead to financial success. In fact, prediction on its own is not enough because it leaves out how trading decisions are carried out and risk handling in practice. Thus, it points to a major shortcoming in the literature where forecasting models are frequently assessed based on their statistical performance without considering their impact on risk-adjusted returns.</w:t>
      </w:r>
    </w:p>
    <w:p w14:paraId="3C6AA5E1" w14:textId="77777777" w:rsidR="00B53793" w:rsidRPr="00B53793" w:rsidRDefault="00B53793" w:rsidP="00B53793">
      <w:pPr>
        <w:ind w:firstLine="720"/>
        <w:rPr>
          <w:rFonts w:ascii="Arial" w:hAnsi="Arial" w:cs="Arial"/>
          <w:lang w:val="en-US"/>
        </w:rPr>
      </w:pPr>
      <w:r w:rsidRPr="00B53793">
        <w:rPr>
          <w:rFonts w:ascii="Arial" w:hAnsi="Arial" w:cs="Arial"/>
          <w:lang w:val="en-US"/>
        </w:rPr>
        <w:t>Furthermore, ML models suffer from problems of interpretability and reliability. Their black-box nature makes them hard to be explained and trusted, especially during uncertain or volatile market situations. This worsens their real-world utility and might also restrict their success in real-life trading scenarios (Zhao and Yan, 2024).</w:t>
      </w:r>
    </w:p>
    <w:p w14:paraId="7568CD12" w14:textId="77777777" w:rsidR="006B357C" w:rsidRPr="00FF6757" w:rsidRDefault="006B357C" w:rsidP="006B357C">
      <w:pPr>
        <w:ind w:firstLine="720"/>
        <w:rPr>
          <w:rFonts w:ascii="Arial" w:hAnsi="Arial" w:cs="Arial"/>
        </w:rPr>
      </w:pPr>
    </w:p>
    <w:p w14:paraId="04E48BDB" w14:textId="77777777" w:rsidR="001F7D14" w:rsidRPr="00FF6757" w:rsidRDefault="001F7D14" w:rsidP="006B357C">
      <w:pPr>
        <w:pStyle w:val="Heading2"/>
      </w:pPr>
      <w:bookmarkStart w:id="66" w:name="_Toc228917237"/>
      <w:r w:rsidRPr="00FF6757">
        <w:t>5.5 Hedging Effectiveness and Strategic Risk Mitigation</w:t>
      </w:r>
      <w:bookmarkEnd w:id="66"/>
    </w:p>
    <w:p w14:paraId="6F9674E8" w14:textId="77777777" w:rsidR="006B357C" w:rsidRDefault="006B357C" w:rsidP="006B357C"/>
    <w:p w14:paraId="4FFEEFAA" w14:textId="77777777" w:rsidR="00B53793" w:rsidRPr="00B53793" w:rsidRDefault="00B53793" w:rsidP="00B53793">
      <w:pPr>
        <w:ind w:firstLine="720"/>
        <w:rPr>
          <w:rFonts w:ascii="Arial" w:hAnsi="Arial" w:cs="Arial"/>
          <w:lang w:val="en-US"/>
        </w:rPr>
      </w:pPr>
      <w:r w:rsidRPr="00B53793">
        <w:rPr>
          <w:rFonts w:ascii="Arial" w:hAnsi="Arial" w:cs="Arial"/>
          <w:lang w:val="en-US"/>
        </w:rPr>
        <w:t xml:space="preserve">Hedging is one of the main pillars of financial risk management in Forex markets. It serves the purpose of limiting the exposure to negative moves in exchange rates. The results show that derivative products like futures and options can play a role </w:t>
      </w:r>
      <w:r w:rsidRPr="00B53793">
        <w:rPr>
          <w:rFonts w:ascii="Arial" w:hAnsi="Arial" w:cs="Arial"/>
          <w:lang w:val="en-US"/>
        </w:rPr>
        <w:lastRenderedPageBreak/>
        <w:t>in smoothing the performance and offering protection against volatility shocks, especially during times of market turmoil (Reyad et al., 2022). These findings lend credence to the theoretical proposition that hedging acts as a buffer against financial downturns by controlling the extent of losses.</w:t>
      </w:r>
    </w:p>
    <w:p w14:paraId="023D1CDC" w14:textId="77777777" w:rsidR="00B53793" w:rsidRPr="00B53793" w:rsidRDefault="00B53793" w:rsidP="00B53793">
      <w:pPr>
        <w:ind w:firstLine="720"/>
        <w:rPr>
          <w:rFonts w:ascii="Arial" w:hAnsi="Arial" w:cs="Arial"/>
          <w:lang w:val="en-US"/>
        </w:rPr>
      </w:pPr>
      <w:r w:rsidRPr="00B53793">
        <w:rPr>
          <w:rFonts w:ascii="Arial" w:hAnsi="Arial" w:cs="Arial"/>
          <w:lang w:val="en-US"/>
        </w:rPr>
        <w:t>On the other hand, the success of hedging relies heavily on the prevailing market conditions. The data reveals that the benefits of hedging increase markedly when the market is very volatile and the chances of heavy losses are high. On the other hand, in calm markets, hedging might actually cut down on the upside by restricting the level of exposure to good price changes (Zakaria, 2023). Hence, it becomes clear that there is a need for flexible hedging strategies that can be altered according to the market circumstances rather than sticking to unchanging methods.</w:t>
      </w:r>
    </w:p>
    <w:p w14:paraId="7D88DE10" w14:textId="77777777" w:rsidR="00B53793" w:rsidRPr="00B53793" w:rsidRDefault="00B53793" w:rsidP="00B53793">
      <w:pPr>
        <w:ind w:firstLine="720"/>
        <w:rPr>
          <w:rFonts w:ascii="Arial" w:hAnsi="Arial" w:cs="Arial"/>
          <w:lang w:val="en-US"/>
        </w:rPr>
      </w:pPr>
      <w:r w:rsidRPr="00B53793">
        <w:rPr>
          <w:rFonts w:ascii="Arial" w:hAnsi="Arial" w:cs="Arial"/>
          <w:lang w:val="en-US"/>
        </w:rPr>
        <w:t>Moreover, adding cross-market interactions brings in even more layers. Studies indicate that the overlap between different assets including currencies generally goes up during stressed times, thus undermining diversification and cross-hedging as ways to mitigate risk (Mezghani, Boujelbene and Boutouria, 2023). In line with this, one can argue that those hedging techniques which yield solid results in normal times may be rendered ineffective when the need for risk control is at its highest during crises.</w:t>
      </w:r>
    </w:p>
    <w:p w14:paraId="6CECB442" w14:textId="1CC7CB15" w:rsidR="001F7D14" w:rsidRPr="00B53793" w:rsidRDefault="00B53793" w:rsidP="00B53793">
      <w:pPr>
        <w:ind w:firstLine="720"/>
        <w:rPr>
          <w:rFonts w:ascii="Arial" w:hAnsi="Arial" w:cs="Arial"/>
          <w:lang w:val="en-US"/>
        </w:rPr>
      </w:pPr>
      <w:r w:rsidRPr="00B53793">
        <w:rPr>
          <w:rFonts w:ascii="Arial" w:hAnsi="Arial" w:cs="Arial"/>
          <w:lang w:val="en-US"/>
        </w:rPr>
        <w:t>One more critical point is that most of the literature to date is centered on corporate hedging rather than speculative Forex trading. While corporate hedging is geared towards securing constant cash flows, Forex trading is more about obtaining risk-adjusted returns. Therefore, empirical studies that establish a direct connection between a hedging mindset and long-term trading success in the context of leveraged environments are scarce.</w:t>
      </w:r>
    </w:p>
    <w:p w14:paraId="190B955F" w14:textId="77777777" w:rsidR="004E68B0" w:rsidRPr="00FF6757" w:rsidRDefault="004E68B0" w:rsidP="004E68B0">
      <w:pPr>
        <w:ind w:firstLine="720"/>
        <w:rPr>
          <w:rFonts w:ascii="Arial" w:hAnsi="Arial" w:cs="Arial"/>
        </w:rPr>
      </w:pPr>
    </w:p>
    <w:p w14:paraId="4FCC403D" w14:textId="77777777" w:rsidR="001F7D14" w:rsidRPr="00FF6757" w:rsidRDefault="001F7D14" w:rsidP="006B357C">
      <w:pPr>
        <w:pStyle w:val="Heading2"/>
      </w:pPr>
      <w:bookmarkStart w:id="67" w:name="_Toc228917238"/>
      <w:r w:rsidRPr="00FF6757">
        <w:t>5.6 Behavioural Governance and Implementation Risk</w:t>
      </w:r>
      <w:bookmarkEnd w:id="67"/>
    </w:p>
    <w:p w14:paraId="489EA618" w14:textId="77777777" w:rsidR="004E68B0" w:rsidRDefault="004E68B0" w:rsidP="004E68B0"/>
    <w:p w14:paraId="746A0628" w14:textId="77777777" w:rsidR="00B53793" w:rsidRPr="00B53793" w:rsidRDefault="00B53793" w:rsidP="00B53793">
      <w:pPr>
        <w:ind w:firstLine="720"/>
        <w:rPr>
          <w:rFonts w:ascii="Arial" w:hAnsi="Arial" w:cs="Arial"/>
          <w:lang w:val="en-US"/>
        </w:rPr>
      </w:pPr>
      <w:r w:rsidRPr="00B53793">
        <w:rPr>
          <w:rFonts w:ascii="Arial" w:hAnsi="Arial" w:cs="Arial"/>
          <w:lang w:val="en-US"/>
        </w:rPr>
        <w:t xml:space="preserve">One of the main conclusions of this research was that financial risk management does not suffer from lack of good models nearly as often as from bad implementation and the influence of behavioural biases. The authors show that having the latest forecasting tools and perfectly measuring risks will barely make traders </w:t>
      </w:r>
      <w:r w:rsidRPr="00B53793">
        <w:rPr>
          <w:rFonts w:ascii="Arial" w:hAnsi="Arial" w:cs="Arial"/>
          <w:lang w:val="en-US"/>
        </w:rPr>
        <w:lastRenderedPageBreak/>
        <w:t>better performance wise, if these tools are not implemented and used consistently in real work (Chen et al., 2021).</w:t>
      </w:r>
    </w:p>
    <w:p w14:paraId="227B19B4" w14:textId="77777777" w:rsidR="00B53793" w:rsidRPr="00B53793" w:rsidRDefault="00B53793" w:rsidP="00B53793">
      <w:pPr>
        <w:ind w:firstLine="720"/>
        <w:rPr>
          <w:rFonts w:ascii="Arial" w:hAnsi="Arial" w:cs="Arial"/>
          <w:lang w:val="en-US"/>
        </w:rPr>
      </w:pPr>
      <w:r w:rsidRPr="00B53793">
        <w:rPr>
          <w:rFonts w:ascii="Arial" w:hAnsi="Arial" w:cs="Arial"/>
          <w:lang w:val="en-US"/>
        </w:rPr>
        <w:t>Among behavioural elements, overconfidence, making decisions while being influenced by one's feelings, and herd mentality, are the major factors that affect the trading results. Sometimes, traders might completely disregard the risk limits they set before. They could also change their initial plans without justification or increase their risky positions after a few successful trades and thus expose themselves to higher risks (Liu et al., 2022). That is how a discrepancy arises between the theoretical efficiency of well-planned risk management systems and their real performance which are often flawed due to non-compliance.</w:t>
      </w:r>
    </w:p>
    <w:p w14:paraId="6795DAE4" w14:textId="79DF041E" w:rsidR="00B53793" w:rsidRPr="00B53793" w:rsidRDefault="00B53793" w:rsidP="00B53793">
      <w:pPr>
        <w:ind w:firstLine="720"/>
        <w:rPr>
          <w:rFonts w:ascii="Arial" w:hAnsi="Arial" w:cs="Arial"/>
          <w:lang w:val="en-US"/>
        </w:rPr>
      </w:pPr>
      <w:r w:rsidRPr="00B53793">
        <w:rPr>
          <w:rFonts w:ascii="Arial" w:hAnsi="Arial" w:cs="Arial"/>
          <w:lang w:val="en-US"/>
        </w:rPr>
        <w:t>On top of that, the Forex markets which are characterized by high volatility as well as the usage of leverage to a great extent, make it even more difficult for behavioural issues. Since decision-making in uncertain situations is prone to carry out the impulses rather than sticking to a well-thought-out course of action, this is especially true when it comes to times of market turmoil (Ferdous et al., 2022).</w:t>
      </w:r>
    </w:p>
    <w:p w14:paraId="7AFB481F" w14:textId="77777777" w:rsidR="00B53793" w:rsidRPr="00B53793" w:rsidRDefault="00B53793" w:rsidP="00B53793">
      <w:pPr>
        <w:ind w:firstLine="720"/>
        <w:rPr>
          <w:rFonts w:ascii="Arial" w:hAnsi="Arial" w:cs="Arial"/>
          <w:lang w:val="en-US"/>
        </w:rPr>
      </w:pPr>
      <w:r w:rsidRPr="00B53793">
        <w:rPr>
          <w:rFonts w:ascii="Arial" w:hAnsi="Arial" w:cs="Arial"/>
          <w:lang w:val="en-US"/>
        </w:rPr>
        <w:t>Furthermore, one missing point that we must mention is the incompatibility or non-alignment of behavioural discipline with quantitative risk models. The literature has recognized the significance of behavioural aspects but they have hardly been incorporated into risk management models. This restrains the capability of the practical use of analytical instruments because on the one hand, their implementation will be effective only if on the other hand adherence to the risk management rules is consistently done (Chen et al., 2021).</w:t>
      </w:r>
    </w:p>
    <w:p w14:paraId="0A817C10" w14:textId="0153616B" w:rsidR="001F7D14" w:rsidRPr="00FF6757" w:rsidRDefault="001F7D14" w:rsidP="00B53793">
      <w:pPr>
        <w:rPr>
          <w:rFonts w:ascii="Arial" w:hAnsi="Arial" w:cs="Arial"/>
        </w:rPr>
      </w:pPr>
    </w:p>
    <w:p w14:paraId="24812092" w14:textId="77777777" w:rsidR="001F7D14" w:rsidRPr="00FF6757" w:rsidRDefault="001F7D14" w:rsidP="006B357C">
      <w:pPr>
        <w:pStyle w:val="Heading2"/>
      </w:pPr>
      <w:bookmarkStart w:id="68" w:name="_Toc228917239"/>
      <w:r w:rsidRPr="00FF6757">
        <w:t>5.7 Integrating Risk Components into a Performance-Oriented Framework</w:t>
      </w:r>
      <w:bookmarkEnd w:id="68"/>
    </w:p>
    <w:p w14:paraId="5DF298F8" w14:textId="77777777" w:rsidR="004E68B0" w:rsidRDefault="004E68B0" w:rsidP="004E68B0"/>
    <w:p w14:paraId="018617B3" w14:textId="77777777" w:rsidR="00B53793" w:rsidRPr="00B53793" w:rsidRDefault="00B53793" w:rsidP="00B53793">
      <w:pPr>
        <w:ind w:firstLine="720"/>
        <w:rPr>
          <w:rFonts w:ascii="Arial" w:hAnsi="Arial" w:cs="Arial"/>
          <w:lang w:val="en-US"/>
        </w:rPr>
      </w:pPr>
      <w:r w:rsidRPr="00B53793">
        <w:rPr>
          <w:rFonts w:ascii="Arial" w:hAnsi="Arial" w:cs="Arial"/>
          <w:lang w:val="en-US"/>
        </w:rPr>
        <w:t xml:space="preserve">The major contribution of this study is the designing of a unified, performance-directed financial risk management system for Forex trading. As per the analysis of the previous parts, it has been revealed that researchers usually deal with volatility analysis, risk measurement, forecasting models, and hedging strategies separately. This splitting of the subjects according to their practical use greatly diminishes their </w:t>
      </w:r>
      <w:r w:rsidRPr="00B53793">
        <w:rPr>
          <w:rFonts w:ascii="Arial" w:hAnsi="Arial" w:cs="Arial"/>
          <w:lang w:val="en-US"/>
        </w:rPr>
        <w:lastRenderedPageBreak/>
        <w:t>effectiveness and results in not being able to consistently improve trading performance (Baruník and Křehlík, 2021; Jiang, Hu and Yu, 2022).</w:t>
      </w:r>
    </w:p>
    <w:p w14:paraId="08CB41B5" w14:textId="50D94EC0" w:rsidR="001F7D14" w:rsidRPr="00B53793" w:rsidRDefault="00B53793" w:rsidP="00B53793">
      <w:pPr>
        <w:ind w:firstLine="720"/>
        <w:rPr>
          <w:rFonts w:ascii="Arial" w:hAnsi="Arial" w:cs="Arial"/>
          <w:lang w:val="en-US"/>
        </w:rPr>
      </w:pPr>
      <w:r w:rsidRPr="00B53793">
        <w:rPr>
          <w:rFonts w:ascii="Arial" w:hAnsi="Arial" w:cs="Arial"/>
          <w:lang w:val="en-US"/>
        </w:rPr>
        <w:t>We could see from the above that volatility models are capable of shedding light on systemic risk and the level of market interconnectedness through spillover and connectedness analysis. Simultaneously, risk measurement methods such as VaR and Expected Shortfall contribute to a better approximation of the downside risk whereas forecasting models make prediction more accurate (Ayitey Junior et al., 2023; Blom, Petter and Risstad, 2023). Nevertheless, on their own, these methods do not necessarily produce improved results.</w:t>
      </w:r>
    </w:p>
    <w:tbl>
      <w:tblPr>
        <w:tblStyle w:val="TableGrid"/>
        <w:tblW w:w="0" w:type="auto"/>
        <w:jc w:val="center"/>
        <w:tblLook w:val="04A0" w:firstRow="1" w:lastRow="0" w:firstColumn="1" w:lastColumn="0" w:noHBand="0" w:noVBand="1"/>
      </w:tblPr>
      <w:tblGrid>
        <w:gridCol w:w="762"/>
        <w:gridCol w:w="2308"/>
        <w:gridCol w:w="2849"/>
        <w:gridCol w:w="3097"/>
      </w:tblGrid>
      <w:tr w:rsidR="001F7D14" w:rsidRPr="00FF6757" w14:paraId="2658ECA3" w14:textId="77777777" w:rsidTr="00184C92">
        <w:trPr>
          <w:jc w:val="center"/>
        </w:trPr>
        <w:tc>
          <w:tcPr>
            <w:tcW w:w="0" w:type="auto"/>
            <w:hideMark/>
          </w:tcPr>
          <w:p w14:paraId="78A466DC"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Stage</w:t>
            </w:r>
          </w:p>
        </w:tc>
        <w:tc>
          <w:tcPr>
            <w:tcW w:w="0" w:type="auto"/>
            <w:hideMark/>
          </w:tcPr>
          <w:p w14:paraId="560B0945"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Component</w:t>
            </w:r>
          </w:p>
        </w:tc>
        <w:tc>
          <w:tcPr>
            <w:tcW w:w="0" w:type="auto"/>
            <w:hideMark/>
          </w:tcPr>
          <w:p w14:paraId="006F85F2"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Function</w:t>
            </w:r>
          </w:p>
        </w:tc>
        <w:tc>
          <w:tcPr>
            <w:tcW w:w="0" w:type="auto"/>
            <w:hideMark/>
          </w:tcPr>
          <w:p w14:paraId="51723B47"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Expected Performance Outcome</w:t>
            </w:r>
          </w:p>
        </w:tc>
      </w:tr>
      <w:tr w:rsidR="001F7D14" w:rsidRPr="00FF6757" w14:paraId="19B2B671" w14:textId="77777777" w:rsidTr="00184C92">
        <w:trPr>
          <w:jc w:val="center"/>
        </w:trPr>
        <w:tc>
          <w:tcPr>
            <w:tcW w:w="0" w:type="auto"/>
            <w:hideMark/>
          </w:tcPr>
          <w:p w14:paraId="3C7ADFFD"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1</w:t>
            </w:r>
          </w:p>
        </w:tc>
        <w:tc>
          <w:tcPr>
            <w:tcW w:w="0" w:type="auto"/>
            <w:hideMark/>
          </w:tcPr>
          <w:p w14:paraId="50EFBE4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Volatility Identification</w:t>
            </w:r>
          </w:p>
        </w:tc>
        <w:tc>
          <w:tcPr>
            <w:tcW w:w="0" w:type="auto"/>
            <w:hideMark/>
          </w:tcPr>
          <w:p w14:paraId="1863B40A"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Detect systemic spillovers</w:t>
            </w:r>
          </w:p>
        </w:tc>
        <w:tc>
          <w:tcPr>
            <w:tcW w:w="0" w:type="auto"/>
            <w:hideMark/>
          </w:tcPr>
          <w:p w14:paraId="43FE9BFB"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Early exposure awareness</w:t>
            </w:r>
          </w:p>
        </w:tc>
      </w:tr>
      <w:tr w:rsidR="001F7D14" w:rsidRPr="00FF6757" w14:paraId="2A8DBDE9" w14:textId="77777777" w:rsidTr="00184C92">
        <w:trPr>
          <w:jc w:val="center"/>
        </w:trPr>
        <w:tc>
          <w:tcPr>
            <w:tcW w:w="0" w:type="auto"/>
            <w:hideMark/>
          </w:tcPr>
          <w:p w14:paraId="780DC0C0"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2</w:t>
            </w:r>
          </w:p>
        </w:tc>
        <w:tc>
          <w:tcPr>
            <w:tcW w:w="0" w:type="auto"/>
            <w:hideMark/>
          </w:tcPr>
          <w:p w14:paraId="42A86C54"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Risk Quantification</w:t>
            </w:r>
          </w:p>
        </w:tc>
        <w:tc>
          <w:tcPr>
            <w:tcW w:w="0" w:type="auto"/>
            <w:hideMark/>
          </w:tcPr>
          <w:p w14:paraId="52509F9E"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Estimate tail risk (VaR/ES)</w:t>
            </w:r>
          </w:p>
        </w:tc>
        <w:tc>
          <w:tcPr>
            <w:tcW w:w="0" w:type="auto"/>
            <w:hideMark/>
          </w:tcPr>
          <w:p w14:paraId="7A0846B6"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Downside containment</w:t>
            </w:r>
          </w:p>
        </w:tc>
      </w:tr>
      <w:tr w:rsidR="001F7D14" w:rsidRPr="00FF6757" w14:paraId="6E76684F" w14:textId="77777777" w:rsidTr="00184C92">
        <w:trPr>
          <w:jc w:val="center"/>
        </w:trPr>
        <w:tc>
          <w:tcPr>
            <w:tcW w:w="0" w:type="auto"/>
            <w:hideMark/>
          </w:tcPr>
          <w:p w14:paraId="1ABB6EFC"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3</w:t>
            </w:r>
          </w:p>
        </w:tc>
        <w:tc>
          <w:tcPr>
            <w:tcW w:w="0" w:type="auto"/>
            <w:hideMark/>
          </w:tcPr>
          <w:p w14:paraId="239D7D22"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Predictive Modelling</w:t>
            </w:r>
          </w:p>
        </w:tc>
        <w:tc>
          <w:tcPr>
            <w:tcW w:w="0" w:type="auto"/>
            <w:hideMark/>
          </w:tcPr>
          <w:p w14:paraId="6BD6550B"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Forecast short-term movements</w:t>
            </w:r>
          </w:p>
        </w:tc>
        <w:tc>
          <w:tcPr>
            <w:tcW w:w="0" w:type="auto"/>
            <w:hideMark/>
          </w:tcPr>
          <w:p w14:paraId="18898314"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Improved trade timing</w:t>
            </w:r>
          </w:p>
        </w:tc>
      </w:tr>
      <w:tr w:rsidR="001F7D14" w:rsidRPr="00FF6757" w14:paraId="45BD0423" w14:textId="77777777" w:rsidTr="00184C92">
        <w:trPr>
          <w:jc w:val="center"/>
        </w:trPr>
        <w:tc>
          <w:tcPr>
            <w:tcW w:w="0" w:type="auto"/>
            <w:hideMark/>
          </w:tcPr>
          <w:p w14:paraId="4F8C9AEE"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4</w:t>
            </w:r>
          </w:p>
        </w:tc>
        <w:tc>
          <w:tcPr>
            <w:tcW w:w="0" w:type="auto"/>
            <w:hideMark/>
          </w:tcPr>
          <w:p w14:paraId="60207C9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Hedging Overlay</w:t>
            </w:r>
          </w:p>
        </w:tc>
        <w:tc>
          <w:tcPr>
            <w:tcW w:w="0" w:type="auto"/>
            <w:hideMark/>
          </w:tcPr>
          <w:p w14:paraId="5958AEC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Mitigate adverse shocks</w:t>
            </w:r>
          </w:p>
        </w:tc>
        <w:tc>
          <w:tcPr>
            <w:tcW w:w="0" w:type="auto"/>
            <w:hideMark/>
          </w:tcPr>
          <w:p w14:paraId="3A360726"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Volatility moderation</w:t>
            </w:r>
          </w:p>
        </w:tc>
      </w:tr>
      <w:tr w:rsidR="001F7D14" w:rsidRPr="00FF6757" w14:paraId="15135DA7" w14:textId="77777777" w:rsidTr="00184C92">
        <w:trPr>
          <w:jc w:val="center"/>
        </w:trPr>
        <w:tc>
          <w:tcPr>
            <w:tcW w:w="0" w:type="auto"/>
            <w:hideMark/>
          </w:tcPr>
          <w:p w14:paraId="7F54898E"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5</w:t>
            </w:r>
          </w:p>
        </w:tc>
        <w:tc>
          <w:tcPr>
            <w:tcW w:w="0" w:type="auto"/>
            <w:hideMark/>
          </w:tcPr>
          <w:p w14:paraId="692DFA6E"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Behavioural Governance</w:t>
            </w:r>
          </w:p>
        </w:tc>
        <w:tc>
          <w:tcPr>
            <w:tcW w:w="0" w:type="auto"/>
            <w:hideMark/>
          </w:tcPr>
          <w:p w14:paraId="23ED32E4"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Enforce exposure discipline</w:t>
            </w:r>
          </w:p>
        </w:tc>
        <w:tc>
          <w:tcPr>
            <w:tcW w:w="0" w:type="auto"/>
            <w:hideMark/>
          </w:tcPr>
          <w:p w14:paraId="5DC62201" w14:textId="77777777" w:rsidR="001F7D14" w:rsidRPr="00FF6757" w:rsidRDefault="001F7D14" w:rsidP="001F7D14">
            <w:pPr>
              <w:keepNext/>
              <w:spacing w:after="160"/>
              <w:rPr>
                <w:rFonts w:ascii="Arial" w:hAnsi="Arial" w:cs="Arial"/>
                <w:sz w:val="20"/>
                <w:szCs w:val="20"/>
              </w:rPr>
            </w:pPr>
            <w:r w:rsidRPr="00FF6757">
              <w:rPr>
                <w:rFonts w:ascii="Arial" w:hAnsi="Arial" w:cs="Arial"/>
                <w:sz w:val="20"/>
                <w:szCs w:val="20"/>
              </w:rPr>
              <w:t>Stable risk-adjusted returns</w:t>
            </w:r>
          </w:p>
        </w:tc>
      </w:tr>
    </w:tbl>
    <w:p w14:paraId="22FC889E" w14:textId="77777777" w:rsidR="001F7D14" w:rsidRPr="00FF6757" w:rsidRDefault="001F7D14" w:rsidP="001F7D14">
      <w:pPr>
        <w:pStyle w:val="Caption"/>
        <w:spacing w:line="360" w:lineRule="auto"/>
        <w:jc w:val="center"/>
        <w:rPr>
          <w:rFonts w:ascii="Arial" w:hAnsi="Arial" w:cs="Arial"/>
        </w:rPr>
      </w:pPr>
      <w:bookmarkStart w:id="69" w:name="_Toc222946979"/>
      <w:r w:rsidRPr="00FF6757">
        <w:rPr>
          <w:rFonts w:ascii="Arial" w:hAnsi="Arial" w:cs="Arial"/>
        </w:rPr>
        <w:t xml:space="preserve">Table </w:t>
      </w:r>
      <w:r w:rsidRPr="00FF6757">
        <w:rPr>
          <w:rFonts w:ascii="Arial" w:hAnsi="Arial" w:cs="Arial"/>
        </w:rPr>
        <w:fldChar w:fldCharType="begin"/>
      </w:r>
      <w:r w:rsidRPr="00FF6757">
        <w:rPr>
          <w:rFonts w:ascii="Arial" w:hAnsi="Arial" w:cs="Arial"/>
        </w:rPr>
        <w:instrText xml:space="preserve"> SEQ Table \* ARABIC </w:instrText>
      </w:r>
      <w:r w:rsidRPr="00FF6757">
        <w:rPr>
          <w:rFonts w:ascii="Arial" w:hAnsi="Arial" w:cs="Arial"/>
        </w:rPr>
        <w:fldChar w:fldCharType="separate"/>
      </w:r>
      <w:r w:rsidRPr="00FF6757">
        <w:rPr>
          <w:rFonts w:ascii="Arial" w:hAnsi="Arial" w:cs="Arial"/>
        </w:rPr>
        <w:t>4</w:t>
      </w:r>
      <w:r w:rsidRPr="00FF6757">
        <w:rPr>
          <w:rFonts w:ascii="Arial" w:hAnsi="Arial" w:cs="Arial"/>
        </w:rPr>
        <w:fldChar w:fldCharType="end"/>
      </w:r>
      <w:r w:rsidRPr="00FF6757">
        <w:rPr>
          <w:rFonts w:ascii="Arial" w:hAnsi="Arial" w:cs="Arial"/>
        </w:rPr>
        <w:t>: Integrated Risk Management Framework for Forex Performance</w:t>
      </w:r>
      <w:bookmarkEnd w:id="69"/>
    </w:p>
    <w:p w14:paraId="4D11CAAC" w14:textId="5BA31480" w:rsidR="001F7D14" w:rsidRDefault="001F7D14" w:rsidP="004E68B0">
      <w:pPr>
        <w:ind w:firstLine="720"/>
        <w:rPr>
          <w:rFonts w:ascii="Arial" w:hAnsi="Arial" w:cs="Arial"/>
        </w:rPr>
      </w:pPr>
    </w:p>
    <w:p w14:paraId="043AD645" w14:textId="77777777" w:rsidR="00B53793" w:rsidRPr="00B53793" w:rsidRDefault="00B53793" w:rsidP="00B53793">
      <w:pPr>
        <w:ind w:firstLine="720"/>
        <w:rPr>
          <w:rFonts w:ascii="Arial" w:hAnsi="Arial" w:cs="Arial"/>
          <w:lang w:val="en-US"/>
        </w:rPr>
      </w:pPr>
      <w:r w:rsidRPr="00B53793">
        <w:rPr>
          <w:rFonts w:ascii="Arial" w:hAnsi="Arial" w:cs="Arial"/>
          <w:lang w:val="en-US"/>
        </w:rPr>
        <w:t>By doing so, this integrated approach tackles the main issues raised through the analysis of the literature. Inevitably, volatility models pinpoint the systemic risk but do not help resolve the decision-making problem, forecasting models help increase the accuracy but do not always result in producing the profit, risk measurement tools quantify the level of exposure without ensuring the control of the risks. Therefore, through merging these items inside one framework, traders can actually switch from mere analytical understanding to gaining the practical results in performance.</w:t>
      </w:r>
    </w:p>
    <w:p w14:paraId="603AD55A" w14:textId="77777777" w:rsidR="00B53793" w:rsidRPr="00B53793" w:rsidRDefault="00B53793" w:rsidP="00B53793">
      <w:pPr>
        <w:ind w:firstLine="720"/>
        <w:rPr>
          <w:rFonts w:ascii="Arial" w:hAnsi="Arial" w:cs="Arial"/>
          <w:lang w:val="en-US"/>
        </w:rPr>
      </w:pPr>
      <w:r w:rsidRPr="00B53793">
        <w:rPr>
          <w:rFonts w:ascii="Arial" w:hAnsi="Arial" w:cs="Arial"/>
          <w:lang w:val="en-US"/>
        </w:rPr>
        <w:t xml:space="preserve">On top of that, behavioural discipline serves as a kind of glue binding different parts together. If nothing else, a stable and thorough execution first and foremost, even the most advanced analytical tools may no longer be able to yield significant results. This, in a way, only strengthens one more time that financial risk management cannot </w:t>
      </w:r>
      <w:r w:rsidRPr="00B53793">
        <w:rPr>
          <w:rFonts w:ascii="Arial" w:hAnsi="Arial" w:cs="Arial"/>
          <w:lang w:val="en-US"/>
        </w:rPr>
        <w:lastRenderedPageBreak/>
        <w:t>just be reduced to technical aspects but also that human behaviour is an essence of it (Chen et al., 2021).</w:t>
      </w:r>
    </w:p>
    <w:p w14:paraId="42892E19" w14:textId="77777777" w:rsidR="00B53793" w:rsidRPr="00FF6757" w:rsidRDefault="00B53793" w:rsidP="004E68B0">
      <w:pPr>
        <w:ind w:firstLine="720"/>
        <w:rPr>
          <w:rFonts w:ascii="Arial" w:hAnsi="Arial" w:cs="Arial"/>
        </w:rPr>
      </w:pPr>
    </w:p>
    <w:p w14:paraId="0BDF2F53" w14:textId="77777777" w:rsidR="00463950" w:rsidRPr="00FF6757" w:rsidRDefault="00463950" w:rsidP="00463950">
      <w:pPr>
        <w:keepNext/>
        <w:jc w:val="center"/>
      </w:pPr>
      <w:r w:rsidRPr="00FF6757">
        <w:rPr>
          <w:noProof/>
        </w:rPr>
        <w:drawing>
          <wp:inline distT="0" distB="0" distL="0" distR="0" wp14:anchorId="41E0D9EC" wp14:editId="6A1512B7">
            <wp:extent cx="5401466" cy="6591300"/>
            <wp:effectExtent l="19050" t="19050" r="27940" b="19050"/>
            <wp:docPr id="5145325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622" cy="6591490"/>
                    </a:xfrm>
                    <a:prstGeom prst="rect">
                      <a:avLst/>
                    </a:prstGeom>
                    <a:noFill/>
                    <a:ln>
                      <a:solidFill>
                        <a:schemeClr val="tx1"/>
                      </a:solidFill>
                    </a:ln>
                  </pic:spPr>
                </pic:pic>
              </a:graphicData>
            </a:graphic>
          </wp:inline>
        </w:drawing>
      </w:r>
    </w:p>
    <w:p w14:paraId="1DAA85E9" w14:textId="330A4ED2" w:rsidR="00321E9B" w:rsidRPr="00FF6757" w:rsidRDefault="00463950" w:rsidP="00321E9B">
      <w:pPr>
        <w:pStyle w:val="Caption"/>
        <w:jc w:val="center"/>
      </w:pPr>
      <w:bookmarkStart w:id="70" w:name="_Toc222947495"/>
      <w:r w:rsidRPr="00FF6757">
        <w:t xml:space="preserve">Figure </w:t>
      </w:r>
      <w:r w:rsidR="00C161DB" w:rsidRPr="00FF6757">
        <w:fldChar w:fldCharType="begin"/>
      </w:r>
      <w:r w:rsidR="00C161DB" w:rsidRPr="00FF6757">
        <w:instrText xml:space="preserve"> SEQ Figure \* ARABIC </w:instrText>
      </w:r>
      <w:r w:rsidR="00C161DB" w:rsidRPr="00FF6757">
        <w:fldChar w:fldCharType="separate"/>
      </w:r>
      <w:r w:rsidR="00C161DB" w:rsidRPr="00FF6757">
        <w:t>3</w:t>
      </w:r>
      <w:r w:rsidR="00C161DB" w:rsidRPr="00FF6757">
        <w:fldChar w:fldCharType="end"/>
      </w:r>
      <w:r w:rsidRPr="00FF6757">
        <w:t>: Integrated Financial Risk Management Architecture for Sustainable Forex Trading Performance</w:t>
      </w:r>
      <w:bookmarkEnd w:id="70"/>
    </w:p>
    <w:p w14:paraId="69B6BC96" w14:textId="31DFED9F" w:rsidR="00463950" w:rsidRPr="00FF6757" w:rsidRDefault="00463950" w:rsidP="00321E9B">
      <w:pPr>
        <w:pStyle w:val="Caption"/>
        <w:jc w:val="center"/>
      </w:pPr>
      <w:r w:rsidRPr="00FF6757">
        <w:t>(Source: Author)</w:t>
      </w:r>
    </w:p>
    <w:p w14:paraId="3E9907F2" w14:textId="1A566332" w:rsidR="001F7D14" w:rsidRDefault="001F7D14" w:rsidP="004E68B0">
      <w:pPr>
        <w:ind w:firstLine="720"/>
        <w:rPr>
          <w:rFonts w:ascii="Arial" w:hAnsi="Arial" w:cs="Arial"/>
        </w:rPr>
      </w:pPr>
    </w:p>
    <w:p w14:paraId="2FD98678" w14:textId="6CA41C29" w:rsidR="00B53793" w:rsidRPr="00FF6757" w:rsidRDefault="009D0731" w:rsidP="004E68B0">
      <w:pPr>
        <w:ind w:firstLine="720"/>
        <w:rPr>
          <w:rFonts w:ascii="Arial" w:hAnsi="Arial" w:cs="Arial"/>
        </w:rPr>
      </w:pPr>
      <w:r w:rsidRPr="009D0731">
        <w:rPr>
          <w:rFonts w:ascii="Arial" w:hAnsi="Arial" w:cs="Arial"/>
        </w:rPr>
        <w:lastRenderedPageBreak/>
        <w:t>This framework directly fills the void in research pointed out in previous chapters where other researchers have not found the link between risk management that is highly structured and actual performance of trading in terms of figures. Giving an angle of a concerted and performance-oriented this research significantly adds to the knowledge of ways that financial risk management can be successfully used in Forex markets.</w:t>
      </w:r>
    </w:p>
    <w:p w14:paraId="2EBE4EA7" w14:textId="77777777" w:rsidR="004E68B0" w:rsidRPr="00FF6757" w:rsidRDefault="004E68B0" w:rsidP="004E68B0">
      <w:pPr>
        <w:ind w:firstLine="720"/>
        <w:rPr>
          <w:rFonts w:ascii="Arial" w:hAnsi="Arial" w:cs="Arial"/>
        </w:rPr>
      </w:pPr>
    </w:p>
    <w:p w14:paraId="0FD29221" w14:textId="77777777" w:rsidR="001F7D14" w:rsidRPr="00FF6757" w:rsidRDefault="001F7D14" w:rsidP="006B357C">
      <w:pPr>
        <w:pStyle w:val="Heading2"/>
      </w:pPr>
      <w:bookmarkStart w:id="71" w:name="_Toc228917240"/>
      <w:r w:rsidRPr="00FF6757">
        <w:t>5.8 Theoretical Contributions and Conceptual Advancement</w:t>
      </w:r>
      <w:bookmarkEnd w:id="71"/>
      <w:r w:rsidRPr="00FF6757">
        <w:t xml:space="preserve"> </w:t>
      </w:r>
    </w:p>
    <w:p w14:paraId="27B1EA34" w14:textId="77777777" w:rsidR="004E68B0" w:rsidRDefault="004E68B0" w:rsidP="004E68B0"/>
    <w:p w14:paraId="6093E78F" w14:textId="77777777" w:rsidR="009D0731" w:rsidRPr="009D0731" w:rsidRDefault="009D0731" w:rsidP="009D0731">
      <w:pPr>
        <w:ind w:firstLine="720"/>
        <w:rPr>
          <w:rFonts w:ascii="Arial" w:hAnsi="Arial" w:cs="Arial"/>
          <w:lang w:val="en-US"/>
        </w:rPr>
      </w:pPr>
      <w:r w:rsidRPr="009D0731">
        <w:rPr>
          <w:rFonts w:ascii="Arial" w:hAnsi="Arial" w:cs="Arial"/>
          <w:lang w:val="en-US"/>
        </w:rPr>
        <w:t>This research provides a new theoretical perspective that disputes the conventional belief that the main objectives of financial risk management in Forex markets are accurate prediction and using sophisticated models. It shows that even though the traditional theories cover aspects of, for example, volatility, risk measurement, and forecasting well, they still have many weaknesses when implemented on their own (Baruník and Křehlík, 2021; Jiang, Hu, and Yu, 2022).</w:t>
      </w:r>
    </w:p>
    <w:p w14:paraId="25274E37" w14:textId="77777777" w:rsidR="009D0731" w:rsidRPr="009D0731" w:rsidRDefault="009D0731" w:rsidP="009D0731">
      <w:pPr>
        <w:ind w:firstLine="720"/>
        <w:rPr>
          <w:rFonts w:ascii="Arial" w:hAnsi="Arial" w:cs="Arial"/>
          <w:lang w:val="en-US"/>
        </w:rPr>
      </w:pPr>
      <w:r w:rsidRPr="009D0731">
        <w:rPr>
          <w:rFonts w:ascii="Arial" w:hAnsi="Arial" w:cs="Arial"/>
          <w:lang w:val="en-US"/>
        </w:rPr>
        <w:t>More specifically, the paper points out some critical drawbacks in the most traded off theoretical constructions like Modern Portfolio Theory and traditional risk-return models. Such models, to a certain extent, rely on the assumptions of both the stability of correlations and the predictability of markets. However, the data speaks today of the change of these relations mostly towards the instability and the increase notably during the times of the financial stress which effectively leads to the limited capacity of the diversification of the portfolio (Nerantzidis, Stoupos and Tzeremes, 2024). Hence, it appears that traditional theories fall short of providing a satisfactory explanation of the risk behavior in the highly volatile and interconnected Forex markets.</w:t>
      </w:r>
    </w:p>
    <w:p w14:paraId="6FF051B8" w14:textId="77777777" w:rsidR="009D0731" w:rsidRPr="009D0731" w:rsidRDefault="009D0731" w:rsidP="009D0731">
      <w:pPr>
        <w:ind w:firstLine="720"/>
        <w:rPr>
          <w:rFonts w:ascii="Arial" w:hAnsi="Arial" w:cs="Arial"/>
          <w:lang w:val="en-US"/>
        </w:rPr>
      </w:pPr>
      <w:r w:rsidRPr="009D0731">
        <w:rPr>
          <w:rFonts w:ascii="Arial" w:hAnsi="Arial" w:cs="Arial"/>
          <w:lang w:val="en-US"/>
        </w:rPr>
        <w:t xml:space="preserve">Moreover, this work leads the way to the identification of a gap in literature the mere availability of better forecast tools and more accurate measures of risk does not necessarily equal better performance in trading work. Indeed, while the use of machine learning model production as well as the combination of different approaches could lead to the enhancement of the predictive power of the models, the practical contribution of these new tools is nevertheless limited without their embedding into a risk management framework (Ayitey Junior et al., 2023; Zhao and Yan, 2024). In this </w:t>
      </w:r>
      <w:r w:rsidRPr="009D0731">
        <w:rPr>
          <w:rFonts w:ascii="Arial" w:hAnsi="Arial" w:cs="Arial"/>
          <w:lang w:val="en-US"/>
        </w:rPr>
        <w:lastRenderedPageBreak/>
        <w:t>sense, the paper questions the quite prevalent viewpoint that it is only the sophistication of the methods that determines the outcomes in terms of performance.</w:t>
      </w:r>
    </w:p>
    <w:p w14:paraId="717BF375" w14:textId="77777777" w:rsidR="009D0731" w:rsidRPr="009D0731" w:rsidRDefault="009D0731" w:rsidP="009D0731">
      <w:pPr>
        <w:ind w:firstLine="720"/>
        <w:rPr>
          <w:rFonts w:ascii="Arial" w:hAnsi="Arial" w:cs="Arial"/>
          <w:lang w:val="en-US"/>
        </w:rPr>
      </w:pPr>
      <w:r w:rsidRPr="009D0731">
        <w:rPr>
          <w:rFonts w:ascii="Arial" w:hAnsi="Arial" w:cs="Arial"/>
          <w:lang w:val="en-US"/>
        </w:rPr>
        <w:t>More importantly, this piece of research constructs an integrated model that matches together the processes of risk recognition, risk measurement, and risk reduction in relation to the trading performance. Besides using various ways of analysis to complement a better understanding of the Forex risks, the work also highlights the need of the incorporation of the human element to the risk management by focusing on the behavioural aspect. In this way, the study not only overcomes the existing theoretical gaps but also offers a wider opening to the knowledge of financial risk management as a key element of Forex trading (Chen et al., 2021).</w:t>
      </w:r>
    </w:p>
    <w:p w14:paraId="1C538708" w14:textId="77777777" w:rsidR="004E68B0" w:rsidRPr="00FF6757" w:rsidRDefault="004E68B0" w:rsidP="009D0731">
      <w:pPr>
        <w:rPr>
          <w:rFonts w:ascii="Arial" w:hAnsi="Arial" w:cs="Arial"/>
        </w:rPr>
      </w:pPr>
    </w:p>
    <w:p w14:paraId="02DAFE04" w14:textId="77777777" w:rsidR="001F7D14" w:rsidRPr="00FF6757" w:rsidRDefault="001F7D14" w:rsidP="006B357C">
      <w:pPr>
        <w:pStyle w:val="Heading2"/>
      </w:pPr>
      <w:bookmarkStart w:id="72" w:name="_Toc228917241"/>
      <w:r w:rsidRPr="00FF6757">
        <w:t>5.9 Practical Implications for Forex Traders and Institutions</w:t>
      </w:r>
      <w:bookmarkEnd w:id="72"/>
      <w:r w:rsidRPr="00FF6757">
        <w:t xml:space="preserve"> </w:t>
      </w:r>
    </w:p>
    <w:p w14:paraId="34461392" w14:textId="77777777" w:rsidR="004E68B0" w:rsidRPr="009D0731" w:rsidRDefault="004E68B0" w:rsidP="004E68B0">
      <w:pPr>
        <w:rPr>
          <w:rFonts w:ascii="Arial" w:hAnsi="Arial" w:cs="Arial"/>
        </w:rPr>
      </w:pPr>
    </w:p>
    <w:p w14:paraId="666F3026" w14:textId="77777777" w:rsidR="009D0731" w:rsidRPr="009D0731" w:rsidRDefault="009D0731" w:rsidP="009D0731">
      <w:pPr>
        <w:ind w:firstLine="720"/>
        <w:rPr>
          <w:rFonts w:ascii="Arial" w:hAnsi="Arial" w:cs="Arial"/>
          <w:lang w:val="en-US"/>
        </w:rPr>
      </w:pPr>
      <w:r w:rsidRPr="009D0731">
        <w:rPr>
          <w:rFonts w:ascii="Arial" w:hAnsi="Arial" w:cs="Arial"/>
          <w:lang w:val="en-US"/>
        </w:rPr>
        <w:t>Individual Forex traders as well as financial institutions can benefit a lot from the results of this study. Apart from a high level of prediction accuracy, trading performance improvement is mainly the result of the proper use of risk management techniques, which is a structured application. So, the focus of traders should be less on forecasting market movements with a 100% accuracy and more on controlling the risk through strategies that are properly disciplined (Ayitey Junior et al., 2023).</w:t>
      </w:r>
    </w:p>
    <w:p w14:paraId="5297023D" w14:textId="77777777" w:rsidR="009D0731" w:rsidRPr="009D0731" w:rsidRDefault="009D0731" w:rsidP="009D0731">
      <w:pPr>
        <w:ind w:firstLine="720"/>
        <w:rPr>
          <w:rFonts w:ascii="Arial" w:hAnsi="Arial" w:cs="Arial"/>
          <w:lang w:val="en-US"/>
        </w:rPr>
      </w:pPr>
      <w:r w:rsidRPr="009D0731">
        <w:rPr>
          <w:rFonts w:ascii="Arial" w:hAnsi="Arial" w:cs="Arial"/>
          <w:lang w:val="en-US"/>
        </w:rPr>
        <w:t>First of all, traders should implement risk management at a deeper level by carrying out volatility analysis, using risk measurement techniques such as VaR and Expected Shortfall, and performing adaptive hedging. This grants a much better grasp of market risk and facilitates more effective decision-making change (Jiang, Hu and Yu, 2022).</w:t>
      </w:r>
    </w:p>
    <w:p w14:paraId="063DAF3D" w14:textId="77777777" w:rsidR="009D0731" w:rsidRPr="009D0731" w:rsidRDefault="009D0731" w:rsidP="009D0731">
      <w:pPr>
        <w:ind w:firstLine="720"/>
        <w:rPr>
          <w:rFonts w:ascii="Arial" w:hAnsi="Arial" w:cs="Arial"/>
          <w:lang w:val="en-US"/>
        </w:rPr>
      </w:pPr>
      <w:r w:rsidRPr="009D0731">
        <w:rPr>
          <w:rFonts w:ascii="Arial" w:hAnsi="Arial" w:cs="Arial"/>
          <w:lang w:val="en-US"/>
        </w:rPr>
        <w:t>Secondly, risk management frameworks must become an integral part of trading decisions, not just a means for performing after-the-fact checks or generating reports. In other words, they must be used as a guide to set position sizes, stop-loss levels and capital allocation. Risk assessments, even if precise, may still leave the door open for big loss.</w:t>
      </w:r>
    </w:p>
    <w:p w14:paraId="077858CF" w14:textId="77777777" w:rsidR="009D0731" w:rsidRPr="009D0731" w:rsidRDefault="009D0731" w:rsidP="009D0731">
      <w:pPr>
        <w:ind w:firstLine="720"/>
        <w:rPr>
          <w:rFonts w:ascii="Arial" w:hAnsi="Arial" w:cs="Arial"/>
          <w:lang w:val="en-US"/>
        </w:rPr>
      </w:pPr>
      <w:r w:rsidRPr="009D0731">
        <w:rPr>
          <w:rFonts w:ascii="Arial" w:hAnsi="Arial" w:cs="Arial"/>
          <w:lang w:val="en-US"/>
        </w:rPr>
        <w:t xml:space="preserve">Thirdly, it makes sense to think of behavioural discipline as an essential element of risk management. Especially in moments of great market uncertainty, traders must </w:t>
      </w:r>
      <w:r w:rsidRPr="009D0731">
        <w:rPr>
          <w:rFonts w:ascii="Arial" w:hAnsi="Arial" w:cs="Arial"/>
          <w:lang w:val="en-US"/>
        </w:rPr>
        <w:lastRenderedPageBreak/>
        <w:t>adhere strictly to pre-established plans and refrain from making decisions driven by feelings or spontaneity. Research has revealed that if traders do not keep their behaviour in check, even the most sophisticated tools of analysis can be rendered useless to a great extent (Chen et al., 2021).</w:t>
      </w:r>
    </w:p>
    <w:p w14:paraId="4215F47B" w14:textId="12F72C88" w:rsidR="001F7D14" w:rsidRPr="009D0731" w:rsidRDefault="009D0731" w:rsidP="009D0731">
      <w:pPr>
        <w:ind w:firstLine="720"/>
        <w:rPr>
          <w:rFonts w:ascii="Arial" w:hAnsi="Arial" w:cs="Arial"/>
          <w:lang w:val="en-US"/>
        </w:rPr>
      </w:pPr>
      <w:r w:rsidRPr="009D0731">
        <w:rPr>
          <w:rFonts w:ascii="Arial" w:hAnsi="Arial" w:cs="Arial"/>
          <w:lang w:val="en-US"/>
        </w:rPr>
        <w:t>Last but not least, financial institutions should consider making a commitment to building systems that effectively combine analytical tools with those that implement, thus helping risk management to be not only technically strong but also operationally effective</w:t>
      </w:r>
      <w:r>
        <w:rPr>
          <w:rFonts w:ascii="Arial" w:hAnsi="Arial" w:cs="Arial"/>
          <w:lang w:val="en-US"/>
        </w:rPr>
        <w:t>.</w:t>
      </w:r>
    </w:p>
    <w:p w14:paraId="0FFE82BC" w14:textId="77777777" w:rsidR="004E68B0" w:rsidRPr="00FF6757" w:rsidRDefault="004E68B0" w:rsidP="004E68B0">
      <w:pPr>
        <w:ind w:firstLine="720"/>
        <w:rPr>
          <w:rFonts w:ascii="Arial" w:hAnsi="Arial" w:cs="Arial"/>
        </w:rPr>
      </w:pPr>
    </w:p>
    <w:p w14:paraId="5F50FAD6" w14:textId="77777777" w:rsidR="001F7D14" w:rsidRPr="00FF6757" w:rsidRDefault="001F7D14" w:rsidP="006B357C">
      <w:pPr>
        <w:pStyle w:val="Heading2"/>
      </w:pPr>
      <w:bookmarkStart w:id="73" w:name="_Toc228917242"/>
      <w:r w:rsidRPr="00FF6757">
        <w:t>5.10 Concluding Discussion and Research Implications</w:t>
      </w:r>
      <w:bookmarkEnd w:id="73"/>
    </w:p>
    <w:p w14:paraId="37E38FB8" w14:textId="77777777" w:rsidR="004E68B0" w:rsidRPr="00FF6757" w:rsidRDefault="004E68B0" w:rsidP="004E68B0"/>
    <w:p w14:paraId="27039E43" w14:textId="5241FD96" w:rsidR="009D0731" w:rsidRPr="009D0731" w:rsidRDefault="009D0731" w:rsidP="009D0731">
      <w:pPr>
        <w:ind w:firstLine="720"/>
        <w:rPr>
          <w:rFonts w:ascii="Arial" w:hAnsi="Arial" w:cs="Arial"/>
          <w:lang w:val="en-US"/>
        </w:rPr>
      </w:pPr>
      <w:r w:rsidRPr="009D0731">
        <w:rPr>
          <w:rFonts w:ascii="Arial" w:hAnsi="Arial" w:cs="Arial"/>
          <w:lang w:val="en-US"/>
        </w:rPr>
        <w:t>This chapter has done a thorough job going over the results of the research and responding to the research questions by setting up a well-reasoned and organized discussion.</w:t>
      </w:r>
    </w:p>
    <w:p w14:paraId="50DB4A7A" w14:textId="77777777" w:rsidR="009D0731" w:rsidRPr="009D0731" w:rsidRDefault="009D0731" w:rsidP="009D0731">
      <w:pPr>
        <w:ind w:firstLine="720"/>
        <w:rPr>
          <w:rFonts w:ascii="Arial" w:hAnsi="Arial" w:cs="Arial"/>
          <w:lang w:val="en-US"/>
        </w:rPr>
      </w:pPr>
      <w:r w:rsidRPr="009D0731">
        <w:rPr>
          <w:rFonts w:ascii="Arial" w:hAnsi="Arial" w:cs="Arial"/>
          <w:lang w:val="en-US"/>
        </w:rPr>
        <w:t>The discussion outlines that managing financial risks in Forex markets cannot be done by just using one or two isolated Forex risk management tools (such as forecasting, volatility modelling, or hedging).</w:t>
      </w:r>
    </w:p>
    <w:p w14:paraId="07C517DF" w14:textId="77777777" w:rsidR="009D0731" w:rsidRPr="009D0731" w:rsidRDefault="009D0731" w:rsidP="009D0731">
      <w:pPr>
        <w:ind w:firstLine="720"/>
        <w:rPr>
          <w:rFonts w:ascii="Arial" w:hAnsi="Arial" w:cs="Arial"/>
          <w:lang w:val="en-US"/>
        </w:rPr>
      </w:pPr>
      <w:r w:rsidRPr="009D0731">
        <w:rPr>
          <w:rFonts w:ascii="Arial" w:hAnsi="Arial" w:cs="Arial"/>
          <w:lang w:val="en-US"/>
        </w:rPr>
        <w:t>Outcomes on the performances will be affected by how well these elements are combined and implemented in practice rather than simply them being used individually.</w:t>
      </w:r>
    </w:p>
    <w:p w14:paraId="2F31688E" w14:textId="77777777" w:rsidR="009D0731" w:rsidRPr="009D0731" w:rsidRDefault="009D0731" w:rsidP="009D0731">
      <w:pPr>
        <w:ind w:firstLine="720"/>
        <w:rPr>
          <w:rFonts w:ascii="Arial" w:hAnsi="Arial" w:cs="Arial"/>
          <w:lang w:val="en-US"/>
        </w:rPr>
      </w:pPr>
      <w:r w:rsidRPr="009D0731">
        <w:rPr>
          <w:rFonts w:ascii="Arial" w:hAnsi="Arial" w:cs="Arial"/>
          <w:lang w:val="en-US"/>
        </w:rPr>
        <w:t>The study reveals that the Forex risk management has made great strides in risk measurement and predictive modelling and these features only help to market to a certain extent and do not necessarily lead to indicated trading results. It depends a lot on other factors like trading environment, transaction costs, and discipline of trader's behaviour which have a direct influence on whether or not the analytical gains can be made to match financial results (García et al., 2023; Chen et al., 2021).</w:t>
      </w:r>
    </w:p>
    <w:p w14:paraId="1584DF50" w14:textId="77777777" w:rsidR="009D0731" w:rsidRPr="009D0731" w:rsidRDefault="009D0731" w:rsidP="009D0731">
      <w:pPr>
        <w:ind w:firstLine="720"/>
        <w:rPr>
          <w:rFonts w:ascii="Arial" w:hAnsi="Arial" w:cs="Arial"/>
          <w:lang w:val="en-US"/>
        </w:rPr>
      </w:pPr>
      <w:r w:rsidRPr="009D0731">
        <w:rPr>
          <w:rFonts w:ascii="Arial" w:hAnsi="Arial" w:cs="Arial"/>
          <w:lang w:val="en-US"/>
        </w:rPr>
        <w:t>The main message from the chapter is effectiveness of financial risk management is a matter of integration and execution.</w:t>
      </w:r>
    </w:p>
    <w:p w14:paraId="2577BDBB" w14:textId="77777777" w:rsidR="009D0731" w:rsidRPr="009D0731" w:rsidRDefault="009D0731" w:rsidP="009D0731">
      <w:pPr>
        <w:ind w:firstLine="720"/>
        <w:rPr>
          <w:rFonts w:ascii="Arial" w:hAnsi="Arial" w:cs="Arial"/>
          <w:lang w:val="en-US"/>
        </w:rPr>
      </w:pPr>
      <w:r w:rsidRPr="009D0731">
        <w:rPr>
          <w:rFonts w:ascii="Arial" w:hAnsi="Arial" w:cs="Arial"/>
          <w:lang w:val="en-US"/>
        </w:rPr>
        <w:t xml:space="preserve">Financial risk management is the most successful when separate tools and techniques are used together. Volatility analysis is a tool to both recognize and </w:t>
      </w:r>
      <w:r w:rsidRPr="009D0731">
        <w:rPr>
          <w:rFonts w:ascii="Arial" w:hAnsi="Arial" w:cs="Arial"/>
          <w:lang w:val="en-US"/>
        </w:rPr>
        <w:lastRenderedPageBreak/>
        <w:t>estimate risks. Risk measurement helps in quantifying risk exposure while hedging is aimed at reducing/control of losses. These three components however, if used separately without any constant and regular behavioural discipline, will be ineffective.</w:t>
      </w:r>
    </w:p>
    <w:p w14:paraId="7DB67537" w14:textId="69F32134" w:rsidR="009D0731" w:rsidRPr="009D0731" w:rsidRDefault="009D0731" w:rsidP="009D0731">
      <w:pPr>
        <w:ind w:firstLine="720"/>
        <w:rPr>
          <w:rFonts w:ascii="Arial" w:hAnsi="Arial" w:cs="Arial"/>
          <w:lang w:val="en-US"/>
        </w:rPr>
      </w:pPr>
      <w:r w:rsidRPr="009D0731">
        <w:rPr>
          <w:rFonts w:ascii="Arial" w:hAnsi="Arial" w:cs="Arial"/>
          <w:lang w:val="en-US"/>
        </w:rPr>
        <w:t>Besides, the authors point out that most of the time, the previous studies have focused more on developing new methods than studying how these methods are able to produce good results when applied. Therefore, by filling this gap, the research offers more complete insight into the potential of organized risk management to help maintain Forex traders' success over time.</w:t>
      </w:r>
    </w:p>
    <w:p w14:paraId="5A5D5D61" w14:textId="33213F4B" w:rsidR="001F7D14" w:rsidRPr="00FF6757" w:rsidRDefault="001F7D14" w:rsidP="004E68B0">
      <w:pPr>
        <w:ind w:firstLine="720"/>
        <w:rPr>
          <w:rFonts w:ascii="Arial" w:hAnsi="Arial" w:cs="Arial"/>
        </w:rPr>
      </w:pPr>
    </w:p>
    <w:p w14:paraId="493B8679" w14:textId="77777777" w:rsidR="001F7D14" w:rsidRPr="00FF6757" w:rsidRDefault="001F7D14" w:rsidP="001F7D14">
      <w:pPr>
        <w:rPr>
          <w:rFonts w:ascii="Arial" w:hAnsi="Arial" w:cs="Arial"/>
        </w:rPr>
      </w:pPr>
      <w:r w:rsidRPr="00FF6757">
        <w:rPr>
          <w:rFonts w:ascii="Arial" w:hAnsi="Arial" w:cs="Arial"/>
        </w:rPr>
        <w:br w:type="page"/>
      </w:r>
    </w:p>
    <w:p w14:paraId="0BA29B1D" w14:textId="77777777" w:rsidR="001F7D14" w:rsidRPr="00FF6757" w:rsidRDefault="001F7D14" w:rsidP="004E68B0">
      <w:pPr>
        <w:pStyle w:val="Heading1"/>
        <w:jc w:val="center"/>
      </w:pPr>
      <w:bookmarkStart w:id="74" w:name="_Toc228917243"/>
      <w:r w:rsidRPr="00FF6757">
        <w:lastRenderedPageBreak/>
        <w:t>Chapter 6: Conclusion</w:t>
      </w:r>
      <w:bookmarkEnd w:id="74"/>
    </w:p>
    <w:p w14:paraId="087C1806" w14:textId="77777777" w:rsidR="004E68B0" w:rsidRPr="00FF6757" w:rsidRDefault="004E68B0" w:rsidP="004E68B0"/>
    <w:p w14:paraId="78256220" w14:textId="77777777" w:rsidR="001F7D14" w:rsidRPr="00FF6757" w:rsidRDefault="001F7D14" w:rsidP="004E68B0">
      <w:pPr>
        <w:pStyle w:val="Heading2"/>
      </w:pPr>
      <w:bookmarkStart w:id="75" w:name="_Toc228917244"/>
      <w:r w:rsidRPr="00FF6757">
        <w:t>6.1 Introduction</w:t>
      </w:r>
      <w:bookmarkEnd w:id="75"/>
    </w:p>
    <w:p w14:paraId="2124A087" w14:textId="77777777" w:rsidR="004E68B0" w:rsidRDefault="004E68B0" w:rsidP="004E68B0"/>
    <w:p w14:paraId="37D20E59" w14:textId="77777777" w:rsidR="009D0731" w:rsidRPr="009D0731" w:rsidRDefault="009D0731" w:rsidP="009D0731">
      <w:pPr>
        <w:ind w:firstLine="720"/>
        <w:rPr>
          <w:rFonts w:ascii="Arial" w:hAnsi="Arial" w:cs="Arial"/>
          <w:lang w:val="en-US"/>
        </w:rPr>
      </w:pPr>
      <w:r w:rsidRPr="009D0731">
        <w:rPr>
          <w:rFonts w:ascii="Arial" w:hAnsi="Arial" w:cs="Arial"/>
          <w:lang w:val="en-US"/>
        </w:rPr>
        <w:t>This chapter brings forward the overall conclusion of the study by integrating the main findings of the work. Unlike the previous chapter which was mainly focused on the detailed analysis and discussion, this part presents the major insights in a brief and orderly manner.</w:t>
      </w:r>
    </w:p>
    <w:p w14:paraId="107D32D8" w14:textId="77777777" w:rsidR="009D0731" w:rsidRPr="009D0731" w:rsidRDefault="009D0731" w:rsidP="009D0731">
      <w:pPr>
        <w:ind w:firstLine="720"/>
        <w:rPr>
          <w:rFonts w:ascii="Arial" w:hAnsi="Arial" w:cs="Arial"/>
          <w:lang w:val="en-US"/>
        </w:rPr>
      </w:pPr>
      <w:r w:rsidRPr="009D0731">
        <w:rPr>
          <w:rFonts w:ascii="Arial" w:hAnsi="Arial" w:cs="Arial"/>
          <w:lang w:val="en-US"/>
        </w:rPr>
        <w:t>The goal of this research was to find out how financial risk management impacts Forex trading performance. The research has, therefore, through an exhaustive evaluation of existing literature and a detailed thematic analysis, discovered major risks, estimated the efficiency of risk management practices, and considered the interplay between analytical tools and trading realities in Forex markets.</w:t>
      </w:r>
    </w:p>
    <w:p w14:paraId="4AEDA33C" w14:textId="38C17BDC" w:rsidR="004E68B0" w:rsidRDefault="009D0731" w:rsidP="009D0731">
      <w:pPr>
        <w:ind w:firstLine="720"/>
        <w:rPr>
          <w:rFonts w:ascii="Arial" w:hAnsi="Arial" w:cs="Arial"/>
          <w:lang w:val="en-US"/>
        </w:rPr>
      </w:pPr>
      <w:r w:rsidRPr="009D0731">
        <w:rPr>
          <w:rFonts w:ascii="Arial" w:hAnsi="Arial" w:cs="Arial"/>
          <w:lang w:val="en-US"/>
        </w:rPr>
        <w:t>Firstly, this chapter integrates the above-mentioned research discoveries and thereby, bases the theoretical framework and real-world applications. Secondly, it comments on the drawbacks and possible extensions of the study and offers renewed interpretations, suggestions, and insights for further research. This research presents a comprehensive resolution as to how well-organized financial risk management can help achievable results in Forex markets.</w:t>
      </w:r>
    </w:p>
    <w:p w14:paraId="7151AFC1" w14:textId="77777777" w:rsidR="009D0731" w:rsidRPr="009D0731" w:rsidRDefault="009D0731" w:rsidP="009D0731">
      <w:pPr>
        <w:ind w:firstLine="720"/>
        <w:rPr>
          <w:rFonts w:ascii="Arial" w:hAnsi="Arial" w:cs="Arial"/>
          <w:lang w:val="en-US"/>
        </w:rPr>
      </w:pPr>
    </w:p>
    <w:p w14:paraId="3ECFFDCB" w14:textId="77777777" w:rsidR="001F7D14" w:rsidRPr="00FF6757" w:rsidRDefault="001F7D14" w:rsidP="006B357C">
      <w:pPr>
        <w:pStyle w:val="Heading2"/>
      </w:pPr>
      <w:bookmarkStart w:id="76" w:name="_Toc228917245"/>
      <w:r w:rsidRPr="00FF6757">
        <w:t>6.2 Overall Synthesis of Findings</w:t>
      </w:r>
      <w:bookmarkEnd w:id="76"/>
    </w:p>
    <w:p w14:paraId="66AD348D" w14:textId="77777777" w:rsidR="004E68B0" w:rsidRPr="00FF6757" w:rsidRDefault="004E68B0" w:rsidP="004E68B0"/>
    <w:p w14:paraId="4C5A0F26" w14:textId="77777777" w:rsidR="009D0731" w:rsidRPr="009D0731" w:rsidRDefault="009D0731" w:rsidP="009D0731">
      <w:pPr>
        <w:ind w:firstLine="720"/>
        <w:rPr>
          <w:rFonts w:ascii="Arial" w:hAnsi="Arial" w:cs="Arial"/>
          <w:lang w:val="en-US"/>
        </w:rPr>
      </w:pPr>
      <w:r w:rsidRPr="009D0731">
        <w:rPr>
          <w:rFonts w:ascii="Arial" w:hAnsi="Arial" w:cs="Arial"/>
          <w:lang w:val="en-US"/>
        </w:rPr>
        <w:t>The objective of this research was to analyze the role of financial risk management in Forex trading success. The results indicate that the risk in Forex markets is not only dynamic but also interconnected, and it is highly influenced by worldwide macroeconomic conditions. Hence, such risk exposure cannot be effectively managed by static or isolated approaches. Volatility clustering, systemic spillovers, and regime shifts are the manifestations of the increasing complexities of risk exposure in the currency markets.</w:t>
      </w:r>
    </w:p>
    <w:p w14:paraId="36041473" w14:textId="6174D263" w:rsidR="009D0731" w:rsidRPr="009D0731" w:rsidRDefault="009D0731" w:rsidP="009D0731">
      <w:pPr>
        <w:ind w:firstLine="720"/>
        <w:rPr>
          <w:rFonts w:ascii="Arial" w:hAnsi="Arial" w:cs="Arial"/>
          <w:lang w:val="en-US"/>
        </w:rPr>
      </w:pPr>
      <w:r w:rsidRPr="009D0731">
        <w:rPr>
          <w:rFonts w:ascii="Arial" w:hAnsi="Arial" w:cs="Arial"/>
          <w:lang w:val="en-US"/>
        </w:rPr>
        <w:lastRenderedPageBreak/>
        <w:t>The study has also revealed that there has been quite some development in the techniques of risk measurement and forecasting. Sophisticated instruments such as Value-at-Risk, Expected Shortfall, and machine learning models significantly enhance the reliability of risk estimation and prediction. Nevertheless, these enhancements do not necessarily lead to more successful trading performances. In fact, it is quite common for analytical accuracy not to be well-connected with practical decision-making</w:t>
      </w:r>
      <w:r>
        <w:rPr>
          <w:rFonts w:ascii="Arial" w:hAnsi="Arial" w:cs="Arial"/>
          <w:lang w:val="en-US"/>
        </w:rPr>
        <w:t xml:space="preserve"> </w:t>
      </w:r>
      <w:r w:rsidRPr="001F7D14">
        <w:rPr>
          <w:rFonts w:ascii="Arial" w:hAnsi="Arial" w:cs="Arial"/>
        </w:rPr>
        <w:t>(Baruník and Křehlík, 2021)</w:t>
      </w:r>
      <w:r w:rsidRPr="009D0731">
        <w:rPr>
          <w:rFonts w:ascii="Arial" w:hAnsi="Arial" w:cs="Arial"/>
          <w:lang w:val="en-US"/>
        </w:rPr>
        <w:t>.</w:t>
      </w:r>
    </w:p>
    <w:p w14:paraId="55914BFA" w14:textId="0C73DD35" w:rsidR="009D0731" w:rsidRPr="009D0731" w:rsidRDefault="009D0731" w:rsidP="009D0731">
      <w:pPr>
        <w:ind w:firstLine="720"/>
        <w:rPr>
          <w:rFonts w:ascii="Arial" w:hAnsi="Arial" w:cs="Arial"/>
          <w:lang w:val="en-US"/>
        </w:rPr>
      </w:pPr>
      <w:r w:rsidRPr="009D0731">
        <w:rPr>
          <w:rFonts w:ascii="Arial" w:hAnsi="Arial" w:cs="Arial"/>
          <w:lang w:val="en-US"/>
        </w:rPr>
        <w:t>One of the main results of this investigation is that the performance results are based on the manner in which risk management tools are practically operated. Through various methods, traders can hedge being the market and, by doing so, exposure to adversary losses can be minimized. Yet, the degree of the hedging strategy's success is contingent upon the market condition. Along with these top-notch analytical systems, emotional decisions can completely weaken the results, and the behavioural discipline that is inconsistent is a vital part of this dilemma</w:t>
      </w:r>
      <w:r>
        <w:rPr>
          <w:rFonts w:ascii="Arial" w:hAnsi="Arial" w:cs="Arial"/>
          <w:lang w:val="en-US"/>
        </w:rPr>
        <w:t xml:space="preserve"> </w:t>
      </w:r>
      <w:r w:rsidRPr="001F7D14">
        <w:rPr>
          <w:rFonts w:ascii="Arial" w:hAnsi="Arial" w:cs="Arial"/>
        </w:rPr>
        <w:t>(Huynh, Nasir and Nguyen, 2023)</w:t>
      </w:r>
      <w:r w:rsidRPr="009D0731">
        <w:rPr>
          <w:rFonts w:ascii="Arial" w:hAnsi="Arial" w:cs="Arial"/>
          <w:lang w:val="en-US"/>
        </w:rPr>
        <w:t>.</w:t>
      </w:r>
    </w:p>
    <w:p w14:paraId="421CAB9C" w14:textId="77777777" w:rsidR="009D0731" w:rsidRPr="009D0731" w:rsidRDefault="009D0731" w:rsidP="009D0731">
      <w:pPr>
        <w:ind w:firstLine="720"/>
        <w:rPr>
          <w:rFonts w:ascii="Arial" w:hAnsi="Arial" w:cs="Arial"/>
          <w:lang w:val="en-US"/>
        </w:rPr>
      </w:pPr>
      <w:r w:rsidRPr="009D0731">
        <w:rPr>
          <w:rFonts w:ascii="Arial" w:hAnsi="Arial" w:cs="Arial"/>
          <w:lang w:val="en-US"/>
        </w:rPr>
        <w:t>Above all, the research highlights that ongoing Forex trading success is dependent on a comprehensive risk management strategy. Risk discovery, quantification, and control must be integrated within an organized system to obtain steady outcomes.</w:t>
      </w:r>
    </w:p>
    <w:p w14:paraId="4C6CCA94" w14:textId="77777777" w:rsidR="004E68B0" w:rsidRPr="00FF6757" w:rsidRDefault="004E68B0" w:rsidP="009D0731">
      <w:pPr>
        <w:rPr>
          <w:rFonts w:ascii="Arial" w:hAnsi="Arial" w:cs="Arial"/>
        </w:rPr>
      </w:pPr>
    </w:p>
    <w:p w14:paraId="08EC9043" w14:textId="77777777" w:rsidR="001F7D14" w:rsidRPr="00FF6757" w:rsidRDefault="001F7D14" w:rsidP="006B357C">
      <w:pPr>
        <w:pStyle w:val="Heading2"/>
      </w:pPr>
      <w:bookmarkStart w:id="77" w:name="_Toc228917246"/>
      <w:r w:rsidRPr="00FF6757">
        <w:t>6.3 Reassessment of the Research Objectives</w:t>
      </w:r>
      <w:bookmarkEnd w:id="77"/>
    </w:p>
    <w:p w14:paraId="6078FDF6" w14:textId="77777777" w:rsidR="004E68B0" w:rsidRDefault="004E68B0" w:rsidP="004E68B0"/>
    <w:p w14:paraId="238F4933" w14:textId="77777777" w:rsidR="009D0731" w:rsidRPr="009D0731" w:rsidRDefault="009D0731" w:rsidP="009D0731">
      <w:pPr>
        <w:ind w:firstLine="720"/>
        <w:rPr>
          <w:rFonts w:ascii="Arial" w:hAnsi="Arial" w:cs="Arial"/>
          <w:lang w:val="en-US"/>
        </w:rPr>
      </w:pPr>
      <w:r w:rsidRPr="009D0731">
        <w:rPr>
          <w:rFonts w:ascii="Arial" w:hAnsi="Arial" w:cs="Arial"/>
          <w:lang w:val="en-US"/>
        </w:rPr>
        <w:t>The research met all the goals set out for it.</w:t>
      </w:r>
    </w:p>
    <w:p w14:paraId="4AF7F31B" w14:textId="77777777" w:rsidR="009D0731" w:rsidRPr="009D0731" w:rsidRDefault="009D0731" w:rsidP="009D0731">
      <w:pPr>
        <w:ind w:firstLine="720"/>
        <w:rPr>
          <w:rFonts w:ascii="Arial" w:hAnsi="Arial" w:cs="Arial"/>
          <w:lang w:val="en-US"/>
        </w:rPr>
      </w:pPr>
      <w:r w:rsidRPr="009D0731">
        <w:rPr>
          <w:rFonts w:ascii="Arial" w:hAnsi="Arial" w:cs="Arial"/>
          <w:lang w:val="en-US"/>
        </w:rPr>
        <w:t>Firstly, the research located the main financial risks that Forex trading is subject to and described these risks as being constantly changing, mutually affecting one another, and being dependent on the overall market conditions.</w:t>
      </w:r>
    </w:p>
    <w:p w14:paraId="25363AE3" w14:textId="77777777" w:rsidR="009D0731" w:rsidRPr="009D0731" w:rsidRDefault="009D0731" w:rsidP="009D0731">
      <w:pPr>
        <w:ind w:firstLine="720"/>
        <w:rPr>
          <w:rFonts w:ascii="Arial" w:hAnsi="Arial" w:cs="Arial"/>
          <w:lang w:val="en-US"/>
        </w:rPr>
      </w:pPr>
      <w:r w:rsidRPr="009D0731">
        <w:rPr>
          <w:rFonts w:ascii="Arial" w:hAnsi="Arial" w:cs="Arial"/>
          <w:lang w:val="en-US"/>
        </w:rPr>
        <w:t>Secondly, the research gave a detailed account of the financial risk management tools and methods that are predominantly exploited in Forex markets, such as volatility modelling, risk measurement frameworks, forecasting models, and hedging strategies.</w:t>
      </w:r>
    </w:p>
    <w:p w14:paraId="2C7DD568" w14:textId="77777777" w:rsidR="009D0731" w:rsidRPr="009D0731" w:rsidRDefault="009D0731" w:rsidP="009D0731">
      <w:pPr>
        <w:ind w:firstLine="720"/>
        <w:rPr>
          <w:rFonts w:ascii="Arial" w:hAnsi="Arial" w:cs="Arial"/>
          <w:lang w:val="en-US"/>
        </w:rPr>
      </w:pPr>
      <w:r w:rsidRPr="009D0731">
        <w:rPr>
          <w:rFonts w:ascii="Arial" w:hAnsi="Arial" w:cs="Arial"/>
          <w:lang w:val="en-US"/>
        </w:rPr>
        <w:lastRenderedPageBreak/>
        <w:t>Thirdly, the research delved into the connection between financial risk management and Forex market performance, whereby it was confirmed that, even if the analytical tools are enhanced, it does not necessarily mean that the performance will finally become better.</w:t>
      </w:r>
    </w:p>
    <w:p w14:paraId="7270C06F" w14:textId="77777777" w:rsidR="009D0731" w:rsidRPr="009D0731" w:rsidRDefault="009D0731" w:rsidP="009D0731">
      <w:pPr>
        <w:ind w:firstLine="720"/>
        <w:rPr>
          <w:rFonts w:ascii="Arial" w:hAnsi="Arial" w:cs="Arial"/>
          <w:lang w:val="en-US"/>
        </w:rPr>
      </w:pPr>
      <w:r w:rsidRPr="009D0731">
        <w:rPr>
          <w:rFonts w:ascii="Arial" w:hAnsi="Arial" w:cs="Arial"/>
          <w:lang w:val="en-US"/>
        </w:rPr>
        <w:t>Lastly, the research came to a conclusion that the best risk management practices are those that are integrated and followed regularly, combining analytical methods with behavioural discipline.</w:t>
      </w:r>
    </w:p>
    <w:p w14:paraId="2939C044" w14:textId="03CBBC43" w:rsidR="001F7D14" w:rsidRPr="00FF6757" w:rsidRDefault="001F7D14" w:rsidP="009D0731">
      <w:pPr>
        <w:rPr>
          <w:rFonts w:ascii="Arial" w:hAnsi="Arial" w:cs="Arial"/>
        </w:rPr>
      </w:pPr>
    </w:p>
    <w:tbl>
      <w:tblPr>
        <w:tblStyle w:val="TableGrid"/>
        <w:tblW w:w="0" w:type="auto"/>
        <w:tblLook w:val="04A0" w:firstRow="1" w:lastRow="0" w:firstColumn="1" w:lastColumn="0" w:noHBand="0" w:noVBand="1"/>
      </w:tblPr>
      <w:tblGrid>
        <w:gridCol w:w="3325"/>
        <w:gridCol w:w="2720"/>
        <w:gridCol w:w="2971"/>
      </w:tblGrid>
      <w:tr w:rsidR="001F7D14" w:rsidRPr="00FF6757" w14:paraId="0C658E24" w14:textId="77777777" w:rsidTr="00184C92">
        <w:tc>
          <w:tcPr>
            <w:tcW w:w="0" w:type="auto"/>
            <w:hideMark/>
          </w:tcPr>
          <w:p w14:paraId="6C8C6572"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Risk Management Practice</w:t>
            </w:r>
          </w:p>
        </w:tc>
        <w:tc>
          <w:tcPr>
            <w:tcW w:w="0" w:type="auto"/>
            <w:hideMark/>
          </w:tcPr>
          <w:p w14:paraId="611CBD79"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Primary Benefit</w:t>
            </w:r>
          </w:p>
        </w:tc>
        <w:tc>
          <w:tcPr>
            <w:tcW w:w="0" w:type="auto"/>
            <w:hideMark/>
          </w:tcPr>
          <w:p w14:paraId="269DBCED" w14:textId="77777777" w:rsidR="001F7D14" w:rsidRPr="00FF6757" w:rsidRDefault="001F7D14" w:rsidP="001F7D14">
            <w:pPr>
              <w:spacing w:after="160"/>
              <w:rPr>
                <w:rFonts w:ascii="Arial" w:hAnsi="Arial" w:cs="Arial"/>
                <w:b/>
                <w:bCs/>
                <w:sz w:val="20"/>
                <w:szCs w:val="20"/>
              </w:rPr>
            </w:pPr>
            <w:r w:rsidRPr="00FF6757">
              <w:rPr>
                <w:rFonts w:ascii="Arial" w:hAnsi="Arial" w:cs="Arial"/>
                <w:b/>
                <w:bCs/>
                <w:sz w:val="20"/>
                <w:szCs w:val="20"/>
              </w:rPr>
              <w:t>Performance Effect</w:t>
            </w:r>
          </w:p>
        </w:tc>
      </w:tr>
      <w:tr w:rsidR="001F7D14" w:rsidRPr="00FF6757" w14:paraId="419B7DBD" w14:textId="77777777" w:rsidTr="00184C92">
        <w:tc>
          <w:tcPr>
            <w:tcW w:w="0" w:type="auto"/>
            <w:hideMark/>
          </w:tcPr>
          <w:p w14:paraId="2F0ABDD7"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Dynamic Connectedness Monitoring</w:t>
            </w:r>
          </w:p>
        </w:tc>
        <w:tc>
          <w:tcPr>
            <w:tcW w:w="0" w:type="auto"/>
            <w:hideMark/>
          </w:tcPr>
          <w:p w14:paraId="4A21B4E0"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Identifies contagion risk</w:t>
            </w:r>
          </w:p>
        </w:tc>
        <w:tc>
          <w:tcPr>
            <w:tcW w:w="0" w:type="auto"/>
            <w:hideMark/>
          </w:tcPr>
          <w:p w14:paraId="0A24D211"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Reduces systemic drawdowns</w:t>
            </w:r>
          </w:p>
        </w:tc>
      </w:tr>
      <w:tr w:rsidR="001F7D14" w:rsidRPr="00FF6757" w14:paraId="572C1D5E" w14:textId="77777777" w:rsidTr="00184C92">
        <w:tc>
          <w:tcPr>
            <w:tcW w:w="0" w:type="auto"/>
            <w:hideMark/>
          </w:tcPr>
          <w:p w14:paraId="053391E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Tail-Risk Estimation (ES)</w:t>
            </w:r>
          </w:p>
        </w:tc>
        <w:tc>
          <w:tcPr>
            <w:tcW w:w="0" w:type="auto"/>
            <w:hideMark/>
          </w:tcPr>
          <w:p w14:paraId="26712762"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Captures extreme losses</w:t>
            </w:r>
          </w:p>
        </w:tc>
        <w:tc>
          <w:tcPr>
            <w:tcW w:w="0" w:type="auto"/>
            <w:hideMark/>
          </w:tcPr>
          <w:p w14:paraId="5E00939F"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Enhances capital preservation</w:t>
            </w:r>
          </w:p>
        </w:tc>
      </w:tr>
      <w:tr w:rsidR="001F7D14" w:rsidRPr="00FF6757" w14:paraId="5F5D8498" w14:textId="77777777" w:rsidTr="00184C92">
        <w:tc>
          <w:tcPr>
            <w:tcW w:w="0" w:type="auto"/>
            <w:hideMark/>
          </w:tcPr>
          <w:p w14:paraId="526F7A7C"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Machine Learning Forecasting</w:t>
            </w:r>
          </w:p>
        </w:tc>
        <w:tc>
          <w:tcPr>
            <w:tcW w:w="0" w:type="auto"/>
            <w:hideMark/>
          </w:tcPr>
          <w:p w14:paraId="19BAD100"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Improves signal accuracy</w:t>
            </w:r>
          </w:p>
        </w:tc>
        <w:tc>
          <w:tcPr>
            <w:tcW w:w="0" w:type="auto"/>
            <w:hideMark/>
          </w:tcPr>
          <w:p w14:paraId="2EF09A55"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Conditional return enhancement</w:t>
            </w:r>
          </w:p>
        </w:tc>
      </w:tr>
      <w:tr w:rsidR="001F7D14" w:rsidRPr="00FF6757" w14:paraId="6424AF9F" w14:textId="77777777" w:rsidTr="00184C92">
        <w:tc>
          <w:tcPr>
            <w:tcW w:w="0" w:type="auto"/>
            <w:hideMark/>
          </w:tcPr>
          <w:p w14:paraId="21B4B3A1"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Adaptive Hedging</w:t>
            </w:r>
          </w:p>
        </w:tc>
        <w:tc>
          <w:tcPr>
            <w:tcW w:w="0" w:type="auto"/>
            <w:hideMark/>
          </w:tcPr>
          <w:p w14:paraId="2C5BFD5C"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Limits exposure during stress</w:t>
            </w:r>
          </w:p>
        </w:tc>
        <w:tc>
          <w:tcPr>
            <w:tcW w:w="0" w:type="auto"/>
            <w:hideMark/>
          </w:tcPr>
          <w:p w14:paraId="60136C0A"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Stabilises portfolio volatility</w:t>
            </w:r>
          </w:p>
        </w:tc>
      </w:tr>
      <w:tr w:rsidR="001F7D14" w:rsidRPr="00FF6757" w14:paraId="67416100" w14:textId="77777777" w:rsidTr="00184C92">
        <w:tc>
          <w:tcPr>
            <w:tcW w:w="0" w:type="auto"/>
            <w:hideMark/>
          </w:tcPr>
          <w:p w14:paraId="6E72477E"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Behavioural Governance Systems</w:t>
            </w:r>
          </w:p>
        </w:tc>
        <w:tc>
          <w:tcPr>
            <w:tcW w:w="0" w:type="auto"/>
            <w:hideMark/>
          </w:tcPr>
          <w:p w14:paraId="312D99B8" w14:textId="77777777" w:rsidR="001F7D14" w:rsidRPr="00FF6757" w:rsidRDefault="001F7D14" w:rsidP="001F7D14">
            <w:pPr>
              <w:spacing w:after="160"/>
              <w:rPr>
                <w:rFonts w:ascii="Arial" w:hAnsi="Arial" w:cs="Arial"/>
                <w:sz w:val="20"/>
                <w:szCs w:val="20"/>
              </w:rPr>
            </w:pPr>
            <w:r w:rsidRPr="00FF6757">
              <w:rPr>
                <w:rFonts w:ascii="Arial" w:hAnsi="Arial" w:cs="Arial"/>
                <w:sz w:val="20"/>
                <w:szCs w:val="20"/>
              </w:rPr>
              <w:t>Controls leverage and bias</w:t>
            </w:r>
          </w:p>
        </w:tc>
        <w:tc>
          <w:tcPr>
            <w:tcW w:w="0" w:type="auto"/>
            <w:hideMark/>
          </w:tcPr>
          <w:p w14:paraId="3D6F05E1" w14:textId="77777777" w:rsidR="001F7D14" w:rsidRPr="00FF6757" w:rsidRDefault="001F7D14" w:rsidP="001F7D14">
            <w:pPr>
              <w:keepNext/>
              <w:spacing w:after="160"/>
              <w:rPr>
                <w:rFonts w:ascii="Arial" w:hAnsi="Arial" w:cs="Arial"/>
                <w:sz w:val="20"/>
                <w:szCs w:val="20"/>
              </w:rPr>
            </w:pPr>
            <w:r w:rsidRPr="00FF6757">
              <w:rPr>
                <w:rFonts w:ascii="Arial" w:hAnsi="Arial" w:cs="Arial"/>
                <w:sz w:val="20"/>
                <w:szCs w:val="20"/>
              </w:rPr>
              <w:t>Improves long-term consistency</w:t>
            </w:r>
          </w:p>
        </w:tc>
      </w:tr>
    </w:tbl>
    <w:p w14:paraId="52333C27" w14:textId="77777777" w:rsidR="001F7D14" w:rsidRPr="00FF6757" w:rsidRDefault="001F7D14" w:rsidP="001F7D14">
      <w:pPr>
        <w:pStyle w:val="Caption"/>
        <w:spacing w:line="360" w:lineRule="auto"/>
        <w:jc w:val="center"/>
        <w:rPr>
          <w:rFonts w:ascii="Arial" w:hAnsi="Arial" w:cs="Arial"/>
        </w:rPr>
      </w:pPr>
      <w:bookmarkStart w:id="78" w:name="_Toc222946980"/>
      <w:r w:rsidRPr="00FF6757">
        <w:rPr>
          <w:rFonts w:ascii="Arial" w:hAnsi="Arial" w:cs="Arial"/>
        </w:rPr>
        <w:t xml:space="preserve">Table </w:t>
      </w:r>
      <w:r w:rsidRPr="00FF6757">
        <w:rPr>
          <w:rFonts w:ascii="Arial" w:hAnsi="Arial" w:cs="Arial"/>
        </w:rPr>
        <w:fldChar w:fldCharType="begin"/>
      </w:r>
      <w:r w:rsidRPr="00FF6757">
        <w:rPr>
          <w:rFonts w:ascii="Arial" w:hAnsi="Arial" w:cs="Arial"/>
        </w:rPr>
        <w:instrText xml:space="preserve"> SEQ Table \* ARABIC </w:instrText>
      </w:r>
      <w:r w:rsidRPr="00FF6757">
        <w:rPr>
          <w:rFonts w:ascii="Arial" w:hAnsi="Arial" w:cs="Arial"/>
        </w:rPr>
        <w:fldChar w:fldCharType="separate"/>
      </w:r>
      <w:r w:rsidRPr="00FF6757">
        <w:rPr>
          <w:rFonts w:ascii="Arial" w:hAnsi="Arial" w:cs="Arial"/>
        </w:rPr>
        <w:t>5</w:t>
      </w:r>
      <w:r w:rsidRPr="00FF6757">
        <w:rPr>
          <w:rFonts w:ascii="Arial" w:hAnsi="Arial" w:cs="Arial"/>
        </w:rPr>
        <w:fldChar w:fldCharType="end"/>
      </w:r>
      <w:r w:rsidRPr="00FF6757">
        <w:rPr>
          <w:rFonts w:ascii="Arial" w:hAnsi="Arial" w:cs="Arial"/>
        </w:rPr>
        <w:t>: Risk Management Practices and Performance Implications</w:t>
      </w:r>
      <w:bookmarkEnd w:id="78"/>
    </w:p>
    <w:p w14:paraId="3947C0B5" w14:textId="77777777" w:rsidR="004E68B0" w:rsidRPr="00FF6757" w:rsidRDefault="004E68B0" w:rsidP="009D0731">
      <w:pPr>
        <w:rPr>
          <w:rFonts w:ascii="Arial" w:hAnsi="Arial" w:cs="Arial"/>
        </w:rPr>
      </w:pPr>
    </w:p>
    <w:p w14:paraId="2CADAAC7" w14:textId="77777777" w:rsidR="001F7D14" w:rsidRPr="00FF6757" w:rsidRDefault="001F7D14" w:rsidP="006B357C">
      <w:pPr>
        <w:pStyle w:val="Heading2"/>
      </w:pPr>
      <w:bookmarkStart w:id="79" w:name="_Toc228917247"/>
      <w:r w:rsidRPr="00FF6757">
        <w:t>6.4 Theoretical Implications</w:t>
      </w:r>
      <w:bookmarkEnd w:id="79"/>
    </w:p>
    <w:p w14:paraId="43AAFEDE" w14:textId="77777777" w:rsidR="004E68B0" w:rsidRDefault="004E68B0" w:rsidP="004E68B0"/>
    <w:p w14:paraId="057E80C8" w14:textId="77777777" w:rsidR="009D0731" w:rsidRPr="009D0731" w:rsidRDefault="009D0731" w:rsidP="009D0731">
      <w:pPr>
        <w:ind w:firstLine="720"/>
        <w:rPr>
          <w:rFonts w:ascii="Arial" w:hAnsi="Arial" w:cs="Arial"/>
          <w:lang w:val="en-US"/>
        </w:rPr>
      </w:pPr>
      <w:r w:rsidRPr="009D0731">
        <w:rPr>
          <w:rFonts w:ascii="Arial" w:hAnsi="Arial" w:cs="Arial"/>
          <w:lang w:val="en-US"/>
        </w:rPr>
        <w:t>This research adds to the body of knowledge by providing a deeper insight into the management of financial risks in the Forex markets. Whereas earlier work mostly concentrated on specific aspects like volatility modelling, risk measurement, and forecasting techniques, this research argues that these methods are quite imperfect when used separately.</w:t>
      </w:r>
    </w:p>
    <w:p w14:paraId="611F2BC1" w14:textId="0426EAFE" w:rsidR="009D0731" w:rsidRPr="009D0731" w:rsidRDefault="009D0731" w:rsidP="009D0731">
      <w:pPr>
        <w:ind w:firstLine="720"/>
        <w:rPr>
          <w:rFonts w:ascii="Arial" w:hAnsi="Arial" w:cs="Arial"/>
          <w:lang w:val="en-US"/>
        </w:rPr>
      </w:pPr>
      <w:r w:rsidRPr="009D0731">
        <w:rPr>
          <w:rFonts w:ascii="Arial" w:hAnsi="Arial" w:cs="Arial"/>
          <w:lang w:val="en-US"/>
        </w:rPr>
        <w:t xml:space="preserve">The results dispute conventional theoretical postulates, especially those resting on constant correlations and a stable risk-return pattern. On the contrary, the study finds that risk in the Forex market is ever-changing, widespread, and dependent on </w:t>
      </w:r>
      <w:r w:rsidRPr="009D0731">
        <w:rPr>
          <w:rFonts w:ascii="Arial" w:hAnsi="Arial" w:cs="Arial"/>
          <w:lang w:val="en-US"/>
        </w:rPr>
        <w:lastRenderedPageBreak/>
        <w:t>the alterations in the environment. This uncovers the inadequacies of standard models that largely ignore the volatility clustering, regime changes, and the level of interconnectedness between different markets</w:t>
      </w:r>
      <w:r>
        <w:rPr>
          <w:rFonts w:ascii="Arial" w:hAnsi="Arial" w:cs="Arial"/>
          <w:lang w:val="en-US"/>
        </w:rPr>
        <w:t xml:space="preserve"> </w:t>
      </w:r>
      <w:r w:rsidRPr="001F7D14">
        <w:rPr>
          <w:rFonts w:ascii="Arial" w:hAnsi="Arial" w:cs="Arial"/>
        </w:rPr>
        <w:t>(Baruník and Křehlík, 2021)</w:t>
      </w:r>
      <w:r w:rsidRPr="009D0731">
        <w:rPr>
          <w:rFonts w:ascii="Arial" w:hAnsi="Arial" w:cs="Arial"/>
          <w:lang w:val="en-US"/>
        </w:rPr>
        <w:t>.</w:t>
      </w:r>
    </w:p>
    <w:p w14:paraId="03DE86AD" w14:textId="77777777" w:rsidR="009D0731" w:rsidRPr="009D0731" w:rsidRDefault="009D0731" w:rsidP="009D0731">
      <w:pPr>
        <w:ind w:firstLine="720"/>
        <w:rPr>
          <w:rFonts w:ascii="Arial" w:hAnsi="Arial" w:cs="Arial"/>
          <w:lang w:val="en-US"/>
        </w:rPr>
      </w:pPr>
      <w:r w:rsidRPr="009D0731">
        <w:rPr>
          <w:rFonts w:ascii="Arial" w:hAnsi="Arial" w:cs="Arial"/>
          <w:lang w:val="en-US"/>
        </w:rPr>
        <w:t>The most important conceptual contribution that this work makes is the creation of a comprehensive model that connects risk detection, quantification, and reduction with the trader's results. By integrating technical analysis with behavioural elements, the paper pushes forward financial risk management not only as a set of tools but also as a practical function that complements those quantitative methods.</w:t>
      </w:r>
    </w:p>
    <w:p w14:paraId="31DCFAF3" w14:textId="77777777" w:rsidR="004E68B0" w:rsidRPr="00FF6757" w:rsidRDefault="004E68B0" w:rsidP="009D0731">
      <w:pPr>
        <w:rPr>
          <w:rFonts w:ascii="Arial" w:hAnsi="Arial" w:cs="Arial"/>
        </w:rPr>
      </w:pPr>
    </w:p>
    <w:p w14:paraId="556FC029" w14:textId="77777777" w:rsidR="001F7D14" w:rsidRPr="00FF6757" w:rsidRDefault="001F7D14" w:rsidP="006B357C">
      <w:pPr>
        <w:pStyle w:val="Heading2"/>
      </w:pPr>
      <w:bookmarkStart w:id="80" w:name="_Toc228917248"/>
      <w:r w:rsidRPr="00FF6757">
        <w:t>6.5 Practical Implications</w:t>
      </w:r>
      <w:bookmarkEnd w:id="80"/>
    </w:p>
    <w:p w14:paraId="3460DEA1" w14:textId="77777777" w:rsidR="004E68B0" w:rsidRPr="00FF6757" w:rsidRDefault="004E68B0" w:rsidP="004E68B0"/>
    <w:p w14:paraId="4DD0858E" w14:textId="77777777" w:rsidR="009D0731" w:rsidRPr="009D0731" w:rsidRDefault="009D0731" w:rsidP="009D0731">
      <w:pPr>
        <w:ind w:firstLine="720"/>
        <w:rPr>
          <w:rFonts w:ascii="Arial" w:hAnsi="Arial" w:cs="Arial"/>
          <w:lang w:val="en-US"/>
        </w:rPr>
      </w:pPr>
      <w:r w:rsidRPr="009D0731">
        <w:rPr>
          <w:rFonts w:ascii="Arial" w:hAnsi="Arial" w:cs="Arial"/>
          <w:lang w:val="en-US"/>
        </w:rPr>
        <w:t>This research's discoveries really open up a lot of opportunities for not only the single Forex traders but also the entire financial institutions. One important aspect derived from this study is that the trading performance doesn't necessarily hinge on one's total prediction of market movements but on his/her effective risk management through well-planned, rule-based ways.</w:t>
      </w:r>
    </w:p>
    <w:p w14:paraId="53A07220" w14:textId="77777777" w:rsidR="009D0731" w:rsidRPr="009D0731" w:rsidRDefault="009D0731" w:rsidP="009D0731">
      <w:pPr>
        <w:ind w:firstLine="720"/>
        <w:rPr>
          <w:rFonts w:ascii="Arial" w:hAnsi="Arial" w:cs="Arial"/>
          <w:lang w:val="en-US"/>
        </w:rPr>
      </w:pPr>
      <w:r w:rsidRPr="009D0731">
        <w:rPr>
          <w:rFonts w:ascii="Arial" w:hAnsi="Arial" w:cs="Arial"/>
          <w:lang w:val="en-US"/>
        </w:rPr>
        <w:t>Traders are encouraged to implement a holistic risk management that brings together the authors' analysis of volatility, the use of risk measurement instruments, and the implementation of hedging strategies that are flexible depending on the market. Instead of depending only on the forecasting models, more attention should be given to the means of controlling one's risk exposure by the help of position sizing, stop-loss mechanisms, and capital management.</w:t>
      </w:r>
    </w:p>
    <w:p w14:paraId="4D4711C9" w14:textId="2DCA894B" w:rsidR="009D0731" w:rsidRPr="009D0731" w:rsidRDefault="009D0731" w:rsidP="009D0731">
      <w:pPr>
        <w:ind w:firstLine="720"/>
        <w:rPr>
          <w:rFonts w:ascii="Arial" w:hAnsi="Arial" w:cs="Arial"/>
          <w:lang w:val="en-US"/>
        </w:rPr>
      </w:pPr>
      <w:r w:rsidRPr="009D0731">
        <w:rPr>
          <w:rFonts w:ascii="Arial" w:hAnsi="Arial" w:cs="Arial"/>
          <w:lang w:val="en-US"/>
        </w:rPr>
        <w:t xml:space="preserve">Moreover, behavioural discipline is a key factor that needs to be </w:t>
      </w:r>
      <w:r w:rsidR="00E95564" w:rsidRPr="009D0731">
        <w:rPr>
          <w:rFonts w:ascii="Arial" w:hAnsi="Arial" w:cs="Arial"/>
          <w:lang w:val="en-US"/>
        </w:rPr>
        <w:t>recognized</w:t>
      </w:r>
      <w:r w:rsidRPr="009D0731">
        <w:rPr>
          <w:rFonts w:ascii="Arial" w:hAnsi="Arial" w:cs="Arial"/>
          <w:lang w:val="en-US"/>
        </w:rPr>
        <w:t xml:space="preserve"> as one of the pillars of risk management. Regularly carrying out the strategy without yielding to the emotional part of decision-making is a recipe for long-term performance, especially during the market's ups and downs.</w:t>
      </w:r>
    </w:p>
    <w:p w14:paraId="3A8748F7" w14:textId="3F34C867" w:rsidR="004E68B0" w:rsidRPr="009D0731" w:rsidRDefault="009D0731" w:rsidP="009D0731">
      <w:pPr>
        <w:ind w:firstLine="720"/>
        <w:rPr>
          <w:rFonts w:ascii="Arial" w:hAnsi="Arial" w:cs="Arial"/>
          <w:lang w:val="en-US"/>
        </w:rPr>
      </w:pPr>
      <w:r w:rsidRPr="009D0731">
        <w:rPr>
          <w:rFonts w:ascii="Arial" w:hAnsi="Arial" w:cs="Arial"/>
          <w:lang w:val="en-US"/>
        </w:rPr>
        <w:t>The study's results also present that the financial institutions should put more effort into creating systems that integrate analytical tools with the practical phase, so the risk management procedures are technically sound and well-executed in the actual trading.</w:t>
      </w:r>
    </w:p>
    <w:p w14:paraId="51F7524D" w14:textId="77777777" w:rsidR="001F7D14" w:rsidRPr="00FF6757" w:rsidRDefault="001F7D14" w:rsidP="006B357C">
      <w:pPr>
        <w:pStyle w:val="Heading2"/>
      </w:pPr>
      <w:bookmarkStart w:id="81" w:name="_Toc228917249"/>
      <w:r w:rsidRPr="00FF6757">
        <w:lastRenderedPageBreak/>
        <w:t>6.6 Limitations and Future Research</w:t>
      </w:r>
      <w:bookmarkEnd w:id="81"/>
    </w:p>
    <w:p w14:paraId="68A23C88" w14:textId="77777777" w:rsidR="004E68B0" w:rsidRPr="00FF6757" w:rsidRDefault="004E68B0" w:rsidP="004E68B0"/>
    <w:p w14:paraId="2FD1F6BD" w14:textId="77777777" w:rsidR="009D0731" w:rsidRPr="009D0731" w:rsidRDefault="009D0731" w:rsidP="009D0731">
      <w:pPr>
        <w:ind w:firstLine="720"/>
        <w:rPr>
          <w:rFonts w:ascii="Arial" w:hAnsi="Arial" w:cs="Arial"/>
          <w:lang w:val="en-US"/>
        </w:rPr>
      </w:pPr>
      <w:r w:rsidRPr="009D0731">
        <w:rPr>
          <w:rFonts w:ascii="Arial" w:hAnsi="Arial" w:cs="Arial"/>
          <w:lang w:val="en-US"/>
        </w:rPr>
        <w:t>This research, while revealing some important points, still suffers a number of shortcomings that ought to be recognized.</w:t>
      </w:r>
    </w:p>
    <w:p w14:paraId="24F38E66" w14:textId="77777777" w:rsidR="009D0731" w:rsidRPr="009D0731" w:rsidRDefault="009D0731" w:rsidP="009D0731">
      <w:pPr>
        <w:ind w:firstLine="720"/>
        <w:rPr>
          <w:rFonts w:ascii="Arial" w:hAnsi="Arial" w:cs="Arial"/>
          <w:lang w:val="en-US"/>
        </w:rPr>
      </w:pPr>
      <w:r w:rsidRPr="009D0731">
        <w:rPr>
          <w:rFonts w:ascii="Arial" w:hAnsi="Arial" w:cs="Arial"/>
          <w:lang w:val="en-US"/>
        </w:rPr>
        <w:t>Firstly, the study relies on a systematic literature review and therefore, its results are reliant on published studies in the area rather than raw empirical data. Consequently, the inferences are a result of prior research integration and it is very possible that the conclusions are affected by the publication bias which means that studies that have produced significant results are the ones that have been published more and are, therefore, included in the academic literature.</w:t>
      </w:r>
    </w:p>
    <w:p w14:paraId="2EAA9B73" w14:textId="77777777" w:rsidR="009D0731" w:rsidRPr="009D0731" w:rsidRDefault="009D0731" w:rsidP="009D0731">
      <w:pPr>
        <w:ind w:firstLine="720"/>
        <w:rPr>
          <w:rFonts w:ascii="Arial" w:hAnsi="Arial" w:cs="Arial"/>
          <w:lang w:val="en-US"/>
        </w:rPr>
      </w:pPr>
      <w:r w:rsidRPr="009D0731">
        <w:rPr>
          <w:rFonts w:ascii="Arial" w:hAnsi="Arial" w:cs="Arial"/>
          <w:lang w:val="en-US"/>
        </w:rPr>
        <w:t>Secondly, there is a great deal of inconsistency among the reviewed studies in terms of data sources, methodologies, and market conditions. The differences in currency pairs, time periods, and modelling approaches may render the findings not very generalizable. On the other hand, the fast-paced development of machine learning and financial technologies entails that some new methods might still be awaiting full validation or broad application in the practice.</w:t>
      </w:r>
    </w:p>
    <w:p w14:paraId="621A4DB0" w14:textId="77777777" w:rsidR="009D0731" w:rsidRPr="009D0731" w:rsidRDefault="009D0731" w:rsidP="009D0731">
      <w:pPr>
        <w:ind w:firstLine="720"/>
        <w:rPr>
          <w:rFonts w:ascii="Arial" w:hAnsi="Arial" w:cs="Arial"/>
          <w:lang w:val="en-US"/>
        </w:rPr>
      </w:pPr>
      <w:r w:rsidRPr="009D0731">
        <w:rPr>
          <w:rFonts w:ascii="Arial" w:hAnsi="Arial" w:cs="Arial"/>
          <w:lang w:val="en-US"/>
        </w:rPr>
        <w:t>Future studies might go beyond these shortcomings by performing empirical investigations that are centered on integrated risk management frameworks and trading performance. This may be done via quantitative study of actual trading data or a series of experiments aimed at determining decision-making under different risk management policies.</w:t>
      </w:r>
    </w:p>
    <w:p w14:paraId="18C2949A" w14:textId="77777777" w:rsidR="004E68B0" w:rsidRPr="00FF6757" w:rsidRDefault="004E68B0" w:rsidP="004E68B0">
      <w:pPr>
        <w:ind w:firstLine="720"/>
        <w:rPr>
          <w:rFonts w:ascii="Arial" w:hAnsi="Arial" w:cs="Arial"/>
        </w:rPr>
      </w:pPr>
    </w:p>
    <w:p w14:paraId="33452CCB" w14:textId="77777777" w:rsidR="001F7D14" w:rsidRPr="00FF6757" w:rsidRDefault="001F7D14" w:rsidP="006B357C">
      <w:pPr>
        <w:pStyle w:val="Heading2"/>
      </w:pPr>
      <w:bookmarkStart w:id="82" w:name="_Toc228917250"/>
      <w:r w:rsidRPr="00FF6757">
        <w:t>6.7 Final Reflection</w:t>
      </w:r>
      <w:bookmarkEnd w:id="82"/>
    </w:p>
    <w:p w14:paraId="735B1AFC" w14:textId="77777777" w:rsidR="004E68B0" w:rsidRPr="00FF6757" w:rsidRDefault="004E68B0" w:rsidP="004E68B0"/>
    <w:p w14:paraId="7D2025AF" w14:textId="77777777" w:rsidR="009D0731" w:rsidRPr="009D0731" w:rsidRDefault="009D0731" w:rsidP="009D0731">
      <w:pPr>
        <w:ind w:firstLine="720"/>
        <w:rPr>
          <w:rFonts w:ascii="Arial" w:hAnsi="Arial" w:cs="Arial"/>
          <w:lang w:val="en-US"/>
        </w:rPr>
      </w:pPr>
      <w:r w:rsidRPr="009D0731">
        <w:rPr>
          <w:rFonts w:ascii="Arial" w:hAnsi="Arial" w:cs="Arial"/>
          <w:lang w:val="en-US"/>
        </w:rPr>
        <w:t>This research demonstrated that accurate predictions alone do not lead to successful Forex trading, rather, it is the capability of controlling risks through a set of structured and disciplined methods that really matters. Although financial markets are more complicated and analytical tools are more sophisticated, the secret to consistent results is in the very hands of those who use these tools most effectively.</w:t>
      </w:r>
    </w:p>
    <w:p w14:paraId="55529ABE" w14:textId="77777777" w:rsidR="009D0731" w:rsidRPr="009D0731" w:rsidRDefault="009D0731" w:rsidP="009D0731">
      <w:pPr>
        <w:ind w:firstLine="720"/>
        <w:rPr>
          <w:rFonts w:ascii="Arial" w:hAnsi="Arial" w:cs="Arial"/>
          <w:lang w:val="en-US"/>
        </w:rPr>
      </w:pPr>
      <w:r w:rsidRPr="009D0731">
        <w:rPr>
          <w:rFonts w:ascii="Arial" w:hAnsi="Arial" w:cs="Arial"/>
          <w:lang w:val="en-US"/>
        </w:rPr>
        <w:lastRenderedPageBreak/>
        <w:t>The report stresses the fact that combining three major factors, risk identification, measurement, and mitigation, through the same framework is the main condition for the achievement of stable and long-term results. Meanwhile, behavioural discipline is still a very important element, as no matter how advanced the models are, without correct implementation they become meaningless.</w:t>
      </w:r>
    </w:p>
    <w:p w14:paraId="5D0741B7" w14:textId="77777777" w:rsidR="009D0731" w:rsidRPr="009D0731" w:rsidRDefault="009D0731" w:rsidP="009D0731">
      <w:pPr>
        <w:ind w:firstLine="720"/>
        <w:rPr>
          <w:rFonts w:ascii="Arial" w:hAnsi="Arial" w:cs="Arial"/>
          <w:lang w:val="en-US"/>
        </w:rPr>
      </w:pPr>
      <w:r w:rsidRPr="009D0731">
        <w:rPr>
          <w:rFonts w:ascii="Arial" w:hAnsi="Arial" w:cs="Arial"/>
          <w:lang w:val="en-US"/>
        </w:rPr>
        <w:t>This document emphasizes the significance of changing the emphasis from forecasting markets to risk management, thereby giving a much clearer insight into the main drivers of performance in the contemporary Forex trading.</w:t>
      </w:r>
    </w:p>
    <w:p w14:paraId="1372CF86" w14:textId="77777777" w:rsidR="001F7D14" w:rsidRPr="00FF6757" w:rsidRDefault="001F7D14" w:rsidP="001F7D14"/>
    <w:p w14:paraId="1B6057E5" w14:textId="77777777" w:rsidR="001F7D14" w:rsidRPr="00FF6757" w:rsidRDefault="001F7D14" w:rsidP="00E02FB3">
      <w:pPr>
        <w:rPr>
          <w:rFonts w:ascii="Arial" w:hAnsi="Arial" w:cs="Arial"/>
        </w:rPr>
      </w:pPr>
    </w:p>
    <w:p w14:paraId="7FF6F2F2" w14:textId="77777777" w:rsidR="000354EE" w:rsidRPr="00FF6757" w:rsidRDefault="000354EE" w:rsidP="00E02FB3">
      <w:pPr>
        <w:jc w:val="left"/>
        <w:rPr>
          <w:rFonts w:ascii="Arial" w:hAnsi="Arial" w:cs="Arial"/>
          <w:b/>
        </w:rPr>
      </w:pPr>
      <w:bookmarkStart w:id="83" w:name="_Toc221799727"/>
      <w:r w:rsidRPr="00FF6757">
        <w:rPr>
          <w:rFonts w:ascii="Arial" w:hAnsi="Arial" w:cs="Arial"/>
          <w:b/>
        </w:rPr>
        <w:br w:type="page"/>
      </w:r>
    </w:p>
    <w:p w14:paraId="63A5721A" w14:textId="09273B39" w:rsidR="00313F46" w:rsidRPr="00FF6757" w:rsidRDefault="00313F46" w:rsidP="004E68B0">
      <w:pPr>
        <w:pStyle w:val="Heading1"/>
        <w:jc w:val="center"/>
        <w:rPr>
          <w:rFonts w:cs="Arial"/>
          <w:sz w:val="24"/>
          <w:szCs w:val="24"/>
        </w:rPr>
      </w:pPr>
      <w:bookmarkStart w:id="84" w:name="_Toc228917251"/>
      <w:r w:rsidRPr="00FF6757">
        <w:rPr>
          <w:rFonts w:cs="Arial"/>
          <w:sz w:val="24"/>
          <w:szCs w:val="24"/>
        </w:rPr>
        <w:lastRenderedPageBreak/>
        <w:t>References</w:t>
      </w:r>
      <w:bookmarkEnd w:id="83"/>
      <w:bookmarkEnd w:id="84"/>
    </w:p>
    <w:p w14:paraId="44A0B2A4" w14:textId="77777777" w:rsidR="004E68B0" w:rsidRPr="00FF6757" w:rsidRDefault="004E68B0" w:rsidP="004E68B0"/>
    <w:p w14:paraId="262568EA" w14:textId="347CB6AC" w:rsidR="00056E02" w:rsidRPr="00FF6757" w:rsidRDefault="00056E02" w:rsidP="004E68B0">
      <w:pPr>
        <w:ind w:hanging="720"/>
        <w:rPr>
          <w:rFonts w:ascii="Arial" w:hAnsi="Arial" w:cs="Arial"/>
        </w:rPr>
      </w:pPr>
      <w:r w:rsidRPr="00FF6757">
        <w:rPr>
          <w:rFonts w:ascii="Arial" w:hAnsi="Arial" w:cs="Arial"/>
        </w:rPr>
        <w:t xml:space="preserve">Ahmed, Y.N., Alnafissa, M., Negm, M.M., Gharieb, Y.M., Algarini, A. and Hassouba, T.A.-A. 2024 </w:t>
      </w:r>
      <w:r w:rsidR="00E95564" w:rsidRPr="00FF6757">
        <w:rPr>
          <w:rFonts w:ascii="Arial" w:hAnsi="Arial" w:cs="Arial"/>
        </w:rPr>
        <w:t>Analysing</w:t>
      </w:r>
      <w:r w:rsidRPr="00FF6757">
        <w:rPr>
          <w:rFonts w:ascii="Arial" w:hAnsi="Arial" w:cs="Arial"/>
        </w:rPr>
        <w:t xml:space="preserve"> exchange rate effects on trade: empirical evidence, </w:t>
      </w:r>
      <w:r w:rsidRPr="00FF6757">
        <w:rPr>
          <w:rFonts w:ascii="Arial" w:hAnsi="Arial" w:cs="Arial"/>
          <w:i/>
          <w:iCs/>
        </w:rPr>
        <w:t>Sustainability</w:t>
      </w:r>
      <w:r w:rsidRPr="00FF6757">
        <w:rPr>
          <w:rFonts w:ascii="Arial" w:hAnsi="Arial" w:cs="Arial"/>
        </w:rPr>
        <w:t xml:space="preserve">, 16(10), article 4177. Available at: </w:t>
      </w:r>
      <w:hyperlink r:id="rId11" w:history="1">
        <w:r w:rsidR="004E68B0" w:rsidRPr="00FF6757">
          <w:rPr>
            <w:rStyle w:val="Hyperlink"/>
            <w:rFonts w:ascii="Arial" w:hAnsi="Arial" w:cs="Arial"/>
          </w:rPr>
          <w:t>https://doi.org/10.3390/su16104177</w:t>
        </w:r>
      </w:hyperlink>
      <w:r w:rsidR="004E68B0" w:rsidRPr="00FF6757">
        <w:rPr>
          <w:rFonts w:ascii="Arial" w:hAnsi="Arial" w:cs="Arial"/>
        </w:rPr>
        <w:t xml:space="preserve">. </w:t>
      </w:r>
    </w:p>
    <w:p w14:paraId="04369E9F" w14:textId="3D1436D2" w:rsidR="00056E02" w:rsidRPr="00FF6757" w:rsidRDefault="00056E02" w:rsidP="004E68B0">
      <w:pPr>
        <w:ind w:hanging="720"/>
        <w:rPr>
          <w:rFonts w:ascii="Arial" w:hAnsi="Arial" w:cs="Arial"/>
        </w:rPr>
      </w:pPr>
      <w:r w:rsidRPr="00FF6757">
        <w:rPr>
          <w:rFonts w:ascii="Arial" w:hAnsi="Arial" w:cs="Arial"/>
        </w:rPr>
        <w:t xml:space="preserve">Alhattali, A.H., Alshamsi, N.S., Alnuaimi, R. and Nobanee, H. 2024 Global currency risks and economic exposure: a systematic review of hedging strategies, </w:t>
      </w:r>
      <w:r w:rsidRPr="00FF6757">
        <w:rPr>
          <w:rFonts w:ascii="Arial" w:hAnsi="Arial" w:cs="Arial"/>
          <w:i/>
          <w:iCs/>
        </w:rPr>
        <w:t>Journal</w:t>
      </w:r>
      <w:r w:rsidRPr="00FF6757">
        <w:rPr>
          <w:rFonts w:ascii="Arial" w:hAnsi="Arial" w:cs="Arial"/>
        </w:rPr>
        <w:t xml:space="preserve">. Available at: </w:t>
      </w:r>
      <w:hyperlink r:id="rId12" w:history="1">
        <w:r w:rsidR="004E68B0" w:rsidRPr="00FF6757">
          <w:rPr>
            <w:rStyle w:val="Hyperlink"/>
            <w:rFonts w:ascii="Arial" w:hAnsi="Arial" w:cs="Arial"/>
          </w:rPr>
          <w:t>https://doi.org/10.2139/ssrn.4978886</w:t>
        </w:r>
      </w:hyperlink>
      <w:r w:rsidR="004E68B0" w:rsidRPr="00FF6757">
        <w:rPr>
          <w:rFonts w:ascii="Arial" w:hAnsi="Arial" w:cs="Arial"/>
        </w:rPr>
        <w:t xml:space="preserve">. </w:t>
      </w:r>
    </w:p>
    <w:p w14:paraId="3E6FE36C" w14:textId="0A530A65" w:rsidR="00056E02" w:rsidRPr="00FF6757" w:rsidRDefault="00056E02" w:rsidP="004E68B0">
      <w:pPr>
        <w:ind w:hanging="720"/>
        <w:rPr>
          <w:rFonts w:ascii="Arial" w:hAnsi="Arial" w:cs="Arial"/>
        </w:rPr>
      </w:pPr>
      <w:r w:rsidRPr="00FF6757">
        <w:rPr>
          <w:rFonts w:ascii="Arial" w:hAnsi="Arial" w:cs="Arial"/>
        </w:rPr>
        <w:t xml:space="preserve">Aljarba, S., Naifar, N. and Almeshal, K. 2024 Volatility spillovers among sovereign credit default swaps of emerging economies and their determinants, </w:t>
      </w:r>
      <w:r w:rsidRPr="00FF6757">
        <w:rPr>
          <w:rFonts w:ascii="Arial" w:hAnsi="Arial" w:cs="Arial"/>
          <w:i/>
          <w:iCs/>
        </w:rPr>
        <w:t>Risks</w:t>
      </w:r>
      <w:r w:rsidRPr="00FF6757">
        <w:rPr>
          <w:rFonts w:ascii="Arial" w:hAnsi="Arial" w:cs="Arial"/>
        </w:rPr>
        <w:t xml:space="preserve">, 12(4), article 71. Available at: </w:t>
      </w:r>
      <w:hyperlink r:id="rId13" w:history="1">
        <w:r w:rsidR="004E68B0" w:rsidRPr="00FF6757">
          <w:rPr>
            <w:rStyle w:val="Hyperlink"/>
            <w:rFonts w:ascii="Arial" w:hAnsi="Arial" w:cs="Arial"/>
          </w:rPr>
          <w:t>https://doi.org/10.3390/risks12040071</w:t>
        </w:r>
      </w:hyperlink>
      <w:r w:rsidR="004E68B0" w:rsidRPr="00FF6757">
        <w:rPr>
          <w:rFonts w:ascii="Arial" w:hAnsi="Arial" w:cs="Arial"/>
        </w:rPr>
        <w:t xml:space="preserve">. </w:t>
      </w:r>
    </w:p>
    <w:p w14:paraId="65747FC6" w14:textId="0AD0320D" w:rsidR="00056E02" w:rsidRPr="00FF6757" w:rsidRDefault="00056E02" w:rsidP="004E68B0">
      <w:pPr>
        <w:ind w:hanging="720"/>
        <w:rPr>
          <w:rFonts w:ascii="Arial" w:hAnsi="Arial" w:cs="Arial"/>
        </w:rPr>
      </w:pPr>
      <w:r w:rsidRPr="00FF6757">
        <w:rPr>
          <w:rFonts w:ascii="Arial" w:hAnsi="Arial" w:cs="Arial"/>
        </w:rPr>
        <w:t xml:space="preserve">Almeida, J. and Gonçalves, T.C. 2022a A systematic literature review of volatility and risk management on cryptocurrency investment: a methodological point of view, </w:t>
      </w:r>
      <w:r w:rsidRPr="00FF6757">
        <w:rPr>
          <w:rFonts w:ascii="Arial" w:hAnsi="Arial" w:cs="Arial"/>
          <w:i/>
          <w:iCs/>
        </w:rPr>
        <w:t>Risks</w:t>
      </w:r>
      <w:r w:rsidRPr="00FF6757">
        <w:rPr>
          <w:rFonts w:ascii="Arial" w:hAnsi="Arial" w:cs="Arial"/>
        </w:rPr>
        <w:t xml:space="preserve">, 10(5), article 107. Available at: </w:t>
      </w:r>
      <w:hyperlink r:id="rId14" w:history="1">
        <w:r w:rsidRPr="00FF6757">
          <w:rPr>
            <w:rStyle w:val="Hyperlink"/>
            <w:rFonts w:ascii="Arial" w:hAnsi="Arial" w:cs="Arial"/>
          </w:rPr>
          <w:t>https://www.mdpi.com/2227-9091/10/5/107</w:t>
        </w:r>
      </w:hyperlink>
    </w:p>
    <w:p w14:paraId="4156AB17" w14:textId="7E54A48E" w:rsidR="00056E02" w:rsidRPr="00FF6757" w:rsidRDefault="00056E02" w:rsidP="004E68B0">
      <w:pPr>
        <w:ind w:hanging="720"/>
        <w:rPr>
          <w:rFonts w:ascii="Arial" w:hAnsi="Arial" w:cs="Arial"/>
        </w:rPr>
      </w:pPr>
      <w:r w:rsidRPr="00FF6757">
        <w:rPr>
          <w:rFonts w:ascii="Arial" w:hAnsi="Arial" w:cs="Arial"/>
        </w:rPr>
        <w:t xml:space="preserve">Almeida, J. and Gonçalves, T.C. 2022b Portfolio diversification, hedge and safe-haven properties in cryptocurrency investments and financial economics: a systematic literature review, </w:t>
      </w:r>
      <w:r w:rsidRPr="00FF6757">
        <w:rPr>
          <w:rFonts w:ascii="Arial" w:hAnsi="Arial" w:cs="Arial"/>
          <w:i/>
          <w:iCs/>
        </w:rPr>
        <w:t>Journal of Risk and Financial Management</w:t>
      </w:r>
      <w:r w:rsidRPr="00FF6757">
        <w:rPr>
          <w:rFonts w:ascii="Arial" w:hAnsi="Arial" w:cs="Arial"/>
        </w:rPr>
        <w:t xml:space="preserve">, 16(1), article 3. Available at: </w:t>
      </w:r>
      <w:hyperlink r:id="rId15" w:history="1">
        <w:r w:rsidRPr="00FF6757">
          <w:rPr>
            <w:rStyle w:val="Hyperlink"/>
            <w:rFonts w:ascii="Arial" w:hAnsi="Arial" w:cs="Arial"/>
          </w:rPr>
          <w:t>https://www.mdpi.com/1911-8074/16/1/3</w:t>
        </w:r>
      </w:hyperlink>
    </w:p>
    <w:p w14:paraId="34EE7B3B" w14:textId="676CFA45" w:rsidR="00056E02" w:rsidRPr="00FF6757" w:rsidRDefault="00056E02" w:rsidP="004E68B0">
      <w:pPr>
        <w:ind w:hanging="720"/>
        <w:rPr>
          <w:rFonts w:ascii="Arial" w:hAnsi="Arial" w:cs="Arial"/>
        </w:rPr>
      </w:pPr>
      <w:r w:rsidRPr="00FF6757">
        <w:rPr>
          <w:rFonts w:ascii="Arial" w:hAnsi="Arial" w:cs="Arial"/>
        </w:rPr>
        <w:t xml:space="preserve">Ameziane, K. and Benyacoub, B. 2022 Exchange rate volatility effect on economic growth under different exchange rate regimes: new evidence from emerging countries using panel CS-ARDL model, </w:t>
      </w:r>
      <w:r w:rsidRPr="00FF6757">
        <w:rPr>
          <w:rFonts w:ascii="Arial" w:hAnsi="Arial" w:cs="Arial"/>
          <w:i/>
          <w:iCs/>
        </w:rPr>
        <w:t>Journal of Risk and Financial Management</w:t>
      </w:r>
      <w:r w:rsidRPr="00FF6757">
        <w:rPr>
          <w:rFonts w:ascii="Arial" w:hAnsi="Arial" w:cs="Arial"/>
        </w:rPr>
        <w:t xml:space="preserve">, 15(11), article 499. Available at: </w:t>
      </w:r>
      <w:hyperlink r:id="rId16" w:history="1">
        <w:r w:rsidR="004E68B0" w:rsidRPr="00FF6757">
          <w:rPr>
            <w:rStyle w:val="Hyperlink"/>
            <w:rFonts w:ascii="Arial" w:hAnsi="Arial" w:cs="Arial"/>
          </w:rPr>
          <w:t>https://doi.org/10.3390/jrfm15110499</w:t>
        </w:r>
      </w:hyperlink>
      <w:r w:rsidR="004E68B0" w:rsidRPr="00FF6757">
        <w:rPr>
          <w:rFonts w:ascii="Arial" w:hAnsi="Arial" w:cs="Arial"/>
        </w:rPr>
        <w:t xml:space="preserve">. </w:t>
      </w:r>
    </w:p>
    <w:p w14:paraId="3BFA5329" w14:textId="6037E9D5" w:rsidR="00056E02" w:rsidRPr="00FF6757" w:rsidRDefault="00056E02" w:rsidP="004E68B0">
      <w:pPr>
        <w:ind w:hanging="720"/>
        <w:rPr>
          <w:rFonts w:ascii="Arial" w:hAnsi="Arial" w:cs="Arial"/>
        </w:rPr>
      </w:pPr>
      <w:r w:rsidRPr="00FF6757">
        <w:rPr>
          <w:rFonts w:ascii="Arial" w:hAnsi="Arial" w:cs="Arial"/>
        </w:rPr>
        <w:t>Antonakakis, N., Chatziantoniou, I. and Gabauer, D. 2020. Refined Measures of Dynamic Connectedness based on Time-Varying Parameter Vector Autoregressions. </w:t>
      </w:r>
      <w:r w:rsidRPr="00FF6757">
        <w:rPr>
          <w:rFonts w:ascii="Arial" w:hAnsi="Arial" w:cs="Arial"/>
          <w:i/>
          <w:iCs/>
        </w:rPr>
        <w:t>Journal of Risk and Financial Management</w:t>
      </w:r>
      <w:r w:rsidRPr="00FF6757">
        <w:rPr>
          <w:rFonts w:ascii="Arial" w:hAnsi="Arial" w:cs="Arial"/>
        </w:rPr>
        <w:t xml:space="preserve">, [online] 13(4), p.84. </w:t>
      </w:r>
      <w:hyperlink r:id="rId17" w:history="1">
        <w:r w:rsidRPr="00FF6757">
          <w:rPr>
            <w:rStyle w:val="Hyperlink"/>
            <w:rFonts w:ascii="Arial" w:hAnsi="Arial" w:cs="Arial"/>
          </w:rPr>
          <w:t>https://doi.org/10.3390/jrfm13040084</w:t>
        </w:r>
      </w:hyperlink>
    </w:p>
    <w:p w14:paraId="0D5525BD" w14:textId="6AC3AC7D" w:rsidR="00056E02" w:rsidRPr="00FF6757" w:rsidRDefault="00056E02" w:rsidP="004E68B0">
      <w:pPr>
        <w:ind w:hanging="720"/>
        <w:rPr>
          <w:rFonts w:ascii="Arial" w:hAnsi="Arial" w:cs="Arial"/>
        </w:rPr>
      </w:pPr>
      <w:r w:rsidRPr="00FF6757">
        <w:rPr>
          <w:rFonts w:ascii="Arial" w:hAnsi="Arial" w:cs="Arial"/>
        </w:rPr>
        <w:t xml:space="preserve">Arismendi-Zambrano, J., Belitsky, V., Sobreiro, V.A. and Kimura, H. 2022, The implications of dependence, tail dependence, and bounds’ measures for counterparty credit risk pricing’, </w:t>
      </w:r>
      <w:r w:rsidRPr="00FF6757">
        <w:rPr>
          <w:rFonts w:ascii="Arial" w:hAnsi="Arial" w:cs="Arial"/>
          <w:i/>
          <w:iCs/>
        </w:rPr>
        <w:t>Journal of Financial Stability</w:t>
      </w:r>
      <w:r w:rsidRPr="00FF6757">
        <w:rPr>
          <w:rFonts w:ascii="Arial" w:hAnsi="Arial" w:cs="Arial"/>
        </w:rPr>
        <w:t xml:space="preserve">, 58, article 100969. Available at:  </w:t>
      </w:r>
      <w:hyperlink r:id="rId18" w:history="1">
        <w:r w:rsidR="004E68B0" w:rsidRPr="00FF6757">
          <w:rPr>
            <w:rStyle w:val="Hyperlink"/>
            <w:rFonts w:ascii="Arial" w:hAnsi="Arial" w:cs="Arial"/>
          </w:rPr>
          <w:t>https://doi.org/10.1016/j.jfs.2021.100969</w:t>
        </w:r>
      </w:hyperlink>
      <w:r w:rsidR="004E68B0" w:rsidRPr="00FF6757">
        <w:rPr>
          <w:rFonts w:ascii="Arial" w:hAnsi="Arial" w:cs="Arial"/>
        </w:rPr>
        <w:t xml:space="preserve">. </w:t>
      </w:r>
    </w:p>
    <w:p w14:paraId="16956EF9" w14:textId="72F09D5E" w:rsidR="00056E02" w:rsidRPr="00FF6757" w:rsidRDefault="00056E02" w:rsidP="004E68B0">
      <w:pPr>
        <w:ind w:hanging="720"/>
        <w:rPr>
          <w:rFonts w:ascii="Arial" w:hAnsi="Arial" w:cs="Arial"/>
        </w:rPr>
      </w:pPr>
      <w:r w:rsidRPr="00FF6757">
        <w:rPr>
          <w:rFonts w:ascii="Arial" w:hAnsi="Arial" w:cs="Arial"/>
        </w:rPr>
        <w:lastRenderedPageBreak/>
        <w:t xml:space="preserve">Ayitey Junior, M., Appiahene, P., Appiah, O. and Bombie, C.N. 2023 ‘Forex market forecasting using machine learning: systematic literature review and meta-analysis’, </w:t>
      </w:r>
      <w:r w:rsidRPr="00FF6757">
        <w:rPr>
          <w:rFonts w:ascii="Arial" w:hAnsi="Arial" w:cs="Arial"/>
          <w:i/>
          <w:iCs/>
        </w:rPr>
        <w:t>Journal of Big Data</w:t>
      </w:r>
      <w:r w:rsidRPr="00FF6757">
        <w:rPr>
          <w:rFonts w:ascii="Arial" w:hAnsi="Arial" w:cs="Arial"/>
        </w:rPr>
        <w:t xml:space="preserve">, 10(1). Available at: </w:t>
      </w:r>
      <w:hyperlink r:id="rId19" w:history="1">
        <w:r w:rsidR="004E68B0" w:rsidRPr="00FF6757">
          <w:rPr>
            <w:rStyle w:val="Hyperlink"/>
            <w:rFonts w:ascii="Arial" w:hAnsi="Arial" w:cs="Arial"/>
          </w:rPr>
          <w:t>https://doi.org/10.1186/s40537-022-00676-2</w:t>
        </w:r>
      </w:hyperlink>
      <w:r w:rsidR="004E68B0" w:rsidRPr="00FF6757">
        <w:rPr>
          <w:rFonts w:ascii="Arial" w:hAnsi="Arial" w:cs="Arial"/>
        </w:rPr>
        <w:t xml:space="preserve">. </w:t>
      </w:r>
    </w:p>
    <w:p w14:paraId="7DCEF97B" w14:textId="573F7676" w:rsidR="00056E02" w:rsidRPr="00FF6757" w:rsidRDefault="00056E02" w:rsidP="004E68B0">
      <w:pPr>
        <w:ind w:hanging="720"/>
        <w:rPr>
          <w:rFonts w:ascii="Arial" w:hAnsi="Arial" w:cs="Arial"/>
        </w:rPr>
      </w:pPr>
      <w:r w:rsidRPr="00FF6757">
        <w:rPr>
          <w:rFonts w:ascii="Arial" w:hAnsi="Arial" w:cs="Arial"/>
        </w:rPr>
        <w:t xml:space="preserve">Baruník, J. and Křehlík, T. 2021 ‘Measuring the frequency dynamics of financial connectedness and systemic risk’, </w:t>
      </w:r>
      <w:r w:rsidRPr="00FF6757">
        <w:rPr>
          <w:rFonts w:ascii="Arial" w:hAnsi="Arial" w:cs="Arial"/>
          <w:i/>
          <w:iCs/>
        </w:rPr>
        <w:t>Journal of Financial Econometrics</w:t>
      </w:r>
      <w:r w:rsidRPr="00FF6757">
        <w:rPr>
          <w:rFonts w:ascii="Arial" w:hAnsi="Arial" w:cs="Arial"/>
        </w:rPr>
        <w:t xml:space="preserve">, 19(3), pp. 445–471. </w:t>
      </w:r>
      <w:hyperlink r:id="rId20" w:history="1">
        <w:r w:rsidRPr="00FF6757">
          <w:rPr>
            <w:rStyle w:val="Hyperlink"/>
            <w:rFonts w:ascii="Arial" w:hAnsi="Arial" w:cs="Arial"/>
          </w:rPr>
          <w:t>https://doi.org/10.1093/jjfinec/nbz003</w:t>
        </w:r>
      </w:hyperlink>
    </w:p>
    <w:p w14:paraId="0845D847" w14:textId="75A2E07D" w:rsidR="00056E02" w:rsidRPr="00FF6757" w:rsidRDefault="00056E02" w:rsidP="004E68B0">
      <w:pPr>
        <w:ind w:hanging="720"/>
        <w:rPr>
          <w:rFonts w:ascii="Arial" w:hAnsi="Arial" w:cs="Arial"/>
        </w:rPr>
      </w:pPr>
      <w:r w:rsidRPr="00FF6757">
        <w:rPr>
          <w:rFonts w:ascii="Arial" w:hAnsi="Arial" w:cs="Arial"/>
        </w:rPr>
        <w:t xml:space="preserve">Bilis, E., Papadimitriou, T., Diamantaras, K. and Goulianas, K. 2025 ‘EXPERT: exchange rate prediction using encoder representation from transformers’, </w:t>
      </w:r>
      <w:r w:rsidRPr="00FF6757">
        <w:rPr>
          <w:rFonts w:ascii="Arial" w:hAnsi="Arial" w:cs="Arial"/>
          <w:i/>
          <w:iCs/>
        </w:rPr>
        <w:t>Forecasting</w:t>
      </w:r>
      <w:r w:rsidRPr="00FF6757">
        <w:rPr>
          <w:rFonts w:ascii="Arial" w:hAnsi="Arial" w:cs="Arial"/>
        </w:rPr>
        <w:t xml:space="preserve">, 7(4), article 65. Available at: </w:t>
      </w:r>
      <w:hyperlink r:id="rId21" w:history="1">
        <w:r w:rsidR="004E68B0" w:rsidRPr="00FF6757">
          <w:rPr>
            <w:rStyle w:val="Hyperlink"/>
            <w:rFonts w:ascii="Arial" w:hAnsi="Arial" w:cs="Arial"/>
          </w:rPr>
          <w:t>https://doi.org/10.3390/forecast7040065</w:t>
        </w:r>
      </w:hyperlink>
      <w:r w:rsidR="004E68B0" w:rsidRPr="00FF6757">
        <w:rPr>
          <w:rFonts w:ascii="Arial" w:hAnsi="Arial" w:cs="Arial"/>
        </w:rPr>
        <w:t xml:space="preserve">. </w:t>
      </w:r>
    </w:p>
    <w:p w14:paraId="7A86C12E" w14:textId="6B09D530" w:rsidR="00056E02" w:rsidRPr="00FF6757" w:rsidRDefault="00056E02" w:rsidP="004E68B0">
      <w:pPr>
        <w:ind w:hanging="720"/>
        <w:rPr>
          <w:rFonts w:ascii="Arial" w:hAnsi="Arial" w:cs="Arial"/>
        </w:rPr>
      </w:pPr>
      <w:r w:rsidRPr="00FF6757">
        <w:rPr>
          <w:rFonts w:ascii="Arial" w:hAnsi="Arial" w:cs="Arial"/>
        </w:rPr>
        <w:t xml:space="preserve">Blom, H.M., Petter, P. and Risstad, M. 2023 ‘Estimating value-at-risk in the EUR/USD currency cross from implied volatilities using machine learning methods and quantile regression’, </w:t>
      </w:r>
      <w:r w:rsidRPr="00FF6757">
        <w:rPr>
          <w:rFonts w:ascii="Arial" w:hAnsi="Arial" w:cs="Arial"/>
          <w:i/>
          <w:iCs/>
        </w:rPr>
        <w:t>Journal of Risk and Financial Management</w:t>
      </w:r>
      <w:r w:rsidRPr="00FF6757">
        <w:rPr>
          <w:rFonts w:ascii="Arial" w:hAnsi="Arial" w:cs="Arial"/>
        </w:rPr>
        <w:t xml:space="preserve">, 16(7), article 312. Available at: </w:t>
      </w:r>
      <w:hyperlink r:id="rId22" w:history="1">
        <w:r w:rsidR="004E68B0" w:rsidRPr="00FF6757">
          <w:rPr>
            <w:rStyle w:val="Hyperlink"/>
            <w:rFonts w:ascii="Arial" w:hAnsi="Arial" w:cs="Arial"/>
          </w:rPr>
          <w:t>https://doi.org/10.3390/jrfm16070312</w:t>
        </w:r>
      </w:hyperlink>
      <w:r w:rsidR="004E68B0" w:rsidRPr="00FF6757">
        <w:rPr>
          <w:rFonts w:ascii="Arial" w:hAnsi="Arial" w:cs="Arial"/>
        </w:rPr>
        <w:t xml:space="preserve">. </w:t>
      </w:r>
    </w:p>
    <w:p w14:paraId="1EADF40E" w14:textId="5A590E9B" w:rsidR="00056E02" w:rsidRPr="00FF6757" w:rsidRDefault="00056E02" w:rsidP="004E68B0">
      <w:pPr>
        <w:ind w:hanging="720"/>
        <w:rPr>
          <w:rFonts w:ascii="Arial" w:hAnsi="Arial" w:cs="Arial"/>
        </w:rPr>
      </w:pPr>
      <w:r w:rsidRPr="00FF6757">
        <w:rPr>
          <w:rFonts w:ascii="Arial" w:hAnsi="Arial" w:cs="Arial"/>
        </w:rPr>
        <w:t>Chen, R., Wei, B., Jin, C. and Liu, J. 2021. Returns and volatilities of energy futures markets: Roles of speculative and hedging sentiments. </w:t>
      </w:r>
      <w:r w:rsidRPr="00FF6757">
        <w:rPr>
          <w:rFonts w:ascii="Arial" w:hAnsi="Arial" w:cs="Arial"/>
          <w:i/>
          <w:iCs/>
        </w:rPr>
        <w:t>International Review of Financial Analysis</w:t>
      </w:r>
      <w:r w:rsidRPr="00FF6757">
        <w:rPr>
          <w:rFonts w:ascii="Arial" w:hAnsi="Arial" w:cs="Arial"/>
        </w:rPr>
        <w:t xml:space="preserve">, [online] 76, p.101748 </w:t>
      </w:r>
      <w:hyperlink r:id="rId23" w:history="1">
        <w:r w:rsidRPr="00FF6757">
          <w:rPr>
            <w:rStyle w:val="Hyperlink"/>
            <w:rFonts w:ascii="Arial" w:hAnsi="Arial" w:cs="Arial"/>
          </w:rPr>
          <w:t>https://doi.org/10.1016/j.irfa.2021.101748</w:t>
        </w:r>
      </w:hyperlink>
    </w:p>
    <w:p w14:paraId="127877C2" w14:textId="3F8ED045" w:rsidR="00056E02" w:rsidRPr="00FF6757" w:rsidRDefault="00056E02" w:rsidP="004E68B0">
      <w:pPr>
        <w:ind w:hanging="720"/>
        <w:rPr>
          <w:rFonts w:ascii="Arial" w:hAnsi="Arial" w:cs="Arial"/>
        </w:rPr>
      </w:pPr>
      <w:r w:rsidRPr="00FF6757">
        <w:rPr>
          <w:rFonts w:ascii="Arial" w:hAnsi="Arial" w:cs="Arial"/>
        </w:rPr>
        <w:t xml:space="preserve">Chikwira, C. and Jahed, M.I. 2024 ‘Analysis of exchange rate stability on the economic growth process of a developing country: the case of South Africa from 2000 to 2023’, </w:t>
      </w:r>
      <w:r w:rsidRPr="00FF6757">
        <w:rPr>
          <w:rFonts w:ascii="Arial" w:hAnsi="Arial" w:cs="Arial"/>
          <w:i/>
          <w:iCs/>
        </w:rPr>
        <w:t>Economies</w:t>
      </w:r>
      <w:r w:rsidRPr="00FF6757">
        <w:rPr>
          <w:rFonts w:ascii="Arial" w:hAnsi="Arial" w:cs="Arial"/>
        </w:rPr>
        <w:t xml:space="preserve">, 12(11), article 296. Available at: </w:t>
      </w:r>
      <w:hyperlink r:id="rId24" w:history="1">
        <w:r w:rsidR="004E68B0" w:rsidRPr="00FF6757">
          <w:rPr>
            <w:rStyle w:val="Hyperlink"/>
            <w:rFonts w:ascii="Arial" w:hAnsi="Arial" w:cs="Arial"/>
          </w:rPr>
          <w:t>https://doi.org/10.3390/economies12110296</w:t>
        </w:r>
      </w:hyperlink>
      <w:r w:rsidR="004E68B0" w:rsidRPr="00FF6757">
        <w:rPr>
          <w:rFonts w:ascii="Arial" w:hAnsi="Arial" w:cs="Arial"/>
        </w:rPr>
        <w:t xml:space="preserve">. </w:t>
      </w:r>
    </w:p>
    <w:p w14:paraId="32970992" w14:textId="27A99635" w:rsidR="00056E02" w:rsidRPr="00FF6757" w:rsidRDefault="00056E02" w:rsidP="004E68B0">
      <w:pPr>
        <w:ind w:hanging="720"/>
        <w:rPr>
          <w:rFonts w:ascii="Arial" w:hAnsi="Arial" w:cs="Arial"/>
        </w:rPr>
      </w:pPr>
      <w:r w:rsidRPr="00FF6757">
        <w:rPr>
          <w:rFonts w:ascii="Arial" w:hAnsi="Arial" w:cs="Arial"/>
        </w:rPr>
        <w:t xml:space="preserve">Darvas, Z. and Schepp, Z., 2024. Exchange rates and fundamentals: forecasting with long maturity forward rates. </w:t>
      </w:r>
      <w:r w:rsidRPr="00FF6757">
        <w:rPr>
          <w:rFonts w:ascii="Arial" w:hAnsi="Arial" w:cs="Arial"/>
          <w:i/>
          <w:iCs/>
        </w:rPr>
        <w:t>Journal of International Money and Finance</w:t>
      </w:r>
      <w:r w:rsidRPr="00FF6757">
        <w:rPr>
          <w:rFonts w:ascii="Arial" w:hAnsi="Arial" w:cs="Arial"/>
        </w:rPr>
        <w:t xml:space="preserve">, 143, article 103067. </w:t>
      </w:r>
      <w:hyperlink r:id="rId25" w:history="1">
        <w:r w:rsidR="004E68B0" w:rsidRPr="00FF6757">
          <w:rPr>
            <w:rStyle w:val="Hyperlink"/>
            <w:rFonts w:ascii="Arial" w:hAnsi="Arial" w:cs="Arial"/>
          </w:rPr>
          <w:t>https://doi.org/10.1016/j.jimonfin.2024.103067</w:t>
        </w:r>
      </w:hyperlink>
      <w:r w:rsidR="004E68B0" w:rsidRPr="00FF6757">
        <w:rPr>
          <w:rFonts w:ascii="Arial" w:hAnsi="Arial" w:cs="Arial"/>
        </w:rPr>
        <w:t xml:space="preserve">. </w:t>
      </w:r>
    </w:p>
    <w:p w14:paraId="6756F370" w14:textId="619A53AD" w:rsidR="00056E02" w:rsidRPr="00FF6757" w:rsidRDefault="00056E02" w:rsidP="004E68B0">
      <w:pPr>
        <w:ind w:hanging="720"/>
        <w:rPr>
          <w:rFonts w:ascii="Arial" w:hAnsi="Arial" w:cs="Arial"/>
        </w:rPr>
      </w:pPr>
      <w:r w:rsidRPr="00FF6757">
        <w:rPr>
          <w:rFonts w:ascii="Arial" w:hAnsi="Arial" w:cs="Arial"/>
        </w:rPr>
        <w:t xml:space="preserve">Eita, J.H. and Raoul, C., 2022 ‘Quantifying foreign exchange risk in selected listed sectors of the Johannesburg Stock Exchange: an SV-EVT pairwise copula approach’, </w:t>
      </w:r>
      <w:r w:rsidRPr="00FF6757">
        <w:rPr>
          <w:rFonts w:ascii="Arial" w:hAnsi="Arial" w:cs="Arial"/>
          <w:i/>
          <w:iCs/>
        </w:rPr>
        <w:t>International Journal of Financial Studies</w:t>
      </w:r>
      <w:r w:rsidRPr="00FF6757">
        <w:rPr>
          <w:rFonts w:ascii="Arial" w:hAnsi="Arial" w:cs="Arial"/>
        </w:rPr>
        <w:t xml:space="preserve">, 10(2), article 24. Available at: </w:t>
      </w:r>
      <w:hyperlink r:id="rId26" w:history="1">
        <w:r w:rsidR="004E68B0" w:rsidRPr="00FF6757">
          <w:rPr>
            <w:rStyle w:val="Hyperlink"/>
            <w:rFonts w:ascii="Arial" w:hAnsi="Arial" w:cs="Arial"/>
          </w:rPr>
          <w:t>https://doi.org/10.3390/ijfs10020024</w:t>
        </w:r>
      </w:hyperlink>
      <w:r w:rsidR="004E68B0" w:rsidRPr="00FF6757">
        <w:rPr>
          <w:rFonts w:ascii="Arial" w:hAnsi="Arial" w:cs="Arial"/>
        </w:rPr>
        <w:t xml:space="preserve">. </w:t>
      </w:r>
    </w:p>
    <w:p w14:paraId="0DC601E2" w14:textId="366B37A5" w:rsidR="00056E02" w:rsidRPr="00FF6757" w:rsidRDefault="00056E02" w:rsidP="004E68B0">
      <w:pPr>
        <w:ind w:hanging="720"/>
        <w:rPr>
          <w:rFonts w:ascii="Arial" w:hAnsi="Arial" w:cs="Arial"/>
        </w:rPr>
      </w:pPr>
      <w:r w:rsidRPr="00FF6757">
        <w:rPr>
          <w:rFonts w:ascii="Arial" w:hAnsi="Arial" w:cs="Arial"/>
        </w:rPr>
        <w:t xml:space="preserve">Fat, J., Moengin, P., Astuti, P. and Cahyati, S., 2025. ‘Sustainability in forex trading: a review in search of the SARSA–FIS hybrid method as a novelty’, </w:t>
      </w:r>
      <w:r w:rsidRPr="00FF6757">
        <w:rPr>
          <w:rFonts w:ascii="Arial" w:hAnsi="Arial" w:cs="Arial"/>
          <w:i/>
          <w:iCs/>
        </w:rPr>
        <w:t xml:space="preserve">Bulletin of Monetary </w:t>
      </w:r>
      <w:r w:rsidRPr="00FF6757">
        <w:rPr>
          <w:rFonts w:ascii="Arial" w:hAnsi="Arial" w:cs="Arial"/>
          <w:i/>
          <w:iCs/>
        </w:rPr>
        <w:lastRenderedPageBreak/>
        <w:t>Economics and Banking</w:t>
      </w:r>
      <w:r w:rsidRPr="00FF6757">
        <w:rPr>
          <w:rFonts w:ascii="Arial" w:hAnsi="Arial" w:cs="Arial"/>
        </w:rPr>
        <w:t xml:space="preserve">, 28, pp. 71–94. Available at: </w:t>
      </w:r>
      <w:hyperlink r:id="rId27" w:history="1">
        <w:r w:rsidR="004E68B0" w:rsidRPr="00FF6757">
          <w:rPr>
            <w:rStyle w:val="Hyperlink"/>
            <w:rFonts w:ascii="Arial" w:hAnsi="Arial" w:cs="Arial"/>
          </w:rPr>
          <w:t>https://doi.org/10.59091/2460-9196.2369</w:t>
        </w:r>
      </w:hyperlink>
      <w:r w:rsidR="004E68B0" w:rsidRPr="00FF6757">
        <w:rPr>
          <w:rFonts w:ascii="Arial" w:hAnsi="Arial" w:cs="Arial"/>
        </w:rPr>
        <w:t xml:space="preserve">. </w:t>
      </w:r>
    </w:p>
    <w:p w14:paraId="0042E7B0" w14:textId="52E48CEA" w:rsidR="00056E02" w:rsidRPr="00FF6757" w:rsidRDefault="00056E02" w:rsidP="004E68B0">
      <w:pPr>
        <w:ind w:hanging="720"/>
        <w:rPr>
          <w:rFonts w:ascii="Arial" w:hAnsi="Arial" w:cs="Arial"/>
        </w:rPr>
      </w:pPr>
      <w:r w:rsidRPr="00FF6757">
        <w:rPr>
          <w:rFonts w:ascii="Arial" w:hAnsi="Arial" w:cs="Arial"/>
        </w:rPr>
        <w:t xml:space="preserve">Fathi, M., Grobys, K. and Kolari, J.W., 2024. ‘On the realized risk of foreign exchange rates: a fractal perspective’, </w:t>
      </w:r>
      <w:r w:rsidRPr="00FF6757">
        <w:rPr>
          <w:rFonts w:ascii="Arial" w:hAnsi="Arial" w:cs="Arial"/>
          <w:i/>
          <w:iCs/>
        </w:rPr>
        <w:t>Journal of Risk and Financial Management</w:t>
      </w:r>
      <w:r w:rsidRPr="00FF6757">
        <w:rPr>
          <w:rFonts w:ascii="Arial" w:hAnsi="Arial" w:cs="Arial"/>
        </w:rPr>
        <w:t xml:space="preserve">, 17(2), article 79. Available at: </w:t>
      </w:r>
      <w:hyperlink r:id="rId28" w:history="1">
        <w:r w:rsidR="004E68B0" w:rsidRPr="00FF6757">
          <w:rPr>
            <w:rStyle w:val="Hyperlink"/>
            <w:rFonts w:ascii="Arial" w:hAnsi="Arial" w:cs="Arial"/>
          </w:rPr>
          <w:t>https://doi.org/10.3390/jrfm17020079</w:t>
        </w:r>
      </w:hyperlink>
      <w:r w:rsidR="004E68B0" w:rsidRPr="00FF6757">
        <w:rPr>
          <w:rFonts w:ascii="Arial" w:hAnsi="Arial" w:cs="Arial"/>
        </w:rPr>
        <w:t xml:space="preserve">. </w:t>
      </w:r>
    </w:p>
    <w:p w14:paraId="21BF0156" w14:textId="66C0BC8B" w:rsidR="00056E02" w:rsidRPr="00FF6757" w:rsidRDefault="00056E02" w:rsidP="004E68B0">
      <w:pPr>
        <w:ind w:hanging="720"/>
        <w:rPr>
          <w:rFonts w:ascii="Arial" w:hAnsi="Arial" w:cs="Arial"/>
        </w:rPr>
      </w:pPr>
      <w:r w:rsidRPr="00FF6757">
        <w:rPr>
          <w:rFonts w:ascii="Arial" w:hAnsi="Arial" w:cs="Arial"/>
        </w:rPr>
        <w:t>Feng, C., Bai, C. and Kang, Y., 2023. ‘Historical social capital and contemporary private investment choices.’ </w:t>
      </w:r>
      <w:r w:rsidRPr="00FF6757">
        <w:rPr>
          <w:rFonts w:ascii="Arial" w:hAnsi="Arial" w:cs="Arial"/>
          <w:i/>
          <w:iCs/>
        </w:rPr>
        <w:t>Journal of Corporate Finance</w:t>
      </w:r>
      <w:r w:rsidRPr="00FF6757">
        <w:rPr>
          <w:rFonts w:ascii="Arial" w:hAnsi="Arial" w:cs="Arial"/>
        </w:rPr>
        <w:t xml:space="preserve">, [online] 79, p.102365 </w:t>
      </w:r>
      <w:hyperlink r:id="rId29" w:history="1">
        <w:r w:rsidRPr="00FF6757">
          <w:rPr>
            <w:rStyle w:val="Hyperlink"/>
            <w:rFonts w:ascii="Arial" w:hAnsi="Arial" w:cs="Arial"/>
          </w:rPr>
          <w:t>https://doi.org/10.1016/j.jcorpfin.2023.102365</w:t>
        </w:r>
      </w:hyperlink>
      <w:r w:rsidR="004E68B0" w:rsidRPr="00FF6757">
        <w:t>.</w:t>
      </w:r>
    </w:p>
    <w:p w14:paraId="37A31523" w14:textId="7B82DF62" w:rsidR="00056E02" w:rsidRPr="00FF6757" w:rsidRDefault="00056E02" w:rsidP="004E68B0">
      <w:pPr>
        <w:ind w:hanging="720"/>
        <w:rPr>
          <w:rFonts w:ascii="Arial" w:hAnsi="Arial" w:cs="Arial"/>
        </w:rPr>
      </w:pPr>
      <w:r w:rsidRPr="00FF6757">
        <w:rPr>
          <w:rFonts w:ascii="Arial" w:hAnsi="Arial" w:cs="Arial"/>
        </w:rPr>
        <w:t xml:space="preserve">Ferdous, L.T., Mostafa, M., Ahsan, A., Thuy, H. and Samaduzzaman, M., 2022. ‘An early warning system for currency crises in emerging countries’, </w:t>
      </w:r>
      <w:r w:rsidRPr="00FF6757">
        <w:rPr>
          <w:rFonts w:ascii="Arial" w:hAnsi="Arial" w:cs="Arial"/>
          <w:i/>
          <w:iCs/>
        </w:rPr>
        <w:t>Journal of Risk and Financial Management</w:t>
      </w:r>
      <w:r w:rsidRPr="00FF6757">
        <w:rPr>
          <w:rFonts w:ascii="Arial" w:hAnsi="Arial" w:cs="Arial"/>
        </w:rPr>
        <w:t xml:space="preserve">, 15(4), article 167. Available at:  </w:t>
      </w:r>
      <w:hyperlink r:id="rId30" w:history="1">
        <w:r w:rsidR="004E68B0" w:rsidRPr="00FF6757">
          <w:rPr>
            <w:rStyle w:val="Hyperlink"/>
            <w:rFonts w:ascii="Arial" w:hAnsi="Arial" w:cs="Arial"/>
          </w:rPr>
          <w:t>https://doi.org/10.3390/jrfm15040167</w:t>
        </w:r>
      </w:hyperlink>
      <w:r w:rsidR="004E68B0" w:rsidRPr="00FF6757">
        <w:rPr>
          <w:rFonts w:ascii="Arial" w:hAnsi="Arial" w:cs="Arial"/>
        </w:rPr>
        <w:t xml:space="preserve">. </w:t>
      </w:r>
    </w:p>
    <w:p w14:paraId="066EC03A" w14:textId="78FC5918" w:rsidR="00056E02" w:rsidRPr="00FF6757" w:rsidRDefault="00056E02" w:rsidP="004E68B0">
      <w:pPr>
        <w:ind w:hanging="720"/>
        <w:rPr>
          <w:rFonts w:ascii="Arial" w:hAnsi="Arial" w:cs="Arial"/>
        </w:rPr>
      </w:pPr>
      <w:r w:rsidRPr="00FF6757">
        <w:rPr>
          <w:rFonts w:ascii="Arial" w:hAnsi="Arial" w:cs="Arial"/>
        </w:rPr>
        <w:t xml:space="preserve">García, F., Guijarro, F., Oliver, J. and Tamošiūnienė, R., 2023. ‘Foreign exchange forecasting models: ARIMA and LSTM comparison’, </w:t>
      </w:r>
      <w:r w:rsidRPr="00FF6757">
        <w:rPr>
          <w:rFonts w:ascii="Arial" w:hAnsi="Arial" w:cs="Arial"/>
          <w:i/>
          <w:iCs/>
        </w:rPr>
        <w:t>Engineering Proceedings</w:t>
      </w:r>
      <w:r w:rsidRPr="00FF6757">
        <w:rPr>
          <w:rFonts w:ascii="Arial" w:hAnsi="Arial" w:cs="Arial"/>
        </w:rPr>
        <w:t xml:space="preserve">, 39, article 81. Available at: </w:t>
      </w:r>
      <w:hyperlink r:id="rId31" w:history="1">
        <w:r w:rsidR="004E68B0" w:rsidRPr="00FF6757">
          <w:rPr>
            <w:rStyle w:val="Hyperlink"/>
            <w:rFonts w:ascii="Arial" w:hAnsi="Arial" w:cs="Arial"/>
          </w:rPr>
          <w:t>https://doi.org/10.3390/engproc2023039081</w:t>
        </w:r>
      </w:hyperlink>
      <w:r w:rsidR="004E68B0" w:rsidRPr="00FF6757">
        <w:rPr>
          <w:rFonts w:ascii="Arial" w:hAnsi="Arial" w:cs="Arial"/>
        </w:rPr>
        <w:t xml:space="preserve">. </w:t>
      </w:r>
    </w:p>
    <w:p w14:paraId="61D122BF" w14:textId="167DEF61" w:rsidR="00056E02" w:rsidRPr="00FF6757" w:rsidRDefault="00056E02" w:rsidP="004E68B0">
      <w:pPr>
        <w:ind w:hanging="720"/>
        <w:rPr>
          <w:rFonts w:ascii="Arial" w:hAnsi="Arial" w:cs="Arial"/>
        </w:rPr>
      </w:pPr>
      <w:r w:rsidRPr="00FF6757">
        <w:rPr>
          <w:rFonts w:ascii="Arial" w:hAnsi="Arial" w:cs="Arial"/>
        </w:rPr>
        <w:t>George, A.K., Kayal, P. and Maiti, M., 2023. ‘Nexus of Corporate Social Responsibility Expenditure (CSR) and financial performance: Indian banks.’ </w:t>
      </w:r>
      <w:r w:rsidRPr="00FF6757">
        <w:rPr>
          <w:rFonts w:ascii="Arial" w:hAnsi="Arial" w:cs="Arial"/>
          <w:i/>
          <w:iCs/>
        </w:rPr>
        <w:t>The Quarterly Review of Economics and Finance</w:t>
      </w:r>
      <w:r w:rsidRPr="00FF6757">
        <w:rPr>
          <w:rFonts w:ascii="Arial" w:hAnsi="Arial" w:cs="Arial"/>
        </w:rPr>
        <w:t xml:space="preserve">, [online] 90, pp.190–200  </w:t>
      </w:r>
      <w:hyperlink r:id="rId32" w:history="1">
        <w:r w:rsidRPr="00FF6757">
          <w:rPr>
            <w:rStyle w:val="Hyperlink"/>
            <w:rFonts w:ascii="Arial" w:hAnsi="Arial" w:cs="Arial"/>
          </w:rPr>
          <w:t>https://doi.org/10.1016/j.qref.2023.06.004</w:t>
        </w:r>
      </w:hyperlink>
    </w:p>
    <w:p w14:paraId="2F2EE3A3" w14:textId="52298B1C" w:rsidR="00056E02" w:rsidRPr="00FF6757" w:rsidRDefault="00056E02" w:rsidP="004E68B0">
      <w:pPr>
        <w:ind w:hanging="720"/>
        <w:rPr>
          <w:rFonts w:ascii="Arial" w:hAnsi="Arial" w:cs="Arial"/>
        </w:rPr>
      </w:pPr>
      <w:r w:rsidRPr="00FF6757">
        <w:rPr>
          <w:rFonts w:ascii="Arial" w:hAnsi="Arial" w:cs="Arial"/>
        </w:rPr>
        <w:t xml:space="preserve">Ghahremani, S. and Nguyen, U.T., 2025. Prediction of foreign currency exchange rates using an attention-based long short-term memory network. </w:t>
      </w:r>
      <w:r w:rsidRPr="00FF6757">
        <w:rPr>
          <w:rFonts w:ascii="Arial" w:hAnsi="Arial" w:cs="Arial"/>
          <w:i/>
          <w:iCs/>
        </w:rPr>
        <w:t>Machine Learning with Applications</w:t>
      </w:r>
      <w:r w:rsidRPr="00FF6757">
        <w:rPr>
          <w:rFonts w:ascii="Arial" w:hAnsi="Arial" w:cs="Arial"/>
        </w:rPr>
        <w:t xml:space="preserve">, 20, article 100648. </w:t>
      </w:r>
      <w:hyperlink r:id="rId33" w:history="1">
        <w:r w:rsidR="004E68B0" w:rsidRPr="00FF6757">
          <w:rPr>
            <w:rStyle w:val="Hyperlink"/>
            <w:rFonts w:ascii="Arial" w:hAnsi="Arial" w:cs="Arial"/>
          </w:rPr>
          <w:t>https://doi.org/10.1016/j.mlwa.2025.100648</w:t>
        </w:r>
      </w:hyperlink>
      <w:r w:rsidR="004E68B0" w:rsidRPr="00FF6757">
        <w:rPr>
          <w:rFonts w:ascii="Arial" w:hAnsi="Arial" w:cs="Arial"/>
        </w:rPr>
        <w:t>.</w:t>
      </w:r>
    </w:p>
    <w:p w14:paraId="34DFAD6C" w14:textId="6B71F2F5" w:rsidR="00056E02" w:rsidRPr="00FF6757" w:rsidRDefault="00056E02" w:rsidP="004E68B0">
      <w:pPr>
        <w:ind w:hanging="720"/>
        <w:rPr>
          <w:rFonts w:ascii="Arial" w:hAnsi="Arial" w:cs="Arial"/>
        </w:rPr>
      </w:pPr>
      <w:r w:rsidRPr="00FF6757">
        <w:rPr>
          <w:rFonts w:ascii="Arial" w:hAnsi="Arial" w:cs="Arial"/>
        </w:rPr>
        <w:t xml:space="preserve">Haddad, S., 2023. ‘Global financial market integration: a literature survey’, </w:t>
      </w:r>
      <w:r w:rsidRPr="00FF6757">
        <w:rPr>
          <w:rFonts w:ascii="Arial" w:hAnsi="Arial" w:cs="Arial"/>
          <w:i/>
          <w:iCs/>
        </w:rPr>
        <w:t>Journal of Risk and Financial Management</w:t>
      </w:r>
      <w:r w:rsidRPr="00FF6757">
        <w:rPr>
          <w:rFonts w:ascii="Arial" w:hAnsi="Arial" w:cs="Arial"/>
        </w:rPr>
        <w:t xml:space="preserve">, 16(12), article 495. Available at: </w:t>
      </w:r>
      <w:hyperlink r:id="rId34" w:history="1">
        <w:r w:rsidR="004E68B0" w:rsidRPr="00FF6757">
          <w:rPr>
            <w:rStyle w:val="Hyperlink"/>
            <w:rFonts w:ascii="Arial" w:hAnsi="Arial" w:cs="Arial"/>
          </w:rPr>
          <w:t>https://doi.org/10.3390/jrfm16120495</w:t>
        </w:r>
      </w:hyperlink>
      <w:r w:rsidR="004E68B0" w:rsidRPr="00FF6757">
        <w:rPr>
          <w:rFonts w:ascii="Arial" w:hAnsi="Arial" w:cs="Arial"/>
        </w:rPr>
        <w:t>.</w:t>
      </w:r>
    </w:p>
    <w:p w14:paraId="040CCD79" w14:textId="0D828F27" w:rsidR="00056E02" w:rsidRPr="00FF6757" w:rsidRDefault="00056E02" w:rsidP="004E68B0">
      <w:pPr>
        <w:ind w:hanging="720"/>
        <w:rPr>
          <w:rFonts w:ascii="Arial" w:hAnsi="Arial" w:cs="Arial"/>
          <w:b/>
          <w:bCs/>
        </w:rPr>
      </w:pPr>
      <w:r w:rsidRPr="00FF6757">
        <w:rPr>
          <w:rFonts w:ascii="Arial" w:hAnsi="Arial" w:cs="Arial"/>
          <w:b/>
          <w:bCs/>
        </w:rPr>
        <w:t>‌</w:t>
      </w:r>
      <w:r w:rsidRPr="00FF6757">
        <w:rPr>
          <w:rFonts w:ascii="Arial" w:hAnsi="Arial" w:cs="Arial"/>
        </w:rPr>
        <w:t xml:space="preserve">Hiraki, K. and Sun, C., 2022. ‘A toolkit for exploiting contemporaneous stock correlations.’ </w:t>
      </w:r>
      <w:r w:rsidRPr="00FF6757">
        <w:rPr>
          <w:rFonts w:ascii="Arial" w:hAnsi="Arial" w:cs="Arial"/>
          <w:i/>
          <w:iCs/>
        </w:rPr>
        <w:t>Journal of Empirical Finance</w:t>
      </w:r>
      <w:r w:rsidRPr="00FF6757">
        <w:rPr>
          <w:rFonts w:ascii="Arial" w:hAnsi="Arial" w:cs="Arial"/>
        </w:rPr>
        <w:t xml:space="preserve">, [online] 65, pp.99–124  </w:t>
      </w:r>
      <w:hyperlink r:id="rId35" w:history="1">
        <w:r w:rsidRPr="00FF6757">
          <w:rPr>
            <w:rStyle w:val="Hyperlink"/>
            <w:rFonts w:ascii="Arial" w:hAnsi="Arial" w:cs="Arial"/>
          </w:rPr>
          <w:t>https://doi.org/10.1016/j.jempfin.2021.11.003</w:t>
        </w:r>
      </w:hyperlink>
      <w:r w:rsidR="004E68B0" w:rsidRPr="00FF6757">
        <w:t>.</w:t>
      </w:r>
    </w:p>
    <w:p w14:paraId="7A334823" w14:textId="63DC0158" w:rsidR="00056E02" w:rsidRPr="00FF6757" w:rsidRDefault="00056E02" w:rsidP="004E68B0">
      <w:pPr>
        <w:ind w:hanging="720"/>
        <w:rPr>
          <w:rFonts w:ascii="Arial" w:hAnsi="Arial" w:cs="Arial"/>
        </w:rPr>
      </w:pPr>
      <w:r w:rsidRPr="00FF6757">
        <w:rPr>
          <w:rFonts w:ascii="Arial" w:hAnsi="Arial" w:cs="Arial"/>
        </w:rPr>
        <w:t xml:space="preserve">Huynh, T.L.D., Nasir, M.A. and Nguyen, D.K., 2023. ‘Spillovers and connectedness in foreign exchange markets: the role of trade policy uncertainty’, </w:t>
      </w:r>
      <w:r w:rsidRPr="00FF6757">
        <w:rPr>
          <w:rFonts w:ascii="Arial" w:hAnsi="Arial" w:cs="Arial"/>
          <w:i/>
          <w:iCs/>
        </w:rPr>
        <w:t xml:space="preserve">The Quarterly Review of </w:t>
      </w:r>
      <w:r w:rsidRPr="00FF6757">
        <w:rPr>
          <w:rFonts w:ascii="Arial" w:hAnsi="Arial" w:cs="Arial"/>
          <w:i/>
          <w:iCs/>
        </w:rPr>
        <w:lastRenderedPageBreak/>
        <w:t>Economics and Finance</w:t>
      </w:r>
      <w:r w:rsidRPr="00FF6757">
        <w:rPr>
          <w:rFonts w:ascii="Arial" w:hAnsi="Arial" w:cs="Arial"/>
        </w:rPr>
        <w:t xml:space="preserve">, 87, pp. 191–199. Available at </w:t>
      </w:r>
      <w:hyperlink r:id="rId36" w:history="1">
        <w:r w:rsidR="004E68B0" w:rsidRPr="00FF6757">
          <w:rPr>
            <w:rStyle w:val="Hyperlink"/>
            <w:rFonts w:ascii="Arial" w:hAnsi="Arial" w:cs="Arial"/>
          </w:rPr>
          <w:t>https://doi.org/10.1016/j.qref.2020.09.001</w:t>
        </w:r>
      </w:hyperlink>
      <w:r w:rsidR="004E68B0" w:rsidRPr="00FF6757">
        <w:rPr>
          <w:rFonts w:ascii="Arial" w:hAnsi="Arial" w:cs="Arial"/>
        </w:rPr>
        <w:t>.</w:t>
      </w:r>
    </w:p>
    <w:p w14:paraId="1C6354DD" w14:textId="702E8628" w:rsidR="00056E02" w:rsidRPr="00FF6757" w:rsidRDefault="00056E02" w:rsidP="004E68B0">
      <w:pPr>
        <w:ind w:hanging="720"/>
        <w:rPr>
          <w:rFonts w:ascii="Arial" w:hAnsi="Arial" w:cs="Arial"/>
        </w:rPr>
      </w:pPr>
      <w:r w:rsidRPr="00FF6757">
        <w:rPr>
          <w:rFonts w:ascii="Arial" w:hAnsi="Arial" w:cs="Arial"/>
        </w:rPr>
        <w:t xml:space="preserve">Ifeanyi, E., Eniekeye, M.E., Eniekeye, N.L. and Njoku, J., 2026. ‘Foreign exchange rate volatility and its effect on bank performance’, </w:t>
      </w:r>
      <w:r w:rsidRPr="00FF6757">
        <w:rPr>
          <w:rFonts w:ascii="Arial" w:hAnsi="Arial" w:cs="Arial"/>
          <w:i/>
          <w:iCs/>
        </w:rPr>
        <w:t>IMT International Journal of the Arts and Sciences</w:t>
      </w:r>
      <w:r w:rsidRPr="00FF6757">
        <w:rPr>
          <w:rFonts w:ascii="Arial" w:hAnsi="Arial" w:cs="Arial"/>
        </w:rPr>
        <w:t xml:space="preserve">, 7(1). Available at: </w:t>
      </w:r>
      <w:hyperlink r:id="rId37" w:history="1">
        <w:r w:rsidR="004E68B0" w:rsidRPr="00FF6757">
          <w:rPr>
            <w:rStyle w:val="Hyperlink"/>
            <w:rFonts w:ascii="Arial" w:hAnsi="Arial" w:cs="Arial"/>
          </w:rPr>
          <w:t>http://imtijotas.org.ng/index.php/about/article/view/99</w:t>
        </w:r>
      </w:hyperlink>
      <w:r w:rsidR="004E68B0" w:rsidRPr="00FF6757">
        <w:rPr>
          <w:rFonts w:ascii="Arial" w:hAnsi="Arial" w:cs="Arial"/>
        </w:rPr>
        <w:t xml:space="preserve"> </w:t>
      </w:r>
      <w:r w:rsidRPr="00FF6757">
        <w:rPr>
          <w:rFonts w:ascii="Arial" w:hAnsi="Arial" w:cs="Arial"/>
        </w:rPr>
        <w:t>[Accessed 23 Jan. 2026].</w:t>
      </w:r>
    </w:p>
    <w:p w14:paraId="29BB565D" w14:textId="56BA8C95" w:rsidR="00056E02" w:rsidRPr="00FF6757" w:rsidRDefault="00056E02" w:rsidP="004E68B0">
      <w:pPr>
        <w:ind w:hanging="720"/>
        <w:rPr>
          <w:rFonts w:ascii="Arial" w:hAnsi="Arial" w:cs="Arial"/>
        </w:rPr>
      </w:pPr>
      <w:r w:rsidRPr="00FF6757">
        <w:rPr>
          <w:rFonts w:ascii="Arial" w:hAnsi="Arial" w:cs="Arial"/>
        </w:rPr>
        <w:t xml:space="preserve">Iqbal, F., Koutmos, D., Ahmed, E.A. and Al-Essa, L.M., 2024. ‘A novel hybrid deep learning method for accurate exchange rate prediction’, </w:t>
      </w:r>
      <w:r w:rsidRPr="00FF6757">
        <w:rPr>
          <w:rFonts w:ascii="Arial" w:hAnsi="Arial" w:cs="Arial"/>
          <w:i/>
          <w:iCs/>
        </w:rPr>
        <w:t>Risks</w:t>
      </w:r>
      <w:r w:rsidRPr="00FF6757">
        <w:rPr>
          <w:rFonts w:ascii="Arial" w:hAnsi="Arial" w:cs="Arial"/>
        </w:rPr>
        <w:t xml:space="preserve">, 12(9), article 139. Available at: </w:t>
      </w:r>
      <w:hyperlink r:id="rId38" w:history="1">
        <w:r w:rsidR="004E68B0" w:rsidRPr="00FF6757">
          <w:rPr>
            <w:rStyle w:val="Hyperlink"/>
            <w:rFonts w:ascii="Arial" w:hAnsi="Arial" w:cs="Arial"/>
          </w:rPr>
          <w:t>https://doi.org/10.3390/risks12090139</w:t>
        </w:r>
      </w:hyperlink>
      <w:r w:rsidR="004E68B0" w:rsidRPr="00FF6757">
        <w:rPr>
          <w:rFonts w:ascii="Arial" w:hAnsi="Arial" w:cs="Arial"/>
        </w:rPr>
        <w:t>.</w:t>
      </w:r>
    </w:p>
    <w:p w14:paraId="12ECEA7B" w14:textId="23773D9E" w:rsidR="00056E02" w:rsidRPr="00FF6757" w:rsidRDefault="00056E02" w:rsidP="004E68B0">
      <w:pPr>
        <w:ind w:hanging="720"/>
        <w:rPr>
          <w:rFonts w:ascii="Arial" w:hAnsi="Arial" w:cs="Arial"/>
        </w:rPr>
      </w:pPr>
      <w:r w:rsidRPr="00FF6757">
        <w:rPr>
          <w:rFonts w:ascii="Arial" w:hAnsi="Arial" w:cs="Arial"/>
        </w:rPr>
        <w:t xml:space="preserve">Irani, F., Hadood, A.A.A., Gökmenoğlu, K.K. and Athari, S.A., 2025. ‘Impact of financial market uncertainty and financial crises on dynamic stock–foreign exchange market correlations: a new perspective’, </w:t>
      </w:r>
      <w:r w:rsidRPr="00FF6757">
        <w:rPr>
          <w:rFonts w:ascii="Arial" w:hAnsi="Arial" w:cs="Arial"/>
          <w:i/>
          <w:iCs/>
        </w:rPr>
        <w:t>SAGE Open</w:t>
      </w:r>
      <w:r w:rsidRPr="00FF6757">
        <w:rPr>
          <w:rFonts w:ascii="Arial" w:hAnsi="Arial" w:cs="Arial"/>
        </w:rPr>
        <w:t xml:space="preserve">, 15(1). Available at: </w:t>
      </w:r>
      <w:hyperlink r:id="rId39" w:history="1">
        <w:r w:rsidR="004E68B0" w:rsidRPr="00FF6757">
          <w:rPr>
            <w:rStyle w:val="Hyperlink"/>
            <w:rFonts w:ascii="Arial" w:hAnsi="Arial" w:cs="Arial"/>
          </w:rPr>
          <w:t>https://doi.org/10.1177/21582440251314719</w:t>
        </w:r>
      </w:hyperlink>
      <w:r w:rsidR="004E68B0" w:rsidRPr="00FF6757">
        <w:rPr>
          <w:rFonts w:ascii="Arial" w:hAnsi="Arial" w:cs="Arial"/>
        </w:rPr>
        <w:t xml:space="preserve">. </w:t>
      </w:r>
    </w:p>
    <w:p w14:paraId="25EC291B" w14:textId="64BA7F3E" w:rsidR="00056E02" w:rsidRPr="00FF6757" w:rsidRDefault="00056E02" w:rsidP="004E68B0">
      <w:pPr>
        <w:ind w:hanging="720"/>
        <w:rPr>
          <w:rFonts w:ascii="Arial" w:hAnsi="Arial" w:cs="Arial"/>
        </w:rPr>
      </w:pPr>
      <w:r w:rsidRPr="00FF6757">
        <w:rPr>
          <w:rFonts w:ascii="Arial" w:hAnsi="Arial" w:cs="Arial"/>
        </w:rPr>
        <w:t xml:space="preserve">Jiang, R., Hu, X. and Yu, K., 2022. ‘Single-index expectile models for estimating conditional value at risk and expected shortfall’, </w:t>
      </w:r>
      <w:r w:rsidRPr="00FF6757">
        <w:rPr>
          <w:rFonts w:ascii="Arial" w:hAnsi="Arial" w:cs="Arial"/>
          <w:i/>
          <w:iCs/>
        </w:rPr>
        <w:t>Journal of Financial Econometrics</w:t>
      </w:r>
      <w:r w:rsidRPr="00FF6757">
        <w:rPr>
          <w:rFonts w:ascii="Arial" w:hAnsi="Arial" w:cs="Arial"/>
        </w:rPr>
        <w:t>, 20(2), pp. 345–366. Available at: </w:t>
      </w:r>
      <w:hyperlink r:id="rId40" w:history="1">
        <w:r w:rsidRPr="00FF6757">
          <w:rPr>
            <w:rStyle w:val="Hyperlink"/>
            <w:rFonts w:ascii="Arial" w:hAnsi="Arial" w:cs="Arial"/>
          </w:rPr>
          <w:t>https://doi.org/10.1093/jjfinec/nbaa016</w:t>
        </w:r>
      </w:hyperlink>
      <w:r w:rsidR="004E68B0" w:rsidRPr="00FF6757">
        <w:t>.</w:t>
      </w:r>
    </w:p>
    <w:p w14:paraId="6FF1C207" w14:textId="7DF92655" w:rsidR="00056E02" w:rsidRPr="00FF6757" w:rsidRDefault="00056E02" w:rsidP="004E68B0">
      <w:pPr>
        <w:ind w:hanging="720"/>
        <w:rPr>
          <w:rFonts w:ascii="Arial" w:hAnsi="Arial" w:cs="Arial"/>
        </w:rPr>
      </w:pPr>
      <w:r w:rsidRPr="00FF6757">
        <w:rPr>
          <w:rFonts w:ascii="Arial" w:hAnsi="Arial" w:cs="Arial"/>
        </w:rPr>
        <w:t>Jiang, S., Li, Y., Lu, Q., Wang, S. and Wei, Y., 2022. ‘Volatility communicator or receiver? Investigating volatility spillover mechanisms among Bitcoin and other financial markets.’ </w:t>
      </w:r>
      <w:r w:rsidRPr="00FF6757">
        <w:rPr>
          <w:rFonts w:ascii="Arial" w:hAnsi="Arial" w:cs="Arial"/>
          <w:i/>
          <w:iCs/>
        </w:rPr>
        <w:t>Research in International Business and Finance</w:t>
      </w:r>
      <w:r w:rsidRPr="00FF6757">
        <w:rPr>
          <w:rFonts w:ascii="Arial" w:hAnsi="Arial" w:cs="Arial"/>
        </w:rPr>
        <w:t xml:space="preserve">, [online] 59, p.101543 </w:t>
      </w:r>
      <w:hyperlink r:id="rId41" w:history="1">
        <w:r w:rsidRPr="00FF6757">
          <w:rPr>
            <w:rStyle w:val="Hyperlink"/>
            <w:rFonts w:ascii="Arial" w:hAnsi="Arial" w:cs="Arial"/>
          </w:rPr>
          <w:t>https://doi.org/10.1016/j.ribaf.2021.101543</w:t>
        </w:r>
      </w:hyperlink>
    </w:p>
    <w:p w14:paraId="7E1486FB" w14:textId="77777777" w:rsidR="004E68B0" w:rsidRPr="00FF6757" w:rsidRDefault="00056E02" w:rsidP="004E68B0">
      <w:pPr>
        <w:ind w:hanging="720"/>
        <w:rPr>
          <w:rFonts w:ascii="Arial" w:hAnsi="Arial" w:cs="Arial"/>
        </w:rPr>
      </w:pPr>
      <w:r w:rsidRPr="00FF6757">
        <w:rPr>
          <w:rFonts w:ascii="Arial" w:hAnsi="Arial" w:cs="Arial"/>
        </w:rPr>
        <w:t xml:space="preserve">Jongadsayakul, W., 2024. ‘Foreign exchange futures trading and spot market volatility in Thailand’, </w:t>
      </w:r>
      <w:r w:rsidRPr="00FF6757">
        <w:rPr>
          <w:rFonts w:ascii="Arial" w:hAnsi="Arial" w:cs="Arial"/>
          <w:i/>
          <w:iCs/>
        </w:rPr>
        <w:t>Risks</w:t>
      </w:r>
      <w:r w:rsidRPr="00FF6757">
        <w:rPr>
          <w:rFonts w:ascii="Arial" w:hAnsi="Arial" w:cs="Arial"/>
        </w:rPr>
        <w:t>, 12(7), article 107. Available at:</w:t>
      </w:r>
    </w:p>
    <w:p w14:paraId="28AD82DA" w14:textId="2111D31F" w:rsidR="00056E02" w:rsidRPr="00FF6757" w:rsidRDefault="004E68B0" w:rsidP="004E68B0">
      <w:pPr>
        <w:ind w:hanging="720"/>
        <w:rPr>
          <w:rFonts w:ascii="Arial" w:hAnsi="Arial" w:cs="Arial"/>
        </w:rPr>
      </w:pPr>
      <w:r w:rsidRPr="00FF6757">
        <w:rPr>
          <w:rFonts w:ascii="Arial" w:hAnsi="Arial" w:cs="Arial"/>
        </w:rPr>
        <w:t xml:space="preserve">           </w:t>
      </w:r>
      <w:hyperlink r:id="rId42" w:history="1">
        <w:r w:rsidRPr="00FF6757">
          <w:rPr>
            <w:rStyle w:val="Hyperlink"/>
            <w:rFonts w:ascii="Arial" w:hAnsi="Arial" w:cs="Arial"/>
          </w:rPr>
          <w:t>https://doi.org/10.3390/risks12070107</w:t>
        </w:r>
      </w:hyperlink>
      <w:r w:rsidRPr="00FF6757">
        <w:rPr>
          <w:rFonts w:ascii="Arial" w:hAnsi="Arial" w:cs="Arial"/>
        </w:rPr>
        <w:t>.</w:t>
      </w:r>
    </w:p>
    <w:p w14:paraId="66FC7AC8" w14:textId="77777777" w:rsidR="004E68B0" w:rsidRPr="00FF6757" w:rsidRDefault="00056E02" w:rsidP="004E68B0">
      <w:pPr>
        <w:ind w:hanging="720"/>
        <w:rPr>
          <w:rFonts w:ascii="Arial" w:hAnsi="Arial" w:cs="Arial"/>
        </w:rPr>
      </w:pPr>
      <w:r w:rsidRPr="00FF6757">
        <w:rPr>
          <w:rFonts w:ascii="Arial" w:hAnsi="Arial" w:cs="Arial"/>
          <w:b/>
          <w:bCs/>
        </w:rPr>
        <w:t>‌</w:t>
      </w:r>
      <w:r w:rsidRPr="00FF6757">
        <w:rPr>
          <w:rFonts w:ascii="Arial" w:hAnsi="Arial" w:cs="Arial"/>
        </w:rPr>
        <w:t>Kang, H., Zong, X., Wang, J. and Chen, H., 2023. ‘Binary gravity search algorithm and support vector machine for forecasting and trading stock indices.’ </w:t>
      </w:r>
      <w:r w:rsidRPr="00FF6757">
        <w:rPr>
          <w:rFonts w:ascii="Arial" w:hAnsi="Arial" w:cs="Arial"/>
          <w:i/>
          <w:iCs/>
        </w:rPr>
        <w:t>International Review of Economics &amp; Finance</w:t>
      </w:r>
      <w:r w:rsidRPr="00FF6757">
        <w:rPr>
          <w:rFonts w:ascii="Arial" w:hAnsi="Arial" w:cs="Arial"/>
        </w:rPr>
        <w:t xml:space="preserve">, [online] 84, pp.507–526 </w:t>
      </w:r>
    </w:p>
    <w:p w14:paraId="2381A5DC" w14:textId="61B05094" w:rsidR="00056E02" w:rsidRPr="00FF6757" w:rsidRDefault="004E68B0" w:rsidP="004E68B0">
      <w:pPr>
        <w:ind w:hanging="720"/>
        <w:rPr>
          <w:rFonts w:ascii="Arial" w:hAnsi="Arial" w:cs="Arial"/>
          <w:b/>
          <w:bCs/>
        </w:rPr>
      </w:pPr>
      <w:r w:rsidRPr="00FF6757">
        <w:rPr>
          <w:rFonts w:ascii="Arial" w:hAnsi="Arial" w:cs="Arial"/>
        </w:rPr>
        <w:t xml:space="preserve">           </w:t>
      </w:r>
      <w:hyperlink r:id="rId43" w:history="1">
        <w:r w:rsidRPr="00FF6757">
          <w:rPr>
            <w:rStyle w:val="Hyperlink"/>
            <w:rFonts w:ascii="Arial" w:hAnsi="Arial" w:cs="Arial"/>
          </w:rPr>
          <w:t>https://doi.org/10.1016/j.iref.2022.11.009</w:t>
        </w:r>
      </w:hyperlink>
      <w:r w:rsidRPr="00FF6757">
        <w:rPr>
          <w:rFonts w:ascii="Arial" w:hAnsi="Arial" w:cs="Arial"/>
        </w:rPr>
        <w:t>.</w:t>
      </w:r>
    </w:p>
    <w:p w14:paraId="3FC4B965" w14:textId="2A811240" w:rsidR="00056E02" w:rsidRPr="00FF6757" w:rsidRDefault="00056E02" w:rsidP="004E68B0">
      <w:pPr>
        <w:ind w:hanging="720"/>
        <w:rPr>
          <w:rFonts w:ascii="Arial" w:hAnsi="Arial" w:cs="Arial"/>
        </w:rPr>
      </w:pPr>
      <w:r w:rsidRPr="00FF6757">
        <w:rPr>
          <w:rFonts w:ascii="Arial" w:hAnsi="Arial" w:cs="Arial"/>
        </w:rPr>
        <w:t>Kim, D.-J., Kim, D.-H. and Choi, S.-Y., 2025. ‘</w:t>
      </w:r>
      <w:r w:rsidR="00E95564" w:rsidRPr="00FF6757">
        <w:rPr>
          <w:rFonts w:ascii="Arial" w:hAnsi="Arial" w:cs="Arial"/>
        </w:rPr>
        <w:t>Modelling</w:t>
      </w:r>
      <w:r w:rsidRPr="00FF6757">
        <w:rPr>
          <w:rFonts w:ascii="Arial" w:hAnsi="Arial" w:cs="Arial"/>
        </w:rPr>
        <w:t xml:space="preserve"> stylized facts in FX markets with FINGAN-BiLSTM: a deep learning approach to financial time series’, </w:t>
      </w:r>
      <w:r w:rsidRPr="00FF6757">
        <w:rPr>
          <w:rFonts w:ascii="Arial" w:hAnsi="Arial" w:cs="Arial"/>
          <w:i/>
          <w:iCs/>
        </w:rPr>
        <w:t>Entropy</w:t>
      </w:r>
      <w:r w:rsidRPr="00FF6757">
        <w:rPr>
          <w:rFonts w:ascii="Arial" w:hAnsi="Arial" w:cs="Arial"/>
        </w:rPr>
        <w:t xml:space="preserve">, 27(6), article 635. Available at: </w:t>
      </w:r>
      <w:hyperlink r:id="rId44" w:history="1">
        <w:r w:rsidR="004E68B0" w:rsidRPr="00FF6757">
          <w:rPr>
            <w:rStyle w:val="Hyperlink"/>
            <w:rFonts w:ascii="Arial" w:hAnsi="Arial" w:cs="Arial"/>
          </w:rPr>
          <w:t>https://doi.org/10.3390/e27060635</w:t>
        </w:r>
      </w:hyperlink>
      <w:r w:rsidR="004E68B0" w:rsidRPr="00FF6757">
        <w:rPr>
          <w:rFonts w:ascii="Arial" w:hAnsi="Arial" w:cs="Arial"/>
        </w:rPr>
        <w:t xml:space="preserve">. </w:t>
      </w:r>
    </w:p>
    <w:p w14:paraId="0CC5E249" w14:textId="77777777" w:rsidR="004E68B0" w:rsidRPr="00FF6757" w:rsidRDefault="00056E02" w:rsidP="004E68B0">
      <w:pPr>
        <w:ind w:hanging="720"/>
        <w:rPr>
          <w:rFonts w:ascii="Arial" w:hAnsi="Arial" w:cs="Arial"/>
        </w:rPr>
      </w:pPr>
      <w:r w:rsidRPr="00FF6757">
        <w:rPr>
          <w:rFonts w:ascii="Arial" w:hAnsi="Arial" w:cs="Arial"/>
        </w:rPr>
        <w:lastRenderedPageBreak/>
        <w:t>Kuznyetsova, A., Kulish, D., Prykhodko, B. and Kuznyetsov, O.</w:t>
      </w:r>
      <w:r w:rsidR="00E4359E" w:rsidRPr="00FF6757">
        <w:rPr>
          <w:rFonts w:ascii="Arial" w:hAnsi="Arial" w:cs="Arial"/>
        </w:rPr>
        <w:t xml:space="preserve">, </w:t>
      </w:r>
      <w:r w:rsidRPr="00FF6757">
        <w:rPr>
          <w:rFonts w:ascii="Arial" w:hAnsi="Arial" w:cs="Arial"/>
        </w:rPr>
        <w:t>2024</w:t>
      </w:r>
      <w:r w:rsidR="00E4359E" w:rsidRPr="00FF6757">
        <w:rPr>
          <w:rFonts w:ascii="Arial" w:hAnsi="Arial" w:cs="Arial"/>
        </w:rPr>
        <w:t>.</w:t>
      </w:r>
      <w:r w:rsidRPr="00FF6757">
        <w:rPr>
          <w:rFonts w:ascii="Arial" w:hAnsi="Arial" w:cs="Arial"/>
        </w:rPr>
        <w:t xml:space="preserve"> ‘Innovative approaches to improving the process of risk management in the context of developing a strategy for the foreign economic activity of enterprises’, </w:t>
      </w:r>
      <w:r w:rsidRPr="00FF6757">
        <w:rPr>
          <w:rFonts w:ascii="Arial" w:hAnsi="Arial" w:cs="Arial"/>
          <w:i/>
          <w:iCs/>
        </w:rPr>
        <w:t>Marketing and Management of Innovations</w:t>
      </w:r>
      <w:r w:rsidRPr="00FF6757">
        <w:rPr>
          <w:rFonts w:ascii="Arial" w:hAnsi="Arial" w:cs="Arial"/>
        </w:rPr>
        <w:t>, 15(1), pp. 210–228. Available at:</w:t>
      </w:r>
    </w:p>
    <w:p w14:paraId="790934AD" w14:textId="44101C8D" w:rsidR="00056E02" w:rsidRPr="00FF6757" w:rsidRDefault="004E68B0" w:rsidP="004E68B0">
      <w:pPr>
        <w:ind w:hanging="720"/>
        <w:rPr>
          <w:rFonts w:ascii="Arial" w:hAnsi="Arial" w:cs="Arial"/>
        </w:rPr>
      </w:pPr>
      <w:r w:rsidRPr="00FF6757">
        <w:rPr>
          <w:rFonts w:ascii="Arial" w:hAnsi="Arial" w:cs="Arial"/>
        </w:rPr>
        <w:t xml:space="preserve">           </w:t>
      </w:r>
      <w:hyperlink r:id="rId45" w:history="1">
        <w:r w:rsidRPr="00FF6757">
          <w:rPr>
            <w:rStyle w:val="Hyperlink"/>
            <w:rFonts w:ascii="Arial" w:hAnsi="Arial" w:cs="Arial"/>
          </w:rPr>
          <w:t>https://savearchive.zbw.eu/bitstream/11159/654487/1/1895450764_0.pdf</w:t>
        </w:r>
      </w:hyperlink>
      <w:r w:rsidRPr="00FF6757">
        <w:rPr>
          <w:rFonts w:ascii="Arial" w:hAnsi="Arial" w:cs="Arial"/>
        </w:rPr>
        <w:t>.</w:t>
      </w:r>
    </w:p>
    <w:p w14:paraId="2F62EE80" w14:textId="77777777" w:rsidR="004E68B0" w:rsidRPr="00FF6757" w:rsidRDefault="00056E02" w:rsidP="004E68B0">
      <w:pPr>
        <w:ind w:hanging="720"/>
        <w:rPr>
          <w:rFonts w:ascii="Arial" w:hAnsi="Arial" w:cs="Arial"/>
        </w:rPr>
      </w:pPr>
      <w:r w:rsidRPr="00FF6757">
        <w:rPr>
          <w:rFonts w:ascii="Arial" w:hAnsi="Arial" w:cs="Arial"/>
        </w:rPr>
        <w:t xml:space="preserve">Latief, R. and Lefen, L., 2021. The effect of exchange rate volatility on international trade and foreign direct investment (FDI) in developing countries along ‘One Belt and One Road’. </w:t>
      </w:r>
      <w:r w:rsidRPr="00FF6757">
        <w:rPr>
          <w:rFonts w:ascii="Arial" w:hAnsi="Arial" w:cs="Arial"/>
          <w:i/>
          <w:iCs/>
        </w:rPr>
        <w:t>International Journal of Financial Studies</w:t>
      </w:r>
      <w:r w:rsidRPr="00FF6757">
        <w:rPr>
          <w:rFonts w:ascii="Arial" w:hAnsi="Arial" w:cs="Arial"/>
        </w:rPr>
        <w:t>, 6(4), article 86.</w:t>
      </w:r>
    </w:p>
    <w:p w14:paraId="7136BAA5" w14:textId="294E7799" w:rsidR="00056E02" w:rsidRPr="00FF6757" w:rsidRDefault="004E68B0" w:rsidP="004E68B0">
      <w:pPr>
        <w:ind w:hanging="720"/>
        <w:rPr>
          <w:rFonts w:ascii="Arial" w:hAnsi="Arial" w:cs="Arial"/>
        </w:rPr>
      </w:pPr>
      <w:r w:rsidRPr="00FF6757">
        <w:rPr>
          <w:rFonts w:ascii="Arial" w:hAnsi="Arial" w:cs="Arial"/>
        </w:rPr>
        <w:t xml:space="preserve">           </w:t>
      </w:r>
      <w:hyperlink r:id="rId46" w:history="1">
        <w:r w:rsidRPr="00FF6757">
          <w:rPr>
            <w:rStyle w:val="Hyperlink"/>
            <w:rFonts w:ascii="Arial" w:hAnsi="Arial" w:cs="Arial"/>
          </w:rPr>
          <w:t>https://doi.org/10.3390/ijfs6040086</w:t>
        </w:r>
      </w:hyperlink>
      <w:r w:rsidRPr="00FF6757">
        <w:rPr>
          <w:rFonts w:ascii="Arial" w:hAnsi="Arial" w:cs="Arial"/>
        </w:rPr>
        <w:t>.</w:t>
      </w:r>
    </w:p>
    <w:p w14:paraId="1B108C3D" w14:textId="77777777" w:rsidR="004E68B0" w:rsidRPr="00FF6757" w:rsidRDefault="00056E02" w:rsidP="004E68B0">
      <w:pPr>
        <w:ind w:hanging="720"/>
        <w:rPr>
          <w:rFonts w:ascii="Arial" w:hAnsi="Arial" w:cs="Arial"/>
        </w:rPr>
      </w:pPr>
      <w:r w:rsidRPr="00FF6757">
        <w:rPr>
          <w:rFonts w:ascii="Arial" w:hAnsi="Arial" w:cs="Arial"/>
        </w:rPr>
        <w:t>Li, X., Gan, K. and Zhou, Q.</w:t>
      </w:r>
      <w:r w:rsidR="00E4359E" w:rsidRPr="00FF6757">
        <w:rPr>
          <w:rFonts w:ascii="Arial" w:hAnsi="Arial" w:cs="Arial"/>
        </w:rPr>
        <w:t>,</w:t>
      </w:r>
      <w:r w:rsidRPr="00FF6757">
        <w:rPr>
          <w:rFonts w:ascii="Arial" w:hAnsi="Arial" w:cs="Arial"/>
        </w:rPr>
        <w:t xml:space="preserve"> 2023. ‘Dynamic volatility connectedness among cryptocurrencies and China’s financial assets in standard times and during the COVID-19 pandemic.’ </w:t>
      </w:r>
      <w:r w:rsidRPr="00FF6757">
        <w:rPr>
          <w:rFonts w:ascii="Arial" w:hAnsi="Arial" w:cs="Arial"/>
          <w:i/>
          <w:iCs/>
        </w:rPr>
        <w:t>Finance Research Letters</w:t>
      </w:r>
      <w:r w:rsidRPr="00FF6757">
        <w:rPr>
          <w:rFonts w:ascii="Arial" w:hAnsi="Arial" w:cs="Arial"/>
        </w:rPr>
        <w:t>, [online] 51, p.103476</w:t>
      </w:r>
    </w:p>
    <w:p w14:paraId="5BA33810" w14:textId="424EE353" w:rsidR="00056E02" w:rsidRPr="00FF6757" w:rsidRDefault="004E68B0" w:rsidP="004E68B0">
      <w:pPr>
        <w:ind w:hanging="720"/>
        <w:rPr>
          <w:rFonts w:ascii="Arial" w:hAnsi="Arial" w:cs="Arial"/>
        </w:rPr>
      </w:pPr>
      <w:r w:rsidRPr="00FF6757">
        <w:rPr>
          <w:rFonts w:ascii="Arial" w:hAnsi="Arial" w:cs="Arial"/>
        </w:rPr>
        <w:t xml:space="preserve">           </w:t>
      </w:r>
      <w:hyperlink r:id="rId47" w:history="1">
        <w:r w:rsidRPr="00FF6757">
          <w:rPr>
            <w:rStyle w:val="Hyperlink"/>
            <w:rFonts w:ascii="Arial" w:hAnsi="Arial" w:cs="Arial"/>
          </w:rPr>
          <w:t>https://doi.org/10.1016/j.frl.2022.103476</w:t>
        </w:r>
      </w:hyperlink>
      <w:r w:rsidRPr="00FF6757">
        <w:rPr>
          <w:rFonts w:ascii="Arial" w:hAnsi="Arial" w:cs="Arial"/>
        </w:rPr>
        <w:t>.</w:t>
      </w:r>
    </w:p>
    <w:p w14:paraId="1FAA9BDA" w14:textId="3880C680" w:rsidR="00056E02" w:rsidRPr="00FF6757" w:rsidRDefault="00056E02" w:rsidP="004E68B0">
      <w:pPr>
        <w:ind w:hanging="720"/>
        <w:rPr>
          <w:rFonts w:ascii="Arial" w:hAnsi="Arial" w:cs="Arial"/>
        </w:rPr>
      </w:pPr>
      <w:r w:rsidRPr="00FF6757">
        <w:rPr>
          <w:rFonts w:ascii="Arial" w:hAnsi="Arial" w:cs="Arial"/>
        </w:rPr>
        <w:t>Ling, J.Z.B., Tsui, A.K. and Zhang, Z.</w:t>
      </w:r>
      <w:r w:rsidR="00E4359E" w:rsidRPr="00FF6757">
        <w:rPr>
          <w:rFonts w:ascii="Arial" w:hAnsi="Arial" w:cs="Arial"/>
        </w:rPr>
        <w:t>,</w:t>
      </w:r>
      <w:r w:rsidRPr="00FF6757">
        <w:rPr>
          <w:rFonts w:ascii="Arial" w:hAnsi="Arial" w:cs="Arial"/>
        </w:rPr>
        <w:t xml:space="preserve"> 2021</w:t>
      </w:r>
      <w:r w:rsidR="00E4359E" w:rsidRPr="00FF6757">
        <w:rPr>
          <w:rFonts w:ascii="Arial" w:hAnsi="Arial" w:cs="Arial"/>
        </w:rPr>
        <w:t>.</w:t>
      </w:r>
      <w:r w:rsidRPr="00FF6757">
        <w:rPr>
          <w:rFonts w:ascii="Arial" w:hAnsi="Arial" w:cs="Arial"/>
        </w:rPr>
        <w:t xml:space="preserve"> ‘Trading macro-cycles of foreign exchange markets using hybrid models’, </w:t>
      </w:r>
      <w:r w:rsidRPr="00FF6757">
        <w:rPr>
          <w:rFonts w:ascii="Arial" w:hAnsi="Arial" w:cs="Arial"/>
          <w:i/>
          <w:iCs/>
        </w:rPr>
        <w:t>Sustainability</w:t>
      </w:r>
      <w:r w:rsidRPr="00FF6757">
        <w:rPr>
          <w:rFonts w:ascii="Arial" w:hAnsi="Arial" w:cs="Arial"/>
        </w:rPr>
        <w:t>, 13(17), article 9820. Available at: https://doi.org/10.3390/su13179820.</w:t>
      </w:r>
    </w:p>
    <w:p w14:paraId="6F29AC18" w14:textId="56697B3E" w:rsidR="00056E02" w:rsidRPr="00FF6757" w:rsidRDefault="00056E02" w:rsidP="004E68B0">
      <w:pPr>
        <w:ind w:hanging="720"/>
        <w:rPr>
          <w:rFonts w:ascii="Arial" w:hAnsi="Arial" w:cs="Arial"/>
        </w:rPr>
      </w:pPr>
      <w:r w:rsidRPr="00FF6757">
        <w:rPr>
          <w:rFonts w:ascii="Arial" w:hAnsi="Arial" w:cs="Arial"/>
        </w:rPr>
        <w:t>Liu, J., Cheng, Y., Li, X. and Sriboonchitta, S.</w:t>
      </w:r>
      <w:r w:rsidR="00E4359E" w:rsidRPr="00FF6757">
        <w:rPr>
          <w:rFonts w:ascii="Arial" w:hAnsi="Arial" w:cs="Arial"/>
        </w:rPr>
        <w:t xml:space="preserve">, </w:t>
      </w:r>
      <w:r w:rsidRPr="00FF6757">
        <w:rPr>
          <w:rFonts w:ascii="Arial" w:hAnsi="Arial" w:cs="Arial"/>
        </w:rPr>
        <w:t>2022</w:t>
      </w:r>
      <w:r w:rsidR="00E4359E" w:rsidRPr="00FF6757">
        <w:rPr>
          <w:rFonts w:ascii="Arial" w:hAnsi="Arial" w:cs="Arial"/>
        </w:rPr>
        <w:t>.</w:t>
      </w:r>
      <w:r w:rsidRPr="00FF6757">
        <w:rPr>
          <w:rFonts w:ascii="Arial" w:hAnsi="Arial" w:cs="Arial"/>
        </w:rPr>
        <w:t xml:space="preserve"> ‘The role of risk forecast and risk tolerance in portfolio management: a case study of the Chinese financial sector’, </w:t>
      </w:r>
      <w:r w:rsidRPr="00FF6757">
        <w:rPr>
          <w:rFonts w:ascii="Arial" w:hAnsi="Arial" w:cs="Arial"/>
          <w:i/>
          <w:iCs/>
        </w:rPr>
        <w:t>Axioms</w:t>
      </w:r>
      <w:r w:rsidRPr="00FF6757">
        <w:rPr>
          <w:rFonts w:ascii="Arial" w:hAnsi="Arial" w:cs="Arial"/>
        </w:rPr>
        <w:t xml:space="preserve">, 11(3), article 134. Available at: </w:t>
      </w:r>
      <w:hyperlink r:id="rId48" w:history="1">
        <w:r w:rsidR="004E68B0" w:rsidRPr="00FF6757">
          <w:rPr>
            <w:rStyle w:val="Hyperlink"/>
            <w:rFonts w:ascii="Arial" w:hAnsi="Arial" w:cs="Arial"/>
          </w:rPr>
          <w:t>https://doi.org/10.3390/axioms11030134</w:t>
        </w:r>
      </w:hyperlink>
      <w:r w:rsidR="004E68B0" w:rsidRPr="00FF6757">
        <w:rPr>
          <w:rFonts w:ascii="Arial" w:hAnsi="Arial" w:cs="Arial"/>
        </w:rPr>
        <w:t xml:space="preserve">. </w:t>
      </w:r>
    </w:p>
    <w:p w14:paraId="2CBC13E0" w14:textId="13C08535" w:rsidR="00056E02" w:rsidRPr="00FF6757" w:rsidRDefault="00056E02" w:rsidP="004E68B0">
      <w:pPr>
        <w:ind w:hanging="720"/>
        <w:rPr>
          <w:rFonts w:ascii="Arial" w:hAnsi="Arial" w:cs="Arial"/>
        </w:rPr>
      </w:pPr>
      <w:r w:rsidRPr="00FF6757">
        <w:rPr>
          <w:rFonts w:ascii="Arial" w:hAnsi="Arial" w:cs="Arial"/>
        </w:rPr>
        <w:t>Loh, L., Kueh, H., Parikh, N., Chan, H., Ho, N. and Chua, M.</w:t>
      </w:r>
      <w:r w:rsidR="00E4359E" w:rsidRPr="00FF6757">
        <w:rPr>
          <w:rFonts w:ascii="Arial" w:hAnsi="Arial" w:cs="Arial"/>
        </w:rPr>
        <w:t>,</w:t>
      </w:r>
      <w:r w:rsidRPr="00FF6757">
        <w:rPr>
          <w:rFonts w:ascii="Arial" w:hAnsi="Arial" w:cs="Arial"/>
        </w:rPr>
        <w:t xml:space="preserve"> 2022</w:t>
      </w:r>
      <w:r w:rsidR="00E4359E" w:rsidRPr="00FF6757">
        <w:rPr>
          <w:rFonts w:ascii="Arial" w:hAnsi="Arial" w:cs="Arial"/>
        </w:rPr>
        <w:t xml:space="preserve">. </w:t>
      </w:r>
      <w:r w:rsidRPr="00FF6757">
        <w:rPr>
          <w:rFonts w:ascii="Arial" w:hAnsi="Arial" w:cs="Arial"/>
        </w:rPr>
        <w:t xml:space="preserve">‘An </w:t>
      </w:r>
      <w:proofErr w:type="spellStart"/>
      <w:r w:rsidRPr="00FF6757">
        <w:rPr>
          <w:rFonts w:ascii="Arial" w:hAnsi="Arial" w:cs="Arial"/>
        </w:rPr>
        <w:t>ensembling</w:t>
      </w:r>
      <w:proofErr w:type="spellEnd"/>
      <w:r w:rsidRPr="00FF6757">
        <w:rPr>
          <w:rFonts w:ascii="Arial" w:hAnsi="Arial" w:cs="Arial"/>
        </w:rPr>
        <w:t xml:space="preserve"> architecture incorporating machine learning models and genetic algorithm optimization for forex trading’, </w:t>
      </w:r>
      <w:r w:rsidRPr="00FF6757">
        <w:rPr>
          <w:rFonts w:ascii="Arial" w:hAnsi="Arial" w:cs="Arial"/>
          <w:i/>
          <w:iCs/>
        </w:rPr>
        <w:t>FinTech</w:t>
      </w:r>
      <w:r w:rsidRPr="00FF6757">
        <w:rPr>
          <w:rFonts w:ascii="Arial" w:hAnsi="Arial" w:cs="Arial"/>
        </w:rPr>
        <w:t xml:space="preserve">, 1(2), pp. 100–124. </w:t>
      </w:r>
      <w:hyperlink r:id="rId49" w:history="1">
        <w:r w:rsidR="004E68B0" w:rsidRPr="00FF6757">
          <w:rPr>
            <w:rStyle w:val="Hyperlink"/>
            <w:rFonts w:ascii="Arial" w:hAnsi="Arial" w:cs="Arial"/>
          </w:rPr>
          <w:t>https://doi.org/10.3390/fintech1020008</w:t>
        </w:r>
      </w:hyperlink>
      <w:r w:rsidR="004E68B0" w:rsidRPr="00FF6757">
        <w:rPr>
          <w:rFonts w:ascii="Arial" w:hAnsi="Arial" w:cs="Arial"/>
        </w:rPr>
        <w:t xml:space="preserve">. </w:t>
      </w:r>
    </w:p>
    <w:p w14:paraId="4653354B" w14:textId="561FF990" w:rsidR="00056E02" w:rsidRPr="00FF6757" w:rsidRDefault="00056E02" w:rsidP="004E68B0">
      <w:pPr>
        <w:ind w:hanging="720"/>
        <w:rPr>
          <w:rFonts w:ascii="Arial" w:hAnsi="Arial" w:cs="Arial"/>
        </w:rPr>
      </w:pPr>
      <w:r w:rsidRPr="00FF6757">
        <w:rPr>
          <w:rFonts w:ascii="Arial" w:hAnsi="Arial" w:cs="Arial"/>
        </w:rPr>
        <w:t>Makore, I. and Chikutuma, C.N.</w:t>
      </w:r>
      <w:r w:rsidR="00E4359E" w:rsidRPr="00FF6757">
        <w:rPr>
          <w:rFonts w:ascii="Arial" w:hAnsi="Arial" w:cs="Arial"/>
        </w:rPr>
        <w:t>,</w:t>
      </w:r>
      <w:r w:rsidRPr="00FF6757">
        <w:rPr>
          <w:rFonts w:ascii="Arial" w:hAnsi="Arial" w:cs="Arial"/>
        </w:rPr>
        <w:t xml:space="preserve"> 2025</w:t>
      </w:r>
      <w:r w:rsidR="00E4359E" w:rsidRPr="00FF6757">
        <w:rPr>
          <w:rFonts w:ascii="Arial" w:hAnsi="Arial" w:cs="Arial"/>
        </w:rPr>
        <w:t>.</w:t>
      </w:r>
      <w:r w:rsidRPr="00FF6757">
        <w:rPr>
          <w:rFonts w:ascii="Arial" w:hAnsi="Arial" w:cs="Arial"/>
        </w:rPr>
        <w:t xml:space="preserve"> ‘Exchange rate volatility and its impact on international trade: evidence from Zimbabwe’, </w:t>
      </w:r>
      <w:r w:rsidRPr="00FF6757">
        <w:rPr>
          <w:rFonts w:ascii="Arial" w:hAnsi="Arial" w:cs="Arial"/>
          <w:i/>
          <w:iCs/>
        </w:rPr>
        <w:t>Journal of Risk and Financial Management</w:t>
      </w:r>
      <w:r w:rsidRPr="00FF6757">
        <w:rPr>
          <w:rFonts w:ascii="Arial" w:hAnsi="Arial" w:cs="Arial"/>
        </w:rPr>
        <w:t xml:space="preserve">, 18(7), article 376. Available at:  </w:t>
      </w:r>
      <w:hyperlink r:id="rId50" w:history="1">
        <w:r w:rsidR="004E68B0" w:rsidRPr="00FF6757">
          <w:rPr>
            <w:rStyle w:val="Hyperlink"/>
            <w:rFonts w:ascii="Arial" w:hAnsi="Arial" w:cs="Arial"/>
          </w:rPr>
          <w:t>https://doi.org/10.3390/jrfm18070376</w:t>
        </w:r>
      </w:hyperlink>
      <w:r w:rsidR="004E68B0" w:rsidRPr="00FF6757">
        <w:rPr>
          <w:rFonts w:ascii="Arial" w:hAnsi="Arial" w:cs="Arial"/>
        </w:rPr>
        <w:t xml:space="preserve">. </w:t>
      </w:r>
    </w:p>
    <w:p w14:paraId="01304B94" w14:textId="2E490142" w:rsidR="00056E02" w:rsidRPr="00FF6757" w:rsidRDefault="00056E02" w:rsidP="004E68B0">
      <w:pPr>
        <w:ind w:hanging="720"/>
        <w:rPr>
          <w:rFonts w:ascii="Arial" w:hAnsi="Arial" w:cs="Arial"/>
        </w:rPr>
      </w:pPr>
      <w:r w:rsidRPr="00FF6757">
        <w:rPr>
          <w:rFonts w:ascii="Arial" w:hAnsi="Arial" w:cs="Arial"/>
        </w:rPr>
        <w:t>Malhotra, D.K., Mooney, T., Poteau, R. and Russel, P.</w:t>
      </w:r>
      <w:r w:rsidR="00E4359E" w:rsidRPr="00FF6757">
        <w:rPr>
          <w:rFonts w:ascii="Arial" w:hAnsi="Arial" w:cs="Arial"/>
        </w:rPr>
        <w:t>,</w:t>
      </w:r>
      <w:r w:rsidRPr="00FF6757">
        <w:rPr>
          <w:rFonts w:ascii="Arial" w:hAnsi="Arial" w:cs="Arial"/>
        </w:rPr>
        <w:t xml:space="preserve"> 2023</w:t>
      </w:r>
      <w:r w:rsidR="00E4359E" w:rsidRPr="00FF6757">
        <w:rPr>
          <w:rFonts w:ascii="Arial" w:hAnsi="Arial" w:cs="Arial"/>
        </w:rPr>
        <w:t xml:space="preserve">. </w:t>
      </w:r>
      <w:r w:rsidRPr="00FF6757">
        <w:rPr>
          <w:rFonts w:ascii="Arial" w:hAnsi="Arial" w:cs="Arial"/>
        </w:rPr>
        <w:t xml:space="preserve">‘Assessing the performance and risk-adjusted returns of financial mutual funds’, </w:t>
      </w:r>
      <w:r w:rsidRPr="00FF6757">
        <w:rPr>
          <w:rFonts w:ascii="Arial" w:hAnsi="Arial" w:cs="Arial"/>
          <w:i/>
          <w:iCs/>
        </w:rPr>
        <w:t>International Journal of Financial Studies</w:t>
      </w:r>
      <w:r w:rsidRPr="00FF6757">
        <w:rPr>
          <w:rFonts w:ascii="Arial" w:hAnsi="Arial" w:cs="Arial"/>
        </w:rPr>
        <w:t xml:space="preserve">, 11(4), article 136. Available at: </w:t>
      </w:r>
      <w:hyperlink r:id="rId51" w:history="1">
        <w:r w:rsidR="004E68B0" w:rsidRPr="00FF6757">
          <w:rPr>
            <w:rStyle w:val="Hyperlink"/>
            <w:rFonts w:ascii="Arial" w:hAnsi="Arial" w:cs="Arial"/>
          </w:rPr>
          <w:t>https://doi.org/10.3390/ijfs11040136</w:t>
        </w:r>
      </w:hyperlink>
      <w:r w:rsidR="004E68B0" w:rsidRPr="00FF6757">
        <w:rPr>
          <w:rFonts w:ascii="Arial" w:hAnsi="Arial" w:cs="Arial"/>
        </w:rPr>
        <w:t xml:space="preserve">. </w:t>
      </w:r>
    </w:p>
    <w:p w14:paraId="34D00B43" w14:textId="208C7B14" w:rsidR="00056E02" w:rsidRPr="00FF6757" w:rsidRDefault="00056E02" w:rsidP="004E68B0">
      <w:pPr>
        <w:ind w:hanging="720"/>
        <w:rPr>
          <w:rFonts w:ascii="Arial" w:hAnsi="Arial" w:cs="Arial"/>
        </w:rPr>
      </w:pPr>
      <w:r w:rsidRPr="00FF6757">
        <w:rPr>
          <w:rFonts w:ascii="Arial" w:hAnsi="Arial" w:cs="Arial"/>
        </w:rPr>
        <w:lastRenderedPageBreak/>
        <w:t>Mansoori, A., Al Mheiri, A. and Nobanee, H.</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 xml:space="preserve">. </w:t>
      </w:r>
      <w:r w:rsidRPr="00FF6757">
        <w:rPr>
          <w:rFonts w:ascii="Arial" w:hAnsi="Arial" w:cs="Arial"/>
        </w:rPr>
        <w:t xml:space="preserve">‘Foreign exchange risk management: a comprehensive literature review and mitigation strategies in floating exchange rate regimes’, </w:t>
      </w:r>
      <w:r w:rsidRPr="00FF6757">
        <w:rPr>
          <w:rFonts w:ascii="Arial" w:hAnsi="Arial" w:cs="Arial"/>
          <w:i/>
          <w:iCs/>
        </w:rPr>
        <w:t>SSRN Electronic Journal</w:t>
      </w:r>
      <w:r w:rsidRPr="00FF6757">
        <w:rPr>
          <w:rFonts w:ascii="Arial" w:hAnsi="Arial" w:cs="Arial"/>
        </w:rPr>
        <w:t xml:space="preserve">. </w:t>
      </w:r>
      <w:hyperlink r:id="rId52" w:history="1">
        <w:r w:rsidR="004E68B0" w:rsidRPr="00FF6757">
          <w:rPr>
            <w:rStyle w:val="Hyperlink"/>
            <w:rFonts w:ascii="Arial" w:hAnsi="Arial" w:cs="Arial"/>
          </w:rPr>
          <w:t>https://doi.org/10.2139/ssrn.4979859</w:t>
        </w:r>
      </w:hyperlink>
      <w:r w:rsidR="004E68B0" w:rsidRPr="00FF6757">
        <w:rPr>
          <w:rFonts w:ascii="Arial" w:hAnsi="Arial" w:cs="Arial"/>
        </w:rPr>
        <w:t xml:space="preserve">. </w:t>
      </w:r>
    </w:p>
    <w:p w14:paraId="2C4CE069" w14:textId="625F1FDB" w:rsidR="00056E02" w:rsidRPr="00FF6757" w:rsidRDefault="00056E02" w:rsidP="004E68B0">
      <w:pPr>
        <w:ind w:hanging="720"/>
        <w:rPr>
          <w:rFonts w:ascii="Arial" w:hAnsi="Arial" w:cs="Arial"/>
        </w:rPr>
      </w:pPr>
      <w:r w:rsidRPr="00FF6757">
        <w:rPr>
          <w:rFonts w:ascii="Arial" w:hAnsi="Arial" w:cs="Arial"/>
        </w:rPr>
        <w:t>Martial, E. and Mbodja Mougoué</w:t>
      </w:r>
      <w:r w:rsidR="00E4359E" w:rsidRPr="00FF6757">
        <w:rPr>
          <w:rFonts w:ascii="Arial" w:hAnsi="Arial" w:cs="Arial"/>
        </w:rPr>
        <w:t>,</w:t>
      </w:r>
      <w:r w:rsidRPr="00FF6757">
        <w:rPr>
          <w:rFonts w:ascii="Arial" w:hAnsi="Arial" w:cs="Arial"/>
        </w:rPr>
        <w:t xml:space="preserve"> 2021</w:t>
      </w:r>
      <w:r w:rsidR="00E4359E" w:rsidRPr="00FF6757">
        <w:rPr>
          <w:rFonts w:ascii="Arial" w:hAnsi="Arial" w:cs="Arial"/>
        </w:rPr>
        <w:t xml:space="preserve">. </w:t>
      </w:r>
      <w:r w:rsidRPr="00FF6757">
        <w:rPr>
          <w:rFonts w:ascii="Arial" w:hAnsi="Arial" w:cs="Arial"/>
        </w:rPr>
        <w:t xml:space="preserve">‘Return and volatility spillovers to African currencies markets’, </w:t>
      </w:r>
      <w:r w:rsidRPr="00FF6757">
        <w:rPr>
          <w:rFonts w:ascii="Arial" w:hAnsi="Arial" w:cs="Arial"/>
          <w:i/>
          <w:iCs/>
        </w:rPr>
        <w:t>Journal of International Financial Markets, Institutions &amp; Money</w:t>
      </w:r>
      <w:r w:rsidRPr="00FF6757">
        <w:rPr>
          <w:rFonts w:ascii="Arial" w:hAnsi="Arial" w:cs="Arial"/>
        </w:rPr>
        <w:t>, 73, article 101348. Available at: https://doi.org/10.1016/j.intfin.2021.101348.</w:t>
      </w:r>
    </w:p>
    <w:p w14:paraId="1C49DDAC" w14:textId="77777777" w:rsidR="00056E02" w:rsidRPr="00FF6757" w:rsidRDefault="00056E02" w:rsidP="004E68B0">
      <w:pPr>
        <w:ind w:hanging="720"/>
        <w:rPr>
          <w:rFonts w:ascii="Arial" w:hAnsi="Arial" w:cs="Arial"/>
        </w:rPr>
      </w:pPr>
      <w:r w:rsidRPr="00FF6757">
        <w:rPr>
          <w:rFonts w:ascii="Arial" w:hAnsi="Arial" w:cs="Arial"/>
        </w:rPr>
        <w:t xml:space="preserve">Melas, K.D., Faitatzoglou, A., Michail, N.A. and Artemiou, A., 2024. Volatility spillovers among the major commodities: a review. </w:t>
      </w:r>
      <w:r w:rsidRPr="00FF6757">
        <w:rPr>
          <w:rFonts w:ascii="Arial" w:hAnsi="Arial" w:cs="Arial"/>
          <w:i/>
          <w:iCs/>
        </w:rPr>
        <w:t>Journal of Risk and Financial Management</w:t>
      </w:r>
      <w:r w:rsidRPr="00FF6757">
        <w:rPr>
          <w:rFonts w:ascii="Arial" w:hAnsi="Arial" w:cs="Arial"/>
        </w:rPr>
        <w:t xml:space="preserve">, 17(8), article 365. </w:t>
      </w:r>
      <w:hyperlink r:id="rId53" w:history="1">
        <w:r w:rsidRPr="00FF6757">
          <w:rPr>
            <w:rStyle w:val="Hyperlink"/>
            <w:rFonts w:ascii="Arial" w:hAnsi="Arial" w:cs="Arial"/>
          </w:rPr>
          <w:t>https://doi.org/10.3390/jrfm17080365</w:t>
        </w:r>
      </w:hyperlink>
      <w:r w:rsidRPr="00FF6757">
        <w:rPr>
          <w:rFonts w:ascii="Arial" w:hAnsi="Arial" w:cs="Arial"/>
        </w:rPr>
        <w:t xml:space="preserve">. </w:t>
      </w:r>
    </w:p>
    <w:p w14:paraId="58C9D02F" w14:textId="5AB2F3F8" w:rsidR="00056E02" w:rsidRPr="00FF6757" w:rsidRDefault="00056E02" w:rsidP="004E68B0">
      <w:pPr>
        <w:ind w:hanging="720"/>
        <w:rPr>
          <w:rFonts w:ascii="Arial" w:hAnsi="Arial" w:cs="Arial"/>
        </w:rPr>
      </w:pPr>
      <w:r w:rsidRPr="00FF6757">
        <w:rPr>
          <w:rFonts w:ascii="Arial" w:hAnsi="Arial" w:cs="Arial"/>
        </w:rPr>
        <w:t xml:space="preserve">Meng, S. and Chen, Y., 2023. Market volatility spillover, network diffusion, and financial systemic risk management: financial </w:t>
      </w:r>
      <w:r w:rsidR="00E95564" w:rsidRPr="00FF6757">
        <w:rPr>
          <w:rFonts w:ascii="Arial" w:hAnsi="Arial" w:cs="Arial"/>
        </w:rPr>
        <w:t>modelling</w:t>
      </w:r>
      <w:r w:rsidRPr="00FF6757">
        <w:rPr>
          <w:rFonts w:ascii="Arial" w:hAnsi="Arial" w:cs="Arial"/>
        </w:rPr>
        <w:t xml:space="preserve"> and empirical study. </w:t>
      </w:r>
      <w:r w:rsidRPr="00FF6757">
        <w:rPr>
          <w:rFonts w:ascii="Arial" w:hAnsi="Arial" w:cs="Arial"/>
          <w:i/>
          <w:iCs/>
        </w:rPr>
        <w:t>Mathematics</w:t>
      </w:r>
      <w:r w:rsidRPr="00FF6757">
        <w:rPr>
          <w:rFonts w:ascii="Arial" w:hAnsi="Arial" w:cs="Arial"/>
        </w:rPr>
        <w:t xml:space="preserve">, 11(6), article 1396. </w:t>
      </w:r>
      <w:hyperlink r:id="rId54" w:history="1">
        <w:r w:rsidR="004E68B0" w:rsidRPr="00FF6757">
          <w:rPr>
            <w:rStyle w:val="Hyperlink"/>
            <w:rFonts w:ascii="Arial" w:hAnsi="Arial" w:cs="Arial"/>
          </w:rPr>
          <w:t>https://doi.org/10.3390/math11061396</w:t>
        </w:r>
      </w:hyperlink>
      <w:r w:rsidR="004E68B0" w:rsidRPr="00FF6757">
        <w:rPr>
          <w:rFonts w:ascii="Arial" w:hAnsi="Arial" w:cs="Arial"/>
        </w:rPr>
        <w:t xml:space="preserve">. </w:t>
      </w:r>
    </w:p>
    <w:p w14:paraId="51448236" w14:textId="69B72460" w:rsidR="00056E02" w:rsidRPr="00FF6757" w:rsidRDefault="00056E02" w:rsidP="004E68B0">
      <w:pPr>
        <w:ind w:hanging="720"/>
        <w:rPr>
          <w:rFonts w:ascii="Arial" w:hAnsi="Arial" w:cs="Arial"/>
        </w:rPr>
      </w:pPr>
      <w:r w:rsidRPr="00FF6757">
        <w:rPr>
          <w:rFonts w:ascii="Arial" w:hAnsi="Arial" w:cs="Arial"/>
        </w:rPr>
        <w:t>Mezghani, T., Boujelbène, M. and Boutouria, S.</w:t>
      </w:r>
      <w:r w:rsidR="00E4359E" w:rsidRPr="00FF6757">
        <w:rPr>
          <w:rFonts w:ascii="Arial" w:hAnsi="Arial" w:cs="Arial"/>
        </w:rPr>
        <w:t xml:space="preserve">, </w:t>
      </w:r>
      <w:r w:rsidRPr="00FF6757">
        <w:rPr>
          <w:rFonts w:ascii="Arial" w:hAnsi="Arial" w:cs="Arial"/>
        </w:rPr>
        <w:t>2023</w:t>
      </w:r>
      <w:r w:rsidR="00E4359E" w:rsidRPr="00FF6757">
        <w:rPr>
          <w:rFonts w:ascii="Arial" w:hAnsi="Arial" w:cs="Arial"/>
        </w:rPr>
        <w:t>.</w:t>
      </w:r>
      <w:r w:rsidRPr="00FF6757">
        <w:rPr>
          <w:rFonts w:ascii="Arial" w:hAnsi="Arial" w:cs="Arial"/>
        </w:rPr>
        <w:t xml:space="preserve"> ‘Forecasting the impact of financial stress on hedging between the oil market and GCC financial markets’, </w:t>
      </w:r>
      <w:r w:rsidRPr="00FF6757">
        <w:rPr>
          <w:rFonts w:ascii="Arial" w:hAnsi="Arial" w:cs="Arial"/>
          <w:i/>
          <w:iCs/>
        </w:rPr>
        <w:t>Managerial Finance</w:t>
      </w:r>
      <w:r w:rsidRPr="00FF6757">
        <w:rPr>
          <w:rFonts w:ascii="Arial" w:hAnsi="Arial" w:cs="Arial"/>
        </w:rPr>
        <w:t xml:space="preserve">, 50(3), pp. 558–577. Available at: </w:t>
      </w:r>
      <w:hyperlink r:id="rId55" w:history="1">
        <w:r w:rsidR="004E68B0" w:rsidRPr="00FF6757">
          <w:rPr>
            <w:rStyle w:val="Hyperlink"/>
            <w:rFonts w:ascii="Arial" w:hAnsi="Arial" w:cs="Arial"/>
          </w:rPr>
          <w:t>https://doi.org/10.1108/mf-10-2022-0472</w:t>
        </w:r>
      </w:hyperlink>
      <w:r w:rsidR="004E68B0" w:rsidRPr="00FF6757">
        <w:rPr>
          <w:rFonts w:ascii="Arial" w:hAnsi="Arial" w:cs="Arial"/>
        </w:rPr>
        <w:t xml:space="preserve">. </w:t>
      </w:r>
    </w:p>
    <w:p w14:paraId="4C443FC3" w14:textId="5F7F5818" w:rsidR="00056E02" w:rsidRPr="00FF6757" w:rsidRDefault="00056E02" w:rsidP="004E68B0">
      <w:pPr>
        <w:ind w:hanging="720"/>
        <w:rPr>
          <w:rFonts w:ascii="Arial" w:hAnsi="Arial" w:cs="Arial"/>
        </w:rPr>
      </w:pPr>
      <w:r w:rsidRPr="00FF6757">
        <w:rPr>
          <w:rFonts w:ascii="Arial" w:hAnsi="Arial" w:cs="Arial"/>
        </w:rPr>
        <w:t xml:space="preserve">Mohammed, W.A., 2021. Volatility spillovers among developed and developing countries: the global foreign exchange markets. </w:t>
      </w:r>
      <w:r w:rsidRPr="00FF6757">
        <w:rPr>
          <w:rFonts w:ascii="Arial" w:hAnsi="Arial" w:cs="Arial"/>
          <w:i/>
          <w:iCs/>
        </w:rPr>
        <w:t>Journal of Risk and Financial Management</w:t>
      </w:r>
      <w:r w:rsidRPr="00FF6757">
        <w:rPr>
          <w:rFonts w:ascii="Arial" w:hAnsi="Arial" w:cs="Arial"/>
        </w:rPr>
        <w:t xml:space="preserve">, 14(6), article 270. </w:t>
      </w:r>
      <w:hyperlink r:id="rId56" w:history="1">
        <w:r w:rsidR="004E68B0" w:rsidRPr="00FF6757">
          <w:rPr>
            <w:rStyle w:val="Hyperlink"/>
            <w:rFonts w:ascii="Arial" w:hAnsi="Arial" w:cs="Arial"/>
          </w:rPr>
          <w:t>https://doi.org/10.3390/jrfm14060270</w:t>
        </w:r>
      </w:hyperlink>
      <w:r w:rsidR="004E68B0" w:rsidRPr="00FF6757">
        <w:rPr>
          <w:rFonts w:ascii="Arial" w:hAnsi="Arial" w:cs="Arial"/>
        </w:rPr>
        <w:t xml:space="preserve">. </w:t>
      </w:r>
    </w:p>
    <w:p w14:paraId="714EF620" w14:textId="7C358B8B" w:rsidR="00056E02" w:rsidRPr="00FF6757" w:rsidRDefault="00056E02" w:rsidP="004E68B0">
      <w:pPr>
        <w:ind w:hanging="720"/>
        <w:rPr>
          <w:rFonts w:ascii="Arial" w:hAnsi="Arial" w:cs="Arial"/>
        </w:rPr>
      </w:pPr>
      <w:r w:rsidRPr="00FF6757">
        <w:rPr>
          <w:rFonts w:ascii="Arial" w:hAnsi="Arial" w:cs="Arial"/>
        </w:rPr>
        <w:t>Mudiangombe, B.M. and Weirstrass, J.</w:t>
      </w:r>
      <w:r w:rsidR="00E4359E" w:rsidRPr="00FF6757">
        <w:rPr>
          <w:rFonts w:ascii="Arial" w:hAnsi="Arial" w:cs="Arial"/>
        </w:rPr>
        <w:t>,</w:t>
      </w:r>
      <w:r w:rsidRPr="00FF6757">
        <w:rPr>
          <w:rFonts w:ascii="Arial" w:hAnsi="Arial" w:cs="Arial"/>
        </w:rPr>
        <w:t xml:space="preserve"> 2022</w:t>
      </w:r>
      <w:r w:rsidR="00E4359E" w:rsidRPr="00FF6757">
        <w:rPr>
          <w:rFonts w:ascii="Arial" w:hAnsi="Arial" w:cs="Arial"/>
        </w:rPr>
        <w:t>.</w:t>
      </w:r>
      <w:r w:rsidRPr="00FF6757">
        <w:rPr>
          <w:rFonts w:ascii="Arial" w:hAnsi="Arial" w:cs="Arial"/>
        </w:rPr>
        <w:t xml:space="preserve"> ‘Dynamic asymmetric effect of currency risk pricing of exchange rate on equity markets: a regime-switching based C-vine copulas method’, </w:t>
      </w:r>
      <w:r w:rsidRPr="00FF6757">
        <w:rPr>
          <w:rFonts w:ascii="Arial" w:hAnsi="Arial" w:cs="Arial"/>
          <w:i/>
          <w:iCs/>
        </w:rPr>
        <w:t>International Journal of Financial Studies</w:t>
      </w:r>
      <w:r w:rsidRPr="00FF6757">
        <w:rPr>
          <w:rFonts w:ascii="Arial" w:hAnsi="Arial" w:cs="Arial"/>
        </w:rPr>
        <w:t xml:space="preserve">, 10(3), article 72. Available at: </w:t>
      </w:r>
      <w:hyperlink r:id="rId57" w:history="1">
        <w:r w:rsidR="004E68B0" w:rsidRPr="00FF6757">
          <w:rPr>
            <w:rStyle w:val="Hyperlink"/>
            <w:rFonts w:ascii="Arial" w:hAnsi="Arial" w:cs="Arial"/>
          </w:rPr>
          <w:t>https://doi.org/10.3390/ijfs10030072</w:t>
        </w:r>
      </w:hyperlink>
      <w:r w:rsidR="004E68B0" w:rsidRPr="00FF6757">
        <w:rPr>
          <w:rFonts w:ascii="Arial" w:hAnsi="Arial" w:cs="Arial"/>
        </w:rPr>
        <w:t xml:space="preserve">. </w:t>
      </w:r>
    </w:p>
    <w:p w14:paraId="7D45251A" w14:textId="03AF4C50" w:rsidR="00056E02" w:rsidRPr="00FF6757" w:rsidRDefault="00056E02" w:rsidP="004E68B0">
      <w:pPr>
        <w:ind w:hanging="720"/>
        <w:rPr>
          <w:rFonts w:ascii="Arial" w:hAnsi="Arial" w:cs="Arial"/>
        </w:rPr>
      </w:pPr>
      <w:r w:rsidRPr="00FF6757">
        <w:rPr>
          <w:rFonts w:ascii="Arial" w:hAnsi="Arial" w:cs="Arial"/>
        </w:rPr>
        <w:t>Nerantzidis, M., Stoupos, N. and Tzeremes, P.</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w:t>
      </w:r>
      <w:r w:rsidRPr="00FF6757">
        <w:rPr>
          <w:rFonts w:ascii="Arial" w:hAnsi="Arial" w:cs="Arial"/>
        </w:rPr>
        <w:t xml:space="preserve"> ‘Realized volatility spillover connectedness among the leading European currencies after the end of the sovereign-debt crisis: a QVAR approach’, </w:t>
      </w:r>
      <w:r w:rsidRPr="00FF6757">
        <w:rPr>
          <w:rFonts w:ascii="Arial" w:hAnsi="Arial" w:cs="Arial"/>
          <w:i/>
          <w:iCs/>
        </w:rPr>
        <w:t>Journal of Risk and Financial Management</w:t>
      </w:r>
      <w:r w:rsidRPr="00FF6757">
        <w:rPr>
          <w:rFonts w:ascii="Arial" w:hAnsi="Arial" w:cs="Arial"/>
        </w:rPr>
        <w:t xml:space="preserve">, 17(8), article 337. Available at: </w:t>
      </w:r>
      <w:hyperlink r:id="rId58" w:history="1">
        <w:r w:rsidR="004E68B0" w:rsidRPr="00FF6757">
          <w:rPr>
            <w:rStyle w:val="Hyperlink"/>
            <w:rFonts w:ascii="Arial" w:hAnsi="Arial" w:cs="Arial"/>
          </w:rPr>
          <w:t>https://doi.org/10.3390/jrfm17080337</w:t>
        </w:r>
      </w:hyperlink>
      <w:r w:rsidR="004E68B0" w:rsidRPr="00FF6757">
        <w:rPr>
          <w:rFonts w:ascii="Arial" w:hAnsi="Arial" w:cs="Arial"/>
        </w:rPr>
        <w:t xml:space="preserve">. </w:t>
      </w:r>
    </w:p>
    <w:p w14:paraId="60AD63D5" w14:textId="3AF381A3" w:rsidR="00056E02" w:rsidRPr="00FF6757" w:rsidRDefault="00056E02" w:rsidP="004E68B0">
      <w:pPr>
        <w:ind w:hanging="720"/>
        <w:rPr>
          <w:rFonts w:ascii="Arial" w:hAnsi="Arial" w:cs="Arial"/>
        </w:rPr>
      </w:pPr>
      <w:r w:rsidRPr="00FF6757">
        <w:rPr>
          <w:rFonts w:ascii="Arial" w:hAnsi="Arial" w:cs="Arial"/>
        </w:rPr>
        <w:t>Nowicki, J., Ratajczak, P. and Szutowski, D.</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w:t>
      </w:r>
      <w:r w:rsidRPr="00FF6757">
        <w:rPr>
          <w:rFonts w:ascii="Arial" w:hAnsi="Arial" w:cs="Arial"/>
        </w:rPr>
        <w:t xml:space="preserve"> ‘Influence of macroeconomic factors on financial liquidity of companies: evidence from Poland’, </w:t>
      </w:r>
      <w:r w:rsidRPr="00FF6757">
        <w:rPr>
          <w:rFonts w:ascii="Arial" w:hAnsi="Arial" w:cs="Arial"/>
          <w:i/>
          <w:iCs/>
        </w:rPr>
        <w:t>Risks</w:t>
      </w:r>
      <w:r w:rsidRPr="00FF6757">
        <w:rPr>
          <w:rFonts w:ascii="Arial" w:hAnsi="Arial" w:cs="Arial"/>
        </w:rPr>
        <w:t xml:space="preserve">, 12(7), article 114. Available at: </w:t>
      </w:r>
      <w:hyperlink r:id="rId59" w:history="1">
        <w:r w:rsidR="004E68B0" w:rsidRPr="00FF6757">
          <w:rPr>
            <w:rStyle w:val="Hyperlink"/>
            <w:rFonts w:ascii="Arial" w:hAnsi="Arial" w:cs="Arial"/>
          </w:rPr>
          <w:t>https://doi.org/10.3390/risks12070114</w:t>
        </w:r>
      </w:hyperlink>
      <w:r w:rsidR="004E68B0" w:rsidRPr="00FF6757">
        <w:rPr>
          <w:rFonts w:ascii="Arial" w:hAnsi="Arial" w:cs="Arial"/>
        </w:rPr>
        <w:t xml:space="preserve">. </w:t>
      </w:r>
    </w:p>
    <w:p w14:paraId="76DBD949" w14:textId="788E25A0" w:rsidR="00056E02" w:rsidRPr="00FF6757" w:rsidRDefault="00056E02" w:rsidP="004E68B0">
      <w:pPr>
        <w:ind w:hanging="720"/>
        <w:rPr>
          <w:rFonts w:ascii="Arial" w:hAnsi="Arial" w:cs="Arial"/>
        </w:rPr>
      </w:pPr>
      <w:r w:rsidRPr="00FF6757">
        <w:rPr>
          <w:rFonts w:ascii="Arial" w:hAnsi="Arial" w:cs="Arial"/>
        </w:rPr>
        <w:lastRenderedPageBreak/>
        <w:t>Nsengiyumva, E., Mung’atu, J.K. and Ruranga, C.</w:t>
      </w:r>
      <w:r w:rsidR="00E4359E" w:rsidRPr="00FF6757">
        <w:rPr>
          <w:rFonts w:ascii="Arial" w:hAnsi="Arial" w:cs="Arial"/>
        </w:rPr>
        <w:t>,</w:t>
      </w:r>
      <w:r w:rsidRPr="00FF6757">
        <w:rPr>
          <w:rFonts w:ascii="Arial" w:hAnsi="Arial" w:cs="Arial"/>
        </w:rPr>
        <w:t xml:space="preserve"> 2025</w:t>
      </w:r>
      <w:r w:rsidR="00E4359E" w:rsidRPr="00FF6757">
        <w:rPr>
          <w:rFonts w:ascii="Arial" w:hAnsi="Arial" w:cs="Arial"/>
        </w:rPr>
        <w:t>.</w:t>
      </w:r>
      <w:r w:rsidRPr="00FF6757">
        <w:rPr>
          <w:rFonts w:ascii="Arial" w:hAnsi="Arial" w:cs="Arial"/>
        </w:rPr>
        <w:t xml:space="preserve"> ‘Hybrid GARCH-LSTM forecasting for foreign exchange risk’, </w:t>
      </w:r>
      <w:r w:rsidRPr="00FF6757">
        <w:rPr>
          <w:rFonts w:ascii="Arial" w:hAnsi="Arial" w:cs="Arial"/>
          <w:i/>
          <w:iCs/>
        </w:rPr>
        <w:t>FinTech</w:t>
      </w:r>
      <w:r w:rsidRPr="00FF6757">
        <w:rPr>
          <w:rFonts w:ascii="Arial" w:hAnsi="Arial" w:cs="Arial"/>
        </w:rPr>
        <w:t xml:space="preserve">, 4(2), article 22. Available at: </w:t>
      </w:r>
      <w:hyperlink r:id="rId60" w:history="1">
        <w:r w:rsidR="004E68B0" w:rsidRPr="00FF6757">
          <w:rPr>
            <w:rStyle w:val="Hyperlink"/>
            <w:rFonts w:ascii="Arial" w:hAnsi="Arial" w:cs="Arial"/>
          </w:rPr>
          <w:t>https://doi.org/10.3390/fintech4020022</w:t>
        </w:r>
      </w:hyperlink>
      <w:r w:rsidR="004E68B0" w:rsidRPr="00FF6757">
        <w:rPr>
          <w:rFonts w:ascii="Arial" w:hAnsi="Arial" w:cs="Arial"/>
        </w:rPr>
        <w:t>.</w:t>
      </w:r>
    </w:p>
    <w:p w14:paraId="6B2BCFD6" w14:textId="079C8E1A" w:rsidR="00056E02" w:rsidRPr="00FF6757" w:rsidRDefault="00056E02" w:rsidP="004E68B0">
      <w:pPr>
        <w:ind w:hanging="720"/>
        <w:rPr>
          <w:rFonts w:ascii="Arial" w:hAnsi="Arial" w:cs="Arial"/>
        </w:rPr>
      </w:pPr>
      <w:r w:rsidRPr="00FF6757">
        <w:rPr>
          <w:rFonts w:ascii="Arial" w:hAnsi="Arial" w:cs="Arial"/>
        </w:rPr>
        <w:t>Putri Ayu Lestari and Adekunle, A.O.</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w:t>
      </w:r>
      <w:r w:rsidRPr="00FF6757">
        <w:rPr>
          <w:rFonts w:ascii="Arial" w:hAnsi="Arial" w:cs="Arial"/>
        </w:rPr>
        <w:t xml:space="preserve"> ‘The impact of monetary policies on corporate foreign exchange risk management: a systematic literature review across emerging economies’, </w:t>
      </w:r>
      <w:r w:rsidRPr="00FF6757">
        <w:rPr>
          <w:rFonts w:ascii="Arial" w:hAnsi="Arial" w:cs="Arial"/>
          <w:i/>
          <w:iCs/>
        </w:rPr>
        <w:t>Sinergi International Journal of Accounting and Taxation</w:t>
      </w:r>
      <w:r w:rsidRPr="00FF6757">
        <w:rPr>
          <w:rFonts w:ascii="Arial" w:hAnsi="Arial" w:cs="Arial"/>
        </w:rPr>
        <w:t xml:space="preserve">, 2(3), pp. 1–14. Available at: </w:t>
      </w:r>
      <w:hyperlink r:id="rId61" w:history="1">
        <w:r w:rsidR="004E68B0" w:rsidRPr="00FF6757">
          <w:rPr>
            <w:rStyle w:val="Hyperlink"/>
            <w:rFonts w:ascii="Arial" w:hAnsi="Arial" w:cs="Arial"/>
          </w:rPr>
          <w:t>https://doi.org/10.61194/ijat.v2i3.481</w:t>
        </w:r>
      </w:hyperlink>
      <w:r w:rsidR="004E68B0" w:rsidRPr="00FF6757">
        <w:rPr>
          <w:rFonts w:ascii="Arial" w:hAnsi="Arial" w:cs="Arial"/>
        </w:rPr>
        <w:t xml:space="preserve">. </w:t>
      </w:r>
    </w:p>
    <w:p w14:paraId="0AD12A93" w14:textId="7BC97FCE" w:rsidR="00056E02" w:rsidRPr="00FF6757" w:rsidRDefault="00056E02" w:rsidP="004E68B0">
      <w:pPr>
        <w:ind w:hanging="720"/>
        <w:rPr>
          <w:rFonts w:ascii="Arial" w:hAnsi="Arial" w:cs="Arial"/>
        </w:rPr>
      </w:pPr>
      <w:r w:rsidRPr="00FF6757">
        <w:rPr>
          <w:rFonts w:ascii="Arial" w:hAnsi="Arial" w:cs="Arial"/>
        </w:rPr>
        <w:t>Reyad, H.M., Zariyawati, M.A., Ong, T.S. and Muhamad, H.</w:t>
      </w:r>
      <w:r w:rsidR="00E4359E" w:rsidRPr="00FF6757">
        <w:rPr>
          <w:rFonts w:ascii="Arial" w:hAnsi="Arial" w:cs="Arial"/>
        </w:rPr>
        <w:t>,</w:t>
      </w:r>
      <w:r w:rsidRPr="00FF6757">
        <w:rPr>
          <w:rFonts w:ascii="Arial" w:hAnsi="Arial" w:cs="Arial"/>
        </w:rPr>
        <w:t xml:space="preserve"> 2022</w:t>
      </w:r>
      <w:r w:rsidR="00E4359E" w:rsidRPr="00FF6757">
        <w:rPr>
          <w:rFonts w:ascii="Arial" w:hAnsi="Arial" w:cs="Arial"/>
        </w:rPr>
        <w:t>.</w:t>
      </w:r>
      <w:r w:rsidRPr="00FF6757">
        <w:rPr>
          <w:rFonts w:ascii="Arial" w:hAnsi="Arial" w:cs="Arial"/>
        </w:rPr>
        <w:t xml:space="preserve"> ‘The impact of macroeconomic risk factors, the adoption of financial derivatives on working capital management, and firm performance’, </w:t>
      </w:r>
      <w:r w:rsidRPr="00FF6757">
        <w:rPr>
          <w:rFonts w:ascii="Arial" w:hAnsi="Arial" w:cs="Arial"/>
          <w:i/>
          <w:iCs/>
        </w:rPr>
        <w:t>Sustainability</w:t>
      </w:r>
      <w:r w:rsidRPr="00FF6757">
        <w:rPr>
          <w:rFonts w:ascii="Arial" w:hAnsi="Arial" w:cs="Arial"/>
        </w:rPr>
        <w:t xml:space="preserve">, 14(21), article 14447. Available at: </w:t>
      </w:r>
      <w:hyperlink r:id="rId62" w:history="1">
        <w:r w:rsidR="004E68B0" w:rsidRPr="00FF6757">
          <w:rPr>
            <w:rStyle w:val="Hyperlink"/>
            <w:rFonts w:ascii="Arial" w:hAnsi="Arial" w:cs="Arial"/>
          </w:rPr>
          <w:t>https://doi.org/10.3390/su142114447</w:t>
        </w:r>
      </w:hyperlink>
      <w:r w:rsidR="004E68B0" w:rsidRPr="00FF6757">
        <w:rPr>
          <w:rFonts w:ascii="Arial" w:hAnsi="Arial" w:cs="Arial"/>
        </w:rPr>
        <w:t xml:space="preserve">. </w:t>
      </w:r>
    </w:p>
    <w:p w14:paraId="57394F09" w14:textId="77777777" w:rsidR="004E68B0" w:rsidRPr="00FF6757" w:rsidRDefault="00056E02" w:rsidP="004E68B0">
      <w:pPr>
        <w:ind w:hanging="720"/>
        <w:rPr>
          <w:rFonts w:ascii="Arial" w:hAnsi="Arial" w:cs="Arial"/>
        </w:rPr>
      </w:pPr>
      <w:r w:rsidRPr="00FF6757">
        <w:rPr>
          <w:rFonts w:ascii="Arial" w:hAnsi="Arial" w:cs="Arial"/>
        </w:rPr>
        <w:t>Salisu, A.A., Gupta, R. and Ogbonna, A.E.</w:t>
      </w:r>
      <w:r w:rsidR="00E4359E" w:rsidRPr="00FF6757">
        <w:rPr>
          <w:rFonts w:ascii="Arial" w:hAnsi="Arial" w:cs="Arial"/>
        </w:rPr>
        <w:t>,</w:t>
      </w:r>
      <w:r w:rsidRPr="00FF6757">
        <w:rPr>
          <w:rFonts w:ascii="Arial" w:hAnsi="Arial" w:cs="Arial"/>
        </w:rPr>
        <w:t xml:space="preserve"> 2020</w:t>
      </w:r>
      <w:r w:rsidR="00E4359E" w:rsidRPr="00FF6757">
        <w:rPr>
          <w:rFonts w:ascii="Arial" w:hAnsi="Arial" w:cs="Arial"/>
        </w:rPr>
        <w:t xml:space="preserve">. </w:t>
      </w:r>
      <w:r w:rsidRPr="00FF6757">
        <w:rPr>
          <w:rFonts w:ascii="Arial" w:hAnsi="Arial" w:cs="Arial"/>
        </w:rPr>
        <w:t xml:space="preserve">‘A moving average heterogeneous autoregressive model for forecasting realized volatility’, </w:t>
      </w:r>
      <w:r w:rsidRPr="00FF6757">
        <w:rPr>
          <w:rFonts w:ascii="Arial" w:hAnsi="Arial" w:cs="Arial"/>
          <w:i/>
          <w:iCs/>
        </w:rPr>
        <w:t>International Journal of Finance &amp; Economics</w:t>
      </w:r>
      <w:r w:rsidRPr="00FF6757">
        <w:rPr>
          <w:rFonts w:ascii="Arial" w:hAnsi="Arial" w:cs="Arial"/>
        </w:rPr>
        <w:t>, 27(1), pp. 384–400. Available at:</w:t>
      </w:r>
    </w:p>
    <w:p w14:paraId="155AF730" w14:textId="4D4AE98C" w:rsidR="00056E02" w:rsidRPr="00FF6757" w:rsidRDefault="004E68B0" w:rsidP="004E68B0">
      <w:pPr>
        <w:ind w:hanging="720"/>
        <w:rPr>
          <w:rFonts w:ascii="Arial" w:hAnsi="Arial" w:cs="Arial"/>
        </w:rPr>
      </w:pPr>
      <w:r w:rsidRPr="00FF6757">
        <w:rPr>
          <w:rFonts w:ascii="Arial" w:hAnsi="Arial" w:cs="Arial"/>
        </w:rPr>
        <w:t xml:space="preserve">           </w:t>
      </w:r>
      <w:hyperlink r:id="rId63" w:history="1">
        <w:r w:rsidRPr="00FF6757">
          <w:rPr>
            <w:rStyle w:val="Hyperlink"/>
            <w:rFonts w:ascii="Arial" w:hAnsi="Arial" w:cs="Arial"/>
          </w:rPr>
          <w:t>https://doi.org/10.1002/ijfe.2158</w:t>
        </w:r>
      </w:hyperlink>
      <w:r w:rsidRPr="00FF6757">
        <w:rPr>
          <w:rFonts w:ascii="Arial" w:hAnsi="Arial" w:cs="Arial"/>
        </w:rPr>
        <w:t xml:space="preserve">. </w:t>
      </w:r>
    </w:p>
    <w:p w14:paraId="5DC99F3D" w14:textId="0F8866BC" w:rsidR="00056E02" w:rsidRPr="00FF6757" w:rsidRDefault="00056E02" w:rsidP="004E68B0">
      <w:pPr>
        <w:ind w:hanging="720"/>
        <w:rPr>
          <w:rFonts w:ascii="Arial" w:hAnsi="Arial" w:cs="Arial"/>
        </w:rPr>
      </w:pPr>
      <w:r w:rsidRPr="00FF6757">
        <w:rPr>
          <w:rFonts w:ascii="Arial" w:hAnsi="Arial" w:cs="Arial"/>
        </w:rPr>
        <w:t>Shabir, M., Jiang, P., Wang, W. and Işık, Ö.</w:t>
      </w:r>
      <w:r w:rsidR="00E4359E" w:rsidRPr="00FF6757">
        <w:rPr>
          <w:rFonts w:ascii="Arial" w:hAnsi="Arial" w:cs="Arial"/>
        </w:rPr>
        <w:t>,</w:t>
      </w:r>
      <w:r w:rsidRPr="00FF6757">
        <w:rPr>
          <w:rFonts w:ascii="Arial" w:hAnsi="Arial" w:cs="Arial"/>
        </w:rPr>
        <w:t xml:space="preserve"> 2023. ‘COVID-19 pandemic impact on banking sector: A cross-country analysis.’ </w:t>
      </w:r>
      <w:r w:rsidRPr="00FF6757">
        <w:rPr>
          <w:rFonts w:ascii="Arial" w:hAnsi="Arial" w:cs="Arial"/>
          <w:i/>
          <w:iCs/>
        </w:rPr>
        <w:t>Journal of Multinational Financial Management</w:t>
      </w:r>
      <w:r w:rsidRPr="00FF6757">
        <w:rPr>
          <w:rFonts w:ascii="Arial" w:hAnsi="Arial" w:cs="Arial"/>
        </w:rPr>
        <w:t xml:space="preserve">, [online] 67, p.100784 </w:t>
      </w:r>
      <w:hyperlink r:id="rId64" w:history="1">
        <w:r w:rsidRPr="00FF6757">
          <w:rPr>
            <w:rStyle w:val="Hyperlink"/>
            <w:rFonts w:ascii="Arial" w:hAnsi="Arial" w:cs="Arial"/>
          </w:rPr>
          <w:t>https://doi.org/10.1016/j.mulfin.2023.100784</w:t>
        </w:r>
      </w:hyperlink>
    </w:p>
    <w:p w14:paraId="1AEEC6D9" w14:textId="5D7FBCE7" w:rsidR="00056E02" w:rsidRPr="00FF6757" w:rsidRDefault="00056E02" w:rsidP="004E68B0">
      <w:pPr>
        <w:ind w:hanging="720"/>
        <w:rPr>
          <w:rFonts w:ascii="Arial" w:hAnsi="Arial" w:cs="Arial"/>
        </w:rPr>
      </w:pPr>
      <w:r w:rsidRPr="00FF6757">
        <w:rPr>
          <w:rFonts w:ascii="Arial" w:hAnsi="Arial" w:cs="Arial"/>
        </w:rPr>
        <w:t>Shakourloo, A. and Azimli, A.</w:t>
      </w:r>
      <w:r w:rsidR="00E4359E" w:rsidRPr="00FF6757">
        <w:rPr>
          <w:rFonts w:ascii="Arial" w:hAnsi="Arial" w:cs="Arial"/>
        </w:rPr>
        <w:t>,</w:t>
      </w:r>
      <w:r w:rsidRPr="00FF6757">
        <w:rPr>
          <w:rFonts w:ascii="Arial" w:hAnsi="Arial" w:cs="Arial"/>
        </w:rPr>
        <w:t xml:space="preserve"> 2025</w:t>
      </w:r>
      <w:r w:rsidR="00E4359E" w:rsidRPr="00FF6757">
        <w:rPr>
          <w:rFonts w:ascii="Arial" w:hAnsi="Arial" w:cs="Arial"/>
        </w:rPr>
        <w:t>.</w:t>
      </w:r>
      <w:r w:rsidRPr="00FF6757">
        <w:rPr>
          <w:rFonts w:ascii="Arial" w:hAnsi="Arial" w:cs="Arial"/>
        </w:rPr>
        <w:t xml:space="preserve"> ‘The impact of foreign exchange shocks on tail-risk and volatility regimes in Bitcoin’, </w:t>
      </w:r>
      <w:r w:rsidRPr="00FF6757">
        <w:rPr>
          <w:rFonts w:ascii="Arial" w:hAnsi="Arial" w:cs="Arial"/>
          <w:i/>
          <w:iCs/>
        </w:rPr>
        <w:t>SSRN Electronic Journal</w:t>
      </w:r>
      <w:r w:rsidRPr="00FF6757">
        <w:rPr>
          <w:rFonts w:ascii="Arial" w:hAnsi="Arial" w:cs="Arial"/>
        </w:rPr>
        <w:t xml:space="preserve">. Available at: </w:t>
      </w:r>
      <w:hyperlink r:id="rId65" w:history="1">
        <w:r w:rsidR="004E68B0" w:rsidRPr="00FF6757">
          <w:rPr>
            <w:rStyle w:val="Hyperlink"/>
            <w:rFonts w:ascii="Arial" w:hAnsi="Arial" w:cs="Arial"/>
          </w:rPr>
          <w:t>https://doi.org/10.2139/ssrn.5441600</w:t>
        </w:r>
      </w:hyperlink>
      <w:r w:rsidR="004E68B0" w:rsidRPr="00FF6757">
        <w:rPr>
          <w:rFonts w:ascii="Arial" w:hAnsi="Arial" w:cs="Arial"/>
        </w:rPr>
        <w:t xml:space="preserve">. </w:t>
      </w:r>
    </w:p>
    <w:p w14:paraId="554F2495" w14:textId="3C9273B9" w:rsidR="00056E02" w:rsidRPr="00FF6757" w:rsidRDefault="00056E02" w:rsidP="004E68B0">
      <w:pPr>
        <w:ind w:hanging="720"/>
        <w:rPr>
          <w:rFonts w:ascii="Arial" w:hAnsi="Arial" w:cs="Arial"/>
        </w:rPr>
      </w:pPr>
      <w:r w:rsidRPr="00FF6757">
        <w:rPr>
          <w:rFonts w:ascii="Arial" w:hAnsi="Arial" w:cs="Arial"/>
        </w:rPr>
        <w:t>Syed, A.A., Ullah, A., Grima, S., Kamal, M.A. and Sood, K. (2025) ‘</w:t>
      </w:r>
      <w:r w:rsidR="00E95564" w:rsidRPr="00FF6757">
        <w:rPr>
          <w:rFonts w:ascii="Arial" w:hAnsi="Arial" w:cs="Arial"/>
        </w:rPr>
        <w:t>Modelling</w:t>
      </w:r>
      <w:r w:rsidRPr="00FF6757">
        <w:rPr>
          <w:rFonts w:ascii="Arial" w:hAnsi="Arial" w:cs="Arial"/>
        </w:rPr>
        <w:t xml:space="preserve"> exchange rate volatility in India in relation to COVID-19 and lockdown stringency: a wavelet coherence and quantile causality approach’, </w:t>
      </w:r>
      <w:r w:rsidRPr="00FF6757">
        <w:rPr>
          <w:rFonts w:ascii="Arial" w:hAnsi="Arial" w:cs="Arial"/>
          <w:i/>
          <w:iCs/>
        </w:rPr>
        <w:t>Risks</w:t>
      </w:r>
      <w:r w:rsidRPr="00FF6757">
        <w:rPr>
          <w:rFonts w:ascii="Arial" w:hAnsi="Arial" w:cs="Arial"/>
        </w:rPr>
        <w:t xml:space="preserve">, 13(9), article 182. Available at: </w:t>
      </w:r>
      <w:hyperlink r:id="rId66" w:history="1">
        <w:r w:rsidR="004E68B0" w:rsidRPr="00FF6757">
          <w:rPr>
            <w:rStyle w:val="Hyperlink"/>
            <w:rFonts w:ascii="Arial" w:hAnsi="Arial" w:cs="Arial"/>
          </w:rPr>
          <w:t>https://doi.org/10.3390/risks13090182</w:t>
        </w:r>
      </w:hyperlink>
      <w:r w:rsidR="004E68B0" w:rsidRPr="00FF6757">
        <w:rPr>
          <w:rFonts w:ascii="Arial" w:hAnsi="Arial" w:cs="Arial"/>
        </w:rPr>
        <w:t xml:space="preserve">. </w:t>
      </w:r>
    </w:p>
    <w:p w14:paraId="3723BA0E" w14:textId="5F2E862F" w:rsidR="004E68B0" w:rsidRPr="00FF6757" w:rsidRDefault="00056E02" w:rsidP="004E68B0">
      <w:pPr>
        <w:ind w:hanging="720"/>
        <w:rPr>
          <w:rFonts w:ascii="Arial" w:hAnsi="Arial" w:cs="Arial"/>
        </w:rPr>
      </w:pPr>
      <w:r w:rsidRPr="00FF6757">
        <w:rPr>
          <w:rFonts w:ascii="Arial" w:hAnsi="Arial" w:cs="Arial"/>
        </w:rPr>
        <w:t>Tabash, M.I., Ahmed, A., Issa, S.S., Mansour, M., Varma, M. and Saif, M.</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w:t>
      </w:r>
      <w:r w:rsidRPr="00FF6757">
        <w:rPr>
          <w:rFonts w:ascii="Arial" w:hAnsi="Arial" w:cs="Arial"/>
        </w:rPr>
        <w:t xml:space="preserve"> ‘Multiple </w:t>
      </w:r>
      <w:r w:rsidR="00E95564" w:rsidRPr="00FF6757">
        <w:rPr>
          <w:rFonts w:ascii="Arial" w:hAnsi="Arial" w:cs="Arial"/>
        </w:rPr>
        <w:t>behavioural</w:t>
      </w:r>
      <w:r w:rsidRPr="00FF6757">
        <w:rPr>
          <w:rFonts w:ascii="Arial" w:hAnsi="Arial" w:cs="Arial"/>
        </w:rPr>
        <w:t xml:space="preserve"> conditions of the forward exchange rates and stock market return in the South Asian stock markets during COVID-19: a novel MT-QARDL approach’, </w:t>
      </w:r>
      <w:r w:rsidRPr="00FF6757">
        <w:rPr>
          <w:rFonts w:ascii="Arial" w:hAnsi="Arial" w:cs="Arial"/>
          <w:i/>
          <w:iCs/>
        </w:rPr>
        <w:t>Computation</w:t>
      </w:r>
      <w:r w:rsidRPr="00FF6757">
        <w:rPr>
          <w:rFonts w:ascii="Arial" w:hAnsi="Arial" w:cs="Arial"/>
        </w:rPr>
        <w:t>, 12(12), article 233. Available at:</w:t>
      </w:r>
    </w:p>
    <w:p w14:paraId="583B5958" w14:textId="67BA5FDE" w:rsidR="00056E02" w:rsidRPr="00FF6757" w:rsidRDefault="004E68B0" w:rsidP="004E68B0">
      <w:pPr>
        <w:ind w:hanging="720"/>
        <w:rPr>
          <w:rFonts w:ascii="Arial" w:hAnsi="Arial" w:cs="Arial"/>
        </w:rPr>
      </w:pPr>
      <w:r w:rsidRPr="00FF6757">
        <w:rPr>
          <w:rFonts w:ascii="Arial" w:hAnsi="Arial" w:cs="Arial"/>
        </w:rPr>
        <w:t xml:space="preserve">           </w:t>
      </w:r>
      <w:hyperlink r:id="rId67" w:history="1">
        <w:r w:rsidRPr="00FF6757">
          <w:rPr>
            <w:rStyle w:val="Hyperlink"/>
            <w:rFonts w:ascii="Arial" w:hAnsi="Arial" w:cs="Arial"/>
          </w:rPr>
          <w:t>https://doi.org/10.3390/computation12120233</w:t>
        </w:r>
      </w:hyperlink>
      <w:r w:rsidRPr="00FF6757">
        <w:rPr>
          <w:rFonts w:ascii="Arial" w:hAnsi="Arial" w:cs="Arial"/>
        </w:rPr>
        <w:t xml:space="preserve">. </w:t>
      </w:r>
    </w:p>
    <w:p w14:paraId="77DF706A" w14:textId="198BFF85" w:rsidR="00056E02" w:rsidRPr="00FF6757" w:rsidRDefault="00056E02" w:rsidP="004E68B0">
      <w:pPr>
        <w:ind w:hanging="720"/>
        <w:rPr>
          <w:rFonts w:ascii="Arial" w:hAnsi="Arial" w:cs="Arial"/>
        </w:rPr>
      </w:pPr>
      <w:r w:rsidRPr="00FF6757">
        <w:rPr>
          <w:rFonts w:ascii="Arial" w:hAnsi="Arial" w:cs="Arial"/>
        </w:rPr>
        <w:lastRenderedPageBreak/>
        <w:t>Tabash, M.I., AsadUllah, M., Siddiq, Q., Mansour, M., Daniel, L.N. and Saif, M.</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 xml:space="preserve">. </w:t>
      </w:r>
      <w:r w:rsidRPr="00FF6757">
        <w:rPr>
          <w:rFonts w:ascii="Arial" w:hAnsi="Arial" w:cs="Arial"/>
        </w:rPr>
        <w:t xml:space="preserve">‘Symmetries or asymmetries: how MSCI index advanced European markets’ exchange rates respond to macro-economic fundamentals’, </w:t>
      </w:r>
      <w:r w:rsidRPr="00FF6757">
        <w:rPr>
          <w:rFonts w:ascii="Arial" w:hAnsi="Arial" w:cs="Arial"/>
          <w:i/>
          <w:iCs/>
        </w:rPr>
        <w:t>Economies</w:t>
      </w:r>
      <w:r w:rsidRPr="00FF6757">
        <w:rPr>
          <w:rFonts w:ascii="Arial" w:hAnsi="Arial" w:cs="Arial"/>
        </w:rPr>
        <w:t xml:space="preserve">, 12(12), article 326. Available at: </w:t>
      </w:r>
      <w:hyperlink r:id="rId68" w:history="1">
        <w:r w:rsidR="004E68B0" w:rsidRPr="00FF6757">
          <w:rPr>
            <w:rStyle w:val="Hyperlink"/>
            <w:rFonts w:ascii="Arial" w:hAnsi="Arial" w:cs="Arial"/>
          </w:rPr>
          <w:t>https://doi.org/10.3390/economies12120326</w:t>
        </w:r>
      </w:hyperlink>
      <w:r w:rsidR="004E68B0" w:rsidRPr="00FF6757">
        <w:rPr>
          <w:rFonts w:ascii="Arial" w:hAnsi="Arial" w:cs="Arial"/>
        </w:rPr>
        <w:t>.</w:t>
      </w:r>
    </w:p>
    <w:p w14:paraId="51E87E7B" w14:textId="734C1619" w:rsidR="00056E02" w:rsidRPr="00FF6757" w:rsidRDefault="00056E02" w:rsidP="004E68B0">
      <w:pPr>
        <w:ind w:hanging="720"/>
        <w:rPr>
          <w:rFonts w:ascii="Arial" w:hAnsi="Arial" w:cs="Arial"/>
        </w:rPr>
      </w:pPr>
      <w:r w:rsidRPr="00FF6757">
        <w:rPr>
          <w:rFonts w:ascii="Arial" w:hAnsi="Arial" w:cs="Arial"/>
        </w:rPr>
        <w:t xml:space="preserve">Tang, X. and Xie, Y., 2025. Exchange rate forecasting: a deep learning framework combining adaptive signal decomposition and dynamic weight optimization. </w:t>
      </w:r>
      <w:r w:rsidRPr="00FF6757">
        <w:rPr>
          <w:rFonts w:ascii="Arial" w:hAnsi="Arial" w:cs="Arial"/>
          <w:i/>
          <w:iCs/>
        </w:rPr>
        <w:t>International Journal of Financial Studies</w:t>
      </w:r>
      <w:r w:rsidRPr="00FF6757">
        <w:rPr>
          <w:rFonts w:ascii="Arial" w:hAnsi="Arial" w:cs="Arial"/>
        </w:rPr>
        <w:t xml:space="preserve">, 13(3), article 151. </w:t>
      </w:r>
      <w:hyperlink r:id="rId69" w:history="1">
        <w:r w:rsidR="004E68B0" w:rsidRPr="00FF6757">
          <w:rPr>
            <w:rStyle w:val="Hyperlink"/>
            <w:rFonts w:ascii="Arial" w:hAnsi="Arial" w:cs="Arial"/>
          </w:rPr>
          <w:t>https://doi.org/10.3390/ijfs13030151</w:t>
        </w:r>
      </w:hyperlink>
      <w:r w:rsidR="004E68B0" w:rsidRPr="00FF6757">
        <w:rPr>
          <w:rFonts w:ascii="Arial" w:hAnsi="Arial" w:cs="Arial"/>
        </w:rPr>
        <w:t xml:space="preserve">.  </w:t>
      </w:r>
    </w:p>
    <w:p w14:paraId="129AE469" w14:textId="77777777" w:rsidR="004E68B0" w:rsidRPr="00FF6757" w:rsidRDefault="00056E02" w:rsidP="004E68B0">
      <w:pPr>
        <w:ind w:hanging="720"/>
        <w:rPr>
          <w:rFonts w:ascii="Arial" w:hAnsi="Arial" w:cs="Arial"/>
        </w:rPr>
      </w:pPr>
      <w:r w:rsidRPr="00FF6757">
        <w:rPr>
          <w:rFonts w:ascii="Arial" w:hAnsi="Arial" w:cs="Arial"/>
        </w:rPr>
        <w:t>Vidiati, C., Al-Ghozali, M.I., Faturrizky, I., Selasi, D., Munajim, A. and Tardjono, T.</w:t>
      </w:r>
      <w:r w:rsidR="00E4359E" w:rsidRPr="00FF6757">
        <w:rPr>
          <w:rFonts w:ascii="Arial" w:hAnsi="Arial" w:cs="Arial"/>
        </w:rPr>
        <w:t>,</w:t>
      </w:r>
      <w:r w:rsidRPr="00FF6757">
        <w:rPr>
          <w:rFonts w:ascii="Arial" w:hAnsi="Arial" w:cs="Arial"/>
        </w:rPr>
        <w:t xml:space="preserve"> 2022</w:t>
      </w:r>
      <w:r w:rsidR="00E4359E" w:rsidRPr="00FF6757">
        <w:rPr>
          <w:rFonts w:ascii="Arial" w:hAnsi="Arial" w:cs="Arial"/>
        </w:rPr>
        <w:t>.</w:t>
      </w:r>
      <w:r w:rsidRPr="00FF6757">
        <w:rPr>
          <w:rFonts w:ascii="Arial" w:hAnsi="Arial" w:cs="Arial"/>
        </w:rPr>
        <w:t xml:space="preserve"> ‘Effects of the money market and the need for knowledge of interest rates and the foreign exchange market for benefit: evidence in Indonesia’, </w:t>
      </w:r>
      <w:r w:rsidRPr="00FF6757">
        <w:rPr>
          <w:rFonts w:ascii="Arial" w:hAnsi="Arial" w:cs="Arial"/>
          <w:i/>
          <w:iCs/>
        </w:rPr>
        <w:t>IJOBBA: International Journal of Bunga Bangsa Cirebon</w:t>
      </w:r>
      <w:r w:rsidRPr="00FF6757">
        <w:rPr>
          <w:rFonts w:ascii="Arial" w:hAnsi="Arial" w:cs="Arial"/>
        </w:rPr>
        <w:t>, 1(1), pp. 37–60. Available at:</w:t>
      </w:r>
    </w:p>
    <w:p w14:paraId="5F4904C8" w14:textId="7837E9B9" w:rsidR="00056E02" w:rsidRPr="00FF6757" w:rsidRDefault="004E68B0" w:rsidP="004E68B0">
      <w:pPr>
        <w:ind w:hanging="720"/>
        <w:rPr>
          <w:rFonts w:ascii="Arial" w:hAnsi="Arial" w:cs="Arial"/>
        </w:rPr>
      </w:pPr>
      <w:r w:rsidRPr="00FF6757">
        <w:rPr>
          <w:rFonts w:ascii="Arial" w:hAnsi="Arial" w:cs="Arial"/>
        </w:rPr>
        <w:t xml:space="preserve">           </w:t>
      </w:r>
      <w:hyperlink r:id="rId70" w:history="1">
        <w:r w:rsidRPr="00FF6757">
          <w:rPr>
            <w:rStyle w:val="Hyperlink"/>
            <w:rFonts w:ascii="Arial" w:hAnsi="Arial" w:cs="Arial"/>
          </w:rPr>
          <w:t>https://jurnal.uibbc.ac.id/index.php/ijobba/article/view/1235</w:t>
        </w:r>
      </w:hyperlink>
      <w:r w:rsidRPr="00FF6757">
        <w:rPr>
          <w:rFonts w:ascii="Arial" w:hAnsi="Arial" w:cs="Arial"/>
        </w:rPr>
        <w:t xml:space="preserve"> </w:t>
      </w:r>
      <w:r w:rsidR="00056E02" w:rsidRPr="00FF6757">
        <w:rPr>
          <w:rFonts w:ascii="Arial" w:hAnsi="Arial" w:cs="Arial"/>
        </w:rPr>
        <w:t>[Accessed 23 Jan. 2026].</w:t>
      </w:r>
    </w:p>
    <w:p w14:paraId="0F494D2B" w14:textId="39C67E85" w:rsidR="00056E02" w:rsidRPr="00FF6757" w:rsidRDefault="00056E02" w:rsidP="004E68B0">
      <w:pPr>
        <w:ind w:hanging="720"/>
        <w:rPr>
          <w:rFonts w:ascii="Arial" w:hAnsi="Arial" w:cs="Arial"/>
        </w:rPr>
      </w:pPr>
      <w:r w:rsidRPr="00FF6757">
        <w:rPr>
          <w:rFonts w:ascii="Arial" w:hAnsi="Arial" w:cs="Arial"/>
        </w:rPr>
        <w:t>Wang, X., Wu, X. and Zhou, Y.</w:t>
      </w:r>
      <w:r w:rsidR="00E4359E" w:rsidRPr="00FF6757">
        <w:rPr>
          <w:rFonts w:ascii="Arial" w:hAnsi="Arial" w:cs="Arial"/>
        </w:rPr>
        <w:t>,</w:t>
      </w:r>
      <w:r w:rsidRPr="00FF6757">
        <w:rPr>
          <w:rFonts w:ascii="Arial" w:hAnsi="Arial" w:cs="Arial"/>
        </w:rPr>
        <w:t xml:space="preserve"> 2022</w:t>
      </w:r>
      <w:r w:rsidR="00E4359E" w:rsidRPr="00FF6757">
        <w:rPr>
          <w:rFonts w:ascii="Arial" w:hAnsi="Arial" w:cs="Arial"/>
        </w:rPr>
        <w:t>.</w:t>
      </w:r>
      <w:r w:rsidRPr="00FF6757">
        <w:rPr>
          <w:rFonts w:ascii="Arial" w:hAnsi="Arial" w:cs="Arial"/>
        </w:rPr>
        <w:t xml:space="preserve"> ‘Conditional dynamic dependence and risk spillover between crude oil prices and foreign exchange rates: new evidence from a dynamic factor copula model’, </w:t>
      </w:r>
      <w:r w:rsidRPr="00FF6757">
        <w:rPr>
          <w:rFonts w:ascii="Arial" w:hAnsi="Arial" w:cs="Arial"/>
          <w:i/>
          <w:iCs/>
        </w:rPr>
        <w:t>Energies</w:t>
      </w:r>
      <w:r w:rsidRPr="00FF6757">
        <w:rPr>
          <w:rFonts w:ascii="Arial" w:hAnsi="Arial" w:cs="Arial"/>
        </w:rPr>
        <w:t xml:space="preserve">, 15(14), article 5220. Available at: </w:t>
      </w:r>
      <w:hyperlink r:id="rId71" w:history="1">
        <w:r w:rsidR="004E68B0" w:rsidRPr="00FF6757">
          <w:rPr>
            <w:rStyle w:val="Hyperlink"/>
            <w:rFonts w:ascii="Arial" w:hAnsi="Arial" w:cs="Arial"/>
          </w:rPr>
          <w:t>https://doi.org/10.3390/en15145220</w:t>
        </w:r>
      </w:hyperlink>
      <w:r w:rsidR="004E68B0" w:rsidRPr="00FF6757">
        <w:rPr>
          <w:rFonts w:ascii="Arial" w:hAnsi="Arial" w:cs="Arial"/>
        </w:rPr>
        <w:t>.</w:t>
      </w:r>
    </w:p>
    <w:p w14:paraId="0A221C4D" w14:textId="0940926A" w:rsidR="00056E02" w:rsidRPr="00FF6757" w:rsidRDefault="00056E02" w:rsidP="004E68B0">
      <w:pPr>
        <w:ind w:hanging="720"/>
        <w:rPr>
          <w:rFonts w:ascii="Arial" w:hAnsi="Arial" w:cs="Arial"/>
        </w:rPr>
      </w:pPr>
      <w:r w:rsidRPr="00FF6757">
        <w:rPr>
          <w:rFonts w:ascii="Arial" w:hAnsi="Arial" w:cs="Arial"/>
        </w:rPr>
        <w:t>Yensu, J., Nkrumah, S.K., Amankwah, S. and Ledi, K.K.</w:t>
      </w:r>
      <w:r w:rsidR="00E4359E" w:rsidRPr="00FF6757">
        <w:rPr>
          <w:rFonts w:ascii="Arial" w:hAnsi="Arial" w:cs="Arial"/>
        </w:rPr>
        <w:t>,</w:t>
      </w:r>
      <w:r w:rsidRPr="00FF6757">
        <w:rPr>
          <w:rFonts w:ascii="Arial" w:hAnsi="Arial" w:cs="Arial"/>
        </w:rPr>
        <w:t xml:space="preserve"> 2022</w:t>
      </w:r>
      <w:r w:rsidR="00E4359E" w:rsidRPr="00FF6757">
        <w:rPr>
          <w:rFonts w:ascii="Arial" w:hAnsi="Arial" w:cs="Arial"/>
        </w:rPr>
        <w:t>.</w:t>
      </w:r>
      <w:r w:rsidRPr="00FF6757">
        <w:rPr>
          <w:rFonts w:ascii="Arial" w:hAnsi="Arial" w:cs="Arial"/>
        </w:rPr>
        <w:t xml:space="preserve"> ‘The effect of exchange rate volatility on economic growth’, </w:t>
      </w:r>
      <w:r w:rsidRPr="00FF6757">
        <w:rPr>
          <w:rFonts w:ascii="Arial" w:hAnsi="Arial" w:cs="Arial"/>
          <w:i/>
          <w:iCs/>
        </w:rPr>
        <w:t>Risk Governance and Control: Financial Markets &amp; Institutions</w:t>
      </w:r>
      <w:r w:rsidRPr="00FF6757">
        <w:rPr>
          <w:rFonts w:ascii="Arial" w:hAnsi="Arial" w:cs="Arial"/>
        </w:rPr>
        <w:t>, 12(4), article 33. Available at:  https://virtusinterpress.org/The-effect-of-exchange-rate-volatility-on-economic-growth.html [Accessed 23 Jan. 2026].</w:t>
      </w:r>
    </w:p>
    <w:p w14:paraId="5E2BA32B" w14:textId="77777777" w:rsidR="004E68B0" w:rsidRPr="00FF6757" w:rsidRDefault="00056E02" w:rsidP="004E68B0">
      <w:pPr>
        <w:ind w:hanging="720"/>
        <w:rPr>
          <w:rFonts w:ascii="Arial" w:hAnsi="Arial" w:cs="Arial"/>
        </w:rPr>
      </w:pPr>
      <w:r w:rsidRPr="00FF6757">
        <w:rPr>
          <w:rFonts w:ascii="Arial" w:hAnsi="Arial" w:cs="Arial"/>
        </w:rPr>
        <w:t>Yıldırım, D.Ç., Erdoğan, F. and Tarı, E.N.</w:t>
      </w:r>
      <w:r w:rsidR="00E4359E" w:rsidRPr="00FF6757">
        <w:rPr>
          <w:rFonts w:ascii="Arial" w:hAnsi="Arial" w:cs="Arial"/>
        </w:rPr>
        <w:t>,</w:t>
      </w:r>
      <w:r w:rsidRPr="00FF6757">
        <w:rPr>
          <w:rFonts w:ascii="Arial" w:hAnsi="Arial" w:cs="Arial"/>
        </w:rPr>
        <w:t xml:space="preserve"> 2022. ‘Time-varying volatility spillovers between real exchange rate and real commodity prices for emerging market economies.’ </w:t>
      </w:r>
      <w:r w:rsidRPr="00FF6757">
        <w:rPr>
          <w:rFonts w:ascii="Arial" w:hAnsi="Arial" w:cs="Arial"/>
          <w:i/>
          <w:iCs/>
        </w:rPr>
        <w:t>Resources Policy</w:t>
      </w:r>
      <w:r w:rsidRPr="00FF6757">
        <w:rPr>
          <w:rFonts w:ascii="Arial" w:hAnsi="Arial" w:cs="Arial"/>
        </w:rPr>
        <w:t>, 76, p.102586.</w:t>
      </w:r>
    </w:p>
    <w:p w14:paraId="59A479DB" w14:textId="5D95E21D" w:rsidR="00056E02" w:rsidRPr="00FF6757" w:rsidRDefault="004E68B0" w:rsidP="004E68B0">
      <w:pPr>
        <w:ind w:hanging="720"/>
        <w:rPr>
          <w:rFonts w:ascii="Arial" w:hAnsi="Arial" w:cs="Arial"/>
        </w:rPr>
      </w:pPr>
      <w:r w:rsidRPr="00FF6757">
        <w:rPr>
          <w:rFonts w:ascii="Arial" w:hAnsi="Arial" w:cs="Arial"/>
        </w:rPr>
        <w:t xml:space="preserve">           </w:t>
      </w:r>
      <w:hyperlink r:id="rId72" w:history="1">
        <w:r w:rsidRPr="00FF6757">
          <w:rPr>
            <w:rStyle w:val="Hyperlink"/>
            <w:rFonts w:ascii="Arial" w:hAnsi="Arial" w:cs="Arial"/>
          </w:rPr>
          <w:t>https://doi.org/10.1016/j.resourpol.2022.102586</w:t>
        </w:r>
      </w:hyperlink>
    </w:p>
    <w:p w14:paraId="15E3B621" w14:textId="25C31CC6" w:rsidR="00056E02" w:rsidRPr="00FF6757" w:rsidRDefault="00056E02" w:rsidP="004E68B0">
      <w:pPr>
        <w:ind w:hanging="720"/>
        <w:rPr>
          <w:rFonts w:ascii="Arial" w:hAnsi="Arial" w:cs="Arial"/>
        </w:rPr>
      </w:pPr>
      <w:r w:rsidRPr="00FF6757">
        <w:rPr>
          <w:rFonts w:ascii="Arial" w:hAnsi="Arial" w:cs="Arial"/>
        </w:rPr>
        <w:t>Zakaria, S.</w:t>
      </w:r>
      <w:r w:rsidR="00E4359E" w:rsidRPr="00FF6757">
        <w:rPr>
          <w:rFonts w:ascii="Arial" w:hAnsi="Arial" w:cs="Arial"/>
        </w:rPr>
        <w:t>,</w:t>
      </w:r>
      <w:r w:rsidRPr="00FF6757">
        <w:rPr>
          <w:rFonts w:ascii="Arial" w:hAnsi="Arial" w:cs="Arial"/>
        </w:rPr>
        <w:t xml:space="preserve"> 2023</w:t>
      </w:r>
      <w:r w:rsidR="00E4359E" w:rsidRPr="00FF6757">
        <w:rPr>
          <w:rFonts w:ascii="Arial" w:hAnsi="Arial" w:cs="Arial"/>
        </w:rPr>
        <w:t>.</w:t>
      </w:r>
      <w:r w:rsidRPr="00FF6757">
        <w:rPr>
          <w:rFonts w:ascii="Arial" w:hAnsi="Arial" w:cs="Arial"/>
        </w:rPr>
        <w:t xml:space="preserve"> ‘Hedging effectiveness as an international financial risk management strategy’, </w:t>
      </w:r>
      <w:r w:rsidRPr="00FF6757">
        <w:rPr>
          <w:rFonts w:ascii="Arial" w:hAnsi="Arial" w:cs="Arial"/>
          <w:i/>
          <w:iCs/>
        </w:rPr>
        <w:t>Golden Ratio of Mapping Idea and Literature Format</w:t>
      </w:r>
      <w:r w:rsidRPr="00FF6757">
        <w:rPr>
          <w:rFonts w:ascii="Arial" w:hAnsi="Arial" w:cs="Arial"/>
        </w:rPr>
        <w:t xml:space="preserve">, 3(1), pp. 1–22. Available at: </w:t>
      </w:r>
      <w:hyperlink r:id="rId73" w:history="1">
        <w:r w:rsidR="004E68B0" w:rsidRPr="00FF6757">
          <w:rPr>
            <w:rStyle w:val="Hyperlink"/>
            <w:rFonts w:ascii="Arial" w:hAnsi="Arial" w:cs="Arial"/>
          </w:rPr>
          <w:t>https://doi.org/10.52970/grmilf.v3i1.352</w:t>
        </w:r>
      </w:hyperlink>
      <w:r w:rsidR="004E68B0" w:rsidRPr="00FF6757">
        <w:rPr>
          <w:rFonts w:ascii="Arial" w:hAnsi="Arial" w:cs="Arial"/>
        </w:rPr>
        <w:t>.</w:t>
      </w:r>
    </w:p>
    <w:p w14:paraId="5FB8C4D8" w14:textId="77777777" w:rsidR="004E68B0" w:rsidRPr="00FF6757" w:rsidRDefault="00056E02" w:rsidP="004E68B0">
      <w:pPr>
        <w:ind w:hanging="720"/>
        <w:rPr>
          <w:rFonts w:ascii="Arial" w:hAnsi="Arial" w:cs="Arial"/>
        </w:rPr>
      </w:pPr>
      <w:r w:rsidRPr="00FF6757">
        <w:rPr>
          <w:rFonts w:ascii="Arial" w:hAnsi="Arial" w:cs="Arial"/>
        </w:rPr>
        <w:t>Zhang, Y.-W.</w:t>
      </w:r>
      <w:r w:rsidR="00E4359E" w:rsidRPr="00FF6757">
        <w:rPr>
          <w:rFonts w:ascii="Arial" w:hAnsi="Arial" w:cs="Arial"/>
        </w:rPr>
        <w:t>,</w:t>
      </w:r>
      <w:r w:rsidRPr="00FF6757">
        <w:rPr>
          <w:rFonts w:ascii="Arial" w:hAnsi="Arial" w:cs="Arial"/>
        </w:rPr>
        <w:t xml:space="preserve"> 2025</w:t>
      </w:r>
      <w:r w:rsidR="00E4359E" w:rsidRPr="00FF6757">
        <w:rPr>
          <w:rFonts w:ascii="Arial" w:hAnsi="Arial" w:cs="Arial"/>
        </w:rPr>
        <w:t>.</w:t>
      </w:r>
      <w:r w:rsidRPr="00FF6757">
        <w:rPr>
          <w:rFonts w:ascii="Arial" w:hAnsi="Arial" w:cs="Arial"/>
        </w:rPr>
        <w:t xml:space="preserve"> ‘High-frequency volatility and risk assessment in foreign exchange markets’, </w:t>
      </w:r>
      <w:r w:rsidRPr="00FF6757">
        <w:rPr>
          <w:rFonts w:ascii="Arial" w:hAnsi="Arial" w:cs="Arial"/>
          <w:i/>
          <w:iCs/>
        </w:rPr>
        <w:t>Proceedings of the 2nd International Conference on Digital Economy and Computer Science</w:t>
      </w:r>
      <w:r w:rsidRPr="00FF6757">
        <w:rPr>
          <w:rFonts w:ascii="Arial" w:hAnsi="Arial" w:cs="Arial"/>
        </w:rPr>
        <w:t>, pp. 183–187. Available at:</w:t>
      </w:r>
    </w:p>
    <w:p w14:paraId="5BCED538" w14:textId="0E6F9DCD" w:rsidR="00056E02" w:rsidRPr="00FF6757" w:rsidRDefault="004E68B0" w:rsidP="004E68B0">
      <w:pPr>
        <w:ind w:hanging="720"/>
        <w:rPr>
          <w:rFonts w:ascii="Arial" w:hAnsi="Arial" w:cs="Arial"/>
        </w:rPr>
      </w:pPr>
      <w:r w:rsidRPr="00FF6757">
        <w:rPr>
          <w:rFonts w:ascii="Arial" w:hAnsi="Arial" w:cs="Arial"/>
        </w:rPr>
        <w:lastRenderedPageBreak/>
        <w:t xml:space="preserve">           </w:t>
      </w:r>
      <w:hyperlink r:id="rId74" w:history="1">
        <w:r w:rsidRPr="00FF6757">
          <w:rPr>
            <w:rStyle w:val="Hyperlink"/>
            <w:rFonts w:ascii="Arial" w:hAnsi="Arial" w:cs="Arial"/>
          </w:rPr>
          <w:t>https://doi.org/10.1145/3785706.3785734</w:t>
        </w:r>
      </w:hyperlink>
      <w:r w:rsidRPr="00FF6757">
        <w:rPr>
          <w:rFonts w:ascii="Arial" w:hAnsi="Arial" w:cs="Arial"/>
        </w:rPr>
        <w:t xml:space="preserve">.  </w:t>
      </w:r>
    </w:p>
    <w:p w14:paraId="28D6BF41" w14:textId="7E9E6F94" w:rsidR="00056E02" w:rsidRPr="00FF6757" w:rsidRDefault="00056E02" w:rsidP="004E68B0">
      <w:pPr>
        <w:ind w:hanging="720"/>
        <w:rPr>
          <w:rFonts w:ascii="Arial" w:hAnsi="Arial" w:cs="Arial"/>
        </w:rPr>
      </w:pPr>
      <w:r w:rsidRPr="00FF6757">
        <w:rPr>
          <w:rFonts w:ascii="Arial" w:hAnsi="Arial" w:cs="Arial"/>
        </w:rPr>
        <w:t>Zhao, L. and Yan, W.Q.</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 xml:space="preserve">. </w:t>
      </w:r>
      <w:r w:rsidRPr="00FF6757">
        <w:rPr>
          <w:rFonts w:ascii="Arial" w:hAnsi="Arial" w:cs="Arial"/>
        </w:rPr>
        <w:t xml:space="preserve">‘Prediction of currency exchange rate based on transformers’, </w:t>
      </w:r>
      <w:r w:rsidRPr="00FF6757">
        <w:rPr>
          <w:rFonts w:ascii="Arial" w:hAnsi="Arial" w:cs="Arial"/>
          <w:i/>
          <w:iCs/>
        </w:rPr>
        <w:t>Journal of Risk and Financial Management</w:t>
      </w:r>
      <w:r w:rsidRPr="00FF6757">
        <w:rPr>
          <w:rFonts w:ascii="Arial" w:hAnsi="Arial" w:cs="Arial"/>
        </w:rPr>
        <w:t xml:space="preserve">, 17(8), article 332. Available at: </w:t>
      </w:r>
      <w:hyperlink r:id="rId75" w:history="1">
        <w:r w:rsidR="004E68B0" w:rsidRPr="00FF6757">
          <w:rPr>
            <w:rStyle w:val="Hyperlink"/>
            <w:rFonts w:ascii="Arial" w:hAnsi="Arial" w:cs="Arial"/>
          </w:rPr>
          <w:t>https://doi.org/10.3390/jrfm17080332</w:t>
        </w:r>
      </w:hyperlink>
      <w:r w:rsidR="004E68B0" w:rsidRPr="00FF6757">
        <w:rPr>
          <w:rFonts w:ascii="Arial" w:hAnsi="Arial" w:cs="Arial"/>
        </w:rPr>
        <w:t>.</w:t>
      </w:r>
    </w:p>
    <w:p w14:paraId="5173E865" w14:textId="373B48C5" w:rsidR="00056E02" w:rsidRPr="00FF6757" w:rsidRDefault="00056E02" w:rsidP="004E68B0">
      <w:pPr>
        <w:ind w:hanging="720"/>
        <w:rPr>
          <w:rFonts w:ascii="Arial" w:hAnsi="Arial" w:cs="Arial"/>
        </w:rPr>
      </w:pPr>
      <w:r w:rsidRPr="00FF6757">
        <w:rPr>
          <w:rFonts w:ascii="Arial" w:hAnsi="Arial" w:cs="Arial"/>
        </w:rPr>
        <w:t>Zitis, P.I., Potirakis, S.M. and Alexandridis, A.</w:t>
      </w:r>
      <w:r w:rsidR="00E4359E" w:rsidRPr="00FF6757">
        <w:rPr>
          <w:rFonts w:ascii="Arial" w:hAnsi="Arial" w:cs="Arial"/>
        </w:rPr>
        <w:t>,</w:t>
      </w:r>
      <w:r w:rsidRPr="00FF6757">
        <w:rPr>
          <w:rFonts w:ascii="Arial" w:hAnsi="Arial" w:cs="Arial"/>
        </w:rPr>
        <w:t xml:space="preserve"> 2024</w:t>
      </w:r>
      <w:r w:rsidR="00E4359E" w:rsidRPr="00FF6757">
        <w:rPr>
          <w:rFonts w:ascii="Arial" w:hAnsi="Arial" w:cs="Arial"/>
        </w:rPr>
        <w:t xml:space="preserve">. </w:t>
      </w:r>
      <w:r w:rsidRPr="00FF6757">
        <w:rPr>
          <w:rFonts w:ascii="Arial" w:hAnsi="Arial" w:cs="Arial"/>
        </w:rPr>
        <w:t xml:space="preserve">‘Forecasting forex market volatility using deep learning models and complexity measures’, </w:t>
      </w:r>
      <w:r w:rsidRPr="00FF6757">
        <w:rPr>
          <w:rFonts w:ascii="Arial" w:hAnsi="Arial" w:cs="Arial"/>
          <w:i/>
          <w:iCs/>
        </w:rPr>
        <w:t>Journal of Risk and Financial Management</w:t>
      </w:r>
      <w:r w:rsidRPr="00FF6757">
        <w:rPr>
          <w:rFonts w:ascii="Arial" w:hAnsi="Arial" w:cs="Arial"/>
        </w:rPr>
        <w:t xml:space="preserve">, 17(12), article 557. Available at: </w:t>
      </w:r>
      <w:hyperlink r:id="rId76" w:history="1">
        <w:r w:rsidR="004E68B0" w:rsidRPr="00FF6757">
          <w:rPr>
            <w:rStyle w:val="Hyperlink"/>
            <w:rFonts w:ascii="Arial" w:hAnsi="Arial" w:cs="Arial"/>
          </w:rPr>
          <w:t>https://doi.org/10.3390/jrfm17120557</w:t>
        </w:r>
      </w:hyperlink>
      <w:r w:rsidR="004E68B0" w:rsidRPr="00FF6757">
        <w:rPr>
          <w:rFonts w:ascii="Arial" w:hAnsi="Arial" w:cs="Arial"/>
        </w:rPr>
        <w:t xml:space="preserve">. </w:t>
      </w:r>
    </w:p>
    <w:p w14:paraId="66A744FA" w14:textId="618A9B03" w:rsidR="00056E02" w:rsidRPr="00FF6757" w:rsidRDefault="00056E02" w:rsidP="004E68B0">
      <w:pPr>
        <w:ind w:hanging="720"/>
        <w:rPr>
          <w:rFonts w:ascii="Arial" w:hAnsi="Arial" w:cs="Arial"/>
        </w:rPr>
      </w:pPr>
      <w:r w:rsidRPr="00FF6757">
        <w:rPr>
          <w:rFonts w:ascii="Arial" w:hAnsi="Arial" w:cs="Arial"/>
        </w:rPr>
        <w:t xml:space="preserve">Zorgati, M.B.S., 2023. Risk measure between exchange rate and oil price during crises: evidence from oil-importing and oil-exporting countries. </w:t>
      </w:r>
      <w:r w:rsidRPr="00FF6757">
        <w:rPr>
          <w:rFonts w:ascii="Arial" w:hAnsi="Arial" w:cs="Arial"/>
          <w:i/>
          <w:iCs/>
        </w:rPr>
        <w:t>Journal of Risk and Financial Management</w:t>
      </w:r>
      <w:r w:rsidRPr="00FF6757">
        <w:rPr>
          <w:rFonts w:ascii="Arial" w:hAnsi="Arial" w:cs="Arial"/>
        </w:rPr>
        <w:t xml:space="preserve">, 16(4), article 250. </w:t>
      </w:r>
      <w:hyperlink r:id="rId77" w:history="1">
        <w:r w:rsidR="004E68B0" w:rsidRPr="00FF6757">
          <w:rPr>
            <w:rStyle w:val="Hyperlink"/>
            <w:rFonts w:ascii="Arial" w:hAnsi="Arial" w:cs="Arial"/>
          </w:rPr>
          <w:t>https://doi.org/10.3390/jrfm16040250</w:t>
        </w:r>
      </w:hyperlink>
      <w:r w:rsidR="004E68B0" w:rsidRPr="00FF6757">
        <w:rPr>
          <w:rFonts w:ascii="Arial" w:hAnsi="Arial" w:cs="Arial"/>
        </w:rPr>
        <w:t xml:space="preserve">. </w:t>
      </w:r>
    </w:p>
    <w:p w14:paraId="3F1FFE28" w14:textId="77777777" w:rsidR="00C07340" w:rsidRPr="00FF6757" w:rsidRDefault="00C07340" w:rsidP="00C07340">
      <w:pPr>
        <w:rPr>
          <w:rFonts w:ascii="Arial" w:hAnsi="Arial" w:cs="Arial"/>
        </w:rPr>
      </w:pPr>
      <w:r w:rsidRPr="00FF6757">
        <w:rPr>
          <w:rFonts w:ascii="Arial" w:hAnsi="Arial" w:cs="Arial"/>
        </w:rPr>
        <w:t>‌</w:t>
      </w:r>
    </w:p>
    <w:p w14:paraId="02862A3C" w14:textId="260773D6" w:rsidR="00C07340" w:rsidRPr="00FF6757" w:rsidRDefault="00C07340" w:rsidP="00C07340">
      <w:pPr>
        <w:rPr>
          <w:rFonts w:ascii="Arial" w:hAnsi="Arial" w:cs="Arial"/>
        </w:rPr>
      </w:pPr>
    </w:p>
    <w:p w14:paraId="07AB97E7" w14:textId="47EB98C0" w:rsidR="00C161DB" w:rsidRPr="00FF6757" w:rsidRDefault="00C161DB">
      <w:pPr>
        <w:spacing w:line="278" w:lineRule="auto"/>
        <w:jc w:val="left"/>
        <w:rPr>
          <w:rFonts w:ascii="Arial" w:hAnsi="Arial" w:cs="Arial"/>
        </w:rPr>
      </w:pPr>
      <w:r w:rsidRPr="00FF6757">
        <w:rPr>
          <w:rFonts w:ascii="Arial" w:hAnsi="Arial" w:cs="Arial"/>
        </w:rPr>
        <w:br w:type="page"/>
      </w:r>
    </w:p>
    <w:p w14:paraId="344FD5DE" w14:textId="724642A6" w:rsidR="00C07340" w:rsidRPr="00FF6757" w:rsidRDefault="00C161DB" w:rsidP="00C161DB">
      <w:pPr>
        <w:pStyle w:val="Heading1"/>
      </w:pPr>
      <w:bookmarkStart w:id="85" w:name="_Toc228917252"/>
      <w:r w:rsidRPr="00FF6757">
        <w:lastRenderedPageBreak/>
        <w:t>Appendix:</w:t>
      </w:r>
      <w:bookmarkEnd w:id="85"/>
    </w:p>
    <w:p w14:paraId="6BA7CEC0" w14:textId="707419C4" w:rsidR="00C161DB" w:rsidRPr="00FF6757" w:rsidRDefault="00C161DB" w:rsidP="006B357C">
      <w:pPr>
        <w:pStyle w:val="Heading2"/>
      </w:pPr>
      <w:bookmarkStart w:id="86" w:name="_Toc228917253"/>
      <w:r w:rsidRPr="00FF6757">
        <w:t>Appendix A: Project Timeline</w:t>
      </w:r>
      <w:bookmarkEnd w:id="86"/>
    </w:p>
    <w:tbl>
      <w:tblPr>
        <w:tblStyle w:val="TableGrid"/>
        <w:tblW w:w="0" w:type="auto"/>
        <w:jc w:val="center"/>
        <w:tblLook w:val="04A0" w:firstRow="1" w:lastRow="0" w:firstColumn="1" w:lastColumn="0" w:noHBand="0" w:noVBand="1"/>
      </w:tblPr>
      <w:tblGrid>
        <w:gridCol w:w="973"/>
        <w:gridCol w:w="5299"/>
      </w:tblGrid>
      <w:tr w:rsidR="00C161DB" w:rsidRPr="00FF6757" w14:paraId="7ABA1DDD"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1BF6B9B3" w14:textId="77777777" w:rsidR="00C161DB" w:rsidRPr="00FF6757" w:rsidRDefault="00C161DB" w:rsidP="00C161DB">
            <w:pPr>
              <w:spacing w:after="160"/>
              <w:rPr>
                <w:rFonts w:ascii="Arial" w:hAnsi="Arial" w:cs="Arial"/>
                <w:b/>
                <w:bCs/>
              </w:rPr>
            </w:pPr>
            <w:r w:rsidRPr="00FF6757">
              <w:rPr>
                <w:rFonts w:ascii="Arial" w:hAnsi="Arial" w:cs="Arial"/>
                <w:b/>
                <w:bCs/>
              </w:rPr>
              <w:t>Weeks</w:t>
            </w:r>
          </w:p>
        </w:tc>
        <w:tc>
          <w:tcPr>
            <w:tcW w:w="0" w:type="auto"/>
            <w:tcBorders>
              <w:top w:val="single" w:sz="4" w:space="0" w:color="auto"/>
              <w:left w:val="single" w:sz="4" w:space="0" w:color="auto"/>
              <w:bottom w:val="single" w:sz="4" w:space="0" w:color="auto"/>
              <w:right w:val="single" w:sz="4" w:space="0" w:color="auto"/>
            </w:tcBorders>
            <w:hideMark/>
          </w:tcPr>
          <w:p w14:paraId="633EC937" w14:textId="77777777" w:rsidR="00C161DB" w:rsidRPr="00FF6757" w:rsidRDefault="00C161DB" w:rsidP="00C161DB">
            <w:pPr>
              <w:spacing w:after="160"/>
              <w:rPr>
                <w:rFonts w:ascii="Arial" w:hAnsi="Arial" w:cs="Arial"/>
                <w:b/>
                <w:bCs/>
              </w:rPr>
            </w:pPr>
            <w:r w:rsidRPr="00FF6757">
              <w:rPr>
                <w:rFonts w:ascii="Arial" w:hAnsi="Arial" w:cs="Arial"/>
                <w:b/>
                <w:bCs/>
              </w:rPr>
              <w:t>Activity</w:t>
            </w:r>
          </w:p>
        </w:tc>
      </w:tr>
      <w:tr w:rsidR="00C161DB" w:rsidRPr="00FF6757" w14:paraId="69963E8A"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5118B426" w14:textId="77777777" w:rsidR="00C161DB" w:rsidRPr="00FF6757" w:rsidRDefault="00C161DB" w:rsidP="00C161DB">
            <w:pPr>
              <w:spacing w:after="160"/>
              <w:rPr>
                <w:rFonts w:ascii="Arial" w:hAnsi="Arial" w:cs="Arial"/>
              </w:rPr>
            </w:pPr>
            <w:r w:rsidRPr="00FF6757">
              <w:rPr>
                <w:rFonts w:ascii="Arial" w:hAnsi="Arial" w:cs="Arial"/>
              </w:rPr>
              <w:t>1–2</w:t>
            </w:r>
          </w:p>
        </w:tc>
        <w:tc>
          <w:tcPr>
            <w:tcW w:w="0" w:type="auto"/>
            <w:tcBorders>
              <w:top w:val="single" w:sz="4" w:space="0" w:color="auto"/>
              <w:left w:val="single" w:sz="4" w:space="0" w:color="auto"/>
              <w:bottom w:val="single" w:sz="4" w:space="0" w:color="auto"/>
              <w:right w:val="single" w:sz="4" w:space="0" w:color="auto"/>
            </w:tcBorders>
            <w:hideMark/>
          </w:tcPr>
          <w:p w14:paraId="3BC4023A" w14:textId="77777777" w:rsidR="00C161DB" w:rsidRPr="00FF6757" w:rsidRDefault="00C161DB" w:rsidP="00C161DB">
            <w:pPr>
              <w:spacing w:after="160"/>
              <w:rPr>
                <w:rFonts w:ascii="Arial" w:hAnsi="Arial" w:cs="Arial"/>
              </w:rPr>
            </w:pPr>
            <w:r w:rsidRPr="00FF6757">
              <w:rPr>
                <w:rFonts w:ascii="Arial" w:hAnsi="Arial" w:cs="Arial"/>
              </w:rPr>
              <w:t>Topic finalisation and proposal development</w:t>
            </w:r>
          </w:p>
        </w:tc>
      </w:tr>
      <w:tr w:rsidR="00C161DB" w:rsidRPr="00FF6757" w14:paraId="6BA6FAEA"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43EA1B4F" w14:textId="77777777" w:rsidR="00C161DB" w:rsidRPr="00FF6757" w:rsidRDefault="00C161DB" w:rsidP="00C161DB">
            <w:pPr>
              <w:spacing w:after="160"/>
              <w:rPr>
                <w:rFonts w:ascii="Arial" w:hAnsi="Arial" w:cs="Arial"/>
              </w:rPr>
            </w:pPr>
            <w:r w:rsidRPr="00FF6757">
              <w:rPr>
                <w:rFonts w:ascii="Arial" w:hAnsi="Arial" w:cs="Arial"/>
              </w:rPr>
              <w:t>3–6</w:t>
            </w:r>
          </w:p>
        </w:tc>
        <w:tc>
          <w:tcPr>
            <w:tcW w:w="0" w:type="auto"/>
            <w:tcBorders>
              <w:top w:val="single" w:sz="4" w:space="0" w:color="auto"/>
              <w:left w:val="single" w:sz="4" w:space="0" w:color="auto"/>
              <w:bottom w:val="single" w:sz="4" w:space="0" w:color="auto"/>
              <w:right w:val="single" w:sz="4" w:space="0" w:color="auto"/>
            </w:tcBorders>
            <w:hideMark/>
          </w:tcPr>
          <w:p w14:paraId="0726841D" w14:textId="77777777" w:rsidR="00C161DB" w:rsidRPr="00FF6757" w:rsidRDefault="00C161DB" w:rsidP="00C161DB">
            <w:pPr>
              <w:spacing w:after="160"/>
              <w:rPr>
                <w:rFonts w:ascii="Arial" w:hAnsi="Arial" w:cs="Arial"/>
              </w:rPr>
            </w:pPr>
            <w:r w:rsidRPr="00FF6757">
              <w:rPr>
                <w:rFonts w:ascii="Arial" w:hAnsi="Arial" w:cs="Arial"/>
              </w:rPr>
              <w:t>Systematic literature review</w:t>
            </w:r>
          </w:p>
        </w:tc>
      </w:tr>
      <w:tr w:rsidR="00C161DB" w:rsidRPr="00FF6757" w14:paraId="2EAC05B0"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7FF4CD8D" w14:textId="77777777" w:rsidR="00C161DB" w:rsidRPr="00FF6757" w:rsidRDefault="00C161DB" w:rsidP="00C161DB">
            <w:pPr>
              <w:spacing w:after="160"/>
              <w:rPr>
                <w:rFonts w:ascii="Arial" w:hAnsi="Arial" w:cs="Arial"/>
              </w:rPr>
            </w:pPr>
            <w:r w:rsidRPr="00FF6757">
              <w:rPr>
                <w:rFonts w:ascii="Arial" w:hAnsi="Arial" w:cs="Arial"/>
              </w:rPr>
              <w:t>7–8</w:t>
            </w:r>
          </w:p>
        </w:tc>
        <w:tc>
          <w:tcPr>
            <w:tcW w:w="0" w:type="auto"/>
            <w:tcBorders>
              <w:top w:val="single" w:sz="4" w:space="0" w:color="auto"/>
              <w:left w:val="single" w:sz="4" w:space="0" w:color="auto"/>
              <w:bottom w:val="single" w:sz="4" w:space="0" w:color="auto"/>
              <w:right w:val="single" w:sz="4" w:space="0" w:color="auto"/>
            </w:tcBorders>
            <w:hideMark/>
          </w:tcPr>
          <w:p w14:paraId="6D7EA5D0" w14:textId="77777777" w:rsidR="00C161DB" w:rsidRPr="00FF6757" w:rsidRDefault="00C161DB" w:rsidP="00C161DB">
            <w:pPr>
              <w:spacing w:after="160"/>
              <w:rPr>
                <w:rFonts w:ascii="Arial" w:hAnsi="Arial" w:cs="Arial"/>
              </w:rPr>
            </w:pPr>
            <w:r w:rsidRPr="00FF6757">
              <w:rPr>
                <w:rFonts w:ascii="Arial" w:hAnsi="Arial" w:cs="Arial"/>
              </w:rPr>
              <w:t>Data synthesis and conceptual framework</w:t>
            </w:r>
          </w:p>
        </w:tc>
      </w:tr>
      <w:tr w:rsidR="00C161DB" w:rsidRPr="00FF6757" w14:paraId="1204D6DF"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186304C9" w14:textId="77777777" w:rsidR="00C161DB" w:rsidRPr="00FF6757" w:rsidRDefault="00C161DB" w:rsidP="00C161DB">
            <w:pPr>
              <w:spacing w:after="160"/>
              <w:rPr>
                <w:rFonts w:ascii="Arial" w:hAnsi="Arial" w:cs="Arial"/>
              </w:rPr>
            </w:pPr>
            <w:r w:rsidRPr="00FF6757">
              <w:rPr>
                <w:rFonts w:ascii="Arial" w:hAnsi="Arial" w:cs="Arial"/>
              </w:rPr>
              <w:t>9–10</w:t>
            </w:r>
          </w:p>
        </w:tc>
        <w:tc>
          <w:tcPr>
            <w:tcW w:w="0" w:type="auto"/>
            <w:tcBorders>
              <w:top w:val="single" w:sz="4" w:space="0" w:color="auto"/>
              <w:left w:val="single" w:sz="4" w:space="0" w:color="auto"/>
              <w:bottom w:val="single" w:sz="4" w:space="0" w:color="auto"/>
              <w:right w:val="single" w:sz="4" w:space="0" w:color="auto"/>
            </w:tcBorders>
            <w:hideMark/>
          </w:tcPr>
          <w:p w14:paraId="29BB5050" w14:textId="77777777" w:rsidR="00C161DB" w:rsidRPr="00FF6757" w:rsidRDefault="00C161DB" w:rsidP="00C161DB">
            <w:pPr>
              <w:spacing w:after="160"/>
              <w:rPr>
                <w:rFonts w:ascii="Arial" w:hAnsi="Arial" w:cs="Arial"/>
              </w:rPr>
            </w:pPr>
            <w:r w:rsidRPr="00FF6757">
              <w:rPr>
                <w:rFonts w:ascii="Arial" w:hAnsi="Arial" w:cs="Arial"/>
              </w:rPr>
              <w:t>Methodology refinement</w:t>
            </w:r>
          </w:p>
        </w:tc>
      </w:tr>
      <w:tr w:rsidR="00C161DB" w:rsidRPr="00FF6757" w14:paraId="67442AB8"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5EB3D944" w14:textId="77777777" w:rsidR="00C161DB" w:rsidRPr="00FF6757" w:rsidRDefault="00C161DB" w:rsidP="00C161DB">
            <w:pPr>
              <w:spacing w:after="160"/>
              <w:rPr>
                <w:rFonts w:ascii="Arial" w:hAnsi="Arial" w:cs="Arial"/>
              </w:rPr>
            </w:pPr>
            <w:r w:rsidRPr="00FF6757">
              <w:rPr>
                <w:rFonts w:ascii="Arial" w:hAnsi="Arial" w:cs="Arial"/>
              </w:rPr>
              <w:t>11–12</w:t>
            </w:r>
          </w:p>
        </w:tc>
        <w:tc>
          <w:tcPr>
            <w:tcW w:w="0" w:type="auto"/>
            <w:tcBorders>
              <w:top w:val="single" w:sz="4" w:space="0" w:color="auto"/>
              <w:left w:val="single" w:sz="4" w:space="0" w:color="auto"/>
              <w:bottom w:val="single" w:sz="4" w:space="0" w:color="auto"/>
              <w:right w:val="single" w:sz="4" w:space="0" w:color="auto"/>
            </w:tcBorders>
            <w:hideMark/>
          </w:tcPr>
          <w:p w14:paraId="34A2DEA5" w14:textId="77777777" w:rsidR="00C161DB" w:rsidRPr="00FF6757" w:rsidRDefault="00C161DB" w:rsidP="00C161DB">
            <w:pPr>
              <w:spacing w:after="160"/>
              <w:rPr>
                <w:rFonts w:ascii="Arial" w:hAnsi="Arial" w:cs="Arial"/>
              </w:rPr>
            </w:pPr>
            <w:r w:rsidRPr="00FF6757">
              <w:rPr>
                <w:rFonts w:ascii="Arial" w:hAnsi="Arial" w:cs="Arial"/>
              </w:rPr>
              <w:t>Analysis and discussion</w:t>
            </w:r>
          </w:p>
        </w:tc>
      </w:tr>
      <w:tr w:rsidR="00C161DB" w:rsidRPr="00FF6757" w14:paraId="1093A3C1" w14:textId="77777777">
        <w:trPr>
          <w:jc w:val="center"/>
        </w:trPr>
        <w:tc>
          <w:tcPr>
            <w:tcW w:w="0" w:type="auto"/>
            <w:tcBorders>
              <w:top w:val="single" w:sz="4" w:space="0" w:color="auto"/>
              <w:left w:val="single" w:sz="4" w:space="0" w:color="auto"/>
              <w:bottom w:val="single" w:sz="4" w:space="0" w:color="auto"/>
              <w:right w:val="single" w:sz="4" w:space="0" w:color="auto"/>
            </w:tcBorders>
            <w:hideMark/>
          </w:tcPr>
          <w:p w14:paraId="3D27B953" w14:textId="77777777" w:rsidR="00C161DB" w:rsidRPr="00FF6757" w:rsidRDefault="00C161DB" w:rsidP="00C161DB">
            <w:pPr>
              <w:spacing w:after="160"/>
              <w:rPr>
                <w:rFonts w:ascii="Arial" w:hAnsi="Arial" w:cs="Arial"/>
              </w:rPr>
            </w:pPr>
            <w:r w:rsidRPr="00FF6757">
              <w:rPr>
                <w:rFonts w:ascii="Arial" w:hAnsi="Arial" w:cs="Arial"/>
              </w:rPr>
              <w:t>13–14</w:t>
            </w:r>
          </w:p>
        </w:tc>
        <w:tc>
          <w:tcPr>
            <w:tcW w:w="0" w:type="auto"/>
            <w:tcBorders>
              <w:top w:val="single" w:sz="4" w:space="0" w:color="auto"/>
              <w:left w:val="single" w:sz="4" w:space="0" w:color="auto"/>
              <w:bottom w:val="single" w:sz="4" w:space="0" w:color="auto"/>
              <w:right w:val="single" w:sz="4" w:space="0" w:color="auto"/>
            </w:tcBorders>
            <w:hideMark/>
          </w:tcPr>
          <w:p w14:paraId="37FD6EE2" w14:textId="77777777" w:rsidR="00C161DB" w:rsidRPr="00FF6757" w:rsidRDefault="00C161DB" w:rsidP="00C161DB">
            <w:pPr>
              <w:spacing w:after="160"/>
              <w:rPr>
                <w:rFonts w:ascii="Arial" w:hAnsi="Arial" w:cs="Arial"/>
              </w:rPr>
            </w:pPr>
            <w:r w:rsidRPr="00FF6757">
              <w:rPr>
                <w:rFonts w:ascii="Arial" w:hAnsi="Arial" w:cs="Arial"/>
              </w:rPr>
              <w:t>Conclusions, recommendations and submission</w:t>
            </w:r>
          </w:p>
        </w:tc>
      </w:tr>
    </w:tbl>
    <w:p w14:paraId="695D6C60" w14:textId="77777777" w:rsidR="00C161DB" w:rsidRPr="00FF6757" w:rsidRDefault="00C161DB" w:rsidP="00E02FB3">
      <w:pPr>
        <w:rPr>
          <w:rFonts w:ascii="Arial" w:hAnsi="Arial" w:cs="Arial"/>
        </w:rPr>
      </w:pPr>
    </w:p>
    <w:p w14:paraId="160B3BD6" w14:textId="77777777" w:rsidR="00C161DB" w:rsidRPr="00FF6757" w:rsidRDefault="00C161DB" w:rsidP="00C161DB">
      <w:pPr>
        <w:keepNext/>
      </w:pPr>
      <w:r w:rsidRPr="00FF6757">
        <w:rPr>
          <w:noProof/>
        </w:rPr>
        <w:drawing>
          <wp:inline distT="0" distB="0" distL="0" distR="0" wp14:anchorId="39C9240D" wp14:editId="77D17DC4">
            <wp:extent cx="5731510" cy="1351280"/>
            <wp:effectExtent l="19050" t="19050" r="21590" b="20320"/>
            <wp:docPr id="2302349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234999" name="Picture 2"/>
                    <pic:cNvPicPr>
                      <a:picLocks noChangeAspect="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1510" cy="1351280"/>
                    </a:xfrm>
                    <a:prstGeom prst="rect">
                      <a:avLst/>
                    </a:prstGeom>
                    <a:noFill/>
                    <a:ln>
                      <a:solidFill>
                        <a:schemeClr val="tx1"/>
                      </a:solidFill>
                    </a:ln>
                  </pic:spPr>
                </pic:pic>
              </a:graphicData>
            </a:graphic>
          </wp:inline>
        </w:drawing>
      </w:r>
    </w:p>
    <w:p w14:paraId="06DFDA90" w14:textId="491234DB" w:rsidR="00C161DB" w:rsidRPr="00E02FB3" w:rsidRDefault="00C161DB" w:rsidP="00C161DB">
      <w:pPr>
        <w:pStyle w:val="Caption"/>
        <w:jc w:val="center"/>
        <w:rPr>
          <w:rFonts w:ascii="Arial" w:hAnsi="Arial" w:cs="Arial"/>
        </w:rPr>
      </w:pPr>
      <w:bookmarkStart w:id="87" w:name="_Toc222947496"/>
      <w:r w:rsidRPr="00FF6757">
        <w:t xml:space="preserve">Figure </w:t>
      </w:r>
      <w:r w:rsidRPr="00FF6757">
        <w:fldChar w:fldCharType="begin"/>
      </w:r>
      <w:r w:rsidRPr="00FF6757">
        <w:instrText xml:space="preserve"> SEQ Figure \* ARABIC </w:instrText>
      </w:r>
      <w:r w:rsidRPr="00FF6757">
        <w:fldChar w:fldCharType="separate"/>
      </w:r>
      <w:r w:rsidRPr="00FF6757">
        <w:t>4</w:t>
      </w:r>
      <w:r w:rsidRPr="00FF6757">
        <w:fldChar w:fldCharType="end"/>
      </w:r>
      <w:r w:rsidRPr="00FF6757">
        <w:t>: Gantt Chart of activity</w:t>
      </w:r>
      <w:bookmarkEnd w:id="87"/>
    </w:p>
    <w:sectPr w:rsidR="00C161DB" w:rsidRPr="00E02FB3">
      <w:footerReference w:type="default" r:id="rI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A666E" w14:textId="77777777" w:rsidR="00E4241D" w:rsidRPr="00FF6757" w:rsidRDefault="00E4241D" w:rsidP="007B65D5">
      <w:pPr>
        <w:spacing w:after="0" w:line="240" w:lineRule="auto"/>
      </w:pPr>
      <w:r w:rsidRPr="00FF6757">
        <w:separator/>
      </w:r>
    </w:p>
  </w:endnote>
  <w:endnote w:type="continuationSeparator" w:id="0">
    <w:p w14:paraId="672494CD" w14:textId="77777777" w:rsidR="00E4241D" w:rsidRPr="00FF6757" w:rsidRDefault="00E4241D" w:rsidP="007B65D5">
      <w:pPr>
        <w:spacing w:after="0" w:line="240" w:lineRule="auto"/>
      </w:pPr>
      <w:r w:rsidRPr="00FF67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7548080"/>
      <w:docPartObj>
        <w:docPartGallery w:val="Page Numbers (Bottom of Page)"/>
        <w:docPartUnique/>
      </w:docPartObj>
    </w:sdtPr>
    <w:sdtContent>
      <w:p w14:paraId="4D1E1FEC" w14:textId="04D7B6F2" w:rsidR="007B65D5" w:rsidRPr="00FF6757" w:rsidRDefault="007B65D5" w:rsidP="007B65D5">
        <w:pPr>
          <w:pStyle w:val="Footer"/>
          <w:jc w:val="right"/>
        </w:pPr>
        <w:r w:rsidRPr="00FF6757">
          <w:fldChar w:fldCharType="begin"/>
        </w:r>
        <w:r w:rsidRPr="00FF6757">
          <w:instrText>PAGE   \* MERGEFORMAT</w:instrText>
        </w:r>
        <w:r w:rsidRPr="00FF6757">
          <w:fldChar w:fldCharType="separate"/>
        </w:r>
        <w:r w:rsidRPr="00FF6757">
          <w:t>2</w:t>
        </w:r>
        <w:r w:rsidRPr="00FF6757">
          <w:fldChar w:fldCharType="end"/>
        </w:r>
      </w:p>
    </w:sdtContent>
  </w:sdt>
  <w:p w14:paraId="28B88BD2" w14:textId="77777777" w:rsidR="007B65D5" w:rsidRPr="00FF6757" w:rsidRDefault="007B65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DEADF" w14:textId="77777777" w:rsidR="00E4241D" w:rsidRPr="00FF6757" w:rsidRDefault="00E4241D" w:rsidP="007B65D5">
      <w:pPr>
        <w:spacing w:after="0" w:line="240" w:lineRule="auto"/>
      </w:pPr>
      <w:r w:rsidRPr="00FF6757">
        <w:separator/>
      </w:r>
    </w:p>
  </w:footnote>
  <w:footnote w:type="continuationSeparator" w:id="0">
    <w:p w14:paraId="5A25D70A" w14:textId="77777777" w:rsidR="00E4241D" w:rsidRPr="00FF6757" w:rsidRDefault="00E4241D" w:rsidP="007B65D5">
      <w:pPr>
        <w:spacing w:after="0" w:line="240" w:lineRule="auto"/>
      </w:pPr>
      <w:r w:rsidRPr="00FF675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9C1"/>
    <w:multiLevelType w:val="hybridMultilevel"/>
    <w:tmpl w:val="D338C5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71A50"/>
    <w:multiLevelType w:val="multilevel"/>
    <w:tmpl w:val="2650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83DC9"/>
    <w:multiLevelType w:val="multilevel"/>
    <w:tmpl w:val="F48E8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C7214F"/>
    <w:multiLevelType w:val="hybridMultilevel"/>
    <w:tmpl w:val="1026D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CF1C8B"/>
    <w:multiLevelType w:val="hybridMultilevel"/>
    <w:tmpl w:val="6C72EE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6B0F1B"/>
    <w:multiLevelType w:val="multilevel"/>
    <w:tmpl w:val="624A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065AD1"/>
    <w:multiLevelType w:val="hybridMultilevel"/>
    <w:tmpl w:val="01AA1576"/>
    <w:lvl w:ilvl="0" w:tplc="E648DF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4253814">
    <w:abstractNumId w:val="3"/>
  </w:num>
  <w:num w:numId="2" w16cid:durableId="1772512418">
    <w:abstractNumId w:val="6"/>
  </w:num>
  <w:num w:numId="3" w16cid:durableId="2006204278">
    <w:abstractNumId w:val="4"/>
  </w:num>
  <w:num w:numId="4" w16cid:durableId="812720830">
    <w:abstractNumId w:val="1"/>
  </w:num>
  <w:num w:numId="5" w16cid:durableId="912817911">
    <w:abstractNumId w:val="2"/>
  </w:num>
  <w:num w:numId="6" w16cid:durableId="1892569833">
    <w:abstractNumId w:val="0"/>
  </w:num>
  <w:num w:numId="7" w16cid:durableId="19050263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F46"/>
    <w:rsid w:val="000354EE"/>
    <w:rsid w:val="00056E02"/>
    <w:rsid w:val="000845BF"/>
    <w:rsid w:val="000B0B30"/>
    <w:rsid w:val="000D2E7A"/>
    <w:rsid w:val="000E7A71"/>
    <w:rsid w:val="0013131A"/>
    <w:rsid w:val="0014065C"/>
    <w:rsid w:val="0019588B"/>
    <w:rsid w:val="001A4C3F"/>
    <w:rsid w:val="001F7D14"/>
    <w:rsid w:val="002216AD"/>
    <w:rsid w:val="002835AC"/>
    <w:rsid w:val="002E5BCF"/>
    <w:rsid w:val="002F21AB"/>
    <w:rsid w:val="00313F46"/>
    <w:rsid w:val="00321E9B"/>
    <w:rsid w:val="00341467"/>
    <w:rsid w:val="003830DD"/>
    <w:rsid w:val="003A5072"/>
    <w:rsid w:val="00420975"/>
    <w:rsid w:val="00463950"/>
    <w:rsid w:val="004E03AE"/>
    <w:rsid w:val="004E68B0"/>
    <w:rsid w:val="004F41A5"/>
    <w:rsid w:val="005D314C"/>
    <w:rsid w:val="00644472"/>
    <w:rsid w:val="006B357C"/>
    <w:rsid w:val="00737893"/>
    <w:rsid w:val="007744DC"/>
    <w:rsid w:val="00775B17"/>
    <w:rsid w:val="00791FF9"/>
    <w:rsid w:val="007B65D5"/>
    <w:rsid w:val="0080105D"/>
    <w:rsid w:val="00867CA1"/>
    <w:rsid w:val="00894B3D"/>
    <w:rsid w:val="008962A7"/>
    <w:rsid w:val="008B1114"/>
    <w:rsid w:val="009B53E4"/>
    <w:rsid w:val="009C361A"/>
    <w:rsid w:val="009D0731"/>
    <w:rsid w:val="00A2471C"/>
    <w:rsid w:val="00A542D5"/>
    <w:rsid w:val="00A978E2"/>
    <w:rsid w:val="00AC0BE6"/>
    <w:rsid w:val="00AF5267"/>
    <w:rsid w:val="00B007C0"/>
    <w:rsid w:val="00B277DE"/>
    <w:rsid w:val="00B438F2"/>
    <w:rsid w:val="00B53793"/>
    <w:rsid w:val="00B5453E"/>
    <w:rsid w:val="00B8366A"/>
    <w:rsid w:val="00BC5F24"/>
    <w:rsid w:val="00BD6CB2"/>
    <w:rsid w:val="00BE1793"/>
    <w:rsid w:val="00BF258A"/>
    <w:rsid w:val="00C07340"/>
    <w:rsid w:val="00C161DB"/>
    <w:rsid w:val="00C23966"/>
    <w:rsid w:val="00C31DEC"/>
    <w:rsid w:val="00C50439"/>
    <w:rsid w:val="00CD4D04"/>
    <w:rsid w:val="00D319D3"/>
    <w:rsid w:val="00DA6BBD"/>
    <w:rsid w:val="00DB39F0"/>
    <w:rsid w:val="00E02FB3"/>
    <w:rsid w:val="00E4241D"/>
    <w:rsid w:val="00E4359E"/>
    <w:rsid w:val="00E44342"/>
    <w:rsid w:val="00E777CC"/>
    <w:rsid w:val="00E95564"/>
    <w:rsid w:val="00F441BE"/>
    <w:rsid w:val="00FA554A"/>
    <w:rsid w:val="00FC4698"/>
    <w:rsid w:val="00FF6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6422E"/>
  <w15:chartTrackingRefBased/>
  <w15:docId w15:val="{741E9EEE-AACC-40A2-A5F5-73D673815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2D5"/>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E7A71"/>
    <w:pPr>
      <w:keepNext/>
      <w:keepLines/>
      <w:spacing w:before="20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6B357C"/>
    <w:pPr>
      <w:keepNext/>
      <w:keepLines/>
      <w:spacing w:before="120" w:after="120" w:line="240" w:lineRule="auto"/>
      <w:jc w:val="center"/>
      <w:outlineLvl w:val="1"/>
    </w:pPr>
    <w:rPr>
      <w:rFonts w:ascii="Arial" w:eastAsiaTheme="majorEastAsia" w:hAnsi="Arial" w:cstheme="majorBidi"/>
      <w:b/>
      <w:sz w:val="26"/>
      <w:szCs w:val="28"/>
    </w:rPr>
  </w:style>
  <w:style w:type="paragraph" w:styleId="Heading3">
    <w:name w:val="heading 3"/>
    <w:basedOn w:val="Normal"/>
    <w:next w:val="Normal"/>
    <w:link w:val="Heading3Char"/>
    <w:uiPriority w:val="9"/>
    <w:unhideWhenUsed/>
    <w:qFormat/>
    <w:rsid w:val="009C361A"/>
    <w:pPr>
      <w:keepNext/>
      <w:keepLines/>
      <w:spacing w:before="80" w:after="80"/>
      <w:outlineLvl w:val="2"/>
    </w:pPr>
    <w:rPr>
      <w:rFonts w:eastAsiaTheme="majorEastAsia" w:cstheme="majorBidi"/>
      <w:b/>
      <w:color w:val="000000" w:themeColor="text1"/>
      <w:kern w:val="0"/>
      <w:szCs w:val="28"/>
      <w14:ligatures w14:val="none"/>
    </w:rPr>
  </w:style>
  <w:style w:type="paragraph" w:styleId="Heading4">
    <w:name w:val="heading 4"/>
    <w:basedOn w:val="Normal"/>
    <w:next w:val="Normal"/>
    <w:link w:val="Heading4Char"/>
    <w:uiPriority w:val="9"/>
    <w:semiHidden/>
    <w:unhideWhenUsed/>
    <w:qFormat/>
    <w:rsid w:val="00313F4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13F4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13F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3F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3F4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3F4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A71"/>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6B357C"/>
    <w:rPr>
      <w:rFonts w:ascii="Arial" w:eastAsiaTheme="majorEastAsia" w:hAnsi="Arial" w:cstheme="majorBidi"/>
      <w:b/>
      <w:sz w:val="26"/>
      <w:szCs w:val="28"/>
    </w:rPr>
  </w:style>
  <w:style w:type="character" w:customStyle="1" w:styleId="Heading3Char">
    <w:name w:val="Heading 3 Char"/>
    <w:basedOn w:val="DefaultParagraphFont"/>
    <w:link w:val="Heading3"/>
    <w:uiPriority w:val="9"/>
    <w:rsid w:val="009C361A"/>
    <w:rPr>
      <w:rFonts w:ascii="Times New Roman" w:eastAsiaTheme="majorEastAsia" w:hAnsi="Times New Roman"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313F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3F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3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3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3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3F46"/>
    <w:rPr>
      <w:rFonts w:eastAsiaTheme="majorEastAsia" w:cstheme="majorBidi"/>
      <w:color w:val="272727" w:themeColor="text1" w:themeTint="D8"/>
    </w:rPr>
  </w:style>
  <w:style w:type="paragraph" w:styleId="Title">
    <w:name w:val="Title"/>
    <w:basedOn w:val="Normal"/>
    <w:next w:val="Normal"/>
    <w:link w:val="TitleChar"/>
    <w:uiPriority w:val="10"/>
    <w:qFormat/>
    <w:rsid w:val="00313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3F4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F46"/>
    <w:pPr>
      <w:spacing w:before="160"/>
      <w:jc w:val="center"/>
    </w:pPr>
    <w:rPr>
      <w:i/>
      <w:iCs/>
      <w:color w:val="404040" w:themeColor="text1" w:themeTint="BF"/>
    </w:rPr>
  </w:style>
  <w:style w:type="character" w:customStyle="1" w:styleId="QuoteChar">
    <w:name w:val="Quote Char"/>
    <w:basedOn w:val="DefaultParagraphFont"/>
    <w:link w:val="Quote"/>
    <w:uiPriority w:val="29"/>
    <w:rsid w:val="00313F46"/>
    <w:rPr>
      <w:rFonts w:ascii="Times New Roman" w:hAnsi="Times New Roman"/>
      <w:i/>
      <w:iCs/>
      <w:color w:val="404040" w:themeColor="text1" w:themeTint="BF"/>
    </w:rPr>
  </w:style>
  <w:style w:type="paragraph" w:styleId="ListParagraph">
    <w:name w:val="List Paragraph"/>
    <w:basedOn w:val="Normal"/>
    <w:uiPriority w:val="34"/>
    <w:qFormat/>
    <w:rsid w:val="00313F46"/>
    <w:pPr>
      <w:ind w:left="720"/>
      <w:contextualSpacing/>
    </w:pPr>
  </w:style>
  <w:style w:type="character" w:styleId="IntenseEmphasis">
    <w:name w:val="Intense Emphasis"/>
    <w:basedOn w:val="DefaultParagraphFont"/>
    <w:uiPriority w:val="21"/>
    <w:qFormat/>
    <w:rsid w:val="00313F46"/>
    <w:rPr>
      <w:i/>
      <w:iCs/>
      <w:color w:val="2F5496" w:themeColor="accent1" w:themeShade="BF"/>
    </w:rPr>
  </w:style>
  <w:style w:type="paragraph" w:styleId="IntenseQuote">
    <w:name w:val="Intense Quote"/>
    <w:basedOn w:val="Normal"/>
    <w:next w:val="Normal"/>
    <w:link w:val="IntenseQuoteChar"/>
    <w:uiPriority w:val="30"/>
    <w:qFormat/>
    <w:rsid w:val="00313F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3F46"/>
    <w:rPr>
      <w:rFonts w:ascii="Times New Roman" w:hAnsi="Times New Roman"/>
      <w:i/>
      <w:iCs/>
      <w:color w:val="2F5496" w:themeColor="accent1" w:themeShade="BF"/>
    </w:rPr>
  </w:style>
  <w:style w:type="character" w:styleId="IntenseReference">
    <w:name w:val="Intense Reference"/>
    <w:basedOn w:val="DefaultParagraphFont"/>
    <w:uiPriority w:val="32"/>
    <w:qFormat/>
    <w:rsid w:val="00313F46"/>
    <w:rPr>
      <w:b/>
      <w:bCs/>
      <w:smallCaps/>
      <w:color w:val="2F5496" w:themeColor="accent1" w:themeShade="BF"/>
      <w:spacing w:val="5"/>
    </w:rPr>
  </w:style>
  <w:style w:type="character" w:styleId="Hyperlink">
    <w:name w:val="Hyperlink"/>
    <w:basedOn w:val="DefaultParagraphFont"/>
    <w:uiPriority w:val="99"/>
    <w:unhideWhenUsed/>
    <w:rsid w:val="00313F46"/>
    <w:rPr>
      <w:color w:val="0563C1" w:themeColor="hyperlink"/>
      <w:u w:val="single"/>
    </w:rPr>
  </w:style>
  <w:style w:type="character" w:styleId="UnresolvedMention">
    <w:name w:val="Unresolved Mention"/>
    <w:basedOn w:val="DefaultParagraphFont"/>
    <w:uiPriority w:val="99"/>
    <w:semiHidden/>
    <w:unhideWhenUsed/>
    <w:rsid w:val="00313F46"/>
    <w:rPr>
      <w:color w:val="605E5C"/>
      <w:shd w:val="clear" w:color="auto" w:fill="E1DFDD"/>
    </w:rPr>
  </w:style>
  <w:style w:type="character" w:styleId="FollowedHyperlink">
    <w:name w:val="FollowedHyperlink"/>
    <w:basedOn w:val="DefaultParagraphFont"/>
    <w:uiPriority w:val="99"/>
    <w:semiHidden/>
    <w:unhideWhenUsed/>
    <w:rsid w:val="000D2E7A"/>
    <w:rPr>
      <w:color w:val="954F72" w:themeColor="followedHyperlink"/>
      <w:u w:val="single"/>
    </w:rPr>
  </w:style>
  <w:style w:type="paragraph" w:styleId="Header">
    <w:name w:val="header"/>
    <w:basedOn w:val="Normal"/>
    <w:link w:val="HeaderChar"/>
    <w:uiPriority w:val="99"/>
    <w:unhideWhenUsed/>
    <w:rsid w:val="007B65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5D5"/>
    <w:rPr>
      <w:rFonts w:ascii="Times New Roman" w:hAnsi="Times New Roman"/>
    </w:rPr>
  </w:style>
  <w:style w:type="paragraph" w:styleId="Footer">
    <w:name w:val="footer"/>
    <w:basedOn w:val="Normal"/>
    <w:link w:val="FooterChar"/>
    <w:uiPriority w:val="99"/>
    <w:unhideWhenUsed/>
    <w:rsid w:val="007B65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5D5"/>
    <w:rPr>
      <w:rFonts w:ascii="Times New Roman" w:hAnsi="Times New Roman"/>
    </w:rPr>
  </w:style>
  <w:style w:type="paragraph" w:styleId="TOCHeading">
    <w:name w:val="TOC Heading"/>
    <w:basedOn w:val="Heading1"/>
    <w:next w:val="Normal"/>
    <w:uiPriority w:val="39"/>
    <w:unhideWhenUsed/>
    <w:qFormat/>
    <w:rsid w:val="007B65D5"/>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B65D5"/>
    <w:pPr>
      <w:spacing w:after="100"/>
    </w:pPr>
  </w:style>
  <w:style w:type="paragraph" w:styleId="TOC2">
    <w:name w:val="toc 2"/>
    <w:basedOn w:val="Normal"/>
    <w:next w:val="Normal"/>
    <w:autoRedefine/>
    <w:uiPriority w:val="39"/>
    <w:unhideWhenUsed/>
    <w:rsid w:val="007B65D5"/>
    <w:pPr>
      <w:spacing w:after="100"/>
      <w:ind w:left="240"/>
    </w:pPr>
  </w:style>
  <w:style w:type="paragraph" w:styleId="TOC3">
    <w:name w:val="toc 3"/>
    <w:basedOn w:val="Normal"/>
    <w:next w:val="Normal"/>
    <w:autoRedefine/>
    <w:uiPriority w:val="39"/>
    <w:unhideWhenUsed/>
    <w:rsid w:val="007B65D5"/>
    <w:pPr>
      <w:spacing w:after="100"/>
      <w:ind w:left="480"/>
    </w:pPr>
  </w:style>
  <w:style w:type="table" w:styleId="TableGrid">
    <w:name w:val="Table Grid"/>
    <w:basedOn w:val="TableNormal"/>
    <w:uiPriority w:val="39"/>
    <w:rsid w:val="001F7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F7D14"/>
    <w:pPr>
      <w:spacing w:after="200" w:line="240" w:lineRule="auto"/>
    </w:pPr>
    <w:rPr>
      <w:i/>
      <w:iCs/>
      <w:color w:val="44546A" w:themeColor="text2"/>
      <w:sz w:val="18"/>
      <w:szCs w:val="18"/>
    </w:rPr>
  </w:style>
  <w:style w:type="paragraph" w:styleId="NormalWeb">
    <w:name w:val="Normal (Web)"/>
    <w:basedOn w:val="Normal"/>
    <w:uiPriority w:val="99"/>
    <w:semiHidden/>
    <w:unhideWhenUsed/>
    <w:rsid w:val="00C07340"/>
    <w:rPr>
      <w:rFonts w:cs="Times New Roman"/>
    </w:rPr>
  </w:style>
  <w:style w:type="paragraph" w:styleId="TableofFigures">
    <w:name w:val="table of figures"/>
    <w:basedOn w:val="Normal"/>
    <w:next w:val="Normal"/>
    <w:uiPriority w:val="99"/>
    <w:unhideWhenUsed/>
    <w:rsid w:val="00321E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3390/ijfs10020024" TargetMode="External"/><Relationship Id="rId21" Type="http://schemas.openxmlformats.org/officeDocument/2006/relationships/hyperlink" Target="https://doi.org/10.3390/forecast7040065" TargetMode="External"/><Relationship Id="rId42" Type="http://schemas.openxmlformats.org/officeDocument/2006/relationships/hyperlink" Target="https://doi.org/10.3390/risks12070107" TargetMode="External"/><Relationship Id="rId47" Type="http://schemas.openxmlformats.org/officeDocument/2006/relationships/hyperlink" Target="https://doi.org/10.1016/j.frl.2022.103476" TargetMode="External"/><Relationship Id="rId63" Type="http://schemas.openxmlformats.org/officeDocument/2006/relationships/hyperlink" Target="https://doi.org/10.1002/ijfe.2158" TargetMode="External"/><Relationship Id="rId68" Type="http://schemas.openxmlformats.org/officeDocument/2006/relationships/hyperlink" Target="https://doi.org/10.3390/economies12120326" TargetMode="External"/><Relationship Id="rId16" Type="http://schemas.openxmlformats.org/officeDocument/2006/relationships/hyperlink" Target="https://doi.org/10.3390/jrfm15110499" TargetMode="External"/><Relationship Id="rId11" Type="http://schemas.openxmlformats.org/officeDocument/2006/relationships/hyperlink" Target="https://doi.org/10.3390/su16104177" TargetMode="External"/><Relationship Id="rId32" Type="http://schemas.openxmlformats.org/officeDocument/2006/relationships/hyperlink" Target="https://doi.org/10.1016/j.qref.2023.06.004" TargetMode="External"/><Relationship Id="rId37" Type="http://schemas.openxmlformats.org/officeDocument/2006/relationships/hyperlink" Target="http://imtijotas.org.ng/index.php/about/article/view/99" TargetMode="External"/><Relationship Id="rId53" Type="http://schemas.openxmlformats.org/officeDocument/2006/relationships/hyperlink" Target="https://doi.org/10.3390/jrfm17080365" TargetMode="External"/><Relationship Id="rId58" Type="http://schemas.openxmlformats.org/officeDocument/2006/relationships/hyperlink" Target="https://doi.org/10.3390/jrfm17080337" TargetMode="External"/><Relationship Id="rId74" Type="http://schemas.openxmlformats.org/officeDocument/2006/relationships/hyperlink" Target="https://doi.org/10.1145/3785706.3785734"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doi.org/10.61194/ijat.v2i3.481" TargetMode="External"/><Relationship Id="rId19" Type="http://schemas.openxmlformats.org/officeDocument/2006/relationships/hyperlink" Target="https://doi.org/10.1186/s40537-022-00676-2" TargetMode="External"/><Relationship Id="rId14" Type="http://schemas.openxmlformats.org/officeDocument/2006/relationships/hyperlink" Target="https://www.mdpi.com/2227-9091/10/5/107" TargetMode="External"/><Relationship Id="rId22" Type="http://schemas.openxmlformats.org/officeDocument/2006/relationships/hyperlink" Target="https://doi.org/10.3390/jrfm16070312" TargetMode="External"/><Relationship Id="rId27" Type="http://schemas.openxmlformats.org/officeDocument/2006/relationships/hyperlink" Target="https://doi.org/10.59091/2460-9196.2369" TargetMode="External"/><Relationship Id="rId30" Type="http://schemas.openxmlformats.org/officeDocument/2006/relationships/hyperlink" Target="https://doi.org/10.3390/jrfm15040167" TargetMode="External"/><Relationship Id="rId35" Type="http://schemas.openxmlformats.org/officeDocument/2006/relationships/hyperlink" Target="https://doi.org/10.1016/j.jempfin.2021.11.003" TargetMode="External"/><Relationship Id="rId43" Type="http://schemas.openxmlformats.org/officeDocument/2006/relationships/hyperlink" Target="https://doi.org/10.1016/j.iref.2022.11.009" TargetMode="External"/><Relationship Id="rId48" Type="http://schemas.openxmlformats.org/officeDocument/2006/relationships/hyperlink" Target="https://doi.org/10.3390/axioms11030134" TargetMode="External"/><Relationship Id="rId56" Type="http://schemas.openxmlformats.org/officeDocument/2006/relationships/hyperlink" Target="https://doi.org/10.3390/jrfm14060270" TargetMode="External"/><Relationship Id="rId64" Type="http://schemas.openxmlformats.org/officeDocument/2006/relationships/hyperlink" Target="https://doi.org/10.1016/j.mulfin.2023.100784" TargetMode="External"/><Relationship Id="rId69" Type="http://schemas.openxmlformats.org/officeDocument/2006/relationships/hyperlink" Target="https://doi.org/10.3390/ijfs13030151" TargetMode="External"/><Relationship Id="rId77" Type="http://schemas.openxmlformats.org/officeDocument/2006/relationships/hyperlink" Target="https://doi.org/10.3390/jrfm16040250" TargetMode="External"/><Relationship Id="rId8" Type="http://schemas.openxmlformats.org/officeDocument/2006/relationships/image" Target="media/image1.png"/><Relationship Id="rId51" Type="http://schemas.openxmlformats.org/officeDocument/2006/relationships/hyperlink" Target="https://doi.org/10.3390/ijfs11040136" TargetMode="External"/><Relationship Id="rId72" Type="http://schemas.openxmlformats.org/officeDocument/2006/relationships/hyperlink" Target="https://doi.org/10.1016/j.resourpol.2022.102586"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doi.org/10.2139/ssrn.4978886" TargetMode="External"/><Relationship Id="rId17" Type="http://schemas.openxmlformats.org/officeDocument/2006/relationships/hyperlink" Target="https://doi.org/10.3390/jrfm13040084" TargetMode="External"/><Relationship Id="rId25" Type="http://schemas.openxmlformats.org/officeDocument/2006/relationships/hyperlink" Target="https://doi.org/10.1016/j.jimonfin.2024.103067" TargetMode="External"/><Relationship Id="rId33" Type="http://schemas.openxmlformats.org/officeDocument/2006/relationships/hyperlink" Target="https://doi.org/10.1016/j.mlwa.2025.100648" TargetMode="External"/><Relationship Id="rId38" Type="http://schemas.openxmlformats.org/officeDocument/2006/relationships/hyperlink" Target="https://doi.org/10.3390/risks12090139" TargetMode="External"/><Relationship Id="rId46" Type="http://schemas.openxmlformats.org/officeDocument/2006/relationships/hyperlink" Target="https://doi.org/10.3390/ijfs6040086" TargetMode="External"/><Relationship Id="rId59" Type="http://schemas.openxmlformats.org/officeDocument/2006/relationships/hyperlink" Target="https://doi.org/10.3390/risks12070114" TargetMode="External"/><Relationship Id="rId67" Type="http://schemas.openxmlformats.org/officeDocument/2006/relationships/hyperlink" Target="https://doi.org/10.3390/computation12120233" TargetMode="External"/><Relationship Id="rId20" Type="http://schemas.openxmlformats.org/officeDocument/2006/relationships/hyperlink" Target="https://doi.org/10.1093/jjfinec/nbz003" TargetMode="External"/><Relationship Id="rId41" Type="http://schemas.openxmlformats.org/officeDocument/2006/relationships/hyperlink" Target="https://doi.org/10.1016/j.ribaf.2021.101543" TargetMode="External"/><Relationship Id="rId54" Type="http://schemas.openxmlformats.org/officeDocument/2006/relationships/hyperlink" Target="https://doi.org/10.3390/math11061396" TargetMode="External"/><Relationship Id="rId62" Type="http://schemas.openxmlformats.org/officeDocument/2006/relationships/hyperlink" Target="https://doi.org/10.3390/su142114447" TargetMode="External"/><Relationship Id="rId70" Type="http://schemas.openxmlformats.org/officeDocument/2006/relationships/hyperlink" Target="https://jurnal.uibbc.ac.id/index.php/ijobba/article/view/1235" TargetMode="External"/><Relationship Id="rId75" Type="http://schemas.openxmlformats.org/officeDocument/2006/relationships/hyperlink" Target="https://doi.org/10.3390/jrfm1708033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dpi.com/1911-8074/16/1/3" TargetMode="External"/><Relationship Id="rId23" Type="http://schemas.openxmlformats.org/officeDocument/2006/relationships/hyperlink" Target="https://doi.org/10.1016/j.irfa.2021.101748" TargetMode="External"/><Relationship Id="rId28" Type="http://schemas.openxmlformats.org/officeDocument/2006/relationships/hyperlink" Target="https://doi.org/10.3390/jrfm17020079" TargetMode="External"/><Relationship Id="rId36" Type="http://schemas.openxmlformats.org/officeDocument/2006/relationships/hyperlink" Target="https://doi.org/10.1016/j.qref.2020.09.001" TargetMode="External"/><Relationship Id="rId49" Type="http://schemas.openxmlformats.org/officeDocument/2006/relationships/hyperlink" Target="https://doi.org/10.3390/fintech1020008" TargetMode="External"/><Relationship Id="rId57" Type="http://schemas.openxmlformats.org/officeDocument/2006/relationships/hyperlink" Target="https://doi.org/10.3390/ijfs10030072" TargetMode="External"/><Relationship Id="rId10" Type="http://schemas.openxmlformats.org/officeDocument/2006/relationships/image" Target="media/image3.png"/><Relationship Id="rId31" Type="http://schemas.openxmlformats.org/officeDocument/2006/relationships/hyperlink" Target="https://doi.org/10.3390/engproc2023039081" TargetMode="External"/><Relationship Id="rId44" Type="http://schemas.openxmlformats.org/officeDocument/2006/relationships/hyperlink" Target="https://doi.org/10.3390/e27060635" TargetMode="External"/><Relationship Id="rId52" Type="http://schemas.openxmlformats.org/officeDocument/2006/relationships/hyperlink" Target="https://doi.org/10.2139/ssrn.4979859" TargetMode="External"/><Relationship Id="rId60" Type="http://schemas.openxmlformats.org/officeDocument/2006/relationships/hyperlink" Target="https://doi.org/10.3390/fintech4020022" TargetMode="External"/><Relationship Id="rId65" Type="http://schemas.openxmlformats.org/officeDocument/2006/relationships/hyperlink" Target="https://doi.org/10.2139/ssrn.5441600" TargetMode="External"/><Relationship Id="rId73" Type="http://schemas.openxmlformats.org/officeDocument/2006/relationships/hyperlink" Target="https://doi.org/10.52970/grmilf.v3i1.352" TargetMode="External"/><Relationship Id="rId78" Type="http://schemas.openxmlformats.org/officeDocument/2006/relationships/image" Target="media/image4.png"/><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3390/risks12040071" TargetMode="External"/><Relationship Id="rId18" Type="http://schemas.openxmlformats.org/officeDocument/2006/relationships/hyperlink" Target="https://doi.org/10.1016/j.jfs.2021.100969" TargetMode="External"/><Relationship Id="rId39" Type="http://schemas.openxmlformats.org/officeDocument/2006/relationships/hyperlink" Target="https://doi.org/10.1177/21582440251314719" TargetMode="External"/><Relationship Id="rId34" Type="http://schemas.openxmlformats.org/officeDocument/2006/relationships/hyperlink" Target="https://doi.org/10.3390/jrfm16120495" TargetMode="External"/><Relationship Id="rId50" Type="http://schemas.openxmlformats.org/officeDocument/2006/relationships/hyperlink" Target="https://doi.org/10.3390/jrfm18070376" TargetMode="External"/><Relationship Id="rId55" Type="http://schemas.openxmlformats.org/officeDocument/2006/relationships/hyperlink" Target="https://doi.org/10.1108/mf-10-2022-0472" TargetMode="External"/><Relationship Id="rId76" Type="http://schemas.openxmlformats.org/officeDocument/2006/relationships/hyperlink" Target="https://doi.org/10.3390/jrfm17120557" TargetMode="External"/><Relationship Id="rId7" Type="http://schemas.openxmlformats.org/officeDocument/2006/relationships/endnotes" Target="endnotes.xml"/><Relationship Id="rId71" Type="http://schemas.openxmlformats.org/officeDocument/2006/relationships/hyperlink" Target="https://doi.org/10.3390/en15145220" TargetMode="External"/><Relationship Id="rId2" Type="http://schemas.openxmlformats.org/officeDocument/2006/relationships/numbering" Target="numbering.xml"/><Relationship Id="rId29" Type="http://schemas.openxmlformats.org/officeDocument/2006/relationships/hyperlink" Target="https://doi.org/10.1016/j.jcorpfin.2023.102365" TargetMode="External"/><Relationship Id="rId24" Type="http://schemas.openxmlformats.org/officeDocument/2006/relationships/hyperlink" Target="https://doi.org/10.3390/economies12110296" TargetMode="External"/><Relationship Id="rId40" Type="http://schemas.openxmlformats.org/officeDocument/2006/relationships/hyperlink" Target="https://doi.org/10.1093/jjfinec/nbaa016" TargetMode="External"/><Relationship Id="rId45" Type="http://schemas.openxmlformats.org/officeDocument/2006/relationships/hyperlink" Target="https://savearchive.zbw.eu/bitstream/11159/654487/1/1895450764_0.pdf" TargetMode="External"/><Relationship Id="rId66" Type="http://schemas.openxmlformats.org/officeDocument/2006/relationships/hyperlink" Target="https://doi.org/10.3390/risks130901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5A551-9647-417E-8B02-82CF3208B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76</Pages>
  <Words>21681</Words>
  <Characters>123585</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Stefan anonimul</cp:lastModifiedBy>
  <cp:revision>7</cp:revision>
  <dcterms:created xsi:type="dcterms:W3CDTF">2026-02-22T07:17:00Z</dcterms:created>
  <dcterms:modified xsi:type="dcterms:W3CDTF">2026-05-06T03:48:00Z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449aaa6c-da90-4de6-88da-f99af63813d7</vt:lpwstr>
  </property>
</Properties>
</file>