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9D726" w14:textId="46CF0D17" w:rsidR="00F92E2A" w:rsidRDefault="00F92E2A" w:rsidP="00F92E2A">
      <w:pPr>
        <w:jc w:val="center"/>
        <w:rPr>
          <w:rFonts w:cs="Times New Roman"/>
          <w:b/>
          <w:noProof w:val="0"/>
          <w:sz w:val="40"/>
          <w:szCs w:val="20"/>
        </w:rPr>
      </w:pPr>
      <w:r>
        <w:rPr>
          <w:rFonts w:cs="Times New Roman"/>
          <w:b/>
        </w:rPr>
        <w:drawing>
          <wp:inline distT="0" distB="0" distL="0" distR="0" wp14:anchorId="02C59D22" wp14:editId="1B91E370">
            <wp:extent cx="2501900" cy="825500"/>
            <wp:effectExtent l="0" t="0" r="0" b="0"/>
            <wp:docPr id="112997072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08A25C90" w14:textId="77777777" w:rsidR="00F92E2A" w:rsidRDefault="00F92E2A" w:rsidP="00F92E2A">
      <w:pPr>
        <w:spacing w:after="120"/>
        <w:jc w:val="center"/>
        <w:rPr>
          <w:rFonts w:cs="Arial"/>
          <w:sz w:val="32"/>
          <w:szCs w:val="28"/>
        </w:rPr>
      </w:pPr>
    </w:p>
    <w:p w14:paraId="238014F1" w14:textId="0A4EB5D5" w:rsidR="00F92E2A" w:rsidRPr="00F92E2A" w:rsidRDefault="00F92E2A" w:rsidP="00F92E2A">
      <w:pPr>
        <w:spacing w:after="120"/>
        <w:jc w:val="center"/>
        <w:rPr>
          <w:rFonts w:cs="Times New Roman"/>
          <w:b/>
          <w:bCs/>
          <w:i/>
          <w:iCs/>
          <w:noProof w:val="0"/>
          <w:sz w:val="22"/>
          <w:szCs w:val="20"/>
        </w:rPr>
      </w:pPr>
      <w:r w:rsidRPr="00F92E2A">
        <w:rPr>
          <w:rFonts w:cs="Arial"/>
          <w:b/>
          <w:bCs/>
          <w:i/>
          <w:iCs/>
          <w:sz w:val="38"/>
          <w:szCs w:val="34"/>
        </w:rPr>
        <w:t>Report on InterContinental Hotels Group (IHG)</w:t>
      </w:r>
    </w:p>
    <w:p w14:paraId="55614BA2" w14:textId="77777777" w:rsidR="00F92E2A" w:rsidRPr="00F92E2A" w:rsidRDefault="00F92E2A" w:rsidP="00F92E2A">
      <w:pPr>
        <w:spacing w:after="120"/>
        <w:jc w:val="center"/>
        <w:rPr>
          <w:rFonts w:cs="Times New Roman"/>
          <w:b/>
          <w:sz w:val="34"/>
          <w:szCs w:val="12"/>
        </w:rPr>
      </w:pPr>
    </w:p>
    <w:p w14:paraId="03B03254" w14:textId="57C5ABEB" w:rsidR="00F92E2A" w:rsidRPr="00F92E2A" w:rsidRDefault="00F92E2A" w:rsidP="00F92E2A">
      <w:pPr>
        <w:spacing w:after="120"/>
        <w:jc w:val="center"/>
        <w:rPr>
          <w:sz w:val="26"/>
          <w:szCs w:val="26"/>
        </w:rPr>
      </w:pPr>
      <w:r w:rsidRPr="00F92E2A">
        <w:rPr>
          <w:rFonts w:cs="Times New Roman"/>
          <w:b/>
          <w:sz w:val="34"/>
          <w:szCs w:val="12"/>
        </w:rPr>
        <w:t xml:space="preserve">Module Name </w:t>
      </w:r>
    </w:p>
    <w:p w14:paraId="19876CA7" w14:textId="77777777" w:rsidR="00F92E2A" w:rsidRPr="00F92E2A" w:rsidRDefault="00F92E2A" w:rsidP="00F92E2A">
      <w:pPr>
        <w:spacing w:after="120"/>
        <w:jc w:val="center"/>
        <w:rPr>
          <w:rFonts w:cs="Times New Roman"/>
          <w:sz w:val="30"/>
          <w:szCs w:val="30"/>
        </w:rPr>
      </w:pPr>
      <w:r w:rsidRPr="00F92E2A">
        <w:rPr>
          <w:rFonts w:cs="Arial"/>
          <w:i/>
          <w:iCs/>
          <w:sz w:val="30"/>
          <w:szCs w:val="30"/>
        </w:rPr>
        <w:t>Management &amp; Organisational Behaviour (BMIH5004)</w:t>
      </w:r>
    </w:p>
    <w:p w14:paraId="7B5FF59E" w14:textId="77777777" w:rsidR="00F92E2A" w:rsidRPr="00F92E2A" w:rsidRDefault="00F92E2A" w:rsidP="00F92E2A">
      <w:pPr>
        <w:jc w:val="center"/>
        <w:rPr>
          <w:rFonts w:cs="Times New Roman"/>
          <w:b/>
          <w:bCs/>
          <w:sz w:val="20"/>
          <w:szCs w:val="18"/>
        </w:rPr>
      </w:pPr>
    </w:p>
    <w:p w14:paraId="2B5E9C05" w14:textId="77777777" w:rsidR="00F92E2A" w:rsidRPr="00F92E2A" w:rsidRDefault="00F92E2A" w:rsidP="00F92E2A">
      <w:pPr>
        <w:spacing w:after="120"/>
        <w:jc w:val="center"/>
        <w:rPr>
          <w:rFonts w:cs="Times New Roman"/>
          <w:b/>
          <w:bCs/>
          <w:sz w:val="34"/>
          <w:szCs w:val="32"/>
        </w:rPr>
      </w:pPr>
      <w:r w:rsidRPr="00F92E2A">
        <w:rPr>
          <w:rFonts w:cs="Times New Roman"/>
          <w:b/>
          <w:bCs/>
          <w:sz w:val="34"/>
          <w:szCs w:val="32"/>
        </w:rPr>
        <w:t>Lecturer’s Name</w:t>
      </w:r>
    </w:p>
    <w:p w14:paraId="67943BC3" w14:textId="77777777" w:rsidR="00F92E2A" w:rsidRPr="00F92E2A" w:rsidRDefault="00F92E2A" w:rsidP="00F92E2A">
      <w:pPr>
        <w:spacing w:after="120"/>
        <w:jc w:val="center"/>
        <w:rPr>
          <w:rFonts w:cs="Arial"/>
          <w:sz w:val="30"/>
          <w:szCs w:val="26"/>
        </w:rPr>
      </w:pPr>
      <w:r w:rsidRPr="00F92E2A">
        <w:rPr>
          <w:rFonts w:cs="Arial"/>
          <w:sz w:val="30"/>
          <w:szCs w:val="24"/>
        </w:rPr>
        <w:t>Lan Zhang</w:t>
      </w:r>
    </w:p>
    <w:p w14:paraId="3CC5A0C6" w14:textId="77777777" w:rsidR="00F92E2A" w:rsidRPr="00F92E2A" w:rsidRDefault="00F92E2A" w:rsidP="00F92E2A">
      <w:pPr>
        <w:jc w:val="center"/>
        <w:rPr>
          <w:rFonts w:cs="Times New Roman"/>
          <w:b/>
          <w:noProof w:val="0"/>
          <w:sz w:val="18"/>
          <w:szCs w:val="4"/>
        </w:rPr>
      </w:pPr>
    </w:p>
    <w:p w14:paraId="04B5AC37" w14:textId="77777777" w:rsidR="00F92E2A" w:rsidRPr="00F92E2A" w:rsidRDefault="00F92E2A" w:rsidP="00F92E2A">
      <w:pPr>
        <w:spacing w:after="120"/>
        <w:jc w:val="center"/>
        <w:rPr>
          <w:rFonts w:cs="Times New Roman"/>
          <w:b/>
          <w:sz w:val="34"/>
          <w:szCs w:val="12"/>
        </w:rPr>
      </w:pPr>
      <w:r w:rsidRPr="00F92E2A">
        <w:rPr>
          <w:rFonts w:cs="Times New Roman"/>
          <w:b/>
          <w:sz w:val="34"/>
          <w:szCs w:val="12"/>
        </w:rPr>
        <w:t>Prepared by</w:t>
      </w:r>
    </w:p>
    <w:p w14:paraId="489C7D1E" w14:textId="77777777" w:rsidR="00F92E2A" w:rsidRPr="00F92E2A" w:rsidRDefault="00F92E2A" w:rsidP="00F92E2A">
      <w:pPr>
        <w:spacing w:after="120"/>
        <w:jc w:val="center"/>
        <w:rPr>
          <w:rFonts w:cs="Arial"/>
          <w:sz w:val="30"/>
          <w:szCs w:val="24"/>
        </w:rPr>
      </w:pPr>
      <w:r w:rsidRPr="00F92E2A">
        <w:rPr>
          <w:rFonts w:cs="Arial"/>
          <w:sz w:val="30"/>
          <w:szCs w:val="24"/>
        </w:rPr>
        <w:t>Md Oliur Rahman</w:t>
      </w:r>
    </w:p>
    <w:p w14:paraId="3678B826" w14:textId="77777777" w:rsidR="00F92E2A" w:rsidRPr="00F92E2A" w:rsidRDefault="00F92E2A" w:rsidP="00F92E2A">
      <w:pPr>
        <w:spacing w:after="120"/>
        <w:jc w:val="center"/>
        <w:rPr>
          <w:rFonts w:cs="Arial"/>
          <w:sz w:val="30"/>
          <w:szCs w:val="24"/>
        </w:rPr>
      </w:pPr>
      <w:r w:rsidRPr="00F92E2A">
        <w:rPr>
          <w:rFonts w:cs="Arial"/>
          <w:sz w:val="30"/>
          <w:szCs w:val="24"/>
        </w:rPr>
        <w:t>Student ID: 2207462</w:t>
      </w:r>
    </w:p>
    <w:p w14:paraId="503D51E3" w14:textId="77777777" w:rsidR="00F92E2A" w:rsidRPr="00F92E2A" w:rsidRDefault="00F92E2A" w:rsidP="00F92E2A">
      <w:pPr>
        <w:rPr>
          <w:b/>
          <w:bCs/>
          <w:noProof w:val="0"/>
          <w:sz w:val="18"/>
          <w:szCs w:val="16"/>
        </w:rPr>
      </w:pPr>
    </w:p>
    <w:p w14:paraId="5B7B4143" w14:textId="77777777" w:rsidR="00F92E2A" w:rsidRPr="00F92E2A" w:rsidRDefault="00F92E2A" w:rsidP="00F92E2A">
      <w:pPr>
        <w:spacing w:after="0"/>
        <w:jc w:val="center"/>
        <w:rPr>
          <w:b/>
          <w:bCs/>
          <w:sz w:val="34"/>
          <w:szCs w:val="32"/>
        </w:rPr>
      </w:pPr>
      <w:r w:rsidRPr="00F92E2A">
        <w:rPr>
          <w:b/>
          <w:bCs/>
          <w:sz w:val="34"/>
          <w:szCs w:val="32"/>
        </w:rPr>
        <w:t>Word Count</w:t>
      </w:r>
    </w:p>
    <w:p w14:paraId="22839257" w14:textId="19679338" w:rsidR="00F92E2A" w:rsidRDefault="00F92E2A" w:rsidP="00F92E2A">
      <w:pPr>
        <w:spacing w:after="0"/>
        <w:jc w:val="center"/>
        <w:rPr>
          <w:rFonts w:cs="Arial"/>
          <w:i/>
          <w:iCs/>
          <w:sz w:val="32"/>
          <w:szCs w:val="32"/>
        </w:rPr>
      </w:pPr>
      <w:r w:rsidRPr="00F92E2A">
        <w:rPr>
          <w:sz w:val="30"/>
          <w:szCs w:val="28"/>
        </w:rPr>
        <w:t>2</w:t>
      </w:r>
      <w:r w:rsidRPr="00F92E2A">
        <w:rPr>
          <w:sz w:val="30"/>
          <w:szCs w:val="28"/>
        </w:rPr>
        <w:t>149</w:t>
      </w:r>
      <w:r w:rsidRPr="00F92E2A">
        <w:rPr>
          <w:sz w:val="30"/>
          <w:szCs w:val="28"/>
        </w:rPr>
        <w:t xml:space="preserve"> words</w:t>
      </w:r>
    </w:p>
    <w:p w14:paraId="0DFE246F" w14:textId="77777777" w:rsidR="00F92E2A" w:rsidRDefault="00F92E2A" w:rsidP="005548CD">
      <w:pPr>
        <w:rPr>
          <w:rFonts w:cs="Arial"/>
          <w:sz w:val="32"/>
          <w:szCs w:val="28"/>
        </w:rPr>
      </w:pPr>
    </w:p>
    <w:p w14:paraId="32E7C6C7" w14:textId="109F69F5" w:rsidR="00BB272F" w:rsidRDefault="00BB272F" w:rsidP="005548CD">
      <w:pPr>
        <w:jc w:val="left"/>
        <w:rPr>
          <w:rFonts w:cs="Arial"/>
          <w:sz w:val="32"/>
          <w:szCs w:val="28"/>
        </w:rPr>
      </w:pPr>
    </w:p>
    <w:p w14:paraId="6A5A06DD" w14:textId="77777777" w:rsidR="00F92E2A" w:rsidRDefault="00F92E2A" w:rsidP="005548CD">
      <w:pPr>
        <w:jc w:val="left"/>
        <w:rPr>
          <w:rFonts w:cs="Arial"/>
          <w:sz w:val="32"/>
          <w:szCs w:val="28"/>
        </w:rPr>
      </w:pPr>
    </w:p>
    <w:p w14:paraId="44A4E6C1" w14:textId="77777777" w:rsidR="00F92E2A" w:rsidRPr="005548CD" w:rsidRDefault="00F92E2A" w:rsidP="005548CD">
      <w:pPr>
        <w:jc w:val="left"/>
        <w:rPr>
          <w:rFonts w:cs="Arial"/>
          <w:sz w:val="32"/>
          <w:szCs w:val="28"/>
        </w:rPr>
      </w:pPr>
    </w:p>
    <w:p w14:paraId="2F512414" w14:textId="408908E4" w:rsidR="00B5191B" w:rsidRPr="005548CD" w:rsidRDefault="00BB272F" w:rsidP="005548CD">
      <w:pPr>
        <w:pStyle w:val="Heading1"/>
        <w:rPr>
          <w:rFonts w:cs="Arial"/>
        </w:rPr>
      </w:pPr>
      <w:bookmarkStart w:id="0" w:name="_Toc168079032"/>
      <w:r w:rsidRPr="005548CD">
        <w:rPr>
          <w:rFonts w:cs="Arial"/>
        </w:rPr>
        <w:lastRenderedPageBreak/>
        <w:t>Executive Summary</w:t>
      </w:r>
      <w:bookmarkEnd w:id="0"/>
    </w:p>
    <w:p w14:paraId="42B7A453" w14:textId="4E6AA936" w:rsidR="00BB272F" w:rsidRPr="005548CD" w:rsidRDefault="00BB272F" w:rsidP="005548CD">
      <w:pPr>
        <w:rPr>
          <w:rFonts w:cs="Arial"/>
        </w:rPr>
      </w:pPr>
      <w:r w:rsidRPr="005548CD">
        <w:rPr>
          <w:rFonts w:cs="Arial"/>
        </w:rPr>
        <w:t>Globally, InterContinental Hotels Group (IHG) is a big name in the hotel business. IHG uses both divisional autonomy and professional knowledge to make things run more smoothly. The company's operations are based on its organizational culture, which is based on accountability and new ideas. Its main goals are strong growth, long-term sustainability through programs like "Journey to Tomorrow," and high customer satisfaction through personalized technology. For high service standards and flexibility, the divisional and professional bureaucracy systems work.</w:t>
      </w:r>
    </w:p>
    <w:p w14:paraId="044024AF" w14:textId="6CEA52A2" w:rsidR="00BB272F" w:rsidRPr="005548CD" w:rsidRDefault="00BB272F" w:rsidP="005548CD">
      <w:pPr>
        <w:rPr>
          <w:rFonts w:cs="Arial"/>
        </w:rPr>
      </w:pPr>
      <w:r w:rsidRPr="005548CD">
        <w:rPr>
          <w:rFonts w:cs="Arial"/>
        </w:rPr>
        <w:t>A close study of IHG's adaptive change management during COVID-19 using ADKAR and William Bridges' models reveals how strong it is. IHG really values new ideas and creating its own markets, as shown by the Blue Ocean Strategy. For future growth planning, the Ansoff Matrix suggests growing, developing, and making new products. Comparing IHG and Marriott International shows areas where they can do better, mainly when it comes to reaching more customers and making more money.</w:t>
      </w:r>
    </w:p>
    <w:p w14:paraId="0044DD76" w14:textId="2BCC0F10" w:rsidR="00BB272F" w:rsidRPr="005548CD" w:rsidRDefault="00BB272F" w:rsidP="005548CD">
      <w:pPr>
        <w:rPr>
          <w:rFonts w:cs="Arial"/>
        </w:rPr>
      </w:pPr>
      <w:r w:rsidRPr="005548CD">
        <w:rPr>
          <w:rFonts w:cs="Arial"/>
        </w:rPr>
        <w:t>It is suggested that IHG become more adaptable, create a strong and diverse culture, invest in leadership and education, expand its reach by opening more hotels in more places, and keep comparing itself to competitors such as Marriott. This is what IHG is doing to stay in the hotel business for a long time and become more competitive.</w:t>
      </w:r>
    </w:p>
    <w:p w14:paraId="440A5107" w14:textId="77777777" w:rsidR="00BB272F" w:rsidRPr="005548CD" w:rsidRDefault="00BB272F" w:rsidP="005548CD">
      <w:pPr>
        <w:rPr>
          <w:rFonts w:cs="Arial"/>
          <w:sz w:val="32"/>
          <w:szCs w:val="28"/>
        </w:rPr>
      </w:pPr>
    </w:p>
    <w:p w14:paraId="5172F943" w14:textId="4B0655AF" w:rsidR="001A497C" w:rsidRPr="005548CD" w:rsidRDefault="001A497C" w:rsidP="005548CD">
      <w:pPr>
        <w:jc w:val="left"/>
        <w:rPr>
          <w:rFonts w:eastAsiaTheme="majorEastAsia" w:cs="Arial"/>
          <w:b/>
          <w:color w:val="2F5496" w:themeColor="accent1" w:themeShade="BF"/>
          <w:sz w:val="32"/>
          <w:szCs w:val="32"/>
        </w:rPr>
      </w:pPr>
      <w:r w:rsidRPr="005548CD">
        <w:rPr>
          <w:rFonts w:cs="Arial"/>
        </w:rPr>
        <w:br w:type="page"/>
      </w:r>
    </w:p>
    <w:sdt>
      <w:sdtPr>
        <w:rPr>
          <w:rFonts w:eastAsiaTheme="minorHAnsi" w:cs="Arial"/>
          <w:color w:val="auto"/>
          <w:sz w:val="24"/>
          <w:szCs w:val="22"/>
        </w:rPr>
        <w:id w:val="-656529030"/>
        <w:docPartObj>
          <w:docPartGallery w:val="Table of Contents"/>
          <w:docPartUnique/>
        </w:docPartObj>
      </w:sdtPr>
      <w:sdtContent>
        <w:p w14:paraId="7B53FF44" w14:textId="7DA635ED" w:rsidR="001A497C" w:rsidRPr="005548CD" w:rsidRDefault="001A497C" w:rsidP="005548CD">
          <w:pPr>
            <w:pStyle w:val="TOCHeading"/>
            <w:spacing w:line="360" w:lineRule="auto"/>
            <w:jc w:val="center"/>
            <w:rPr>
              <w:rFonts w:cs="Arial"/>
            </w:rPr>
          </w:pPr>
          <w:r w:rsidRPr="005548CD">
            <w:rPr>
              <w:rFonts w:cs="Arial"/>
            </w:rPr>
            <w:t>Table of Contents</w:t>
          </w:r>
        </w:p>
        <w:p w14:paraId="00524E78" w14:textId="073B397E" w:rsidR="002973AC" w:rsidRPr="005548CD" w:rsidRDefault="001A497C" w:rsidP="005548CD">
          <w:pPr>
            <w:pStyle w:val="TOC1"/>
            <w:tabs>
              <w:tab w:val="right" w:leader="dot" w:pos="9016"/>
            </w:tabs>
            <w:rPr>
              <w:rFonts w:eastAsiaTheme="minorEastAsia" w:cs="Arial"/>
              <w:kern w:val="2"/>
              <w:szCs w:val="24"/>
              <w:lang w:eastAsia="en-GB"/>
              <w14:ligatures w14:val="standardContextual"/>
            </w:rPr>
          </w:pPr>
          <w:r w:rsidRPr="005548CD">
            <w:rPr>
              <w:rFonts w:cs="Arial"/>
            </w:rPr>
            <w:fldChar w:fldCharType="begin"/>
          </w:r>
          <w:r w:rsidRPr="005548CD">
            <w:rPr>
              <w:rFonts w:cs="Arial"/>
            </w:rPr>
            <w:instrText xml:space="preserve"> TOC \o "1-3" \h \z \u </w:instrText>
          </w:r>
          <w:r w:rsidRPr="005548CD">
            <w:rPr>
              <w:rFonts w:cs="Arial"/>
            </w:rPr>
            <w:fldChar w:fldCharType="separate"/>
          </w:r>
          <w:hyperlink w:anchor="_Toc168079032" w:history="1">
            <w:r w:rsidR="002973AC" w:rsidRPr="005548CD">
              <w:rPr>
                <w:rStyle w:val="Hyperlink"/>
                <w:rFonts w:cs="Arial"/>
              </w:rPr>
              <w:t>Executive Summary</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_Toc168079032 \h </w:instrText>
            </w:r>
            <w:r w:rsidR="002973AC" w:rsidRPr="005548CD">
              <w:rPr>
                <w:rFonts w:cs="Arial"/>
                <w:webHidden/>
              </w:rPr>
            </w:r>
            <w:r w:rsidR="002973AC" w:rsidRPr="005548CD">
              <w:rPr>
                <w:rFonts w:cs="Arial"/>
                <w:webHidden/>
              </w:rPr>
              <w:fldChar w:fldCharType="separate"/>
            </w:r>
            <w:r w:rsidR="000F1AE8" w:rsidRPr="005548CD">
              <w:rPr>
                <w:rFonts w:cs="Arial"/>
                <w:webHidden/>
              </w:rPr>
              <w:t>2</w:t>
            </w:r>
            <w:r w:rsidR="002973AC" w:rsidRPr="005548CD">
              <w:rPr>
                <w:rFonts w:cs="Arial"/>
                <w:webHidden/>
              </w:rPr>
              <w:fldChar w:fldCharType="end"/>
            </w:r>
          </w:hyperlink>
        </w:p>
        <w:p w14:paraId="7098FC60" w14:textId="15254393"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33" w:history="1">
            <w:r w:rsidR="002973AC" w:rsidRPr="005548CD">
              <w:rPr>
                <w:rStyle w:val="Hyperlink"/>
                <w:rFonts w:cs="Arial"/>
              </w:rPr>
              <w:t>Introduction</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_Toc168079033 \h </w:instrText>
            </w:r>
            <w:r w:rsidR="002973AC" w:rsidRPr="005548CD">
              <w:rPr>
                <w:rFonts w:cs="Arial"/>
                <w:webHidden/>
              </w:rPr>
            </w:r>
            <w:r w:rsidR="002973AC" w:rsidRPr="005548CD">
              <w:rPr>
                <w:rFonts w:cs="Arial"/>
                <w:webHidden/>
              </w:rPr>
              <w:fldChar w:fldCharType="separate"/>
            </w:r>
            <w:r w:rsidR="000F1AE8" w:rsidRPr="005548CD">
              <w:rPr>
                <w:rFonts w:cs="Arial"/>
                <w:webHidden/>
              </w:rPr>
              <w:t>4</w:t>
            </w:r>
            <w:r w:rsidR="002973AC" w:rsidRPr="005548CD">
              <w:rPr>
                <w:rFonts w:cs="Arial"/>
                <w:webHidden/>
              </w:rPr>
              <w:fldChar w:fldCharType="end"/>
            </w:r>
          </w:hyperlink>
        </w:p>
        <w:p w14:paraId="3816E437" w14:textId="3A88EEB2"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34" w:history="1">
            <w:r w:rsidR="002973AC" w:rsidRPr="005548CD">
              <w:rPr>
                <w:rStyle w:val="Hyperlink"/>
                <w:rFonts w:cs="Arial"/>
              </w:rPr>
              <w:t>Organisational Goal</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_Toc168079034 \h </w:instrText>
            </w:r>
            <w:r w:rsidR="002973AC" w:rsidRPr="005548CD">
              <w:rPr>
                <w:rFonts w:cs="Arial"/>
                <w:webHidden/>
              </w:rPr>
            </w:r>
            <w:r w:rsidR="002973AC" w:rsidRPr="005548CD">
              <w:rPr>
                <w:rFonts w:cs="Arial"/>
                <w:webHidden/>
              </w:rPr>
              <w:fldChar w:fldCharType="separate"/>
            </w:r>
            <w:r w:rsidR="000F1AE8" w:rsidRPr="005548CD">
              <w:rPr>
                <w:rFonts w:cs="Arial"/>
                <w:webHidden/>
              </w:rPr>
              <w:t>4</w:t>
            </w:r>
            <w:r w:rsidR="002973AC" w:rsidRPr="005548CD">
              <w:rPr>
                <w:rFonts w:cs="Arial"/>
                <w:webHidden/>
              </w:rPr>
              <w:fldChar w:fldCharType="end"/>
            </w:r>
          </w:hyperlink>
        </w:p>
        <w:p w14:paraId="613DE513" w14:textId="757ED3B2"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35" w:history="1">
            <w:r w:rsidR="002973AC" w:rsidRPr="005548CD">
              <w:rPr>
                <w:rStyle w:val="Hyperlink"/>
                <w:rFonts w:cs="Arial"/>
              </w:rPr>
              <w:t>Organisational Structure</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_Toc168079035 \h </w:instrText>
            </w:r>
            <w:r w:rsidR="002973AC" w:rsidRPr="005548CD">
              <w:rPr>
                <w:rFonts w:cs="Arial"/>
                <w:webHidden/>
              </w:rPr>
            </w:r>
            <w:r w:rsidR="002973AC" w:rsidRPr="005548CD">
              <w:rPr>
                <w:rFonts w:cs="Arial"/>
                <w:webHidden/>
              </w:rPr>
              <w:fldChar w:fldCharType="separate"/>
            </w:r>
            <w:r w:rsidR="000F1AE8" w:rsidRPr="005548CD">
              <w:rPr>
                <w:rFonts w:cs="Arial"/>
                <w:webHidden/>
              </w:rPr>
              <w:t>5</w:t>
            </w:r>
            <w:r w:rsidR="002973AC" w:rsidRPr="005548CD">
              <w:rPr>
                <w:rFonts w:cs="Arial"/>
                <w:webHidden/>
              </w:rPr>
              <w:fldChar w:fldCharType="end"/>
            </w:r>
          </w:hyperlink>
        </w:p>
        <w:p w14:paraId="1E89F49A" w14:textId="2B38204C"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36" w:history="1">
            <w:r w:rsidR="002973AC" w:rsidRPr="005548CD">
              <w:rPr>
                <w:rStyle w:val="Hyperlink"/>
                <w:rFonts w:cs="Arial"/>
              </w:rPr>
              <w:t>Organisational culture</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_Toc168079036 \h </w:instrText>
            </w:r>
            <w:r w:rsidR="002973AC" w:rsidRPr="005548CD">
              <w:rPr>
                <w:rFonts w:cs="Arial"/>
                <w:webHidden/>
              </w:rPr>
            </w:r>
            <w:r w:rsidR="002973AC" w:rsidRPr="005548CD">
              <w:rPr>
                <w:rFonts w:cs="Arial"/>
                <w:webHidden/>
              </w:rPr>
              <w:fldChar w:fldCharType="separate"/>
            </w:r>
            <w:r w:rsidR="000F1AE8" w:rsidRPr="005548CD">
              <w:rPr>
                <w:rFonts w:cs="Arial"/>
                <w:webHidden/>
              </w:rPr>
              <w:t>6</w:t>
            </w:r>
            <w:r w:rsidR="002973AC" w:rsidRPr="005548CD">
              <w:rPr>
                <w:rFonts w:cs="Arial"/>
                <w:webHidden/>
              </w:rPr>
              <w:fldChar w:fldCharType="end"/>
            </w:r>
          </w:hyperlink>
        </w:p>
        <w:p w14:paraId="2D798499" w14:textId="478F1A46"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37" w:history="1">
            <w:r w:rsidR="002973AC" w:rsidRPr="005548CD">
              <w:rPr>
                <w:rStyle w:val="Hyperlink"/>
                <w:rFonts w:cs="Arial"/>
              </w:rPr>
              <w:t>Recent Change Initiatives</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_Toc168079037 \h </w:instrText>
            </w:r>
            <w:r w:rsidR="002973AC" w:rsidRPr="005548CD">
              <w:rPr>
                <w:rFonts w:cs="Arial"/>
                <w:webHidden/>
              </w:rPr>
            </w:r>
            <w:r w:rsidR="002973AC" w:rsidRPr="005548CD">
              <w:rPr>
                <w:rFonts w:cs="Arial"/>
                <w:webHidden/>
              </w:rPr>
              <w:fldChar w:fldCharType="separate"/>
            </w:r>
            <w:r w:rsidR="000F1AE8" w:rsidRPr="005548CD">
              <w:rPr>
                <w:rFonts w:cs="Arial"/>
                <w:webHidden/>
              </w:rPr>
              <w:t>7</w:t>
            </w:r>
            <w:r w:rsidR="002973AC" w:rsidRPr="005548CD">
              <w:rPr>
                <w:rFonts w:cs="Arial"/>
                <w:webHidden/>
              </w:rPr>
              <w:fldChar w:fldCharType="end"/>
            </w:r>
          </w:hyperlink>
        </w:p>
        <w:p w14:paraId="29E0B474" w14:textId="23909EAF" w:rsidR="002973AC" w:rsidRPr="005548CD" w:rsidRDefault="00000000" w:rsidP="005548CD">
          <w:pPr>
            <w:pStyle w:val="TOC2"/>
            <w:tabs>
              <w:tab w:val="right" w:leader="dot" w:pos="9016"/>
            </w:tabs>
            <w:rPr>
              <w:rFonts w:eastAsiaTheme="minorEastAsia" w:cs="Arial"/>
              <w:kern w:val="2"/>
              <w:szCs w:val="24"/>
              <w:lang w:eastAsia="en-GB"/>
              <w14:ligatures w14:val="standardContextual"/>
            </w:rPr>
          </w:pPr>
          <w:hyperlink w:anchor="_Toc168079038" w:history="1">
            <w:r w:rsidR="002973AC" w:rsidRPr="005548CD">
              <w:rPr>
                <w:rStyle w:val="Hyperlink"/>
                <w:rFonts w:cs="Arial"/>
              </w:rPr>
              <w:t>Overview of Recent Change</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_Toc168079038 \h </w:instrText>
            </w:r>
            <w:r w:rsidR="002973AC" w:rsidRPr="005548CD">
              <w:rPr>
                <w:rFonts w:cs="Arial"/>
                <w:webHidden/>
              </w:rPr>
            </w:r>
            <w:r w:rsidR="002973AC" w:rsidRPr="005548CD">
              <w:rPr>
                <w:rFonts w:cs="Arial"/>
                <w:webHidden/>
              </w:rPr>
              <w:fldChar w:fldCharType="separate"/>
            </w:r>
            <w:r w:rsidR="000F1AE8" w:rsidRPr="005548CD">
              <w:rPr>
                <w:rFonts w:cs="Arial"/>
                <w:webHidden/>
              </w:rPr>
              <w:t>7</w:t>
            </w:r>
            <w:r w:rsidR="002973AC" w:rsidRPr="005548CD">
              <w:rPr>
                <w:rFonts w:cs="Arial"/>
                <w:webHidden/>
              </w:rPr>
              <w:fldChar w:fldCharType="end"/>
            </w:r>
          </w:hyperlink>
        </w:p>
        <w:p w14:paraId="2C779BEF" w14:textId="52EC0762" w:rsidR="002973AC" w:rsidRPr="005548CD" w:rsidRDefault="00000000" w:rsidP="005548CD">
          <w:pPr>
            <w:pStyle w:val="TOC2"/>
            <w:tabs>
              <w:tab w:val="right" w:leader="dot" w:pos="9016"/>
            </w:tabs>
            <w:rPr>
              <w:rFonts w:eastAsiaTheme="minorEastAsia" w:cs="Arial"/>
              <w:kern w:val="2"/>
              <w:szCs w:val="24"/>
              <w:lang w:eastAsia="en-GB"/>
              <w14:ligatures w14:val="standardContextual"/>
            </w:rPr>
          </w:pPr>
          <w:hyperlink w:anchor="_Toc168079039" w:history="1">
            <w:r w:rsidR="002973AC" w:rsidRPr="005548CD">
              <w:rPr>
                <w:rStyle w:val="Hyperlink"/>
                <w:rFonts w:cs="Arial"/>
              </w:rPr>
              <w:t>Change Management</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_Toc168079039 \h </w:instrText>
            </w:r>
            <w:r w:rsidR="002973AC" w:rsidRPr="005548CD">
              <w:rPr>
                <w:rFonts w:cs="Arial"/>
                <w:webHidden/>
              </w:rPr>
            </w:r>
            <w:r w:rsidR="002973AC" w:rsidRPr="005548CD">
              <w:rPr>
                <w:rFonts w:cs="Arial"/>
                <w:webHidden/>
              </w:rPr>
              <w:fldChar w:fldCharType="separate"/>
            </w:r>
            <w:r w:rsidR="000F1AE8" w:rsidRPr="005548CD">
              <w:rPr>
                <w:rFonts w:cs="Arial"/>
                <w:webHidden/>
              </w:rPr>
              <w:t>8</w:t>
            </w:r>
            <w:r w:rsidR="002973AC" w:rsidRPr="005548CD">
              <w:rPr>
                <w:rFonts w:cs="Arial"/>
                <w:webHidden/>
              </w:rPr>
              <w:fldChar w:fldCharType="end"/>
            </w:r>
          </w:hyperlink>
        </w:p>
        <w:p w14:paraId="03A5F8D8" w14:textId="23BC9903"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40" w:history="1">
            <w:r w:rsidR="002973AC" w:rsidRPr="005548CD">
              <w:rPr>
                <w:rStyle w:val="Hyperlink"/>
                <w:rFonts w:cs="Arial"/>
              </w:rPr>
              <w:t>Analysis of Current Strategies</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_Toc168079040 \h </w:instrText>
            </w:r>
            <w:r w:rsidR="002973AC" w:rsidRPr="005548CD">
              <w:rPr>
                <w:rFonts w:cs="Arial"/>
                <w:webHidden/>
              </w:rPr>
            </w:r>
            <w:r w:rsidR="002973AC" w:rsidRPr="005548CD">
              <w:rPr>
                <w:rFonts w:cs="Arial"/>
                <w:webHidden/>
              </w:rPr>
              <w:fldChar w:fldCharType="separate"/>
            </w:r>
            <w:r w:rsidR="000F1AE8" w:rsidRPr="005548CD">
              <w:rPr>
                <w:rFonts w:cs="Arial"/>
                <w:webHidden/>
              </w:rPr>
              <w:t>9</w:t>
            </w:r>
            <w:r w:rsidR="002973AC" w:rsidRPr="005548CD">
              <w:rPr>
                <w:rFonts w:cs="Arial"/>
                <w:webHidden/>
              </w:rPr>
              <w:fldChar w:fldCharType="end"/>
            </w:r>
          </w:hyperlink>
        </w:p>
        <w:p w14:paraId="114821DB" w14:textId="597ECE57" w:rsidR="002973AC" w:rsidRPr="005548CD" w:rsidRDefault="00000000" w:rsidP="005548CD">
          <w:pPr>
            <w:pStyle w:val="TOC2"/>
            <w:tabs>
              <w:tab w:val="right" w:leader="dot" w:pos="9016"/>
            </w:tabs>
            <w:rPr>
              <w:rFonts w:eastAsiaTheme="minorEastAsia" w:cs="Arial"/>
              <w:kern w:val="2"/>
              <w:szCs w:val="24"/>
              <w:lang w:eastAsia="en-GB"/>
              <w14:ligatures w14:val="standardContextual"/>
            </w:rPr>
          </w:pPr>
          <w:hyperlink w:anchor="_Toc168079041" w:history="1">
            <w:r w:rsidR="002973AC" w:rsidRPr="005548CD">
              <w:rPr>
                <w:rStyle w:val="Hyperlink"/>
                <w:rFonts w:cs="Arial"/>
              </w:rPr>
              <w:t>Blue Ocean Strategy Analysis</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_Toc168079041 \h </w:instrText>
            </w:r>
            <w:r w:rsidR="002973AC" w:rsidRPr="005548CD">
              <w:rPr>
                <w:rFonts w:cs="Arial"/>
                <w:webHidden/>
              </w:rPr>
            </w:r>
            <w:r w:rsidR="002973AC" w:rsidRPr="005548CD">
              <w:rPr>
                <w:rFonts w:cs="Arial"/>
                <w:webHidden/>
              </w:rPr>
              <w:fldChar w:fldCharType="separate"/>
            </w:r>
            <w:r w:rsidR="000F1AE8" w:rsidRPr="005548CD">
              <w:rPr>
                <w:rFonts w:cs="Arial"/>
                <w:webHidden/>
              </w:rPr>
              <w:t>9</w:t>
            </w:r>
            <w:r w:rsidR="002973AC" w:rsidRPr="005548CD">
              <w:rPr>
                <w:rFonts w:cs="Arial"/>
                <w:webHidden/>
              </w:rPr>
              <w:fldChar w:fldCharType="end"/>
            </w:r>
          </w:hyperlink>
        </w:p>
        <w:p w14:paraId="1747888E" w14:textId="635833FE" w:rsidR="002973AC" w:rsidRPr="005548CD" w:rsidRDefault="00000000" w:rsidP="005548CD">
          <w:pPr>
            <w:pStyle w:val="TOC2"/>
            <w:tabs>
              <w:tab w:val="right" w:leader="dot" w:pos="9016"/>
            </w:tabs>
            <w:rPr>
              <w:rFonts w:eastAsiaTheme="minorEastAsia" w:cs="Arial"/>
              <w:kern w:val="2"/>
              <w:szCs w:val="24"/>
              <w:lang w:eastAsia="en-GB"/>
              <w14:ligatures w14:val="standardContextual"/>
            </w:rPr>
          </w:pPr>
          <w:hyperlink w:anchor="_Toc168079042" w:history="1">
            <w:r w:rsidR="002973AC" w:rsidRPr="005548CD">
              <w:rPr>
                <w:rStyle w:val="Hyperlink"/>
                <w:rFonts w:cs="Arial"/>
              </w:rPr>
              <w:t>Future Growth Strategies</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_Toc168079042 \h </w:instrText>
            </w:r>
            <w:r w:rsidR="002973AC" w:rsidRPr="005548CD">
              <w:rPr>
                <w:rFonts w:cs="Arial"/>
                <w:webHidden/>
              </w:rPr>
            </w:r>
            <w:r w:rsidR="002973AC" w:rsidRPr="005548CD">
              <w:rPr>
                <w:rFonts w:cs="Arial"/>
                <w:webHidden/>
              </w:rPr>
              <w:fldChar w:fldCharType="separate"/>
            </w:r>
            <w:r w:rsidR="000F1AE8" w:rsidRPr="005548CD">
              <w:rPr>
                <w:rFonts w:cs="Arial"/>
                <w:webHidden/>
              </w:rPr>
              <w:t>9</w:t>
            </w:r>
            <w:r w:rsidR="002973AC" w:rsidRPr="005548CD">
              <w:rPr>
                <w:rFonts w:cs="Arial"/>
                <w:webHidden/>
              </w:rPr>
              <w:fldChar w:fldCharType="end"/>
            </w:r>
          </w:hyperlink>
        </w:p>
        <w:p w14:paraId="2E4E79B1" w14:textId="3A2709AF"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43" w:history="1">
            <w:r w:rsidR="002973AC" w:rsidRPr="005548CD">
              <w:rPr>
                <w:rStyle w:val="Hyperlink"/>
                <w:rFonts w:cs="Arial"/>
              </w:rPr>
              <w:t>Conclusion</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_Toc168079043 \h </w:instrText>
            </w:r>
            <w:r w:rsidR="002973AC" w:rsidRPr="005548CD">
              <w:rPr>
                <w:rFonts w:cs="Arial"/>
                <w:webHidden/>
              </w:rPr>
            </w:r>
            <w:r w:rsidR="002973AC" w:rsidRPr="005548CD">
              <w:rPr>
                <w:rFonts w:cs="Arial"/>
                <w:webHidden/>
              </w:rPr>
              <w:fldChar w:fldCharType="separate"/>
            </w:r>
            <w:r w:rsidR="000F1AE8" w:rsidRPr="005548CD">
              <w:rPr>
                <w:rFonts w:cs="Arial"/>
                <w:webHidden/>
              </w:rPr>
              <w:t>10</w:t>
            </w:r>
            <w:r w:rsidR="002973AC" w:rsidRPr="005548CD">
              <w:rPr>
                <w:rFonts w:cs="Arial"/>
                <w:webHidden/>
              </w:rPr>
              <w:fldChar w:fldCharType="end"/>
            </w:r>
          </w:hyperlink>
        </w:p>
        <w:p w14:paraId="139F476E" w14:textId="776E608A"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44" w:history="1">
            <w:r w:rsidR="002973AC" w:rsidRPr="005548CD">
              <w:rPr>
                <w:rStyle w:val="Hyperlink"/>
                <w:rFonts w:cs="Arial"/>
              </w:rPr>
              <w:t>Recommendations</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_Toc168079044 \h </w:instrText>
            </w:r>
            <w:r w:rsidR="002973AC" w:rsidRPr="005548CD">
              <w:rPr>
                <w:rFonts w:cs="Arial"/>
                <w:webHidden/>
              </w:rPr>
            </w:r>
            <w:r w:rsidR="002973AC" w:rsidRPr="005548CD">
              <w:rPr>
                <w:rFonts w:cs="Arial"/>
                <w:webHidden/>
              </w:rPr>
              <w:fldChar w:fldCharType="separate"/>
            </w:r>
            <w:r w:rsidR="000F1AE8" w:rsidRPr="005548CD">
              <w:rPr>
                <w:rFonts w:cs="Arial"/>
                <w:webHidden/>
              </w:rPr>
              <w:t>11</w:t>
            </w:r>
            <w:r w:rsidR="002973AC" w:rsidRPr="005548CD">
              <w:rPr>
                <w:rFonts w:cs="Arial"/>
                <w:webHidden/>
              </w:rPr>
              <w:fldChar w:fldCharType="end"/>
            </w:r>
          </w:hyperlink>
        </w:p>
        <w:p w14:paraId="60840F6A" w14:textId="54CAF7FE" w:rsidR="002973AC" w:rsidRPr="005548CD" w:rsidRDefault="00000000" w:rsidP="005548CD">
          <w:pPr>
            <w:pStyle w:val="TOC1"/>
            <w:tabs>
              <w:tab w:val="right" w:leader="dot" w:pos="9016"/>
            </w:tabs>
            <w:rPr>
              <w:rFonts w:eastAsiaTheme="minorEastAsia" w:cs="Arial"/>
              <w:kern w:val="2"/>
              <w:szCs w:val="24"/>
              <w:lang w:eastAsia="en-GB"/>
              <w14:ligatures w14:val="standardContextual"/>
            </w:rPr>
          </w:pPr>
          <w:hyperlink w:anchor="_Toc168079045" w:history="1">
            <w:r w:rsidR="002973AC" w:rsidRPr="005548CD">
              <w:rPr>
                <w:rStyle w:val="Hyperlink"/>
                <w:rFonts w:eastAsia="Times New Roman" w:cs="Arial"/>
                <w:kern w:val="36"/>
              </w:rPr>
              <w:t>Reference list</w:t>
            </w:r>
            <w:r w:rsidR="002973AC" w:rsidRPr="005548CD">
              <w:rPr>
                <w:rFonts w:cs="Arial"/>
                <w:webHidden/>
              </w:rPr>
              <w:tab/>
            </w:r>
            <w:r w:rsidR="002973AC" w:rsidRPr="005548CD">
              <w:rPr>
                <w:rFonts w:cs="Arial"/>
                <w:webHidden/>
              </w:rPr>
              <w:fldChar w:fldCharType="begin"/>
            </w:r>
            <w:r w:rsidR="002973AC" w:rsidRPr="005548CD">
              <w:rPr>
                <w:rFonts w:cs="Arial"/>
                <w:webHidden/>
              </w:rPr>
              <w:instrText xml:space="preserve"> PAGEREF _Toc168079045 \h </w:instrText>
            </w:r>
            <w:r w:rsidR="002973AC" w:rsidRPr="005548CD">
              <w:rPr>
                <w:rFonts w:cs="Arial"/>
                <w:webHidden/>
              </w:rPr>
            </w:r>
            <w:r w:rsidR="002973AC" w:rsidRPr="005548CD">
              <w:rPr>
                <w:rFonts w:cs="Arial"/>
                <w:webHidden/>
              </w:rPr>
              <w:fldChar w:fldCharType="separate"/>
            </w:r>
            <w:r w:rsidR="000F1AE8" w:rsidRPr="005548CD">
              <w:rPr>
                <w:rFonts w:cs="Arial"/>
                <w:webHidden/>
              </w:rPr>
              <w:t>12</w:t>
            </w:r>
            <w:r w:rsidR="002973AC" w:rsidRPr="005548CD">
              <w:rPr>
                <w:rFonts w:cs="Arial"/>
                <w:webHidden/>
              </w:rPr>
              <w:fldChar w:fldCharType="end"/>
            </w:r>
          </w:hyperlink>
        </w:p>
        <w:p w14:paraId="6074D674" w14:textId="45504826" w:rsidR="001A497C" w:rsidRPr="005548CD" w:rsidRDefault="001A497C" w:rsidP="005548CD">
          <w:pPr>
            <w:rPr>
              <w:rFonts w:cs="Arial"/>
            </w:rPr>
          </w:pPr>
          <w:r w:rsidRPr="005548CD">
            <w:rPr>
              <w:rFonts w:cs="Arial"/>
            </w:rPr>
            <w:fldChar w:fldCharType="end"/>
          </w:r>
        </w:p>
      </w:sdtContent>
    </w:sdt>
    <w:p w14:paraId="5CD81869" w14:textId="77777777" w:rsidR="001A497C" w:rsidRPr="005548CD" w:rsidRDefault="001A497C" w:rsidP="005548CD">
      <w:pPr>
        <w:jc w:val="left"/>
        <w:rPr>
          <w:rFonts w:cs="Arial"/>
        </w:rPr>
        <w:sectPr w:rsidR="001A497C" w:rsidRPr="005548CD" w:rsidSect="00913E67">
          <w:footerReference w:type="default" r:id="rId9"/>
          <w:pgSz w:w="11906" w:h="16838" w:code="9"/>
          <w:pgMar w:top="1440" w:right="1440" w:bottom="1440" w:left="1440" w:header="720" w:footer="720" w:gutter="0"/>
          <w:cols w:space="720"/>
          <w:docGrid w:linePitch="360"/>
        </w:sectPr>
      </w:pPr>
    </w:p>
    <w:p w14:paraId="4B6ED585" w14:textId="7C9B2092" w:rsidR="00551F54" w:rsidRPr="005548CD" w:rsidRDefault="00551F54" w:rsidP="005548CD">
      <w:pPr>
        <w:pStyle w:val="Heading1"/>
        <w:rPr>
          <w:rFonts w:cs="Arial"/>
        </w:rPr>
      </w:pPr>
      <w:bookmarkStart w:id="1" w:name="_Toc168079033"/>
      <w:r w:rsidRPr="005548CD">
        <w:rPr>
          <w:rFonts w:cs="Arial"/>
        </w:rPr>
        <w:lastRenderedPageBreak/>
        <w:t>Introduction</w:t>
      </w:r>
      <w:bookmarkEnd w:id="1"/>
    </w:p>
    <w:p w14:paraId="04B39C61" w14:textId="5CBDE772" w:rsidR="00551F54" w:rsidRPr="005548CD" w:rsidRDefault="00551F54" w:rsidP="005548CD">
      <w:pPr>
        <w:rPr>
          <w:rFonts w:cs="Arial"/>
        </w:rPr>
      </w:pPr>
      <w:r w:rsidRPr="005548CD">
        <w:rPr>
          <w:rFonts w:cs="Arial"/>
        </w:rPr>
        <w:t>InterContinental Hotels Group (IHG) is one of the biggest players in the world hospitality market</w:t>
      </w:r>
      <w:r w:rsidR="009F6D34" w:rsidRPr="005548CD">
        <w:rPr>
          <w:rFonts w:cs="Arial"/>
        </w:rPr>
        <w:t xml:space="preserve">. </w:t>
      </w:r>
      <w:r w:rsidRPr="005548CD">
        <w:rPr>
          <w:rFonts w:cs="Arial"/>
        </w:rPr>
        <w:t>It offers a wide hotel brand mix and is focused on growth while trying to satisfy its customers</w:t>
      </w:r>
      <w:r w:rsidR="009F6D34" w:rsidRPr="005548CD">
        <w:rPr>
          <w:rFonts w:cs="Arial"/>
        </w:rPr>
        <w:t xml:space="preserve"> (IHG PLC, 2022)</w:t>
      </w:r>
      <w:r w:rsidRPr="005548CD">
        <w:rPr>
          <w:rFonts w:cs="Arial"/>
        </w:rPr>
        <w:t xml:space="preserve">. The structure of IHG uses both divisional autonomy and professional knowledge, which grants the </w:t>
      </w:r>
      <w:r w:rsidR="00392080" w:rsidRPr="005548CD">
        <w:rPr>
          <w:rFonts w:cs="Arial"/>
        </w:rPr>
        <w:t>organis</w:t>
      </w:r>
      <w:r w:rsidRPr="005548CD">
        <w:rPr>
          <w:rFonts w:cs="Arial"/>
        </w:rPr>
        <w:t xml:space="preserve">ation efficiency both in management and service delivery. The foundation of IHG's operations is a solid </w:t>
      </w:r>
      <w:r w:rsidR="00392080" w:rsidRPr="005548CD">
        <w:rPr>
          <w:rFonts w:cs="Arial"/>
        </w:rPr>
        <w:t>organis</w:t>
      </w:r>
      <w:r w:rsidRPr="005548CD">
        <w:rPr>
          <w:rFonts w:cs="Arial"/>
        </w:rPr>
        <w:t>ational culture that indicates to customers, innovations and responsibilities</w:t>
      </w:r>
      <w:r w:rsidR="009F6D34" w:rsidRPr="005548CD">
        <w:rPr>
          <w:rFonts w:cs="Arial"/>
        </w:rPr>
        <w:t xml:space="preserve"> (InterContinental Hotels Group PLC, 2021)</w:t>
      </w:r>
      <w:r w:rsidRPr="005548CD">
        <w:rPr>
          <w:rFonts w:cs="Arial"/>
        </w:rPr>
        <w:t xml:space="preserve">. The latest change campaigns, for example, during COVID-19 for the world, IHG has shown to be adaptable and resilient. IHG’s emphasis on differentiation and value innovation such as the blue ocean strategy matches up well with the competitor Marriott International's strategy and can alert the management of the same for further growth and expansion. This </w:t>
      </w:r>
      <w:r w:rsidR="004E1DCD" w:rsidRPr="005548CD">
        <w:rPr>
          <w:rFonts w:cs="Arial"/>
        </w:rPr>
        <w:t>study</w:t>
      </w:r>
      <w:r w:rsidRPr="005548CD">
        <w:rPr>
          <w:rFonts w:cs="Arial"/>
        </w:rPr>
        <w:t xml:space="preserve"> </w:t>
      </w:r>
      <w:r w:rsidR="004E1DCD" w:rsidRPr="005548CD">
        <w:rPr>
          <w:rFonts w:cs="Arial"/>
        </w:rPr>
        <w:t xml:space="preserve">explores </w:t>
      </w:r>
      <w:r w:rsidR="00EC5C39" w:rsidRPr="005548CD">
        <w:rPr>
          <w:rFonts w:cs="Arial"/>
        </w:rPr>
        <w:t>the IHG’s</w:t>
      </w:r>
      <w:r w:rsidRPr="005548CD">
        <w:rPr>
          <w:rFonts w:cs="Arial"/>
        </w:rPr>
        <w:t xml:space="preserve"> </w:t>
      </w:r>
      <w:r w:rsidR="00392080" w:rsidRPr="005548CD">
        <w:rPr>
          <w:rFonts w:cs="Arial"/>
        </w:rPr>
        <w:t>organis</w:t>
      </w:r>
      <w:r w:rsidRPr="005548CD">
        <w:rPr>
          <w:rFonts w:cs="Arial"/>
        </w:rPr>
        <w:t>ational structure, culture, recent change initiatives, strategic analysis</w:t>
      </w:r>
      <w:r w:rsidR="004E1DCD" w:rsidRPr="005548CD">
        <w:rPr>
          <w:rFonts w:cs="Arial"/>
        </w:rPr>
        <w:t>,</w:t>
      </w:r>
      <w:r w:rsidRPr="005548CD">
        <w:rPr>
          <w:rFonts w:cs="Arial"/>
        </w:rPr>
        <w:t xml:space="preserve"> and intentionally puts competitors against</w:t>
      </w:r>
      <w:r w:rsidR="004E1DCD" w:rsidRPr="005548CD">
        <w:rPr>
          <w:rFonts w:cs="Arial"/>
        </w:rPr>
        <w:t xml:space="preserve"> it</w:t>
      </w:r>
      <w:r w:rsidRPr="005548CD">
        <w:rPr>
          <w:rFonts w:cs="Arial"/>
        </w:rPr>
        <w:t>, and gives direction for future success.</w:t>
      </w:r>
    </w:p>
    <w:p w14:paraId="7C289BEB" w14:textId="46D8E179" w:rsidR="0039278D" w:rsidRPr="005548CD" w:rsidRDefault="00392080" w:rsidP="005548CD">
      <w:pPr>
        <w:pStyle w:val="Heading1"/>
        <w:rPr>
          <w:rFonts w:cs="Arial"/>
        </w:rPr>
      </w:pPr>
      <w:bookmarkStart w:id="2" w:name="_Toc168079034"/>
      <w:r w:rsidRPr="005548CD">
        <w:rPr>
          <w:rFonts w:cs="Arial"/>
        </w:rPr>
        <w:t>Organis</w:t>
      </w:r>
      <w:r w:rsidR="0039278D" w:rsidRPr="005548CD">
        <w:rPr>
          <w:rFonts w:cs="Arial"/>
        </w:rPr>
        <w:t>ational Goal</w:t>
      </w:r>
      <w:bookmarkEnd w:id="2"/>
    </w:p>
    <w:p w14:paraId="6F635D06" w14:textId="299058C0" w:rsidR="0039278D" w:rsidRPr="005548CD" w:rsidRDefault="00895599" w:rsidP="005548CD">
      <w:pPr>
        <w:rPr>
          <w:rFonts w:cs="Arial"/>
        </w:rPr>
      </w:pPr>
      <w:r w:rsidRPr="005548CD">
        <w:rPr>
          <w:rFonts w:cs="Arial"/>
        </w:rPr>
        <w:t xml:space="preserve">The </w:t>
      </w:r>
      <w:r w:rsidR="00392080" w:rsidRPr="005548CD">
        <w:rPr>
          <w:rFonts w:cs="Arial"/>
        </w:rPr>
        <w:t>organis</w:t>
      </w:r>
      <w:r w:rsidRPr="005548CD">
        <w:rPr>
          <w:rFonts w:cs="Arial"/>
        </w:rPr>
        <w:t>ation's</w:t>
      </w:r>
      <w:r w:rsidR="0039278D" w:rsidRPr="005548CD">
        <w:rPr>
          <w:rFonts w:cs="Arial"/>
        </w:rPr>
        <w:t xml:space="preserve"> goals focused on securing and strengthening its competitive position in the global business</w:t>
      </w:r>
      <w:r w:rsidRPr="005548CD">
        <w:rPr>
          <w:rFonts w:cs="Arial"/>
        </w:rPr>
        <w:t xml:space="preserve"> (</w:t>
      </w:r>
      <w:r w:rsidR="009F6D34" w:rsidRPr="005548CD">
        <w:rPr>
          <w:rFonts w:eastAsia="Times New Roman" w:cs="Arial"/>
          <w:szCs w:val="24"/>
        </w:rPr>
        <w:t>Mullins and Dosser</w:t>
      </w:r>
      <w:r w:rsidR="009F6D34" w:rsidRPr="005548CD">
        <w:rPr>
          <w:rFonts w:cs="Arial"/>
        </w:rPr>
        <w:t>, 2013</w:t>
      </w:r>
      <w:r w:rsidRPr="005548CD">
        <w:rPr>
          <w:rFonts w:cs="Arial"/>
        </w:rPr>
        <w:t>)</w:t>
      </w:r>
      <w:r w:rsidR="0039278D" w:rsidRPr="005548CD">
        <w:rPr>
          <w:rFonts w:cs="Arial"/>
        </w:rPr>
        <w:t xml:space="preserve">. One </w:t>
      </w:r>
      <w:r w:rsidRPr="005548CD">
        <w:rPr>
          <w:rFonts w:cs="Arial"/>
        </w:rPr>
        <w:t>of IHG's</w:t>
      </w:r>
      <w:r w:rsidR="0039278D" w:rsidRPr="005548CD">
        <w:rPr>
          <w:rFonts w:cs="Arial"/>
        </w:rPr>
        <w:t xml:space="preserve"> mainstream purposes is to achieve the highest gains with a net increase every year. The objective is as such with the S.M.A.R.T. framework, showing the hotel group’s dedication to extending its reach through hotel opening and brand acquisitions beyond national borders</w:t>
      </w:r>
      <w:r w:rsidRPr="005548CD">
        <w:rPr>
          <w:rFonts w:cs="Arial"/>
        </w:rPr>
        <w:t xml:space="preserve"> (Sarigiannidis et al., 2021)</w:t>
      </w:r>
      <w:r w:rsidR="0039278D" w:rsidRPr="005548CD">
        <w:rPr>
          <w:rFonts w:cs="Arial"/>
        </w:rPr>
        <w:t xml:space="preserve">. </w:t>
      </w:r>
    </w:p>
    <w:p w14:paraId="2ECEA441" w14:textId="64D290B0" w:rsidR="0039278D" w:rsidRPr="005548CD" w:rsidRDefault="0039278D" w:rsidP="005548CD">
      <w:pPr>
        <w:rPr>
          <w:rFonts w:cs="Arial"/>
        </w:rPr>
      </w:pPr>
      <w:r w:rsidRPr="005548CD">
        <w:rPr>
          <w:rFonts w:cs="Arial"/>
        </w:rPr>
        <w:t xml:space="preserve">Another pivotal </w:t>
      </w:r>
      <w:r w:rsidR="00895599" w:rsidRPr="005548CD">
        <w:rPr>
          <w:rFonts w:cs="Arial"/>
        </w:rPr>
        <w:t>objective</w:t>
      </w:r>
      <w:r w:rsidRPr="005548CD">
        <w:rPr>
          <w:rFonts w:cs="Arial"/>
        </w:rPr>
        <w:t xml:space="preserve"> is the spread of sustainable business methods. The IHG "Journey to Tomorrow" initiative is setting in place the foundations for lasting sustainability and responsible corporate citizenship</w:t>
      </w:r>
      <w:r w:rsidR="00895599" w:rsidRPr="005548CD">
        <w:rPr>
          <w:rFonts w:cs="Arial"/>
        </w:rPr>
        <w:t xml:space="preserve"> </w:t>
      </w:r>
      <w:r w:rsidR="00BA0ADA" w:rsidRPr="005548CD">
        <w:rPr>
          <w:rFonts w:cs="Arial"/>
        </w:rPr>
        <w:t xml:space="preserve">(Green Globe, 2024). </w:t>
      </w:r>
      <w:r w:rsidRPr="005548CD">
        <w:rPr>
          <w:rFonts w:cs="Arial"/>
        </w:rPr>
        <w:t xml:space="preserve">This initiative specifies certain objectives like a decrease in carbon emissions, water conservation, and local community support, which reflects IHG's involvement in environmental stewardship and social sustainability. </w:t>
      </w:r>
    </w:p>
    <w:p w14:paraId="1C76DE13" w14:textId="67EDFF23" w:rsidR="00164F53" w:rsidRPr="005548CD" w:rsidRDefault="0039278D" w:rsidP="005548CD">
      <w:pPr>
        <w:rPr>
          <w:rFonts w:cs="Arial"/>
        </w:rPr>
      </w:pPr>
      <w:r w:rsidRPr="005548CD">
        <w:rPr>
          <w:rFonts w:cs="Arial"/>
        </w:rPr>
        <w:t xml:space="preserve">In addition, IHG places great focus on customer satisfaction </w:t>
      </w:r>
      <w:r w:rsidR="0049487A" w:rsidRPr="005548CD">
        <w:rPr>
          <w:rFonts w:cs="Arial"/>
        </w:rPr>
        <w:t>in</w:t>
      </w:r>
      <w:r w:rsidRPr="005548CD">
        <w:rPr>
          <w:rFonts w:cs="Arial"/>
        </w:rPr>
        <w:t xml:space="preserve"> all its strategies. The company aims to provide excellent services and secure clients’ loyalty by continually improving and adding new board directions</w:t>
      </w:r>
      <w:r w:rsidR="00895599" w:rsidRPr="005548CD">
        <w:rPr>
          <w:rFonts w:cs="Arial"/>
        </w:rPr>
        <w:t xml:space="preserve"> </w:t>
      </w:r>
      <w:r w:rsidR="00BA0ADA" w:rsidRPr="005548CD">
        <w:rPr>
          <w:rFonts w:cs="Arial"/>
        </w:rPr>
        <w:t xml:space="preserve">(InterContinental Hotels Group PLC, </w:t>
      </w:r>
      <w:r w:rsidR="00BA0ADA" w:rsidRPr="005548CD">
        <w:rPr>
          <w:rFonts w:cs="Arial"/>
        </w:rPr>
        <w:lastRenderedPageBreak/>
        <w:t xml:space="preserve">2021). </w:t>
      </w:r>
      <w:r w:rsidRPr="005548CD">
        <w:rPr>
          <w:rFonts w:cs="Arial"/>
        </w:rPr>
        <w:t xml:space="preserve">Through technology and personalization of the guest experience, IHG strives to meet and surpass the expectations of customers consequently ensuring their repeat business and positive brand reputation. </w:t>
      </w:r>
    </w:p>
    <w:p w14:paraId="66EE6951" w14:textId="02740A2B" w:rsidR="0049487A" w:rsidRPr="005548CD" w:rsidRDefault="00392080" w:rsidP="005548CD">
      <w:pPr>
        <w:pStyle w:val="Heading1"/>
        <w:rPr>
          <w:rFonts w:cs="Arial"/>
        </w:rPr>
      </w:pPr>
      <w:bookmarkStart w:id="3" w:name="_Toc168079035"/>
      <w:r w:rsidRPr="005548CD">
        <w:rPr>
          <w:rFonts w:cs="Arial"/>
        </w:rPr>
        <w:t>Organis</w:t>
      </w:r>
      <w:r w:rsidR="0049487A" w:rsidRPr="005548CD">
        <w:rPr>
          <w:rFonts w:cs="Arial"/>
        </w:rPr>
        <w:t>ational Structure</w:t>
      </w:r>
      <w:bookmarkEnd w:id="3"/>
    </w:p>
    <w:p w14:paraId="601DBAE9" w14:textId="502773A9" w:rsidR="0049487A" w:rsidRPr="005548CD" w:rsidRDefault="0049487A" w:rsidP="005548CD">
      <w:pPr>
        <w:rPr>
          <w:rFonts w:cs="Arial"/>
        </w:rPr>
      </w:pPr>
      <w:r w:rsidRPr="005548CD">
        <w:rPr>
          <w:rFonts w:cs="Arial"/>
        </w:rPr>
        <w:t xml:space="preserve">To understand InterContinental Hotels Group's (IHG) </w:t>
      </w:r>
      <w:r w:rsidR="00392080" w:rsidRPr="005548CD">
        <w:rPr>
          <w:rFonts w:cs="Arial"/>
        </w:rPr>
        <w:t>organis</w:t>
      </w:r>
      <w:r w:rsidRPr="005548CD">
        <w:rPr>
          <w:rFonts w:cs="Arial"/>
        </w:rPr>
        <w:t>ational structure,</w:t>
      </w:r>
      <w:r w:rsidR="00895599" w:rsidRPr="005548CD">
        <w:rPr>
          <w:rFonts w:cs="Arial"/>
        </w:rPr>
        <w:t xml:space="preserve"> </w:t>
      </w:r>
      <w:r w:rsidRPr="005548CD">
        <w:rPr>
          <w:rFonts w:cs="Arial"/>
        </w:rPr>
        <w:t xml:space="preserve">Henry Mintzberg's framework, identifies five types of </w:t>
      </w:r>
      <w:r w:rsidR="00392080" w:rsidRPr="005548CD">
        <w:rPr>
          <w:rFonts w:cs="Arial"/>
        </w:rPr>
        <w:t>organis</w:t>
      </w:r>
      <w:r w:rsidRPr="005548CD">
        <w:rPr>
          <w:rFonts w:cs="Arial"/>
        </w:rPr>
        <w:t xml:space="preserve">ational structures: simple structure, machine bureaucracy, professional bureaucracy, </w:t>
      </w:r>
      <w:bookmarkStart w:id="4" w:name="_Hlk166853400"/>
      <w:r w:rsidRPr="005548CD">
        <w:rPr>
          <w:rFonts w:cs="Arial"/>
        </w:rPr>
        <w:t>divisional</w:t>
      </w:r>
      <w:bookmarkEnd w:id="4"/>
      <w:r w:rsidRPr="005548CD">
        <w:rPr>
          <w:rFonts w:cs="Arial"/>
        </w:rPr>
        <w:t xml:space="preserve"> form, and adhocracy </w:t>
      </w:r>
      <w:r w:rsidR="00895599" w:rsidRPr="005548CD">
        <w:rPr>
          <w:rFonts w:cs="Arial"/>
        </w:rPr>
        <w:t>(Kumar, 2015)</w:t>
      </w:r>
      <w:r w:rsidRPr="005548CD">
        <w:rPr>
          <w:rFonts w:cs="Arial"/>
        </w:rPr>
        <w:t xml:space="preserve">. </w:t>
      </w:r>
    </w:p>
    <w:p w14:paraId="1DA7B87A" w14:textId="77777777" w:rsidR="00C55DEC" w:rsidRPr="005548CD" w:rsidRDefault="007C7E8C" w:rsidP="005548CD">
      <w:pPr>
        <w:keepNext/>
        <w:rPr>
          <w:rFonts w:cs="Arial"/>
        </w:rPr>
      </w:pPr>
      <w:r w:rsidRPr="005548CD">
        <w:rPr>
          <w:rFonts w:cs="Arial"/>
        </w:rPr>
        <w:drawing>
          <wp:inline distT="0" distB="0" distL="0" distR="0" wp14:anchorId="28392ECC" wp14:editId="5259B2E2">
            <wp:extent cx="5686425" cy="1181100"/>
            <wp:effectExtent l="0" t="0" r="9525" b="19050"/>
            <wp:docPr id="13225704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4FFA99" w14:textId="7C5AFB1A" w:rsidR="007C7E8C" w:rsidRPr="005548CD" w:rsidRDefault="00C55DEC" w:rsidP="005548CD">
      <w:pPr>
        <w:pStyle w:val="Caption"/>
        <w:jc w:val="center"/>
        <w:rPr>
          <w:rFonts w:cs="Arial"/>
        </w:rPr>
      </w:pPr>
      <w:r w:rsidRPr="005548CD">
        <w:rPr>
          <w:rFonts w:cs="Arial"/>
        </w:rPr>
        <w:t xml:space="preserve">Figure </w:t>
      </w:r>
      <w:r w:rsidRPr="005548CD">
        <w:rPr>
          <w:rFonts w:cs="Arial"/>
        </w:rPr>
        <w:fldChar w:fldCharType="begin"/>
      </w:r>
      <w:r w:rsidRPr="005548CD">
        <w:rPr>
          <w:rFonts w:cs="Arial"/>
        </w:rPr>
        <w:instrText xml:space="preserve"> SEQ Figure \* ARABIC </w:instrText>
      </w:r>
      <w:r w:rsidRPr="005548CD">
        <w:rPr>
          <w:rFonts w:cs="Arial"/>
        </w:rPr>
        <w:fldChar w:fldCharType="separate"/>
      </w:r>
      <w:r w:rsidR="000A7A97" w:rsidRPr="005548CD">
        <w:rPr>
          <w:rFonts w:cs="Arial"/>
        </w:rPr>
        <w:t>1</w:t>
      </w:r>
      <w:r w:rsidRPr="005548CD">
        <w:rPr>
          <w:rFonts w:cs="Arial"/>
        </w:rPr>
        <w:fldChar w:fldCharType="end"/>
      </w:r>
      <w:r w:rsidRPr="005548CD">
        <w:rPr>
          <w:rFonts w:cs="Arial"/>
        </w:rPr>
        <w:t>: InterContinental Hotels Group's (IHG) organisational structure</w:t>
      </w:r>
    </w:p>
    <w:p w14:paraId="68C3EF8E" w14:textId="44402914" w:rsidR="00C55DEC" w:rsidRPr="005548CD" w:rsidRDefault="00C55DEC" w:rsidP="005548CD">
      <w:pPr>
        <w:jc w:val="center"/>
        <w:rPr>
          <w:rFonts w:cs="Arial"/>
        </w:rPr>
      </w:pPr>
      <w:r w:rsidRPr="005548CD">
        <w:rPr>
          <w:rFonts w:cs="Arial"/>
        </w:rPr>
        <w:t>Source: Author</w:t>
      </w:r>
    </w:p>
    <w:p w14:paraId="46007944" w14:textId="0CF43F04" w:rsidR="0049487A" w:rsidRPr="005548CD" w:rsidRDefault="0049487A" w:rsidP="005548CD">
      <w:pPr>
        <w:rPr>
          <w:rFonts w:cs="Arial"/>
        </w:rPr>
      </w:pPr>
      <w:r w:rsidRPr="005548CD">
        <w:rPr>
          <w:rFonts w:cs="Arial"/>
        </w:rPr>
        <w:t xml:space="preserve">At the corporate level, </w:t>
      </w:r>
      <w:r w:rsidR="000A100C" w:rsidRPr="005548CD">
        <w:rPr>
          <w:rFonts w:cs="Arial"/>
        </w:rPr>
        <w:t xml:space="preserve">divisional </w:t>
      </w:r>
      <w:r w:rsidRPr="005548CD">
        <w:rPr>
          <w:rFonts w:cs="Arial"/>
        </w:rPr>
        <w:t xml:space="preserve">structure </w:t>
      </w:r>
      <w:r w:rsidR="00895599" w:rsidRPr="005548CD">
        <w:rPr>
          <w:rFonts w:cs="Arial"/>
        </w:rPr>
        <w:t xml:space="preserve">acts </w:t>
      </w:r>
      <w:r w:rsidRPr="005548CD">
        <w:rPr>
          <w:rFonts w:cs="Arial"/>
        </w:rPr>
        <w:t>as the main form of structural business model. It is the central pillar of the decentralized structure in which several departments operate independently but concentrate on a different part of the business at the same time</w:t>
      </w:r>
      <w:r w:rsidR="00895599" w:rsidRPr="005548CD">
        <w:rPr>
          <w:rFonts w:cs="Arial"/>
        </w:rPr>
        <w:t xml:space="preserve"> (Fairfield, 2016)</w:t>
      </w:r>
      <w:r w:rsidRPr="005548CD">
        <w:rPr>
          <w:rFonts w:cs="Arial"/>
        </w:rPr>
        <w:t xml:space="preserve">. IHG has a presence </w:t>
      </w:r>
      <w:r w:rsidR="00895599" w:rsidRPr="005548CD">
        <w:rPr>
          <w:rFonts w:cs="Arial"/>
        </w:rPr>
        <w:t>in nearly 100</w:t>
      </w:r>
      <w:r w:rsidRPr="005548CD">
        <w:rPr>
          <w:rFonts w:cs="Arial"/>
        </w:rPr>
        <w:t xml:space="preserve"> countries, operating through 1</w:t>
      </w:r>
      <w:r w:rsidR="00895599" w:rsidRPr="005548CD">
        <w:rPr>
          <w:rFonts w:cs="Arial"/>
        </w:rPr>
        <w:t xml:space="preserve">9 </w:t>
      </w:r>
      <w:r w:rsidRPr="005548CD">
        <w:rPr>
          <w:rFonts w:cs="Arial"/>
        </w:rPr>
        <w:t>brands including InterContinental, Crowne Plaza, Holiday Inn, and Kimpton Hotels aimed at various market segments and customer clusters</w:t>
      </w:r>
      <w:r w:rsidR="00895599" w:rsidRPr="005548CD">
        <w:rPr>
          <w:rFonts w:cs="Arial"/>
        </w:rPr>
        <w:t xml:space="preserve"> (IHG, 2020)</w:t>
      </w:r>
      <w:r w:rsidRPr="005548CD">
        <w:rPr>
          <w:rFonts w:cs="Arial"/>
        </w:rPr>
        <w:t>. This divisional composition makes possible standard operating processes and effective control of the wide range of activities allowing each of the brands to concentrate on its market while still conforming to the umbrella strategic objectives of IHG. For instance, InterContinental offers top-notch exclusive service and experiences catering for the luxury market while Holiday Inn focuses more on convenience and affordability for the mid-range market</w:t>
      </w:r>
      <w:r w:rsidR="00895599" w:rsidRPr="005548CD">
        <w:rPr>
          <w:rFonts w:cs="Arial"/>
        </w:rPr>
        <w:t xml:space="preserve"> </w:t>
      </w:r>
      <w:r w:rsidR="009F6D34" w:rsidRPr="005548CD">
        <w:rPr>
          <w:rFonts w:cs="Arial"/>
        </w:rPr>
        <w:t>(IHG PLC, 2022; brandcredential, 2024)</w:t>
      </w:r>
    </w:p>
    <w:p w14:paraId="741ACFE4" w14:textId="013CF40C" w:rsidR="0049487A" w:rsidRPr="005548CD" w:rsidRDefault="0049487A" w:rsidP="005548CD">
      <w:pPr>
        <w:rPr>
          <w:rFonts w:cs="Arial"/>
        </w:rPr>
      </w:pPr>
      <w:r w:rsidRPr="005548CD">
        <w:rPr>
          <w:rFonts w:cs="Arial"/>
        </w:rPr>
        <w:t>At the unit level, individual IHG hotels conduct their business under a professional bureaucracy</w:t>
      </w:r>
      <w:r w:rsidR="0002452C" w:rsidRPr="005548CD">
        <w:rPr>
          <w:rFonts w:cs="Arial"/>
        </w:rPr>
        <w:t xml:space="preserve"> (Quek, 2012)</w:t>
      </w:r>
      <w:r w:rsidRPr="005548CD">
        <w:rPr>
          <w:rFonts w:cs="Arial"/>
        </w:rPr>
        <w:t xml:space="preserve">. Specialization is at the core of </w:t>
      </w:r>
      <w:r w:rsidR="00895599" w:rsidRPr="005548CD">
        <w:rPr>
          <w:rFonts w:cs="Arial"/>
        </w:rPr>
        <w:t>the professional bureaucracy</w:t>
      </w:r>
      <w:r w:rsidRPr="005548CD">
        <w:rPr>
          <w:rFonts w:cs="Arial"/>
        </w:rPr>
        <w:t xml:space="preserve"> </w:t>
      </w:r>
      <w:r w:rsidR="00392080" w:rsidRPr="005548CD">
        <w:rPr>
          <w:rFonts w:cs="Arial"/>
        </w:rPr>
        <w:t>organis</w:t>
      </w:r>
      <w:r w:rsidRPr="005548CD">
        <w:rPr>
          <w:rFonts w:cs="Arial"/>
        </w:rPr>
        <w:t xml:space="preserve">ational model where the staff performs highly specific roles like managers, chefs, customer service representatives, and housekeeping personnel, </w:t>
      </w:r>
      <w:r w:rsidRPr="005548CD">
        <w:rPr>
          <w:rFonts w:cs="Arial"/>
        </w:rPr>
        <w:lastRenderedPageBreak/>
        <w:t>bringing much experience and autonomy to their positions</w:t>
      </w:r>
      <w:r w:rsidR="00895599" w:rsidRPr="005548CD">
        <w:rPr>
          <w:rFonts w:cs="Arial"/>
        </w:rPr>
        <w:t xml:space="preserve"> (Kallio et al., 2020)</w:t>
      </w:r>
      <w:r w:rsidRPr="005548CD">
        <w:rPr>
          <w:rFonts w:cs="Arial"/>
        </w:rPr>
        <w:t>. Professional bureaucracies are known to be based on their standardized skills and training</w:t>
      </w:r>
      <w:r w:rsidR="00A14C7B" w:rsidRPr="005548CD">
        <w:rPr>
          <w:rFonts w:cs="Arial"/>
        </w:rPr>
        <w:t>.</w:t>
      </w:r>
      <w:r w:rsidRPr="005548CD">
        <w:rPr>
          <w:rFonts w:cs="Arial"/>
        </w:rPr>
        <w:t xml:space="preserve"> IHG hotels ensure, remain constant by maintaining similar service quality and operational standards across diverse locations</w:t>
      </w:r>
      <w:r w:rsidR="00A14C7B" w:rsidRPr="005548CD">
        <w:rPr>
          <w:rFonts w:cs="Arial"/>
        </w:rPr>
        <w:t xml:space="preserve"> (</w:t>
      </w:r>
      <w:r w:rsidR="009F6D34" w:rsidRPr="005548CD">
        <w:rPr>
          <w:rFonts w:eastAsia="Times New Roman" w:cs="Arial"/>
          <w:szCs w:val="24"/>
        </w:rPr>
        <w:t>Stoimenov</w:t>
      </w:r>
      <w:r w:rsidR="00A14C7B" w:rsidRPr="005548CD">
        <w:rPr>
          <w:rFonts w:cs="Arial"/>
        </w:rPr>
        <w:t xml:space="preserve">, </w:t>
      </w:r>
      <w:r w:rsidR="009F6D34" w:rsidRPr="005548CD">
        <w:rPr>
          <w:rFonts w:cs="Arial"/>
        </w:rPr>
        <w:t>2023</w:t>
      </w:r>
      <w:r w:rsidR="00A14C7B" w:rsidRPr="005548CD">
        <w:rPr>
          <w:rFonts w:cs="Arial"/>
        </w:rPr>
        <w:t>)</w:t>
      </w:r>
      <w:r w:rsidRPr="005548CD">
        <w:rPr>
          <w:rFonts w:cs="Arial"/>
        </w:rPr>
        <w:t xml:space="preserve">. </w:t>
      </w:r>
    </w:p>
    <w:p w14:paraId="43A64DB2" w14:textId="7E0BE4E7" w:rsidR="0049487A" w:rsidRPr="005548CD" w:rsidRDefault="0049487A" w:rsidP="005548CD">
      <w:pPr>
        <w:rPr>
          <w:rFonts w:cs="Arial"/>
        </w:rPr>
      </w:pPr>
      <w:r w:rsidRPr="005548CD">
        <w:rPr>
          <w:rFonts w:cs="Arial"/>
        </w:rPr>
        <w:t xml:space="preserve">On the </w:t>
      </w:r>
      <w:r w:rsidR="00974489" w:rsidRPr="005548CD">
        <w:rPr>
          <w:rFonts w:cs="Arial"/>
        </w:rPr>
        <w:t>other</w:t>
      </w:r>
      <w:r w:rsidRPr="005548CD">
        <w:rPr>
          <w:rFonts w:cs="Arial"/>
        </w:rPr>
        <w:t xml:space="preserve"> hand</w:t>
      </w:r>
      <w:r w:rsidR="00A14C7B" w:rsidRPr="005548CD">
        <w:rPr>
          <w:rFonts w:cs="Arial"/>
        </w:rPr>
        <w:t>, t</w:t>
      </w:r>
      <w:r w:rsidRPr="005548CD">
        <w:rPr>
          <w:rFonts w:cs="Arial"/>
        </w:rPr>
        <w:t>he divisional structure of the company is associated with flexible and responsive features to market fluctuations, which will allow brands to innovate and adjust at the divisional level. While a professional administrative staff at the unit level guarantees operational efficiency and excellent service quality; specialized personnel take care of day-to-day functions with proficiency and independence</w:t>
      </w:r>
      <w:r w:rsidR="00EC5C39" w:rsidRPr="005548CD">
        <w:rPr>
          <w:rFonts w:cs="Arial"/>
        </w:rPr>
        <w:t xml:space="preserve"> (Mullins, 2020)</w:t>
      </w:r>
      <w:r w:rsidRPr="005548CD">
        <w:rPr>
          <w:rFonts w:cs="Arial"/>
        </w:rPr>
        <w:t xml:space="preserve">. </w:t>
      </w:r>
    </w:p>
    <w:p w14:paraId="2E001AA6" w14:textId="1AA1020C" w:rsidR="007E3FD4" w:rsidRPr="005548CD" w:rsidRDefault="00392080" w:rsidP="005548CD">
      <w:pPr>
        <w:pStyle w:val="Heading1"/>
        <w:rPr>
          <w:rFonts w:cs="Arial"/>
        </w:rPr>
      </w:pPr>
      <w:bookmarkStart w:id="5" w:name="_Toc168079036"/>
      <w:r w:rsidRPr="005548CD">
        <w:rPr>
          <w:rFonts w:cs="Arial"/>
        </w:rPr>
        <w:t>Organis</w:t>
      </w:r>
      <w:r w:rsidR="007E3FD4" w:rsidRPr="005548CD">
        <w:rPr>
          <w:rFonts w:cs="Arial"/>
        </w:rPr>
        <w:t>ational culture</w:t>
      </w:r>
      <w:bookmarkEnd w:id="5"/>
    </w:p>
    <w:p w14:paraId="2871B569" w14:textId="3D01F5BB" w:rsidR="007E3FD4" w:rsidRPr="005548CD" w:rsidRDefault="007E3FD4" w:rsidP="005548CD">
      <w:pPr>
        <w:rPr>
          <w:rFonts w:cs="Arial"/>
        </w:rPr>
      </w:pPr>
      <w:r w:rsidRPr="005548CD">
        <w:rPr>
          <w:rFonts w:cs="Arial"/>
        </w:rPr>
        <w:t xml:space="preserve">The </w:t>
      </w:r>
      <w:bookmarkStart w:id="6" w:name="_Hlk166829563"/>
      <w:r w:rsidR="00392080" w:rsidRPr="005548CD">
        <w:rPr>
          <w:rFonts w:cs="Arial"/>
        </w:rPr>
        <w:t>organis</w:t>
      </w:r>
      <w:r w:rsidRPr="005548CD">
        <w:rPr>
          <w:rFonts w:cs="Arial"/>
        </w:rPr>
        <w:t xml:space="preserve">ational culture </w:t>
      </w:r>
      <w:bookmarkEnd w:id="6"/>
      <w:r w:rsidRPr="005548CD">
        <w:rPr>
          <w:rFonts w:cs="Arial"/>
        </w:rPr>
        <w:t xml:space="preserve">model developed by Edgar Schein offers a thorough framework for examining the culture </w:t>
      </w:r>
      <w:r w:rsidR="002A4B88" w:rsidRPr="005548CD">
        <w:rPr>
          <w:rFonts w:cs="Arial"/>
        </w:rPr>
        <w:t xml:space="preserve">of the </w:t>
      </w:r>
      <w:r w:rsidR="00392080" w:rsidRPr="005548CD">
        <w:rPr>
          <w:rFonts w:cs="Arial"/>
        </w:rPr>
        <w:t>organis</w:t>
      </w:r>
      <w:r w:rsidR="002A4B88" w:rsidRPr="005548CD">
        <w:rPr>
          <w:rFonts w:cs="Arial"/>
        </w:rPr>
        <w:t>ation</w:t>
      </w:r>
      <w:r w:rsidR="0002452C" w:rsidRPr="005548CD">
        <w:rPr>
          <w:rFonts w:cs="Arial"/>
        </w:rPr>
        <w:t xml:space="preserve"> (Turlais and Dubkevics, 2017)</w:t>
      </w:r>
      <w:r w:rsidR="002A4B88" w:rsidRPr="005548CD">
        <w:rPr>
          <w:rFonts w:cs="Arial"/>
        </w:rPr>
        <w:t>. To understand the IHG’s culture</w:t>
      </w:r>
      <w:r w:rsidRPr="005548CD">
        <w:rPr>
          <w:rFonts w:cs="Arial"/>
        </w:rPr>
        <w:t xml:space="preserve"> taking into account artifacts, stated values, and fundamental underlying assumptions.</w:t>
      </w:r>
    </w:p>
    <w:p w14:paraId="3D7E7200" w14:textId="77777777" w:rsidR="00F54EFD" w:rsidRPr="005548CD" w:rsidRDefault="00F54EFD" w:rsidP="005548CD">
      <w:pPr>
        <w:keepNext/>
        <w:rPr>
          <w:rFonts w:cs="Arial"/>
        </w:rPr>
      </w:pPr>
      <w:r w:rsidRPr="005548CD">
        <w:rPr>
          <w:rFonts w:cs="Arial"/>
        </w:rPr>
        <w:drawing>
          <wp:inline distT="0" distB="0" distL="0" distR="0" wp14:anchorId="70821A55" wp14:editId="072D2720">
            <wp:extent cx="5429250" cy="2514600"/>
            <wp:effectExtent l="0" t="38100" r="0" b="76200"/>
            <wp:docPr id="11514710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338DEA2" w14:textId="56261E2D" w:rsidR="00F54EFD" w:rsidRPr="005548CD" w:rsidRDefault="00F54EFD" w:rsidP="005548CD">
      <w:pPr>
        <w:pStyle w:val="Caption"/>
        <w:jc w:val="center"/>
        <w:rPr>
          <w:rFonts w:cs="Arial"/>
        </w:rPr>
      </w:pPr>
      <w:r w:rsidRPr="005548CD">
        <w:rPr>
          <w:rFonts w:cs="Arial"/>
        </w:rPr>
        <w:t xml:space="preserve">Figure </w:t>
      </w:r>
      <w:r w:rsidRPr="005548CD">
        <w:rPr>
          <w:rFonts w:cs="Arial"/>
        </w:rPr>
        <w:fldChar w:fldCharType="begin"/>
      </w:r>
      <w:r w:rsidRPr="005548CD">
        <w:rPr>
          <w:rFonts w:cs="Arial"/>
        </w:rPr>
        <w:instrText xml:space="preserve"> SEQ Figure \* ARABIC </w:instrText>
      </w:r>
      <w:r w:rsidRPr="005548CD">
        <w:rPr>
          <w:rFonts w:cs="Arial"/>
        </w:rPr>
        <w:fldChar w:fldCharType="separate"/>
      </w:r>
      <w:r w:rsidR="000A7A97" w:rsidRPr="005548CD">
        <w:rPr>
          <w:rFonts w:cs="Arial"/>
        </w:rPr>
        <w:t>2</w:t>
      </w:r>
      <w:r w:rsidRPr="005548CD">
        <w:rPr>
          <w:rFonts w:cs="Arial"/>
        </w:rPr>
        <w:fldChar w:fldCharType="end"/>
      </w:r>
      <w:r w:rsidRPr="005548CD">
        <w:rPr>
          <w:rFonts w:cs="Arial"/>
        </w:rPr>
        <w:t>: IHG’s culture</w:t>
      </w:r>
    </w:p>
    <w:p w14:paraId="04AFDA13" w14:textId="26EF5B1E" w:rsidR="00F54EFD" w:rsidRPr="005548CD" w:rsidRDefault="00F54EFD" w:rsidP="005548CD">
      <w:pPr>
        <w:jc w:val="center"/>
        <w:rPr>
          <w:rFonts w:cs="Arial"/>
        </w:rPr>
      </w:pPr>
      <w:r w:rsidRPr="005548CD">
        <w:rPr>
          <w:rFonts w:cs="Arial"/>
        </w:rPr>
        <w:t>Source: Author</w:t>
      </w:r>
    </w:p>
    <w:p w14:paraId="602D32BD" w14:textId="3D686AB0" w:rsidR="007E3FD4" w:rsidRPr="005548CD" w:rsidRDefault="007E3FD4" w:rsidP="005548CD">
      <w:pPr>
        <w:rPr>
          <w:rFonts w:cs="Arial"/>
        </w:rPr>
      </w:pPr>
      <w:r w:rsidRPr="005548CD">
        <w:rPr>
          <w:rFonts w:cs="Arial"/>
        </w:rPr>
        <w:t xml:space="preserve">Artifacts:  </w:t>
      </w:r>
      <w:r w:rsidR="00EA100D" w:rsidRPr="005548CD">
        <w:rPr>
          <w:rFonts w:cs="Arial"/>
        </w:rPr>
        <w:t>A</w:t>
      </w:r>
      <w:r w:rsidRPr="005548CD">
        <w:rPr>
          <w:rFonts w:cs="Arial"/>
        </w:rPr>
        <w:t xml:space="preserve">rtifacts make a connection of cultures visible and tangible with </w:t>
      </w:r>
      <w:r w:rsidR="00EA100D" w:rsidRPr="005548CD">
        <w:rPr>
          <w:rFonts w:cs="Arial"/>
        </w:rPr>
        <w:t>their</w:t>
      </w:r>
      <w:r w:rsidRPr="005548CD">
        <w:rPr>
          <w:rFonts w:cs="Arial"/>
        </w:rPr>
        <w:t xml:space="preserve"> culture which are the palpable and concrete components</w:t>
      </w:r>
      <w:r w:rsidR="00EA100D" w:rsidRPr="005548CD">
        <w:rPr>
          <w:rFonts w:cs="Arial"/>
        </w:rPr>
        <w:t xml:space="preserve"> </w:t>
      </w:r>
      <w:r w:rsidR="006D4C67" w:rsidRPr="005548CD">
        <w:rPr>
          <w:rFonts w:cs="Arial"/>
        </w:rPr>
        <w:t xml:space="preserve">(Turlais and Dubkevics, 2017). </w:t>
      </w:r>
      <w:r w:rsidRPr="005548CD">
        <w:rPr>
          <w:rFonts w:cs="Arial"/>
        </w:rPr>
        <w:t xml:space="preserve">These incorporations comprise the IHG’s distinct branding that ranges from the logos to the design themes that conveniently span across the company’s </w:t>
      </w:r>
      <w:r w:rsidR="00EA100D" w:rsidRPr="005548CD">
        <w:rPr>
          <w:rFonts w:cs="Arial"/>
        </w:rPr>
        <w:t>20</w:t>
      </w:r>
      <w:r w:rsidRPr="005548CD">
        <w:rPr>
          <w:rFonts w:cs="Arial"/>
        </w:rPr>
        <w:t xml:space="preserve"> different brands</w:t>
      </w:r>
      <w:r w:rsidR="00EA100D" w:rsidRPr="005548CD">
        <w:rPr>
          <w:rFonts w:cs="Arial"/>
        </w:rPr>
        <w:t xml:space="preserve"> (IHG, 2020)</w:t>
      </w:r>
      <w:r w:rsidRPr="005548CD">
        <w:rPr>
          <w:rFonts w:cs="Arial"/>
        </w:rPr>
        <w:t xml:space="preserve">. A uniform worn by staff and customer service protocols are symbols that </w:t>
      </w:r>
      <w:r w:rsidRPr="005548CD">
        <w:rPr>
          <w:rFonts w:cs="Arial"/>
        </w:rPr>
        <w:lastRenderedPageBreak/>
        <w:t xml:space="preserve">show the company’s commitment to professionalism and quality. Apart from that, the physical settings of IHG hotels, featuring inviting lobbies and carefully designed rooms, also demonstrate the company’s commitment to creating a better stay for its guests. </w:t>
      </w:r>
    </w:p>
    <w:p w14:paraId="478CE0F2" w14:textId="04686288" w:rsidR="007E3FD4" w:rsidRPr="005548CD" w:rsidRDefault="007E3FD4" w:rsidP="005548CD">
      <w:pPr>
        <w:rPr>
          <w:rFonts w:cs="Arial"/>
        </w:rPr>
      </w:pPr>
      <w:r w:rsidRPr="005548CD">
        <w:rPr>
          <w:rFonts w:cs="Arial"/>
        </w:rPr>
        <w:t xml:space="preserve">Espoused Values: The stated values </w:t>
      </w:r>
      <w:r w:rsidR="00EA100D" w:rsidRPr="005548CD">
        <w:rPr>
          <w:rFonts w:cs="Arial"/>
        </w:rPr>
        <w:t xml:space="preserve">are </w:t>
      </w:r>
      <w:r w:rsidRPr="005548CD">
        <w:rPr>
          <w:rFonts w:cs="Arial"/>
        </w:rPr>
        <w:t>reflected through corporate policies and public declinations that are focused on sustainability, responsibility, and diversity</w:t>
      </w:r>
      <w:r w:rsidR="00EA100D" w:rsidRPr="005548CD">
        <w:rPr>
          <w:rFonts w:cs="Arial"/>
        </w:rPr>
        <w:t xml:space="preserve"> (Dominick et al., 2020)</w:t>
      </w:r>
      <w:r w:rsidRPr="005548CD">
        <w:rPr>
          <w:rFonts w:cs="Arial"/>
        </w:rPr>
        <w:t xml:space="preserve">. The “Journey to Tomorrow” program by the company pinpoints its commitment to sustainability, for instance </w:t>
      </w:r>
      <w:r w:rsidR="002D1975" w:rsidRPr="005548CD">
        <w:rPr>
          <w:rFonts w:cs="Arial"/>
        </w:rPr>
        <w:t>backing</w:t>
      </w:r>
      <w:r w:rsidRPr="005548CD">
        <w:rPr>
          <w:rFonts w:cs="Arial"/>
        </w:rPr>
        <w:t xml:space="preserve"> off carbon dioxide emissions and ensuring a good use of water</w:t>
      </w:r>
      <w:r w:rsidR="0002452C" w:rsidRPr="005548CD">
        <w:rPr>
          <w:rFonts w:cs="Arial"/>
        </w:rPr>
        <w:t xml:space="preserve"> (InterContinental Hotels Group PLC, 2021)</w:t>
      </w:r>
      <w:r w:rsidRPr="005548CD">
        <w:rPr>
          <w:rFonts w:cs="Arial"/>
        </w:rPr>
        <w:t xml:space="preserve">. In addition, IHG works with its workforce to endorse diversity and inclusion to </w:t>
      </w:r>
      <w:r w:rsidR="002D1975" w:rsidRPr="005548CD">
        <w:rPr>
          <w:rFonts w:cs="Arial"/>
        </w:rPr>
        <w:t>create</w:t>
      </w:r>
      <w:r w:rsidRPr="005548CD">
        <w:rPr>
          <w:rFonts w:cs="Arial"/>
        </w:rPr>
        <w:t xml:space="preserve"> a good atmosphere in work areas where everyone is accepted and appreciated</w:t>
      </w:r>
      <w:r w:rsidR="002D1975" w:rsidRPr="005548CD">
        <w:rPr>
          <w:rFonts w:cs="Arial"/>
        </w:rPr>
        <w:t>.</w:t>
      </w:r>
      <w:r w:rsidRPr="005548CD">
        <w:rPr>
          <w:rFonts w:cs="Arial"/>
        </w:rPr>
        <w:t xml:space="preserve"> </w:t>
      </w:r>
    </w:p>
    <w:p w14:paraId="4750B4D0" w14:textId="3D558822" w:rsidR="00A6044F" w:rsidRPr="005548CD" w:rsidRDefault="007E3FD4" w:rsidP="005548CD">
      <w:pPr>
        <w:rPr>
          <w:rFonts w:cs="Arial"/>
        </w:rPr>
      </w:pPr>
      <w:bookmarkStart w:id="7" w:name="_Hlk166856604"/>
      <w:r w:rsidRPr="005548CD">
        <w:rPr>
          <w:rFonts w:cs="Arial"/>
        </w:rPr>
        <w:t>Basic Underlying Assumptions</w:t>
      </w:r>
      <w:bookmarkEnd w:id="7"/>
      <w:r w:rsidRPr="005548CD">
        <w:rPr>
          <w:rFonts w:cs="Arial"/>
        </w:rPr>
        <w:t xml:space="preserve">: </w:t>
      </w:r>
      <w:r w:rsidR="00EA100D" w:rsidRPr="005548CD">
        <w:rPr>
          <w:rFonts w:cs="Arial"/>
        </w:rPr>
        <w:t xml:space="preserve">Basic underlying assumptions </w:t>
      </w:r>
      <w:r w:rsidRPr="005548CD">
        <w:rPr>
          <w:rFonts w:cs="Arial"/>
        </w:rPr>
        <w:t xml:space="preserve">comprise a strong sense of customer service, delivery of satisfaction, and sustainability. These presuppositions steer an </w:t>
      </w:r>
      <w:r w:rsidR="00392080" w:rsidRPr="005548CD">
        <w:rPr>
          <w:rFonts w:cs="Arial"/>
        </w:rPr>
        <w:t>organis</w:t>
      </w:r>
      <w:r w:rsidRPr="005548CD">
        <w:rPr>
          <w:rFonts w:cs="Arial"/>
        </w:rPr>
        <w:t xml:space="preserve">ational entity as its employees adhere to them in their behavior and decision-making processes across all </w:t>
      </w:r>
      <w:r w:rsidR="00392080" w:rsidRPr="005548CD">
        <w:rPr>
          <w:rFonts w:cs="Arial"/>
        </w:rPr>
        <w:t>organis</w:t>
      </w:r>
      <w:r w:rsidRPr="005548CD">
        <w:rPr>
          <w:rFonts w:cs="Arial"/>
        </w:rPr>
        <w:t>ational levels. Illustrating this, employees' commitment to perfect results and their resolve to satisfy customers are the core values, which in turn result in an outstanding guest experience</w:t>
      </w:r>
      <w:r w:rsidR="000817A5" w:rsidRPr="005548CD">
        <w:rPr>
          <w:rFonts w:cs="Arial"/>
        </w:rPr>
        <w:t xml:space="preserve"> (Weiland et al., 2017).</w:t>
      </w:r>
      <w:r w:rsidRPr="005548CD">
        <w:rPr>
          <w:rFonts w:cs="Arial"/>
        </w:rPr>
        <w:t xml:space="preserve"> </w:t>
      </w:r>
    </w:p>
    <w:p w14:paraId="24E59C82" w14:textId="77777777" w:rsidR="00A6044F" w:rsidRPr="005548CD" w:rsidRDefault="00A6044F" w:rsidP="005548CD">
      <w:pPr>
        <w:pStyle w:val="Heading1"/>
        <w:rPr>
          <w:rFonts w:cs="Arial"/>
        </w:rPr>
      </w:pPr>
      <w:bookmarkStart w:id="8" w:name="_Toc168079037"/>
      <w:r w:rsidRPr="005548CD">
        <w:rPr>
          <w:rFonts w:cs="Arial"/>
        </w:rPr>
        <w:t>Recent Change Initiatives</w:t>
      </w:r>
      <w:bookmarkEnd w:id="8"/>
    </w:p>
    <w:p w14:paraId="610B323F" w14:textId="17B1E86B" w:rsidR="00A6044F" w:rsidRPr="005548CD" w:rsidRDefault="00A6044F" w:rsidP="005548CD">
      <w:pPr>
        <w:pStyle w:val="Heading2"/>
        <w:rPr>
          <w:rFonts w:cs="Arial"/>
        </w:rPr>
      </w:pPr>
      <w:bookmarkStart w:id="9" w:name="_Toc168079038"/>
      <w:r w:rsidRPr="005548CD">
        <w:rPr>
          <w:rFonts w:cs="Arial"/>
        </w:rPr>
        <w:t>Overview of Recent Change</w:t>
      </w:r>
      <w:bookmarkEnd w:id="9"/>
    </w:p>
    <w:p w14:paraId="302FD45C" w14:textId="3F44141B" w:rsidR="00A6044F" w:rsidRPr="005548CD" w:rsidRDefault="00A6044F" w:rsidP="005548CD">
      <w:pPr>
        <w:rPr>
          <w:rFonts w:cs="Arial"/>
        </w:rPr>
      </w:pPr>
      <w:r w:rsidRPr="005548CD">
        <w:rPr>
          <w:rFonts w:cs="Arial"/>
        </w:rPr>
        <w:t>In the COVID-19 pandemic, IHG made critical shifts to meet new market conditions. These changes can be well understood by the ADKAR model</w:t>
      </w:r>
      <w:r w:rsidR="00740542" w:rsidRPr="005548CD">
        <w:rPr>
          <w:rFonts w:cs="Arial"/>
        </w:rPr>
        <w:t xml:space="preserve">. </w:t>
      </w:r>
      <w:r w:rsidRPr="005548CD">
        <w:rPr>
          <w:rFonts w:cs="Arial"/>
        </w:rPr>
        <w:t>It makes a total picture. Awareness came from recognizing a changing landscape due to less traveling and health issues, evident by being clear in outlining the seriousness to the stakeholders. Safety protocols' efficacy and digital transformation benefits were highlighted in the Desire, encouraging employees and management to embrace change</w:t>
      </w:r>
      <w:r w:rsidR="00740542" w:rsidRPr="005548CD">
        <w:rPr>
          <w:rFonts w:cs="Arial"/>
        </w:rPr>
        <w:t xml:space="preserve"> (Fuchs, 2022)</w:t>
      </w:r>
      <w:r w:rsidRPr="005548CD">
        <w:rPr>
          <w:rFonts w:cs="Arial"/>
        </w:rPr>
        <w:t>. Through training sessions and webinars, knowledge was given to all, while personas and guides were also updated to ensure everyone was in the loop. To keep the ability, job roles involved gave hands-on training as well as resources including PPE and new electronic tools. Reinforcements were determinants in making the changes stick through regular feedback, recognition and ensuring the integration into normal activities</w:t>
      </w:r>
      <w:r w:rsidR="009F6D34" w:rsidRPr="005548CD">
        <w:rPr>
          <w:rFonts w:cs="Arial"/>
        </w:rPr>
        <w:t xml:space="preserve"> (</w:t>
      </w:r>
      <w:r w:rsidR="009F6D34" w:rsidRPr="005548CD">
        <w:rPr>
          <w:rFonts w:eastAsia="Times New Roman" w:cs="Arial"/>
          <w:szCs w:val="24"/>
        </w:rPr>
        <w:t>El-Said et al., 2024)</w:t>
      </w:r>
      <w:r w:rsidRPr="005548CD">
        <w:rPr>
          <w:rFonts w:cs="Arial"/>
        </w:rPr>
        <w:t xml:space="preserve">. Consequently, the guarantee of just-in-time delivery and the promise of timely market responses are more possible. </w:t>
      </w:r>
    </w:p>
    <w:p w14:paraId="364186F5" w14:textId="18ADDC66" w:rsidR="00A6044F" w:rsidRPr="005548CD" w:rsidRDefault="00A6044F" w:rsidP="005548CD">
      <w:pPr>
        <w:pStyle w:val="Heading2"/>
        <w:rPr>
          <w:rFonts w:cs="Arial"/>
        </w:rPr>
      </w:pPr>
      <w:bookmarkStart w:id="10" w:name="_Toc168079039"/>
      <w:r w:rsidRPr="005548CD">
        <w:rPr>
          <w:rFonts w:cs="Arial"/>
        </w:rPr>
        <w:lastRenderedPageBreak/>
        <w:t>Change Management</w:t>
      </w:r>
      <w:bookmarkEnd w:id="10"/>
      <w:r w:rsidRPr="005548CD">
        <w:rPr>
          <w:rFonts w:cs="Arial"/>
        </w:rPr>
        <w:t xml:space="preserve"> </w:t>
      </w:r>
    </w:p>
    <w:p w14:paraId="2DFE0155" w14:textId="66428F2E" w:rsidR="00EA100D" w:rsidRPr="005548CD" w:rsidRDefault="00EC5C39" w:rsidP="005548CD">
      <w:pPr>
        <w:rPr>
          <w:rFonts w:cs="Arial"/>
        </w:rPr>
      </w:pPr>
      <w:r w:rsidRPr="005548CD">
        <w:rPr>
          <w:rFonts w:cs="Arial"/>
        </w:rPr>
        <w:t>William Bridges’ Transition Model</w:t>
      </w:r>
      <w:r w:rsidR="00EA100D" w:rsidRPr="005548CD">
        <w:rPr>
          <w:rFonts w:cs="Arial"/>
        </w:rPr>
        <w:t xml:space="preserve"> focuses on the psychological shifts people face throughout the transformation</w:t>
      </w:r>
      <w:r w:rsidR="000817A5" w:rsidRPr="005548CD">
        <w:rPr>
          <w:rFonts w:cs="Arial"/>
        </w:rPr>
        <w:t xml:space="preserve"> (Miller, 2017). It</w:t>
      </w:r>
      <w:r w:rsidR="00EA100D" w:rsidRPr="005548CD">
        <w:rPr>
          <w:rFonts w:cs="Arial"/>
        </w:rPr>
        <w:t xml:space="preserve"> gives another perspective through which to analyze IHG's efforts</w:t>
      </w:r>
      <w:r w:rsidR="000817A5" w:rsidRPr="005548CD">
        <w:rPr>
          <w:rFonts w:cs="Arial"/>
        </w:rPr>
        <w:t>.</w:t>
      </w:r>
    </w:p>
    <w:p w14:paraId="59B57424" w14:textId="390728B8" w:rsidR="00A6044F" w:rsidRPr="005548CD" w:rsidRDefault="00A6044F" w:rsidP="005548CD">
      <w:pPr>
        <w:rPr>
          <w:rFonts w:cs="Arial"/>
        </w:rPr>
      </w:pPr>
      <w:r w:rsidRPr="005548CD">
        <w:rPr>
          <w:rFonts w:cs="Arial"/>
        </w:rPr>
        <w:t>Ending, Losing, Letting Go: The beginning phase focused on the team members and the leader to abolish some old working habits and skills. This referred to the emergence of unpredictability and the obligation of rethinking and adopting the post-pandemic ones. Transparent communication about the upcoming change is a great solution for reducing resistance</w:t>
      </w:r>
      <w:r w:rsidR="000817A5" w:rsidRPr="005548CD">
        <w:rPr>
          <w:rFonts w:cs="Arial"/>
        </w:rPr>
        <w:t xml:space="preserve"> </w:t>
      </w:r>
      <w:r w:rsidR="0002452C" w:rsidRPr="005548CD">
        <w:rPr>
          <w:rFonts w:cs="Arial"/>
        </w:rPr>
        <w:t>(Sridharan, 2022).</w:t>
      </w:r>
      <w:r w:rsidRPr="005548CD">
        <w:rPr>
          <w:rFonts w:cs="Arial"/>
        </w:rPr>
        <w:t xml:space="preserve"> </w:t>
      </w:r>
    </w:p>
    <w:p w14:paraId="2612470B" w14:textId="77777777" w:rsidR="000A7A97" w:rsidRPr="005548CD" w:rsidRDefault="00F54EFD" w:rsidP="005548CD">
      <w:pPr>
        <w:keepNext/>
        <w:jc w:val="center"/>
        <w:rPr>
          <w:rFonts w:cs="Arial"/>
        </w:rPr>
      </w:pPr>
      <w:r w:rsidRPr="005548CD">
        <w:rPr>
          <w:rFonts w:cs="Arial"/>
        </w:rPr>
        <w:drawing>
          <wp:inline distT="0" distB="0" distL="0" distR="0" wp14:anchorId="7E590866" wp14:editId="23094CF6">
            <wp:extent cx="4305300" cy="2409270"/>
            <wp:effectExtent l="0" t="0" r="0" b="0"/>
            <wp:docPr id="1684554053" name="Picture 3" descr="Bridges' Transition Model for Change | All You Need to Know – OCM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dges' Transition Model for Change | All You Need to Know – OCM Solu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13908" cy="2414087"/>
                    </a:xfrm>
                    <a:prstGeom prst="rect">
                      <a:avLst/>
                    </a:prstGeom>
                    <a:noFill/>
                    <a:ln>
                      <a:noFill/>
                    </a:ln>
                  </pic:spPr>
                </pic:pic>
              </a:graphicData>
            </a:graphic>
          </wp:inline>
        </w:drawing>
      </w:r>
    </w:p>
    <w:p w14:paraId="4EDDE880" w14:textId="2FC88FCB" w:rsidR="00F54EFD" w:rsidRPr="005548CD" w:rsidRDefault="000A7A97" w:rsidP="005548CD">
      <w:pPr>
        <w:pStyle w:val="Caption"/>
        <w:jc w:val="center"/>
        <w:rPr>
          <w:rFonts w:cs="Arial"/>
        </w:rPr>
      </w:pPr>
      <w:r w:rsidRPr="005548CD">
        <w:rPr>
          <w:rFonts w:cs="Arial"/>
        </w:rPr>
        <w:t xml:space="preserve">Figure </w:t>
      </w:r>
      <w:r w:rsidRPr="005548CD">
        <w:rPr>
          <w:rFonts w:cs="Arial"/>
        </w:rPr>
        <w:fldChar w:fldCharType="begin"/>
      </w:r>
      <w:r w:rsidRPr="005548CD">
        <w:rPr>
          <w:rFonts w:cs="Arial"/>
        </w:rPr>
        <w:instrText xml:space="preserve"> SEQ Figure \* ARABIC </w:instrText>
      </w:r>
      <w:r w:rsidRPr="005548CD">
        <w:rPr>
          <w:rFonts w:cs="Arial"/>
        </w:rPr>
        <w:fldChar w:fldCharType="separate"/>
      </w:r>
      <w:r w:rsidRPr="005548CD">
        <w:rPr>
          <w:rFonts w:cs="Arial"/>
        </w:rPr>
        <w:t>3</w:t>
      </w:r>
      <w:r w:rsidRPr="005548CD">
        <w:rPr>
          <w:rFonts w:cs="Arial"/>
        </w:rPr>
        <w:fldChar w:fldCharType="end"/>
      </w:r>
      <w:r w:rsidRPr="005548CD">
        <w:rPr>
          <w:rFonts w:cs="Arial"/>
        </w:rPr>
        <w:t>: William Bridges’ Transition Model</w:t>
      </w:r>
    </w:p>
    <w:p w14:paraId="1979E9CC" w14:textId="39707621" w:rsidR="00F54EFD" w:rsidRPr="005548CD" w:rsidRDefault="00F54EFD" w:rsidP="005548CD">
      <w:pPr>
        <w:jc w:val="center"/>
        <w:rPr>
          <w:rFonts w:cs="Arial"/>
        </w:rPr>
      </w:pPr>
      <w:r w:rsidRPr="005548CD">
        <w:rPr>
          <w:rFonts w:cs="Arial"/>
        </w:rPr>
        <w:t>Source: Miller, 2017</w:t>
      </w:r>
    </w:p>
    <w:p w14:paraId="18D5BAE6" w14:textId="7592E5F2" w:rsidR="00A6044F" w:rsidRPr="005548CD" w:rsidRDefault="00A6044F" w:rsidP="005548CD">
      <w:pPr>
        <w:rPr>
          <w:rFonts w:cs="Arial"/>
        </w:rPr>
      </w:pPr>
      <w:r w:rsidRPr="005548CD">
        <w:rPr>
          <w:rFonts w:cs="Arial"/>
        </w:rPr>
        <w:t>The Neutral Zone: During this period, new policies and digitized technologies were put in place. Employees had to find a middle ground between former and new ways of work, which entailed strong support systems and constant involvement to survive the uncertainty of morale</w:t>
      </w:r>
      <w:r w:rsidR="0002452C" w:rsidRPr="005548CD">
        <w:rPr>
          <w:rFonts w:cs="Arial"/>
        </w:rPr>
        <w:t xml:space="preserve"> (</w:t>
      </w:r>
      <w:r w:rsidR="0002452C" w:rsidRPr="005548CD">
        <w:rPr>
          <w:rFonts w:eastAsia="Times New Roman" w:cs="Arial"/>
          <w:szCs w:val="24"/>
        </w:rPr>
        <w:t>Mullins, 2020)</w:t>
      </w:r>
      <w:r w:rsidR="000817A5" w:rsidRPr="005548CD">
        <w:rPr>
          <w:rFonts w:cs="Arial"/>
        </w:rPr>
        <w:t>.</w:t>
      </w:r>
    </w:p>
    <w:p w14:paraId="0CF87EF8" w14:textId="5CDEC075" w:rsidR="00A6044F" w:rsidRPr="005548CD" w:rsidRDefault="00A6044F" w:rsidP="005548CD">
      <w:pPr>
        <w:rPr>
          <w:rFonts w:cs="Arial"/>
        </w:rPr>
      </w:pPr>
      <w:r w:rsidRPr="005548CD">
        <w:rPr>
          <w:rFonts w:cs="Arial"/>
        </w:rPr>
        <w:t xml:space="preserve">The New Beginning: In the end, following the New Start tactics, the </w:t>
      </w:r>
      <w:r w:rsidR="00392080" w:rsidRPr="005548CD">
        <w:rPr>
          <w:rFonts w:cs="Arial"/>
        </w:rPr>
        <w:t>organis</w:t>
      </w:r>
      <w:r w:rsidRPr="005548CD">
        <w:rPr>
          <w:rFonts w:cs="Arial"/>
        </w:rPr>
        <w:t>ation emerged in the New Beginning stage. The workers renewed a new purpose in life and also reaffirmed their commitment to the new set of objectives as directed by the new mission. The success of conducted practices was celebrated and all feedback on this matter was taken, thus forming part of a base of best practices</w:t>
      </w:r>
      <w:r w:rsidR="0002452C" w:rsidRPr="005548CD">
        <w:rPr>
          <w:rFonts w:cs="Arial"/>
        </w:rPr>
        <w:t xml:space="preserve"> </w:t>
      </w:r>
      <w:r w:rsidR="00460601" w:rsidRPr="005548CD">
        <w:rPr>
          <w:rFonts w:cs="Arial"/>
        </w:rPr>
        <w:t>(</w:t>
      </w:r>
      <w:r w:rsidR="0002452C" w:rsidRPr="005548CD">
        <w:rPr>
          <w:rFonts w:cs="Arial"/>
        </w:rPr>
        <w:t>Bridges and Bridges</w:t>
      </w:r>
      <w:r w:rsidR="00460601" w:rsidRPr="005548CD">
        <w:rPr>
          <w:rFonts w:cs="Arial"/>
        </w:rPr>
        <w:t>, 2019)</w:t>
      </w:r>
      <w:r w:rsidRPr="005548CD">
        <w:rPr>
          <w:rFonts w:cs="Arial"/>
        </w:rPr>
        <w:t xml:space="preserve">. </w:t>
      </w:r>
    </w:p>
    <w:p w14:paraId="2EE8C3DC" w14:textId="1114AEE9" w:rsidR="00112E90" w:rsidRPr="005548CD" w:rsidRDefault="00112E90" w:rsidP="005548CD">
      <w:pPr>
        <w:pStyle w:val="Heading1"/>
        <w:rPr>
          <w:rFonts w:cs="Arial"/>
        </w:rPr>
      </w:pPr>
      <w:bookmarkStart w:id="11" w:name="_Toc168079040"/>
      <w:r w:rsidRPr="005548CD">
        <w:rPr>
          <w:rFonts w:cs="Arial"/>
        </w:rPr>
        <w:lastRenderedPageBreak/>
        <w:t>Analysis of Current Strategies</w:t>
      </w:r>
      <w:bookmarkEnd w:id="11"/>
    </w:p>
    <w:p w14:paraId="52DCB737" w14:textId="3130AB41" w:rsidR="00112E90" w:rsidRPr="005548CD" w:rsidRDefault="00112E90" w:rsidP="005548CD">
      <w:pPr>
        <w:rPr>
          <w:rFonts w:cs="Arial"/>
        </w:rPr>
      </w:pPr>
      <w:r w:rsidRPr="005548CD">
        <w:rPr>
          <w:rFonts w:cs="Arial"/>
        </w:rPr>
        <w:t>To study the current IHG strategies, the Blue Ocean Strategy is recommended, which emphasizes uncontested market space creation and renders the competitors irrelevant</w:t>
      </w:r>
      <w:r w:rsidR="00460601" w:rsidRPr="005548CD">
        <w:rPr>
          <w:rFonts w:cs="Arial"/>
        </w:rPr>
        <w:t xml:space="preserve">. </w:t>
      </w:r>
      <w:r w:rsidRPr="005548CD">
        <w:rPr>
          <w:rFonts w:cs="Arial"/>
        </w:rPr>
        <w:t>This strategy focuses on being innovative and creating value rather than fighting on the already crowded markets</w:t>
      </w:r>
      <w:r w:rsidR="0002452C" w:rsidRPr="005548CD">
        <w:rPr>
          <w:rFonts w:cs="Arial"/>
        </w:rPr>
        <w:t xml:space="preserve"> (Kim and Mauborgne, 2014)</w:t>
      </w:r>
      <w:r w:rsidRPr="005548CD">
        <w:rPr>
          <w:rFonts w:cs="Arial"/>
        </w:rPr>
        <w:t xml:space="preserve">. </w:t>
      </w:r>
    </w:p>
    <w:p w14:paraId="20EAF9D7" w14:textId="1280E0EF" w:rsidR="00112E90" w:rsidRPr="005548CD" w:rsidRDefault="00112E90" w:rsidP="005548CD">
      <w:pPr>
        <w:pStyle w:val="Heading2"/>
        <w:rPr>
          <w:rFonts w:cs="Arial"/>
        </w:rPr>
      </w:pPr>
      <w:bookmarkStart w:id="12" w:name="_Toc168079041"/>
      <w:r w:rsidRPr="005548CD">
        <w:rPr>
          <w:rFonts w:cs="Arial"/>
        </w:rPr>
        <w:t>Blue Ocean Strategy Analysis</w:t>
      </w:r>
      <w:bookmarkEnd w:id="12"/>
    </w:p>
    <w:p w14:paraId="405272A9" w14:textId="664F840E" w:rsidR="00112E90" w:rsidRPr="005548CD" w:rsidRDefault="00112E90" w:rsidP="005548CD">
      <w:pPr>
        <w:rPr>
          <w:rFonts w:cs="Arial"/>
        </w:rPr>
      </w:pPr>
      <w:r w:rsidRPr="005548CD">
        <w:rPr>
          <w:rFonts w:cs="Arial"/>
        </w:rPr>
        <w:t>Creating Uncontested Market Space: This refers to designing attractive products and services that would distinguish the company from its rivals</w:t>
      </w:r>
      <w:r w:rsidR="00460601" w:rsidRPr="005548CD">
        <w:rPr>
          <w:rFonts w:cs="Arial"/>
        </w:rPr>
        <w:t xml:space="preserve"> (Kabukin, 2014)</w:t>
      </w:r>
      <w:r w:rsidRPr="005548CD">
        <w:rPr>
          <w:rFonts w:cs="Arial"/>
        </w:rPr>
        <w:t>. It makes this possible through innovative concepts of boutique hotel brands like Kimpton and lifestyle hotels like Hotel Indigo. These brands serve facilities that were previously underdeveloped in the tourism industry</w:t>
      </w:r>
      <w:r w:rsidR="0002452C" w:rsidRPr="005548CD">
        <w:rPr>
          <w:rFonts w:cs="Arial"/>
        </w:rPr>
        <w:t xml:space="preserve"> (Atlanta, 2017)</w:t>
      </w:r>
      <w:r w:rsidRPr="005548CD">
        <w:rPr>
          <w:rFonts w:cs="Arial"/>
        </w:rPr>
        <w:t xml:space="preserve">. </w:t>
      </w:r>
    </w:p>
    <w:p w14:paraId="1011A444" w14:textId="61062728" w:rsidR="00112E90" w:rsidRPr="005548CD" w:rsidRDefault="00112E90" w:rsidP="005548CD">
      <w:pPr>
        <w:rPr>
          <w:rFonts w:cs="Arial"/>
        </w:rPr>
      </w:pPr>
      <w:r w:rsidRPr="005548CD">
        <w:rPr>
          <w:rFonts w:cs="Arial"/>
        </w:rPr>
        <w:t>Value Innovation: One of the main ideas of the Blue Ocean Strategy is value innovation, which is focused on creating a qualitative difference for both the company and the clients while pursuing differentiation and low cost at the same time</w:t>
      </w:r>
      <w:r w:rsidR="00460601" w:rsidRPr="005548CD">
        <w:rPr>
          <w:rFonts w:cs="Arial"/>
        </w:rPr>
        <w:t xml:space="preserve"> (Leavy, 2018)</w:t>
      </w:r>
      <w:r w:rsidRPr="005548CD">
        <w:rPr>
          <w:rFonts w:cs="Arial"/>
        </w:rPr>
        <w:t xml:space="preserve">. IHG achieves this through its advanced IT systems like </w:t>
      </w:r>
      <w:r w:rsidR="00954970" w:rsidRPr="005548CD">
        <w:rPr>
          <w:rFonts w:cs="Arial"/>
        </w:rPr>
        <w:t xml:space="preserve">the </w:t>
      </w:r>
      <w:r w:rsidRPr="005548CD">
        <w:rPr>
          <w:rFonts w:cs="Arial"/>
        </w:rPr>
        <w:t>IHG Concerto platform which is a streamlined system of operations and adds personal touch to services using data analytics and AI</w:t>
      </w:r>
      <w:r w:rsidR="00BA0ADA" w:rsidRPr="005548CD">
        <w:rPr>
          <w:rFonts w:cs="Arial"/>
        </w:rPr>
        <w:t xml:space="preserve"> (The People Space, 2017)</w:t>
      </w:r>
      <w:r w:rsidRPr="005548CD">
        <w:rPr>
          <w:rFonts w:cs="Arial"/>
        </w:rPr>
        <w:t xml:space="preserve">. This maximizes consumer satisfaction as well as cost control, delivering high-quality and affordably </w:t>
      </w:r>
      <w:r w:rsidR="00954970" w:rsidRPr="005548CD">
        <w:rPr>
          <w:rFonts w:cs="Arial"/>
        </w:rPr>
        <w:t>with</w:t>
      </w:r>
      <w:r w:rsidRPr="005548CD">
        <w:rPr>
          <w:rFonts w:cs="Arial"/>
        </w:rPr>
        <w:t xml:space="preserve"> minimal </w:t>
      </w:r>
      <w:r w:rsidR="00954970" w:rsidRPr="005548CD">
        <w:rPr>
          <w:rFonts w:cs="Arial"/>
        </w:rPr>
        <w:t>rises</w:t>
      </w:r>
      <w:r w:rsidRPr="005548CD">
        <w:rPr>
          <w:rFonts w:cs="Arial"/>
        </w:rPr>
        <w:t xml:space="preserve"> in prices. </w:t>
      </w:r>
    </w:p>
    <w:p w14:paraId="57331981" w14:textId="74CD1CD5" w:rsidR="00112E90" w:rsidRDefault="00112E90" w:rsidP="005548CD">
      <w:pPr>
        <w:rPr>
          <w:rFonts w:cs="Arial"/>
        </w:rPr>
      </w:pPr>
      <w:r w:rsidRPr="005548CD">
        <w:rPr>
          <w:rFonts w:cs="Arial"/>
        </w:rPr>
        <w:t>Eliminating and Reducing Factors:</w:t>
      </w:r>
      <w:r w:rsidR="00C23315" w:rsidRPr="005548CD">
        <w:rPr>
          <w:rFonts w:cs="Arial"/>
        </w:rPr>
        <w:t xml:space="preserve"> This refers to recognizing and limiting characteristics of competition that do not directly benefit customers</w:t>
      </w:r>
      <w:r w:rsidR="00460601" w:rsidRPr="005548CD">
        <w:rPr>
          <w:rFonts w:cs="Arial"/>
        </w:rPr>
        <w:t xml:space="preserve"> (</w:t>
      </w:r>
      <w:r w:rsidR="0002452C" w:rsidRPr="005548CD">
        <w:rPr>
          <w:rFonts w:cs="Arial"/>
        </w:rPr>
        <w:t xml:space="preserve">Tabari et al., </w:t>
      </w:r>
      <w:r w:rsidR="00460601" w:rsidRPr="005548CD">
        <w:rPr>
          <w:rFonts w:cs="Arial"/>
        </w:rPr>
        <w:t>201</w:t>
      </w:r>
      <w:r w:rsidR="0002452C" w:rsidRPr="005548CD">
        <w:rPr>
          <w:rFonts w:cs="Arial"/>
        </w:rPr>
        <w:t>4</w:t>
      </w:r>
      <w:r w:rsidR="00460601" w:rsidRPr="005548CD">
        <w:rPr>
          <w:rFonts w:cs="Arial"/>
        </w:rPr>
        <w:t>)</w:t>
      </w:r>
      <w:r w:rsidR="00C23315" w:rsidRPr="005548CD">
        <w:rPr>
          <w:rFonts w:cs="Arial"/>
        </w:rPr>
        <w:t>.</w:t>
      </w:r>
      <w:r w:rsidRPr="005548CD">
        <w:rPr>
          <w:rFonts w:cs="Arial"/>
        </w:rPr>
        <w:t xml:space="preserve"> For example, the Holiday Inn Express by IHG looks into essential amenities, cutting down on unnecessary luxury elements.</w:t>
      </w:r>
    </w:p>
    <w:p w14:paraId="17D88548" w14:textId="20EB046A" w:rsidR="00354B41" w:rsidRPr="005548CD" w:rsidRDefault="00DA02B8" w:rsidP="00DA02B8">
      <w:pPr>
        <w:rPr>
          <w:rFonts w:cs="Arial"/>
        </w:rPr>
      </w:pPr>
      <w:r>
        <w:drawing>
          <wp:anchor distT="0" distB="0" distL="114300" distR="114300" simplePos="0" relativeHeight="251659264" behindDoc="0" locked="0" layoutInCell="1" allowOverlap="1" wp14:anchorId="52AC4FB1" wp14:editId="4A9DDD82">
            <wp:simplePos x="0" y="0"/>
            <wp:positionH relativeFrom="column">
              <wp:posOffset>3571875</wp:posOffset>
            </wp:positionH>
            <wp:positionV relativeFrom="paragraph">
              <wp:posOffset>10160</wp:posOffset>
            </wp:positionV>
            <wp:extent cx="2266315" cy="2114550"/>
            <wp:effectExtent l="0" t="0" r="635" b="0"/>
            <wp:wrapSquare wrapText="bothSides"/>
            <wp:docPr id="678447279" name="Picture 4" descr="Green Engage Ihg Shop | malfraedi.hi.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en Engage Ihg Shop | malfraedi.hi.i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66315" cy="211455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12E90" w:rsidRPr="005548CD">
        <w:rPr>
          <w:rFonts w:cs="Arial"/>
        </w:rPr>
        <w:t xml:space="preserve">Creating and Raising Factors: This deals with the introduction of new components that the industry has never proposed or substantially improved the quality of existing criteria. IHG has set a standard, through digital engagement and sustainability features. The IHG Green Engage system gives a shining example of their environmental commitment and is very attractive to green </w:t>
      </w:r>
      <w:r w:rsidR="00460601" w:rsidRPr="005548CD">
        <w:rPr>
          <w:rFonts w:cs="Arial"/>
        </w:rPr>
        <w:t>travel</w:t>
      </w:r>
      <w:r w:rsidR="00EC5C39" w:rsidRPr="005548CD">
        <w:rPr>
          <w:rFonts w:cs="Arial"/>
        </w:rPr>
        <w:t xml:space="preserve"> (Green Globe, 2024)</w:t>
      </w:r>
      <w:r w:rsidR="00112E90" w:rsidRPr="005548CD">
        <w:rPr>
          <w:rFonts w:cs="Arial"/>
        </w:rPr>
        <w:t xml:space="preserve">. </w:t>
      </w:r>
    </w:p>
    <w:p w14:paraId="2E286AA4" w14:textId="33A83535" w:rsidR="00112E90" w:rsidRPr="005548CD" w:rsidRDefault="00112E90" w:rsidP="005548CD">
      <w:pPr>
        <w:pStyle w:val="Heading2"/>
        <w:rPr>
          <w:rFonts w:cs="Arial"/>
        </w:rPr>
      </w:pPr>
      <w:bookmarkStart w:id="13" w:name="_Toc168079042"/>
      <w:r w:rsidRPr="005548CD">
        <w:rPr>
          <w:rFonts w:cs="Arial"/>
        </w:rPr>
        <w:lastRenderedPageBreak/>
        <w:t>Future Growth Strategies</w:t>
      </w:r>
      <w:bookmarkEnd w:id="13"/>
      <w:r w:rsidRPr="005548CD">
        <w:rPr>
          <w:rFonts w:cs="Arial"/>
        </w:rPr>
        <w:t xml:space="preserve"> </w:t>
      </w:r>
    </w:p>
    <w:p w14:paraId="2B5D2189" w14:textId="7BEFA55F" w:rsidR="00112E90" w:rsidRPr="005548CD" w:rsidRDefault="00112E90" w:rsidP="005548CD">
      <w:pPr>
        <w:rPr>
          <w:rFonts w:cs="Arial"/>
        </w:rPr>
      </w:pPr>
      <w:r w:rsidRPr="005548CD">
        <w:rPr>
          <w:rFonts w:cs="Arial"/>
        </w:rPr>
        <w:t xml:space="preserve">According to the Ansoff Matrix, several strategic directions can guide IHG's future growth: </w:t>
      </w:r>
    </w:p>
    <w:p w14:paraId="52638F2D" w14:textId="289A1868" w:rsidR="00112E90" w:rsidRPr="005548CD" w:rsidRDefault="00112E90" w:rsidP="005548CD">
      <w:pPr>
        <w:rPr>
          <w:rFonts w:cs="Arial"/>
        </w:rPr>
      </w:pPr>
      <w:r w:rsidRPr="005548CD">
        <w:rPr>
          <w:rFonts w:cs="Arial"/>
        </w:rPr>
        <w:t>Market Penetration: This strategy comprises the strengthening of the market position within a given market</w:t>
      </w:r>
      <w:r w:rsidR="00872324" w:rsidRPr="005548CD">
        <w:rPr>
          <w:rFonts w:cs="Arial"/>
        </w:rPr>
        <w:t xml:space="preserve"> (Loredana, 2017)</w:t>
      </w:r>
      <w:r w:rsidRPr="005548CD">
        <w:rPr>
          <w:rFonts w:cs="Arial"/>
        </w:rPr>
        <w:t xml:space="preserve">. The company can attain this by strengthening its loyalty programs including the IHG Rewards Club, to increase the long-term customer retention rates. Setting up competitive pricing and targeted promotions is also a beneficial way to attract more customers within current markets as well. </w:t>
      </w:r>
    </w:p>
    <w:p w14:paraId="3E941EAD" w14:textId="4B220191" w:rsidR="00112E90" w:rsidRPr="005548CD" w:rsidRDefault="00112E90" w:rsidP="005548CD">
      <w:pPr>
        <w:rPr>
          <w:rFonts w:cs="Arial"/>
        </w:rPr>
      </w:pPr>
      <w:r w:rsidRPr="005548CD">
        <w:rPr>
          <w:rFonts w:cs="Arial"/>
        </w:rPr>
        <w:t>Market Development: This strategy involves market exploration. IHG would need to understand expansion in other markets, especially the emerging ones</w:t>
      </w:r>
      <w:r w:rsidR="00984F55" w:rsidRPr="005548CD">
        <w:rPr>
          <w:rFonts w:cs="Arial"/>
        </w:rPr>
        <w:t xml:space="preserve"> (IHG, 2020). </w:t>
      </w:r>
      <w:r w:rsidRPr="005548CD">
        <w:rPr>
          <w:rFonts w:cs="Arial"/>
        </w:rPr>
        <w:t xml:space="preserve">The interaction of the local entity would be the strategic pathway for the supply of particular facts and resources within the unfamiliar market. </w:t>
      </w:r>
    </w:p>
    <w:p w14:paraId="53699B9A" w14:textId="74C73CE6" w:rsidR="00112E90" w:rsidRPr="005548CD" w:rsidRDefault="00112E90" w:rsidP="005548CD">
      <w:pPr>
        <w:rPr>
          <w:rFonts w:cs="Arial"/>
        </w:rPr>
      </w:pPr>
      <w:r w:rsidRPr="005548CD">
        <w:rPr>
          <w:rFonts w:cs="Arial"/>
        </w:rPr>
        <w:t>Product Development: The launch of new products or product upgrades to strengthen the position in the markets among existing or potential consumers is imperative</w:t>
      </w:r>
      <w:r w:rsidR="00872324" w:rsidRPr="005548CD">
        <w:rPr>
          <w:rFonts w:cs="Arial"/>
        </w:rPr>
        <w:t xml:space="preserve"> (Loredana, 2017)</w:t>
      </w:r>
      <w:r w:rsidRPr="005548CD">
        <w:rPr>
          <w:rFonts w:cs="Arial"/>
        </w:rPr>
        <w:t xml:space="preserve">. IHG can develop novel offerings such as wellness programs and sophisticated digital experiences that respond to the changing client trends and strengthen the brand image. </w:t>
      </w:r>
    </w:p>
    <w:p w14:paraId="714E476D" w14:textId="78DC7776" w:rsidR="00112E90" w:rsidRPr="005548CD" w:rsidRDefault="00112E90" w:rsidP="005548CD">
      <w:pPr>
        <w:rPr>
          <w:rFonts w:cs="Arial"/>
        </w:rPr>
      </w:pPr>
      <w:r w:rsidRPr="005548CD">
        <w:rPr>
          <w:rFonts w:cs="Arial"/>
        </w:rPr>
        <w:t>A comparison with Marriott International will bring to light the main differences in market participation, a unique range of brands, and financial performance. Marriott, as of 2023, has a reach in more than 13</w:t>
      </w:r>
      <w:r w:rsidR="00872324" w:rsidRPr="005548CD">
        <w:rPr>
          <w:rFonts w:cs="Arial"/>
        </w:rPr>
        <w:t>9</w:t>
      </w:r>
      <w:r w:rsidRPr="005548CD">
        <w:rPr>
          <w:rFonts w:cs="Arial"/>
        </w:rPr>
        <w:t xml:space="preserve"> countries and territories whereas IHG operates in roughly 100 countries worldwide</w:t>
      </w:r>
      <w:r w:rsidR="00872324" w:rsidRPr="005548CD">
        <w:rPr>
          <w:rFonts w:cs="Arial"/>
        </w:rPr>
        <w:t xml:space="preserve"> (Marriott International, 2023)</w:t>
      </w:r>
      <w:r w:rsidRPr="005548CD">
        <w:rPr>
          <w:rFonts w:cs="Arial"/>
        </w:rPr>
        <w:t xml:space="preserve">. Marriott's brand portfolio has 30 separate brands that target an audience with diverse requirements as compared to IHG's </w:t>
      </w:r>
      <w:r w:rsidR="00872324" w:rsidRPr="005548CD">
        <w:rPr>
          <w:rFonts w:cs="Arial"/>
        </w:rPr>
        <w:t>nearly 20</w:t>
      </w:r>
      <w:r w:rsidRPr="005548CD">
        <w:rPr>
          <w:rFonts w:cs="Arial"/>
        </w:rPr>
        <w:t xml:space="preserve"> different brands</w:t>
      </w:r>
      <w:r w:rsidR="00872324" w:rsidRPr="005548CD">
        <w:rPr>
          <w:rFonts w:cs="Arial"/>
        </w:rPr>
        <w:t xml:space="preserve"> (IHG, 2020).</w:t>
      </w:r>
      <w:r w:rsidR="00465A40" w:rsidRPr="005548CD">
        <w:rPr>
          <w:rFonts w:cs="Arial"/>
        </w:rPr>
        <w:t xml:space="preserve"> This diverse brand portfolio contributes to Marriott's superior financial success, with 2023 sales reaching $</w:t>
      </w:r>
      <w:r w:rsidR="00872324" w:rsidRPr="005548CD">
        <w:rPr>
          <w:rFonts w:cs="Arial"/>
        </w:rPr>
        <w:t xml:space="preserve"> 23.71 </w:t>
      </w:r>
      <w:r w:rsidR="00465A40" w:rsidRPr="005548CD">
        <w:rPr>
          <w:rFonts w:cs="Arial"/>
        </w:rPr>
        <w:t>billion, greatly surpassing IHG's</w:t>
      </w:r>
      <w:r w:rsidR="00E95041" w:rsidRPr="005548CD">
        <w:rPr>
          <w:rFonts w:cs="Arial"/>
        </w:rPr>
        <w:t xml:space="preserve"> 4.624 </w:t>
      </w:r>
      <w:r w:rsidR="00465A40" w:rsidRPr="005548CD">
        <w:rPr>
          <w:rFonts w:cs="Arial"/>
        </w:rPr>
        <w:t>billion</w:t>
      </w:r>
      <w:r w:rsidR="00E95041" w:rsidRPr="005548CD">
        <w:rPr>
          <w:rFonts w:cs="Arial"/>
        </w:rPr>
        <w:t xml:space="preserve"> (</w:t>
      </w:r>
      <w:r w:rsidR="00BA0ADA" w:rsidRPr="005548CD">
        <w:rPr>
          <w:rFonts w:cs="Arial"/>
        </w:rPr>
        <w:t>Marriott, 2023; IHG, 2023</w:t>
      </w:r>
      <w:r w:rsidR="00E95041" w:rsidRPr="005548CD">
        <w:rPr>
          <w:rFonts w:cs="Arial"/>
        </w:rPr>
        <w:t>)</w:t>
      </w:r>
      <w:r w:rsidR="00465A40" w:rsidRPr="005548CD">
        <w:rPr>
          <w:rFonts w:cs="Arial"/>
        </w:rPr>
        <w:t>.</w:t>
      </w:r>
      <w:r w:rsidRPr="005548CD">
        <w:rPr>
          <w:rFonts w:cs="Arial"/>
        </w:rPr>
        <w:t xml:space="preserve"> Both companies have innovation and customer satisfaction as their core objectives, but Marriott’s massive global presence and wide-ranging brands allow it to secure a competitive advantage in the global hospitality market. </w:t>
      </w:r>
    </w:p>
    <w:p w14:paraId="11C826F8" w14:textId="70267BC8" w:rsidR="00112E90" w:rsidRPr="005548CD" w:rsidRDefault="004951FA" w:rsidP="005548CD">
      <w:pPr>
        <w:pStyle w:val="Heading1"/>
        <w:rPr>
          <w:rFonts w:cs="Arial"/>
        </w:rPr>
      </w:pPr>
      <w:bookmarkStart w:id="14" w:name="_Toc168079043"/>
      <w:r w:rsidRPr="005548CD">
        <w:rPr>
          <w:rFonts w:cs="Arial"/>
        </w:rPr>
        <w:t>Conclusion</w:t>
      </w:r>
      <w:bookmarkEnd w:id="14"/>
    </w:p>
    <w:p w14:paraId="0F679248" w14:textId="7997EBF6" w:rsidR="004951FA" w:rsidRPr="005548CD" w:rsidRDefault="004951FA" w:rsidP="005548CD">
      <w:pPr>
        <w:rPr>
          <w:rFonts w:cs="Arial"/>
        </w:rPr>
      </w:pPr>
      <w:r w:rsidRPr="005548CD">
        <w:rPr>
          <w:rFonts w:cs="Arial"/>
        </w:rPr>
        <w:t xml:space="preserve">Adaptable </w:t>
      </w:r>
      <w:r w:rsidR="00392080" w:rsidRPr="005548CD">
        <w:rPr>
          <w:rFonts w:cs="Arial"/>
        </w:rPr>
        <w:t>organis</w:t>
      </w:r>
      <w:r w:rsidRPr="005548CD">
        <w:rPr>
          <w:rFonts w:cs="Arial"/>
        </w:rPr>
        <w:t xml:space="preserve">ational structure, strong culture, and proactive change management are the key attributes of IHG’s resilience and success. The company's differentiation </w:t>
      </w:r>
      <w:r w:rsidRPr="005548CD">
        <w:rPr>
          <w:rFonts w:cs="Arial"/>
        </w:rPr>
        <w:lastRenderedPageBreak/>
        <w:t xml:space="preserve">strategy, which is based on brand diversification and innovation, has been quite successful, although a comparison with Marriott International reveals opportunities for further development. </w:t>
      </w:r>
      <w:r w:rsidR="001A497C" w:rsidRPr="005548CD">
        <w:rPr>
          <w:rFonts w:cs="Arial"/>
        </w:rPr>
        <w:t>Increasing</w:t>
      </w:r>
      <w:r w:rsidRPr="005548CD">
        <w:rPr>
          <w:rFonts w:cs="Arial"/>
        </w:rPr>
        <w:t xml:space="preserve"> its market share, strategic brand diversification</w:t>
      </w:r>
      <w:r w:rsidR="001A497C" w:rsidRPr="005548CD">
        <w:rPr>
          <w:rFonts w:cs="Arial"/>
        </w:rPr>
        <w:t>,</w:t>
      </w:r>
      <w:r w:rsidRPr="005548CD">
        <w:rPr>
          <w:rFonts w:cs="Arial"/>
        </w:rPr>
        <w:t xml:space="preserve"> and daily constant innovation could give IHG the necessary edge and judiciously strengthen its competitive position in the world of </w:t>
      </w:r>
      <w:r w:rsidR="001A497C" w:rsidRPr="005548CD">
        <w:rPr>
          <w:rFonts w:cs="Arial"/>
        </w:rPr>
        <w:t xml:space="preserve">the </w:t>
      </w:r>
      <w:r w:rsidRPr="005548CD">
        <w:rPr>
          <w:rFonts w:cs="Arial"/>
        </w:rPr>
        <w:t>hotel industry.</w:t>
      </w:r>
    </w:p>
    <w:p w14:paraId="6507839F" w14:textId="644FFEA4" w:rsidR="008B69D4" w:rsidRPr="005548CD" w:rsidRDefault="008B69D4" w:rsidP="005548CD">
      <w:pPr>
        <w:pStyle w:val="Heading1"/>
        <w:rPr>
          <w:rFonts w:cs="Arial"/>
        </w:rPr>
      </w:pPr>
      <w:bookmarkStart w:id="15" w:name="_Toc168079044"/>
      <w:r w:rsidRPr="005548CD">
        <w:rPr>
          <w:rFonts w:cs="Arial"/>
        </w:rPr>
        <w:t>Recommendations</w:t>
      </w:r>
      <w:bookmarkEnd w:id="15"/>
    </w:p>
    <w:p w14:paraId="6C5164BE" w14:textId="77777777" w:rsidR="008B69D4" w:rsidRPr="005548CD" w:rsidRDefault="008B69D4" w:rsidP="005548CD">
      <w:pPr>
        <w:pStyle w:val="ListParagraph"/>
        <w:numPr>
          <w:ilvl w:val="0"/>
          <w:numId w:val="1"/>
        </w:numPr>
        <w:rPr>
          <w:rFonts w:cs="Arial"/>
        </w:rPr>
      </w:pPr>
      <w:r w:rsidRPr="005548CD">
        <w:rPr>
          <w:rFonts w:cs="Arial"/>
        </w:rPr>
        <w:t xml:space="preserve">IHG needs to tailor its structure to be agile and to adapt to the strategic goals. Monitoring and corrections significantly help to upgrade effectiveness and expand adaptability. </w:t>
      </w:r>
    </w:p>
    <w:p w14:paraId="0992C224" w14:textId="77777777" w:rsidR="008B69D4" w:rsidRPr="005548CD" w:rsidRDefault="008B69D4" w:rsidP="005548CD">
      <w:pPr>
        <w:pStyle w:val="ListParagraph"/>
        <w:numPr>
          <w:ilvl w:val="0"/>
          <w:numId w:val="1"/>
        </w:numPr>
        <w:rPr>
          <w:rFonts w:cs="Arial"/>
        </w:rPr>
      </w:pPr>
      <w:r w:rsidRPr="005548CD">
        <w:rPr>
          <w:rFonts w:cs="Arial"/>
        </w:rPr>
        <w:t xml:space="preserve">Building a strong culture that embraces diversity and encourages active communication helps employees perform better and reduces turnover. </w:t>
      </w:r>
    </w:p>
    <w:p w14:paraId="5E2E8EF5" w14:textId="77777777" w:rsidR="008B69D4" w:rsidRPr="005548CD" w:rsidRDefault="008B69D4" w:rsidP="005548CD">
      <w:pPr>
        <w:pStyle w:val="ListParagraph"/>
        <w:numPr>
          <w:ilvl w:val="0"/>
          <w:numId w:val="1"/>
        </w:numPr>
        <w:rPr>
          <w:rFonts w:cs="Arial"/>
        </w:rPr>
      </w:pPr>
      <w:r w:rsidRPr="005548CD">
        <w:rPr>
          <w:rFonts w:cs="Arial"/>
        </w:rPr>
        <w:t xml:space="preserve">By making recurring investments in education and leadership development, IHG will get a chance to be prepared for future changes and to demonstrate long-term sustainability. </w:t>
      </w:r>
    </w:p>
    <w:p w14:paraId="3B2F2977" w14:textId="77777777" w:rsidR="008B69D4" w:rsidRPr="005548CD" w:rsidRDefault="008B69D4" w:rsidP="005548CD">
      <w:pPr>
        <w:pStyle w:val="ListParagraph"/>
        <w:numPr>
          <w:ilvl w:val="0"/>
          <w:numId w:val="1"/>
        </w:numPr>
        <w:rPr>
          <w:rFonts w:cs="Arial"/>
        </w:rPr>
      </w:pPr>
      <w:r w:rsidRPr="005548CD">
        <w:rPr>
          <w:rFonts w:cs="Arial"/>
        </w:rPr>
        <w:t xml:space="preserve">Developing new markets geographically as well as coming up with new services will help IHG to keep its competitive advantage. </w:t>
      </w:r>
    </w:p>
    <w:p w14:paraId="1B56999E" w14:textId="77777777" w:rsidR="008B69D4" w:rsidRPr="005548CD" w:rsidRDefault="008B69D4" w:rsidP="005548CD">
      <w:pPr>
        <w:pStyle w:val="ListParagraph"/>
        <w:numPr>
          <w:ilvl w:val="0"/>
          <w:numId w:val="1"/>
        </w:numPr>
        <w:rPr>
          <w:rFonts w:cs="Arial"/>
        </w:rPr>
      </w:pPr>
      <w:r w:rsidRPr="005548CD">
        <w:rPr>
          <w:rFonts w:cs="Arial"/>
        </w:rPr>
        <w:t>Ongoing benchmarking against companies like Marriott could smoothen ways for betterment or discovery of new prospects.</w:t>
      </w:r>
    </w:p>
    <w:p w14:paraId="7DDCD69A" w14:textId="77777777" w:rsidR="008B69D4" w:rsidRPr="005548CD" w:rsidRDefault="008B69D4" w:rsidP="005548CD">
      <w:pPr>
        <w:rPr>
          <w:rFonts w:cs="Arial"/>
        </w:rPr>
      </w:pPr>
    </w:p>
    <w:p w14:paraId="71F3E19C" w14:textId="34230C31" w:rsidR="001A497C" w:rsidRPr="005548CD" w:rsidRDefault="001A497C" w:rsidP="005548CD">
      <w:pPr>
        <w:rPr>
          <w:rFonts w:cs="Arial"/>
        </w:rPr>
      </w:pPr>
    </w:p>
    <w:p w14:paraId="59715EF5" w14:textId="77777777" w:rsidR="008B69D4" w:rsidRPr="005548CD" w:rsidRDefault="008B69D4" w:rsidP="005548CD">
      <w:pPr>
        <w:jc w:val="left"/>
        <w:rPr>
          <w:rFonts w:eastAsia="Times New Roman" w:cs="Arial"/>
          <w:b/>
          <w:bCs/>
          <w:kern w:val="36"/>
          <w:sz w:val="36"/>
          <w:szCs w:val="36"/>
        </w:rPr>
      </w:pPr>
      <w:r w:rsidRPr="005548CD">
        <w:rPr>
          <w:rFonts w:eastAsia="Times New Roman" w:cs="Arial"/>
          <w:b/>
          <w:bCs/>
          <w:kern w:val="36"/>
          <w:sz w:val="36"/>
          <w:szCs w:val="36"/>
        </w:rPr>
        <w:br w:type="page"/>
      </w:r>
    </w:p>
    <w:p w14:paraId="291BBB46" w14:textId="6BE8B4EA" w:rsidR="001A497C" w:rsidRPr="005548CD" w:rsidRDefault="001A497C" w:rsidP="005548CD">
      <w:pPr>
        <w:pStyle w:val="Heading1"/>
        <w:rPr>
          <w:rFonts w:cs="Arial"/>
        </w:rPr>
      </w:pPr>
      <w:bookmarkStart w:id="16" w:name="_Toc168079045"/>
      <w:r w:rsidRPr="005548CD">
        <w:rPr>
          <w:rFonts w:cs="Arial"/>
        </w:rPr>
        <w:lastRenderedPageBreak/>
        <w:t>Reference list</w:t>
      </w:r>
      <w:bookmarkEnd w:id="16"/>
    </w:p>
    <w:p w14:paraId="16264C4E" w14:textId="18E359F7" w:rsidR="00F77BCC" w:rsidRPr="005548CD" w:rsidRDefault="00F77BCC" w:rsidP="005548CD">
      <w:pPr>
        <w:spacing w:after="240"/>
        <w:rPr>
          <w:rFonts w:eastAsia="Times New Roman" w:cs="Arial"/>
          <w:szCs w:val="24"/>
        </w:rPr>
      </w:pPr>
      <w:r w:rsidRPr="005548CD">
        <w:rPr>
          <w:rFonts w:eastAsia="Times New Roman" w:cs="Arial"/>
          <w:szCs w:val="24"/>
        </w:rPr>
        <w:t xml:space="preserve">Atlanta (2017) </w:t>
      </w:r>
      <w:r w:rsidRPr="005548CD">
        <w:rPr>
          <w:rFonts w:eastAsia="Times New Roman" w:cs="Arial"/>
          <w:i/>
          <w:iCs/>
          <w:szCs w:val="24"/>
        </w:rPr>
        <w:t>IHG introduces iconic boutique brand, Kimpton Hotels &amp; Restaurants, to Asia</w:t>
      </w:r>
      <w:r w:rsidRPr="005548CD">
        <w:rPr>
          <w:rFonts w:eastAsia="Times New Roman" w:cs="Arial"/>
          <w:szCs w:val="24"/>
        </w:rPr>
        <w:t>. Available at: https://www.ihg.com/kimptonhotels/content/us/en/press/releases/ihg-introduces-iconic-boutique-brand-kimpton-hotels-restaurants-to-asia (Accessed: 24 May 2024).</w:t>
      </w:r>
    </w:p>
    <w:p w14:paraId="564A1551" w14:textId="64FF151F" w:rsidR="00F77BCC" w:rsidRPr="005548CD" w:rsidRDefault="00F77BCC" w:rsidP="005548CD">
      <w:pPr>
        <w:spacing w:after="240"/>
        <w:rPr>
          <w:rFonts w:eastAsia="Times New Roman" w:cs="Arial"/>
          <w:szCs w:val="24"/>
        </w:rPr>
      </w:pPr>
      <w:r w:rsidRPr="005548CD">
        <w:rPr>
          <w:rFonts w:eastAsia="Times New Roman" w:cs="Arial"/>
          <w:szCs w:val="24"/>
        </w:rPr>
        <w:t xml:space="preserve">brandcredential (2024) </w:t>
      </w:r>
      <w:r w:rsidRPr="005548CD">
        <w:rPr>
          <w:rFonts w:eastAsia="Times New Roman" w:cs="Arial"/>
          <w:i/>
          <w:iCs/>
          <w:szCs w:val="24"/>
        </w:rPr>
        <w:t>Unveiling the Holiday Inn Marketing Strategy</w:t>
      </w:r>
      <w:r w:rsidRPr="005548CD">
        <w:rPr>
          <w:rFonts w:eastAsia="Times New Roman" w:cs="Arial"/>
          <w:szCs w:val="24"/>
        </w:rPr>
        <w:t>. Available at: https://www.brandcredential.com/post/unveiling-the-holiday-inn-marketing-strategy (Accessed: 24 May 2024).</w:t>
      </w:r>
    </w:p>
    <w:p w14:paraId="73209B1D" w14:textId="28DA2F8A" w:rsidR="00F77BCC" w:rsidRPr="005548CD" w:rsidRDefault="00F77BCC" w:rsidP="005548CD">
      <w:pPr>
        <w:spacing w:after="240"/>
        <w:rPr>
          <w:rFonts w:eastAsia="Times New Roman" w:cs="Arial"/>
          <w:szCs w:val="24"/>
        </w:rPr>
      </w:pPr>
      <w:r w:rsidRPr="005548CD">
        <w:rPr>
          <w:rFonts w:eastAsia="Times New Roman" w:cs="Arial"/>
          <w:szCs w:val="24"/>
        </w:rPr>
        <w:t xml:space="preserve">Bridges, W. and Bridges, S. (2019) </w:t>
      </w:r>
      <w:r w:rsidRPr="005548CD">
        <w:rPr>
          <w:rFonts w:eastAsia="Times New Roman" w:cs="Arial"/>
          <w:i/>
          <w:iCs/>
          <w:szCs w:val="24"/>
        </w:rPr>
        <w:t>Transitions: Making sense of life's changes</w:t>
      </w:r>
      <w:r w:rsidRPr="005548CD">
        <w:rPr>
          <w:rFonts w:eastAsia="Times New Roman" w:cs="Arial"/>
          <w:szCs w:val="24"/>
        </w:rPr>
        <w:t>. Hachette UK.</w:t>
      </w:r>
    </w:p>
    <w:p w14:paraId="44EBADCF" w14:textId="555E7C7A" w:rsidR="00F77BCC" w:rsidRPr="005548CD" w:rsidRDefault="00F77BCC" w:rsidP="005548CD">
      <w:pPr>
        <w:spacing w:after="240"/>
        <w:rPr>
          <w:rFonts w:eastAsia="Times New Roman" w:cs="Arial"/>
          <w:szCs w:val="24"/>
        </w:rPr>
      </w:pPr>
      <w:r w:rsidRPr="005548CD">
        <w:rPr>
          <w:rFonts w:eastAsia="Times New Roman" w:cs="Arial"/>
          <w:szCs w:val="24"/>
        </w:rPr>
        <w:t xml:space="preserve">Dominick, P.G., Iordanoglou, D., Prastacos, G. and Reilly, R.R. (2021) Espoused values of the “Fortune 100 best companies to work for”: Essential themes and implementation practices. </w:t>
      </w:r>
      <w:r w:rsidRPr="005548CD">
        <w:rPr>
          <w:rFonts w:eastAsia="Times New Roman" w:cs="Arial"/>
          <w:i/>
          <w:iCs/>
          <w:szCs w:val="24"/>
        </w:rPr>
        <w:t>Journal of Business Ethics</w:t>
      </w:r>
      <w:r w:rsidRPr="005548CD">
        <w:rPr>
          <w:rFonts w:eastAsia="Times New Roman" w:cs="Arial"/>
          <w:szCs w:val="24"/>
        </w:rPr>
        <w:t xml:space="preserve">, </w:t>
      </w:r>
      <w:r w:rsidRPr="005548CD">
        <w:rPr>
          <w:rFonts w:eastAsia="Times New Roman" w:cs="Arial"/>
          <w:i/>
          <w:iCs/>
          <w:szCs w:val="24"/>
        </w:rPr>
        <w:t>173</w:t>
      </w:r>
      <w:r w:rsidRPr="005548CD">
        <w:rPr>
          <w:rFonts w:eastAsia="Times New Roman" w:cs="Arial"/>
          <w:szCs w:val="24"/>
        </w:rPr>
        <w:t>, pp.69-88.</w:t>
      </w:r>
    </w:p>
    <w:p w14:paraId="2077A4DC" w14:textId="24DA28C4" w:rsidR="00F77BCC" w:rsidRPr="005548CD" w:rsidRDefault="00F77BCC" w:rsidP="005548CD">
      <w:pPr>
        <w:spacing w:after="240"/>
        <w:rPr>
          <w:rFonts w:eastAsia="Times New Roman" w:cs="Arial"/>
          <w:szCs w:val="24"/>
        </w:rPr>
      </w:pPr>
      <w:r w:rsidRPr="005548CD">
        <w:rPr>
          <w:rFonts w:eastAsia="Times New Roman" w:cs="Arial"/>
          <w:szCs w:val="24"/>
        </w:rPr>
        <w:t xml:space="preserve">El-Said, O.A., Elhoushy, S., Smith, M. and Youssif, M. (2024) Crisis-driven innovation in hospitality: How do international hotel chains innovate to recover from a global crisis?. </w:t>
      </w:r>
      <w:r w:rsidRPr="005548CD">
        <w:rPr>
          <w:rFonts w:eastAsia="Times New Roman" w:cs="Arial"/>
          <w:i/>
          <w:iCs/>
          <w:szCs w:val="24"/>
        </w:rPr>
        <w:t>International Journal of Hospitality Management</w:t>
      </w:r>
      <w:r w:rsidRPr="005548CD">
        <w:rPr>
          <w:rFonts w:eastAsia="Times New Roman" w:cs="Arial"/>
          <w:szCs w:val="24"/>
        </w:rPr>
        <w:t xml:space="preserve">, </w:t>
      </w:r>
      <w:r w:rsidRPr="005548CD">
        <w:rPr>
          <w:rFonts w:eastAsia="Times New Roman" w:cs="Arial"/>
          <w:i/>
          <w:iCs/>
          <w:szCs w:val="24"/>
        </w:rPr>
        <w:t>120</w:t>
      </w:r>
      <w:r w:rsidRPr="005548CD">
        <w:rPr>
          <w:rFonts w:eastAsia="Times New Roman" w:cs="Arial"/>
          <w:szCs w:val="24"/>
        </w:rPr>
        <w:t xml:space="preserve">, p.103758. </w:t>
      </w:r>
    </w:p>
    <w:p w14:paraId="28FC4A6A" w14:textId="605AB5E0" w:rsidR="00F77BCC" w:rsidRPr="005548CD" w:rsidRDefault="00F77BCC" w:rsidP="005548CD">
      <w:pPr>
        <w:spacing w:after="240"/>
        <w:rPr>
          <w:rFonts w:eastAsia="Times New Roman" w:cs="Arial"/>
          <w:szCs w:val="24"/>
        </w:rPr>
      </w:pPr>
      <w:r w:rsidRPr="005548CD">
        <w:rPr>
          <w:rFonts w:eastAsia="Times New Roman" w:cs="Arial"/>
          <w:szCs w:val="24"/>
        </w:rPr>
        <w:t xml:space="preserve">Fairfield, K.D. (2016) Understanding Functional and Divisional Organisational Structure. </w:t>
      </w:r>
      <w:r w:rsidRPr="005548CD">
        <w:rPr>
          <w:rFonts w:eastAsia="Times New Roman" w:cs="Arial"/>
          <w:i/>
          <w:iCs/>
          <w:szCs w:val="24"/>
        </w:rPr>
        <w:t>Management Teaching Review</w:t>
      </w:r>
      <w:r w:rsidRPr="005548CD">
        <w:rPr>
          <w:rFonts w:eastAsia="Times New Roman" w:cs="Arial"/>
          <w:szCs w:val="24"/>
        </w:rPr>
        <w:t xml:space="preserve">, [online] 1(4), pp.242–251. </w:t>
      </w:r>
    </w:p>
    <w:p w14:paraId="71BF8AB7" w14:textId="130047F1" w:rsidR="00F77BCC" w:rsidRPr="005548CD" w:rsidRDefault="00F77BCC" w:rsidP="005548CD">
      <w:pPr>
        <w:spacing w:after="240"/>
        <w:rPr>
          <w:rFonts w:eastAsia="Times New Roman" w:cs="Arial"/>
          <w:szCs w:val="24"/>
        </w:rPr>
      </w:pPr>
      <w:r w:rsidRPr="005548CD">
        <w:rPr>
          <w:rFonts w:eastAsia="Times New Roman" w:cs="Arial"/>
          <w:szCs w:val="24"/>
        </w:rPr>
        <w:t xml:space="preserve">Fuchs, M. (2022) </w:t>
      </w:r>
      <w:r w:rsidRPr="005548CD">
        <w:rPr>
          <w:rFonts w:eastAsia="Times New Roman" w:cs="Arial"/>
          <w:i/>
          <w:iCs/>
          <w:szCs w:val="24"/>
        </w:rPr>
        <w:t>Crisis communication and corporate social responsibility: a case study on IHG Hotels &amp; Resorts and what organisations can learn from Covid-19</w:t>
      </w:r>
      <w:r w:rsidRPr="005548CD">
        <w:rPr>
          <w:rFonts w:eastAsia="Times New Roman" w:cs="Arial"/>
          <w:szCs w:val="24"/>
        </w:rPr>
        <w:t xml:space="preserve"> (Doctoral dissertation). Available at: https://repositorio.ucp.pt/bitstream/10400.14/37093/1/202956520.pdf</w:t>
      </w:r>
    </w:p>
    <w:p w14:paraId="5C396FE3" w14:textId="0CD49BCE" w:rsidR="00F77BCC" w:rsidRPr="005548CD" w:rsidRDefault="00F77BCC" w:rsidP="005548CD">
      <w:pPr>
        <w:spacing w:after="240"/>
        <w:rPr>
          <w:rFonts w:eastAsia="Times New Roman" w:cs="Arial"/>
          <w:szCs w:val="24"/>
        </w:rPr>
      </w:pPr>
      <w:r w:rsidRPr="005548CD">
        <w:rPr>
          <w:rFonts w:eastAsia="Times New Roman" w:cs="Arial"/>
          <w:szCs w:val="24"/>
        </w:rPr>
        <w:t xml:space="preserve">Green Globe (2024) </w:t>
      </w:r>
      <w:r w:rsidRPr="005548CD">
        <w:rPr>
          <w:rFonts w:eastAsia="Times New Roman" w:cs="Arial"/>
          <w:i/>
          <w:iCs/>
          <w:szCs w:val="24"/>
        </w:rPr>
        <w:t>IHG: Journey to Tomorrow, 10 years in the Making — Green Globe</w:t>
      </w:r>
      <w:r w:rsidRPr="005548CD">
        <w:rPr>
          <w:rFonts w:eastAsia="Times New Roman" w:cs="Arial"/>
          <w:szCs w:val="24"/>
        </w:rPr>
        <w:t>. Available at: https://www.greenglobe.com/green-globe-case-studies-blog/ihg-journey-to-tomorrow (Accessed: 23 May 2024).</w:t>
      </w:r>
    </w:p>
    <w:p w14:paraId="22863667" w14:textId="5369EA9A" w:rsidR="00F77BCC" w:rsidRPr="005548CD" w:rsidRDefault="00F77BCC" w:rsidP="005548CD">
      <w:pPr>
        <w:spacing w:after="240"/>
        <w:rPr>
          <w:rFonts w:eastAsia="Times New Roman" w:cs="Arial"/>
          <w:szCs w:val="24"/>
        </w:rPr>
      </w:pPr>
      <w:r w:rsidRPr="005548CD">
        <w:rPr>
          <w:rFonts w:eastAsia="Times New Roman" w:cs="Arial"/>
          <w:szCs w:val="24"/>
        </w:rPr>
        <w:t xml:space="preserve">IHG (2020) </w:t>
      </w:r>
      <w:r w:rsidRPr="005548CD">
        <w:rPr>
          <w:rFonts w:eastAsia="Times New Roman" w:cs="Arial"/>
          <w:i/>
          <w:iCs/>
          <w:szCs w:val="24"/>
        </w:rPr>
        <w:t>Our brands</w:t>
      </w:r>
      <w:r w:rsidRPr="005548CD">
        <w:rPr>
          <w:rFonts w:eastAsia="Times New Roman" w:cs="Arial"/>
          <w:szCs w:val="24"/>
        </w:rPr>
        <w:t>. [online] InterContinental Hotels Group PLC. Available at: https://www.ihgplc.com/en/our-brands [Accessed 17 May 2024].</w:t>
      </w:r>
    </w:p>
    <w:p w14:paraId="11E1C637" w14:textId="2159FBB3" w:rsidR="00F77BCC" w:rsidRPr="005548CD" w:rsidRDefault="00F77BCC" w:rsidP="005548CD">
      <w:pPr>
        <w:spacing w:after="240"/>
        <w:rPr>
          <w:rFonts w:eastAsia="Times New Roman" w:cs="Arial"/>
          <w:szCs w:val="24"/>
        </w:rPr>
      </w:pPr>
      <w:r w:rsidRPr="005548CD">
        <w:rPr>
          <w:rFonts w:eastAsia="Times New Roman" w:cs="Arial"/>
          <w:szCs w:val="24"/>
        </w:rPr>
        <w:lastRenderedPageBreak/>
        <w:t xml:space="preserve">IHG (2023) </w:t>
      </w:r>
      <w:r w:rsidRPr="005548CD">
        <w:rPr>
          <w:rFonts w:eastAsia="Times New Roman" w:cs="Arial"/>
          <w:i/>
          <w:iCs/>
          <w:szCs w:val="24"/>
        </w:rPr>
        <w:t>Full Year Results for the year to 31 December 2023</w:t>
      </w:r>
      <w:r w:rsidRPr="005548CD">
        <w:rPr>
          <w:rFonts w:eastAsia="Times New Roman" w:cs="Arial"/>
          <w:szCs w:val="24"/>
        </w:rPr>
        <w:t>. Available at: https://www.ihgplc.com/en/news-and-media/news-releases/2024/full-year-results-for-the-year-to-31-dec-2023 (Accessed: 24 May 2024).</w:t>
      </w:r>
    </w:p>
    <w:p w14:paraId="1D7DF9AF" w14:textId="1419CF22" w:rsidR="00F77BCC" w:rsidRPr="005548CD" w:rsidRDefault="00F77BCC" w:rsidP="005548CD">
      <w:pPr>
        <w:spacing w:after="240"/>
        <w:rPr>
          <w:rFonts w:eastAsia="Times New Roman" w:cs="Arial"/>
          <w:szCs w:val="24"/>
        </w:rPr>
      </w:pPr>
      <w:r w:rsidRPr="005548CD">
        <w:rPr>
          <w:rFonts w:eastAsia="Times New Roman" w:cs="Arial"/>
          <w:szCs w:val="24"/>
        </w:rPr>
        <w:t xml:space="preserve">IHG PLC (2022) </w:t>
      </w:r>
      <w:r w:rsidRPr="005548CD">
        <w:rPr>
          <w:rFonts w:eastAsia="Times New Roman" w:cs="Arial"/>
          <w:i/>
          <w:iCs/>
          <w:szCs w:val="24"/>
        </w:rPr>
        <w:t>Our purpose is to provide True Hospitality for Good.</w:t>
      </w:r>
      <w:r w:rsidRPr="005548CD">
        <w:rPr>
          <w:rFonts w:eastAsia="Times New Roman" w:cs="Arial"/>
          <w:szCs w:val="24"/>
        </w:rPr>
        <w:t>. Available at: https://www.ihgplc.com/~/media/Files/I/Ihg-Plc/investors/annual-report/annual-report-2022.pdf (Accessed: 23 May 2024).</w:t>
      </w:r>
    </w:p>
    <w:p w14:paraId="04E06FEA" w14:textId="3D2BFB4E" w:rsidR="00F77BCC" w:rsidRPr="005548CD" w:rsidRDefault="00F77BCC" w:rsidP="005548CD">
      <w:pPr>
        <w:spacing w:after="240"/>
        <w:rPr>
          <w:rFonts w:eastAsia="Times New Roman" w:cs="Arial"/>
          <w:szCs w:val="24"/>
        </w:rPr>
      </w:pPr>
      <w:r w:rsidRPr="005548CD">
        <w:rPr>
          <w:rFonts w:eastAsia="Times New Roman" w:cs="Arial"/>
          <w:szCs w:val="24"/>
        </w:rPr>
        <w:t xml:space="preserve">InterContinental Hotels Group PLC (2021) </w:t>
      </w:r>
      <w:r w:rsidRPr="005548CD">
        <w:rPr>
          <w:rFonts w:eastAsia="Times New Roman" w:cs="Arial"/>
          <w:i/>
          <w:iCs/>
          <w:szCs w:val="24"/>
        </w:rPr>
        <w:t>Journey to Tomorrow: IHG Hotels &amp; Resorts publishes series of ambitious commitments to drive change for people, communities and the planet</w:t>
      </w:r>
      <w:r w:rsidRPr="005548CD">
        <w:rPr>
          <w:rFonts w:eastAsia="Times New Roman" w:cs="Arial"/>
          <w:szCs w:val="24"/>
        </w:rPr>
        <w:t>. Available at: https://www.ihgplc.com/en/news-and-media/news-releases/2021/journey-to-tomorrow-ihg-hotels-resorts-publishes-series-of-ambitious-commitments (Accessed: 24 May 2024).</w:t>
      </w:r>
    </w:p>
    <w:p w14:paraId="31322678" w14:textId="5B54C2C4" w:rsidR="00F77BCC" w:rsidRPr="005548CD" w:rsidRDefault="00F77BCC" w:rsidP="005548CD">
      <w:pPr>
        <w:spacing w:after="240"/>
        <w:rPr>
          <w:rFonts w:eastAsia="Times New Roman" w:cs="Arial"/>
          <w:szCs w:val="24"/>
        </w:rPr>
      </w:pPr>
      <w:r w:rsidRPr="005548CD">
        <w:rPr>
          <w:rFonts w:eastAsia="Times New Roman" w:cs="Arial"/>
          <w:szCs w:val="24"/>
        </w:rPr>
        <w:t xml:space="preserve">Kabukin, D. (2014) </w:t>
      </w:r>
      <w:r w:rsidRPr="005548CD">
        <w:rPr>
          <w:rFonts w:eastAsia="Times New Roman" w:cs="Arial"/>
          <w:i/>
          <w:iCs/>
          <w:szCs w:val="24"/>
        </w:rPr>
        <w:t>Reviewing the Blue Ocean Strategy. Is the Blue Ocean Strategy valid and reliable?</w:t>
      </w:r>
      <w:r w:rsidRPr="005548CD">
        <w:rPr>
          <w:rFonts w:eastAsia="Times New Roman" w:cs="Arial"/>
          <w:szCs w:val="24"/>
        </w:rPr>
        <w:t xml:space="preserve"> [online] essay.utwente.nl. Available at: http://essay.utwente.nl/65556/.</w:t>
      </w:r>
    </w:p>
    <w:p w14:paraId="6BFAA7DA" w14:textId="5DC0B477" w:rsidR="00F77BCC" w:rsidRPr="005548CD" w:rsidRDefault="00F77BCC" w:rsidP="005548CD">
      <w:pPr>
        <w:spacing w:after="240"/>
        <w:rPr>
          <w:rFonts w:eastAsia="Times New Roman" w:cs="Arial"/>
          <w:szCs w:val="24"/>
        </w:rPr>
      </w:pPr>
      <w:r w:rsidRPr="005548CD">
        <w:rPr>
          <w:rFonts w:eastAsia="Times New Roman" w:cs="Arial"/>
          <w:szCs w:val="24"/>
        </w:rPr>
        <w:t xml:space="preserve">Kallio, T.J., Kallio, K.-M. and Blomberg, A. (2020) From professional bureaucracy to competitive bureaucracy – redefining universities’ organisation principles, performance measurement criteria, and reason for being. </w:t>
      </w:r>
      <w:r w:rsidRPr="005548CD">
        <w:rPr>
          <w:rFonts w:eastAsia="Times New Roman" w:cs="Arial"/>
          <w:i/>
          <w:iCs/>
          <w:szCs w:val="24"/>
        </w:rPr>
        <w:t>Qualitative Research in Accounting &amp; Management</w:t>
      </w:r>
      <w:r w:rsidRPr="005548CD">
        <w:rPr>
          <w:rFonts w:eastAsia="Times New Roman" w:cs="Arial"/>
          <w:szCs w:val="24"/>
        </w:rPr>
        <w:t xml:space="preserve">, 17(1), pp.82–108. </w:t>
      </w:r>
    </w:p>
    <w:p w14:paraId="0A06435F" w14:textId="44D81C36" w:rsidR="00F77BCC" w:rsidRPr="005548CD" w:rsidRDefault="00F77BCC" w:rsidP="005548CD">
      <w:pPr>
        <w:spacing w:after="240"/>
        <w:rPr>
          <w:rFonts w:eastAsia="Times New Roman" w:cs="Arial"/>
          <w:szCs w:val="24"/>
        </w:rPr>
      </w:pPr>
      <w:r w:rsidRPr="005548CD">
        <w:rPr>
          <w:rFonts w:eastAsia="Times New Roman" w:cs="Arial"/>
          <w:szCs w:val="24"/>
        </w:rPr>
        <w:t xml:space="preserve">Kim, W.C. and Mauborgne, R.A. (2014) </w:t>
      </w:r>
      <w:r w:rsidRPr="005548CD">
        <w:rPr>
          <w:rFonts w:eastAsia="Times New Roman" w:cs="Arial"/>
          <w:i/>
          <w:iCs/>
          <w:szCs w:val="24"/>
        </w:rPr>
        <w:t>Blue Ocean Strategy, Expanded Edition: How to Create Uncontested Market Space and Make the Competition Irrelevant</w:t>
      </w:r>
      <w:r w:rsidRPr="005548CD">
        <w:rPr>
          <w:rFonts w:eastAsia="Times New Roman" w:cs="Arial"/>
          <w:szCs w:val="24"/>
        </w:rPr>
        <w:t xml:space="preserve">Harvard Business Review Press. </w:t>
      </w:r>
    </w:p>
    <w:p w14:paraId="2D5339A7" w14:textId="31BF1B6F" w:rsidR="00F77BCC" w:rsidRPr="005548CD" w:rsidRDefault="00F77BCC" w:rsidP="005548CD">
      <w:pPr>
        <w:spacing w:after="240"/>
        <w:rPr>
          <w:rFonts w:eastAsia="Times New Roman" w:cs="Arial"/>
          <w:szCs w:val="24"/>
        </w:rPr>
      </w:pPr>
      <w:r w:rsidRPr="005548CD">
        <w:rPr>
          <w:rFonts w:eastAsia="Times New Roman" w:cs="Arial"/>
          <w:szCs w:val="24"/>
        </w:rPr>
        <w:t xml:space="preserve">Kumar, P. (2015) An Analytical study on Mintzberg’s Framework: Managerial Roles. </w:t>
      </w:r>
      <w:r w:rsidRPr="005548CD">
        <w:rPr>
          <w:rFonts w:eastAsia="Times New Roman" w:cs="Arial"/>
          <w:i/>
          <w:iCs/>
          <w:szCs w:val="24"/>
        </w:rPr>
        <w:t>International Journal of Research in Management &amp; Business Studies (IJRMBS</w:t>
      </w:r>
      <w:r w:rsidRPr="005548CD">
        <w:rPr>
          <w:rFonts w:eastAsia="Times New Roman" w:cs="Arial"/>
          <w:szCs w:val="24"/>
        </w:rPr>
        <w:t xml:space="preserve">, [online] </w:t>
      </w:r>
      <w:r w:rsidRPr="005548CD">
        <w:rPr>
          <w:rFonts w:cs="Arial"/>
          <w:i/>
          <w:iCs/>
        </w:rPr>
        <w:t>2</w:t>
      </w:r>
      <w:r w:rsidRPr="005548CD">
        <w:rPr>
          <w:rFonts w:cs="Arial"/>
        </w:rPr>
        <w:t>(3), pp.12-19.</w:t>
      </w:r>
      <w:r w:rsidRPr="005548CD">
        <w:rPr>
          <w:rFonts w:eastAsia="Times New Roman" w:cs="Arial"/>
          <w:szCs w:val="24"/>
        </w:rPr>
        <w:t xml:space="preserve"> </w:t>
      </w:r>
    </w:p>
    <w:p w14:paraId="6CD78099" w14:textId="0B8C46AC" w:rsidR="00F77BCC" w:rsidRPr="005548CD" w:rsidRDefault="00F77BCC" w:rsidP="005548CD">
      <w:pPr>
        <w:spacing w:after="240"/>
        <w:rPr>
          <w:rFonts w:eastAsia="Times New Roman" w:cs="Arial"/>
          <w:szCs w:val="24"/>
        </w:rPr>
      </w:pPr>
      <w:r w:rsidRPr="005548CD">
        <w:rPr>
          <w:rFonts w:eastAsia="Times New Roman" w:cs="Arial"/>
          <w:szCs w:val="24"/>
        </w:rPr>
        <w:t xml:space="preserve">Leavy, B. (2018) Value innovation and how to successfully incubate ‘blue ocean’ initiatives. </w:t>
      </w:r>
      <w:r w:rsidRPr="005548CD">
        <w:rPr>
          <w:rFonts w:eastAsia="Times New Roman" w:cs="Arial"/>
          <w:i/>
          <w:iCs/>
          <w:szCs w:val="24"/>
        </w:rPr>
        <w:t>Strategy &amp; Leadership</w:t>
      </w:r>
      <w:r w:rsidRPr="005548CD">
        <w:rPr>
          <w:rFonts w:eastAsia="Times New Roman" w:cs="Arial"/>
          <w:szCs w:val="24"/>
        </w:rPr>
        <w:t xml:space="preserve">, 46(3), pp.10–20. </w:t>
      </w:r>
    </w:p>
    <w:p w14:paraId="226D71FC" w14:textId="1F7FE3B1" w:rsidR="00F77BCC" w:rsidRPr="005548CD" w:rsidRDefault="00F77BCC" w:rsidP="005548CD">
      <w:pPr>
        <w:spacing w:after="240"/>
        <w:rPr>
          <w:rFonts w:eastAsia="Times New Roman" w:cs="Arial"/>
          <w:szCs w:val="24"/>
        </w:rPr>
      </w:pPr>
      <w:r w:rsidRPr="005548CD">
        <w:rPr>
          <w:rFonts w:eastAsia="Times New Roman" w:cs="Arial"/>
          <w:szCs w:val="24"/>
        </w:rPr>
        <w:t xml:space="preserve">Loredana, M.E. (2017) </w:t>
      </w:r>
      <w:r w:rsidRPr="005548CD">
        <w:rPr>
          <w:rFonts w:eastAsia="Times New Roman" w:cs="Arial"/>
          <w:i/>
          <w:iCs/>
          <w:szCs w:val="24"/>
        </w:rPr>
        <w:t>THE USE OF ANSOFF MATRIX IN THE FIELD OF BUSINESS</w:t>
      </w:r>
      <w:r w:rsidRPr="005548CD">
        <w:rPr>
          <w:rFonts w:eastAsia="Times New Roman" w:cs="Arial"/>
          <w:szCs w:val="24"/>
        </w:rPr>
        <w:t>. [online] p.144. Available at: https://www.utgjiu.ro/revista/ec/pdf/2017-02.Volumul_2_Special/21_EcobiciL.pdf.</w:t>
      </w:r>
    </w:p>
    <w:p w14:paraId="5BBA8286" w14:textId="084EC16A" w:rsidR="00F77BCC" w:rsidRPr="005548CD" w:rsidRDefault="00F77BCC" w:rsidP="005548CD">
      <w:pPr>
        <w:spacing w:after="240"/>
        <w:rPr>
          <w:rFonts w:eastAsia="Times New Roman" w:cs="Arial"/>
          <w:szCs w:val="24"/>
        </w:rPr>
      </w:pPr>
      <w:r w:rsidRPr="005548CD">
        <w:rPr>
          <w:rFonts w:eastAsia="Times New Roman" w:cs="Arial"/>
          <w:szCs w:val="24"/>
        </w:rPr>
        <w:lastRenderedPageBreak/>
        <w:t xml:space="preserve">Marriott (2023) </w:t>
      </w:r>
      <w:r w:rsidRPr="005548CD">
        <w:rPr>
          <w:rFonts w:eastAsia="Times New Roman" w:cs="Arial"/>
          <w:i/>
          <w:iCs/>
          <w:szCs w:val="24"/>
        </w:rPr>
        <w:t>Marriott International Reports Strong Fourth Quarter and Full Year 2023 Results</w:t>
      </w:r>
      <w:r w:rsidRPr="005548CD">
        <w:rPr>
          <w:rFonts w:eastAsia="Times New Roman" w:cs="Arial"/>
          <w:szCs w:val="24"/>
        </w:rPr>
        <w:t>. Available at: https://news.marriott.com/news/2024/02/13/marriott-international-reports-strong-fourth-quarter-and-full-year-2023-results (Accessed: 24 May 2024).</w:t>
      </w:r>
    </w:p>
    <w:p w14:paraId="1D2E2E71" w14:textId="505EB741" w:rsidR="00F77BCC" w:rsidRPr="005548CD" w:rsidRDefault="00F77BCC" w:rsidP="005548CD">
      <w:pPr>
        <w:spacing w:after="240"/>
        <w:rPr>
          <w:rFonts w:eastAsia="Times New Roman" w:cs="Arial"/>
          <w:szCs w:val="24"/>
        </w:rPr>
      </w:pPr>
      <w:r w:rsidRPr="005548CD">
        <w:rPr>
          <w:rFonts w:eastAsia="Times New Roman" w:cs="Arial"/>
          <w:szCs w:val="24"/>
        </w:rPr>
        <w:t xml:space="preserve">Marriott International (2023) </w:t>
      </w:r>
      <w:r w:rsidRPr="005548CD">
        <w:rPr>
          <w:rFonts w:eastAsia="Times New Roman" w:cs="Arial"/>
          <w:i/>
          <w:iCs/>
          <w:szCs w:val="24"/>
        </w:rPr>
        <w:t>We Are Marriott International</w:t>
      </w:r>
      <w:r w:rsidRPr="005548CD">
        <w:rPr>
          <w:rFonts w:eastAsia="Times New Roman" w:cs="Arial"/>
          <w:szCs w:val="24"/>
        </w:rPr>
        <w:t>. [online] Marriott International. Available at: https://www.marriott.com/marriott/aboutmarriott.mi#:~:text=Offering%20the%20most%20powerful%20portfolio.</w:t>
      </w:r>
    </w:p>
    <w:p w14:paraId="0FB85DC6" w14:textId="5CA917D9" w:rsidR="00F77BCC" w:rsidRPr="005548CD" w:rsidRDefault="00F77BCC" w:rsidP="005548CD">
      <w:pPr>
        <w:spacing w:after="240"/>
        <w:rPr>
          <w:rFonts w:eastAsia="Times New Roman" w:cs="Arial"/>
          <w:szCs w:val="24"/>
        </w:rPr>
      </w:pPr>
      <w:r w:rsidRPr="005548CD">
        <w:rPr>
          <w:rFonts w:eastAsia="Times New Roman" w:cs="Arial"/>
          <w:szCs w:val="24"/>
        </w:rPr>
        <w:t xml:space="preserve">Miller, J. (2017) Managing Transitions: Using William Bridges’ Transition Model and a Change Style Assessment Instrument to Inform Strategies and Measure Progress in Organisational Change Management. </w:t>
      </w:r>
      <w:r w:rsidRPr="005548CD">
        <w:rPr>
          <w:rFonts w:eastAsia="Times New Roman" w:cs="Arial"/>
          <w:i/>
          <w:iCs/>
          <w:szCs w:val="24"/>
        </w:rPr>
        <w:t>The 12th International Conference on Performance Measurement in Libraries Proceedings</w:t>
      </w:r>
      <w:r w:rsidRPr="005548CD">
        <w:rPr>
          <w:rFonts w:eastAsia="Times New Roman" w:cs="Arial"/>
          <w:szCs w:val="24"/>
        </w:rPr>
        <w:t xml:space="preserve">, [online] pp.357–364. </w:t>
      </w:r>
    </w:p>
    <w:p w14:paraId="2EF23BAA" w14:textId="5E04B480" w:rsidR="00F77BCC" w:rsidRPr="005548CD" w:rsidRDefault="00F77BCC" w:rsidP="005548CD">
      <w:pPr>
        <w:spacing w:after="240"/>
        <w:rPr>
          <w:rFonts w:eastAsia="Times New Roman" w:cs="Arial"/>
          <w:szCs w:val="24"/>
        </w:rPr>
      </w:pPr>
      <w:r w:rsidRPr="005548CD">
        <w:rPr>
          <w:rFonts w:eastAsia="Times New Roman" w:cs="Arial"/>
          <w:szCs w:val="24"/>
        </w:rPr>
        <w:t xml:space="preserve">Mullins, L. (2020) </w:t>
      </w:r>
      <w:r w:rsidRPr="005548CD">
        <w:rPr>
          <w:rFonts w:eastAsia="Times New Roman" w:cs="Arial"/>
          <w:i/>
          <w:iCs/>
          <w:szCs w:val="24"/>
        </w:rPr>
        <w:t>Organisational Behaviour in the Workplace (12th edition)</w:t>
      </w:r>
      <w:r w:rsidRPr="005548CD">
        <w:rPr>
          <w:rFonts w:eastAsia="Times New Roman" w:cs="Arial"/>
          <w:szCs w:val="24"/>
        </w:rPr>
        <w:t xml:space="preserve"> Harlow: Pearson.</w:t>
      </w:r>
    </w:p>
    <w:p w14:paraId="1DE7AE38" w14:textId="758D7614" w:rsidR="00F77BCC" w:rsidRPr="005548CD" w:rsidRDefault="00F77BCC" w:rsidP="005548CD">
      <w:pPr>
        <w:spacing w:after="240"/>
        <w:rPr>
          <w:rFonts w:eastAsia="Times New Roman" w:cs="Arial"/>
          <w:szCs w:val="24"/>
        </w:rPr>
      </w:pPr>
      <w:r w:rsidRPr="005548CD">
        <w:rPr>
          <w:rFonts w:eastAsia="Times New Roman" w:cs="Arial"/>
          <w:szCs w:val="24"/>
        </w:rPr>
        <w:t xml:space="preserve">Mullins, L. and Dosser, P. (2013) </w:t>
      </w:r>
      <w:r w:rsidRPr="005548CD">
        <w:rPr>
          <w:rFonts w:eastAsia="Times New Roman" w:cs="Arial"/>
          <w:i/>
          <w:iCs/>
          <w:szCs w:val="24"/>
        </w:rPr>
        <w:t>Hospitality Management and Organisational Behaviour (5th Ed)</w:t>
      </w:r>
      <w:r w:rsidRPr="005548CD">
        <w:rPr>
          <w:rFonts w:eastAsia="Times New Roman" w:cs="Arial"/>
          <w:szCs w:val="24"/>
        </w:rPr>
        <w:t>. Harlow, Pearson.</w:t>
      </w:r>
    </w:p>
    <w:p w14:paraId="5C135C6E" w14:textId="4EF7C677" w:rsidR="00F77BCC" w:rsidRPr="005548CD" w:rsidRDefault="00F77BCC" w:rsidP="005548CD">
      <w:pPr>
        <w:spacing w:after="240"/>
        <w:rPr>
          <w:rFonts w:eastAsia="Times New Roman" w:cs="Arial"/>
          <w:szCs w:val="24"/>
        </w:rPr>
      </w:pPr>
      <w:r w:rsidRPr="005548CD">
        <w:rPr>
          <w:rFonts w:eastAsia="Times New Roman" w:cs="Arial"/>
          <w:szCs w:val="24"/>
        </w:rPr>
        <w:t xml:space="preserve">Quek, M. (2012) Globalising the hotel industry 1946–68: A multinational case study of the Intercontinental Hotel Corporation. </w:t>
      </w:r>
      <w:r w:rsidRPr="005548CD">
        <w:rPr>
          <w:rFonts w:eastAsia="Times New Roman" w:cs="Arial"/>
          <w:i/>
          <w:iCs/>
          <w:szCs w:val="24"/>
        </w:rPr>
        <w:t>Business History</w:t>
      </w:r>
      <w:r w:rsidRPr="005548CD">
        <w:rPr>
          <w:rFonts w:eastAsia="Times New Roman" w:cs="Arial"/>
          <w:szCs w:val="24"/>
        </w:rPr>
        <w:t xml:space="preserve">, </w:t>
      </w:r>
      <w:r w:rsidRPr="005548CD">
        <w:rPr>
          <w:rFonts w:eastAsia="Times New Roman" w:cs="Arial"/>
          <w:i/>
          <w:iCs/>
          <w:szCs w:val="24"/>
        </w:rPr>
        <w:t>54</w:t>
      </w:r>
      <w:r w:rsidRPr="005548CD">
        <w:rPr>
          <w:rFonts w:eastAsia="Times New Roman" w:cs="Arial"/>
          <w:szCs w:val="24"/>
        </w:rPr>
        <w:t xml:space="preserve">(2), 201-226. </w:t>
      </w:r>
    </w:p>
    <w:p w14:paraId="6DCDC9BD" w14:textId="12859DF9" w:rsidR="00F77BCC" w:rsidRPr="005548CD" w:rsidRDefault="00F77BCC" w:rsidP="005548CD">
      <w:pPr>
        <w:spacing w:after="240"/>
        <w:rPr>
          <w:rFonts w:eastAsia="Times New Roman" w:cs="Arial"/>
          <w:szCs w:val="24"/>
        </w:rPr>
      </w:pPr>
      <w:r w:rsidRPr="005548CD">
        <w:rPr>
          <w:rFonts w:eastAsia="Times New Roman" w:cs="Arial"/>
          <w:szCs w:val="24"/>
        </w:rPr>
        <w:t xml:space="preserve">Sarigiannidis, C., Halkiopoulos, C., Giannopoulos, K., Giannopoulou, F., Politis, A.E., Boutsinas, B. and Kollias, K. (2021) Do Hotels Care? A Proposed Smart Framework for the Effectiveness of an Environmental Management Accounting System Based on Business Intelligence Technologies. </w:t>
      </w:r>
      <w:r w:rsidRPr="005548CD">
        <w:rPr>
          <w:rFonts w:eastAsia="Times New Roman" w:cs="Arial"/>
          <w:i/>
          <w:iCs/>
          <w:szCs w:val="24"/>
        </w:rPr>
        <w:t>Culture and Tourism in a Smart, Globalized, and Sustainable World</w:t>
      </w:r>
      <w:r w:rsidRPr="005548CD">
        <w:rPr>
          <w:rFonts w:eastAsia="Times New Roman" w:cs="Arial"/>
          <w:szCs w:val="24"/>
        </w:rPr>
        <w:t xml:space="preserve">, pp.635–647. </w:t>
      </w:r>
    </w:p>
    <w:p w14:paraId="0AC15971" w14:textId="2B0A0BA9" w:rsidR="00F77BCC" w:rsidRPr="005548CD" w:rsidRDefault="00F77BCC" w:rsidP="005548CD">
      <w:pPr>
        <w:spacing w:after="240"/>
        <w:rPr>
          <w:rFonts w:eastAsia="Times New Roman" w:cs="Arial"/>
          <w:szCs w:val="24"/>
        </w:rPr>
      </w:pPr>
      <w:r w:rsidRPr="005548CD">
        <w:rPr>
          <w:rFonts w:eastAsia="Times New Roman" w:cs="Arial"/>
          <w:szCs w:val="24"/>
        </w:rPr>
        <w:t xml:space="preserve">Sridharan, M.A. (2022) </w:t>
      </w:r>
      <w:r w:rsidRPr="005548CD">
        <w:rPr>
          <w:rFonts w:eastAsia="Times New Roman" w:cs="Arial"/>
          <w:i/>
          <w:iCs/>
          <w:szCs w:val="24"/>
        </w:rPr>
        <w:t>Bridges Transition Model</w:t>
      </w:r>
      <w:r w:rsidRPr="005548CD">
        <w:rPr>
          <w:rFonts w:eastAsia="Times New Roman" w:cs="Arial"/>
          <w:szCs w:val="24"/>
        </w:rPr>
        <w:t>. Available at: https://thinkinsights.net/strategy/bridges-transition-model/ (Accessed: 24 May 2024).</w:t>
      </w:r>
    </w:p>
    <w:p w14:paraId="3690E83E" w14:textId="3B6E20B2" w:rsidR="00F77BCC" w:rsidRPr="005548CD" w:rsidRDefault="00F77BCC" w:rsidP="005548CD">
      <w:pPr>
        <w:spacing w:after="240"/>
        <w:rPr>
          <w:rFonts w:eastAsia="Times New Roman" w:cs="Arial"/>
          <w:szCs w:val="24"/>
        </w:rPr>
      </w:pPr>
      <w:r w:rsidRPr="005548CD">
        <w:rPr>
          <w:rFonts w:eastAsia="Times New Roman" w:cs="Arial"/>
          <w:szCs w:val="24"/>
        </w:rPr>
        <w:t xml:space="preserve">Stoimenov, V. (2023) GOOD PRACTICES IN HOTEL BRANDING – SUSTAINABILITY TRENDS OF INTERCONTINENTAL HOTEL GROUP. </w:t>
      </w:r>
      <w:r w:rsidRPr="005548CD">
        <w:rPr>
          <w:rFonts w:eastAsia="Times New Roman" w:cs="Arial"/>
          <w:i/>
          <w:iCs/>
          <w:szCs w:val="24"/>
        </w:rPr>
        <w:t>Предприемачество</w:t>
      </w:r>
      <w:r w:rsidRPr="005548CD">
        <w:rPr>
          <w:rFonts w:eastAsia="Times New Roman" w:cs="Arial"/>
          <w:szCs w:val="24"/>
        </w:rPr>
        <w:t>, 11(1), pp.108–131.</w:t>
      </w:r>
    </w:p>
    <w:p w14:paraId="702A6218" w14:textId="0AE91F63" w:rsidR="00F77BCC" w:rsidRPr="005548CD" w:rsidRDefault="00F77BCC" w:rsidP="005548CD">
      <w:pPr>
        <w:spacing w:after="240"/>
        <w:rPr>
          <w:rFonts w:eastAsia="Times New Roman" w:cs="Arial"/>
          <w:szCs w:val="24"/>
        </w:rPr>
      </w:pPr>
      <w:r w:rsidRPr="005548CD">
        <w:rPr>
          <w:rFonts w:eastAsia="Times New Roman" w:cs="Arial"/>
          <w:szCs w:val="24"/>
        </w:rPr>
        <w:lastRenderedPageBreak/>
        <w:t xml:space="preserve">Tabari, M., Ziabari, M. and Radmard, M. (2014) The role of a blue ocean strategy on performance evaluation. </w:t>
      </w:r>
      <w:r w:rsidRPr="005548CD">
        <w:rPr>
          <w:rFonts w:eastAsia="Times New Roman" w:cs="Arial"/>
          <w:i/>
          <w:iCs/>
          <w:szCs w:val="24"/>
        </w:rPr>
        <w:t>Management Science Letters</w:t>
      </w:r>
      <w:r w:rsidRPr="005548CD">
        <w:rPr>
          <w:rFonts w:eastAsia="Times New Roman" w:cs="Arial"/>
          <w:szCs w:val="24"/>
        </w:rPr>
        <w:t xml:space="preserve">, </w:t>
      </w:r>
      <w:r w:rsidRPr="005548CD">
        <w:rPr>
          <w:rFonts w:eastAsia="Times New Roman" w:cs="Arial"/>
          <w:i/>
          <w:iCs/>
          <w:szCs w:val="24"/>
        </w:rPr>
        <w:t>4</w:t>
      </w:r>
      <w:r w:rsidRPr="005548CD">
        <w:rPr>
          <w:rFonts w:eastAsia="Times New Roman" w:cs="Arial"/>
          <w:szCs w:val="24"/>
        </w:rPr>
        <w:t>(8), pp.1611-1618. http://growingscience.com/msl/Vol4/msl_2014_232.pdf</w:t>
      </w:r>
    </w:p>
    <w:p w14:paraId="25022F2D" w14:textId="2C65E0D3" w:rsidR="00F77BCC" w:rsidRPr="005548CD" w:rsidRDefault="00F77BCC" w:rsidP="005548CD">
      <w:pPr>
        <w:spacing w:after="240"/>
        <w:rPr>
          <w:rFonts w:eastAsia="Times New Roman" w:cs="Arial"/>
          <w:szCs w:val="24"/>
        </w:rPr>
      </w:pPr>
      <w:r w:rsidRPr="005548CD">
        <w:rPr>
          <w:rFonts w:eastAsia="Times New Roman" w:cs="Arial"/>
          <w:szCs w:val="24"/>
        </w:rPr>
        <w:t xml:space="preserve">The People Space (2017) </w:t>
      </w:r>
      <w:r w:rsidRPr="005548CD">
        <w:rPr>
          <w:rFonts w:eastAsia="Times New Roman" w:cs="Arial"/>
          <w:i/>
          <w:iCs/>
          <w:szCs w:val="24"/>
        </w:rPr>
        <w:t>How international hotel giant IHG is using artificial intelligence to bring HR and recruitment benefits</w:t>
      </w:r>
      <w:r w:rsidRPr="005548CD">
        <w:rPr>
          <w:rFonts w:eastAsia="Times New Roman" w:cs="Arial"/>
          <w:szCs w:val="24"/>
        </w:rPr>
        <w:t>. Available at: https://www.thepeoplespace.com/practice/articles/how-international-hotel-giant-ihg-using-artificial-intelligence-bring-hr-and (Accessed: 24 May 2024).</w:t>
      </w:r>
    </w:p>
    <w:p w14:paraId="5FD89FF2" w14:textId="5B6EB98B" w:rsidR="00F77BCC" w:rsidRPr="005548CD" w:rsidRDefault="00F77BCC" w:rsidP="005548CD">
      <w:pPr>
        <w:spacing w:after="240"/>
        <w:rPr>
          <w:rFonts w:eastAsia="Times New Roman" w:cs="Arial"/>
          <w:szCs w:val="24"/>
        </w:rPr>
      </w:pPr>
      <w:r w:rsidRPr="005548CD">
        <w:rPr>
          <w:rFonts w:eastAsia="Times New Roman" w:cs="Arial"/>
          <w:szCs w:val="24"/>
        </w:rPr>
        <w:t xml:space="preserve">Turlais, V. and Dubkevics, L. (2017) Comparative analysis of organisational culture models in Management Science. In </w:t>
      </w:r>
      <w:r w:rsidRPr="005548CD">
        <w:rPr>
          <w:rFonts w:eastAsia="Times New Roman" w:cs="Arial"/>
          <w:i/>
          <w:iCs/>
          <w:szCs w:val="24"/>
        </w:rPr>
        <w:t>Turiba University. International Scientific Conference</w:t>
      </w:r>
      <w:r w:rsidRPr="005548CD">
        <w:rPr>
          <w:rFonts w:eastAsia="Times New Roman" w:cs="Arial"/>
          <w:szCs w:val="24"/>
        </w:rPr>
        <w:t xml:space="preserve"> (p. 204). Turiba University. </w:t>
      </w:r>
    </w:p>
    <w:p w14:paraId="147CF583" w14:textId="41D100DB" w:rsidR="00F77BCC" w:rsidRPr="005548CD" w:rsidRDefault="00F77BCC" w:rsidP="005548CD">
      <w:pPr>
        <w:spacing w:after="240"/>
        <w:rPr>
          <w:rFonts w:eastAsia="Times New Roman" w:cs="Arial"/>
          <w:szCs w:val="24"/>
        </w:rPr>
      </w:pPr>
      <w:r w:rsidRPr="005548CD">
        <w:rPr>
          <w:rFonts w:eastAsia="Times New Roman" w:cs="Arial"/>
          <w:szCs w:val="24"/>
        </w:rPr>
        <w:t xml:space="preserve">Weiland, S., Bleicher, A., Polzin, C., Rauschmayer, F. and Rode, J. (2017) The nature of experiments for sustainability transformations: A search for common ground. </w:t>
      </w:r>
      <w:r w:rsidRPr="005548CD">
        <w:rPr>
          <w:rFonts w:eastAsia="Times New Roman" w:cs="Arial"/>
          <w:i/>
          <w:iCs/>
          <w:szCs w:val="24"/>
        </w:rPr>
        <w:t>Journal of Cleaner Production</w:t>
      </w:r>
      <w:r w:rsidRPr="005548CD">
        <w:rPr>
          <w:rFonts w:eastAsia="Times New Roman" w:cs="Arial"/>
          <w:szCs w:val="24"/>
        </w:rPr>
        <w:t xml:space="preserve">, 169, pp.30–38. </w:t>
      </w:r>
    </w:p>
    <w:p w14:paraId="3F978AA5" w14:textId="77777777" w:rsidR="001A497C" w:rsidRPr="005548CD" w:rsidRDefault="001A497C" w:rsidP="005548CD">
      <w:pPr>
        <w:rPr>
          <w:rFonts w:cs="Arial"/>
        </w:rPr>
      </w:pPr>
    </w:p>
    <w:sectPr w:rsidR="001A497C" w:rsidRPr="005548CD" w:rsidSect="000A7A97">
      <w:footerReference w:type="default" r:id="rId22"/>
      <w:pgSz w:w="11906" w:h="16838" w:code="9"/>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F50E0B" w14:textId="77777777" w:rsidR="0058146A" w:rsidRPr="00764775" w:rsidRDefault="0058146A" w:rsidP="001A497C">
      <w:pPr>
        <w:spacing w:after="0" w:line="240" w:lineRule="auto"/>
      </w:pPr>
      <w:r w:rsidRPr="00764775">
        <w:separator/>
      </w:r>
    </w:p>
  </w:endnote>
  <w:endnote w:type="continuationSeparator" w:id="0">
    <w:p w14:paraId="27678921" w14:textId="77777777" w:rsidR="0058146A" w:rsidRPr="00764775" w:rsidRDefault="0058146A" w:rsidP="001A497C">
      <w:pPr>
        <w:spacing w:after="0" w:line="240" w:lineRule="auto"/>
      </w:pPr>
      <w:r w:rsidRPr="0076477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872081"/>
      <w:docPartObj>
        <w:docPartGallery w:val="Page Numbers (Bottom of Page)"/>
        <w:docPartUnique/>
      </w:docPartObj>
    </w:sdtPr>
    <w:sdtContent>
      <w:p w14:paraId="60151619" w14:textId="6A1E31EE" w:rsidR="00913E67" w:rsidRPr="00764775" w:rsidRDefault="00913E67">
        <w:pPr>
          <w:pStyle w:val="Footer"/>
          <w:jc w:val="right"/>
        </w:pPr>
        <w:r w:rsidRPr="00764775">
          <w:t xml:space="preserve">Page | </w:t>
        </w:r>
        <w:r w:rsidRPr="00764775">
          <w:fldChar w:fldCharType="begin"/>
        </w:r>
        <w:r w:rsidRPr="00764775">
          <w:instrText>PAGE   \* MERGEFORMAT</w:instrText>
        </w:r>
        <w:r w:rsidRPr="00764775">
          <w:fldChar w:fldCharType="separate"/>
        </w:r>
        <w:r w:rsidRPr="00764775">
          <w:t>2</w:t>
        </w:r>
        <w:r w:rsidRPr="00764775">
          <w:fldChar w:fldCharType="end"/>
        </w:r>
        <w:r w:rsidRPr="00764775">
          <w:t xml:space="preserve"> </w:t>
        </w:r>
      </w:p>
    </w:sdtContent>
  </w:sdt>
  <w:p w14:paraId="5DBE0993" w14:textId="77777777" w:rsidR="001A497C" w:rsidRPr="00764775" w:rsidRDefault="001A49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2046688"/>
      <w:docPartObj>
        <w:docPartGallery w:val="Page Numbers (Bottom of Page)"/>
        <w:docPartUnique/>
      </w:docPartObj>
    </w:sdtPr>
    <w:sdtContent>
      <w:p w14:paraId="5BABA037" w14:textId="5E149A1A" w:rsidR="000A7A97" w:rsidRDefault="000A7A97">
        <w:pPr>
          <w:pStyle w:val="Footer"/>
          <w:jc w:val="right"/>
        </w:pPr>
        <w:r>
          <w:t xml:space="preserve">Page | </w:t>
        </w:r>
        <w:r>
          <w:rPr>
            <w:noProof w:val="0"/>
          </w:rPr>
          <w:fldChar w:fldCharType="begin"/>
        </w:r>
        <w:r>
          <w:instrText xml:space="preserve"> PAGE   \* MERGEFORMAT </w:instrText>
        </w:r>
        <w:r>
          <w:rPr>
            <w:noProof w:val="0"/>
          </w:rPr>
          <w:fldChar w:fldCharType="separate"/>
        </w:r>
        <w:r>
          <w:t>2</w:t>
        </w:r>
        <w:r>
          <w:fldChar w:fldCharType="end"/>
        </w:r>
        <w:r>
          <w:t xml:space="preserve"> </w:t>
        </w:r>
      </w:p>
    </w:sdtContent>
  </w:sdt>
  <w:p w14:paraId="53991A9A" w14:textId="77777777" w:rsidR="001A497C" w:rsidRPr="00764775" w:rsidRDefault="001A4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2008A3" w14:textId="77777777" w:rsidR="0058146A" w:rsidRPr="00764775" w:rsidRDefault="0058146A" w:rsidP="001A497C">
      <w:pPr>
        <w:spacing w:after="0" w:line="240" w:lineRule="auto"/>
      </w:pPr>
      <w:r w:rsidRPr="00764775">
        <w:separator/>
      </w:r>
    </w:p>
  </w:footnote>
  <w:footnote w:type="continuationSeparator" w:id="0">
    <w:p w14:paraId="6422F05D" w14:textId="77777777" w:rsidR="0058146A" w:rsidRPr="00764775" w:rsidRDefault="0058146A" w:rsidP="001A497C">
      <w:pPr>
        <w:spacing w:after="0" w:line="240" w:lineRule="auto"/>
      </w:pPr>
      <w:r w:rsidRPr="0076477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46A1D"/>
    <w:multiLevelType w:val="hybridMultilevel"/>
    <w:tmpl w:val="6F4C1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5152DD"/>
    <w:multiLevelType w:val="hybridMultilevel"/>
    <w:tmpl w:val="5726A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8530F2"/>
    <w:multiLevelType w:val="hybridMultilevel"/>
    <w:tmpl w:val="3968C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4830183">
    <w:abstractNumId w:val="2"/>
  </w:num>
  <w:num w:numId="2" w16cid:durableId="1089156246">
    <w:abstractNumId w:val="0"/>
  </w:num>
  <w:num w:numId="3" w16cid:durableId="1410737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MbEwsjCzMDcyNLZU0lEKTi0uzszPAykwrQUAl0LYbiwAAAA="/>
  </w:docVars>
  <w:rsids>
    <w:rsidRoot w:val="0039278D"/>
    <w:rsid w:val="00014555"/>
    <w:rsid w:val="000162E8"/>
    <w:rsid w:val="0002452C"/>
    <w:rsid w:val="000669EC"/>
    <w:rsid w:val="000817A5"/>
    <w:rsid w:val="000A100C"/>
    <w:rsid w:val="000A7A97"/>
    <w:rsid w:val="000F1AE8"/>
    <w:rsid w:val="00112E90"/>
    <w:rsid w:val="00164F53"/>
    <w:rsid w:val="001A497C"/>
    <w:rsid w:val="001A4E8C"/>
    <w:rsid w:val="001B4AA2"/>
    <w:rsid w:val="001B58F5"/>
    <w:rsid w:val="00253D63"/>
    <w:rsid w:val="002973AC"/>
    <w:rsid w:val="002A4B88"/>
    <w:rsid w:val="002C066A"/>
    <w:rsid w:val="002C14B0"/>
    <w:rsid w:val="002D1975"/>
    <w:rsid w:val="00354B41"/>
    <w:rsid w:val="00373BD9"/>
    <w:rsid w:val="00373D41"/>
    <w:rsid w:val="00392080"/>
    <w:rsid w:val="0039278D"/>
    <w:rsid w:val="00437D3D"/>
    <w:rsid w:val="00460601"/>
    <w:rsid w:val="00465A40"/>
    <w:rsid w:val="004718F3"/>
    <w:rsid w:val="00484B3D"/>
    <w:rsid w:val="0049487A"/>
    <w:rsid w:val="004951FA"/>
    <w:rsid w:val="004A402D"/>
    <w:rsid w:val="004A47C0"/>
    <w:rsid w:val="004D4619"/>
    <w:rsid w:val="004E1DCD"/>
    <w:rsid w:val="004F2A98"/>
    <w:rsid w:val="004F3573"/>
    <w:rsid w:val="00504C51"/>
    <w:rsid w:val="00550172"/>
    <w:rsid w:val="00551F54"/>
    <w:rsid w:val="005548CD"/>
    <w:rsid w:val="00563D95"/>
    <w:rsid w:val="0058146A"/>
    <w:rsid w:val="005A790B"/>
    <w:rsid w:val="005D566D"/>
    <w:rsid w:val="006D4C67"/>
    <w:rsid w:val="006F10AA"/>
    <w:rsid w:val="00717DF4"/>
    <w:rsid w:val="00723DC0"/>
    <w:rsid w:val="00740542"/>
    <w:rsid w:val="00764775"/>
    <w:rsid w:val="00777A0F"/>
    <w:rsid w:val="007C7E8C"/>
    <w:rsid w:val="007E3FD4"/>
    <w:rsid w:val="008058DF"/>
    <w:rsid w:val="00826355"/>
    <w:rsid w:val="00872324"/>
    <w:rsid w:val="00876965"/>
    <w:rsid w:val="00895599"/>
    <w:rsid w:val="008A645B"/>
    <w:rsid w:val="008B69D4"/>
    <w:rsid w:val="00913E67"/>
    <w:rsid w:val="00954970"/>
    <w:rsid w:val="00955E04"/>
    <w:rsid w:val="00967AFF"/>
    <w:rsid w:val="00974489"/>
    <w:rsid w:val="009766AC"/>
    <w:rsid w:val="00976E08"/>
    <w:rsid w:val="00984F55"/>
    <w:rsid w:val="009F11BF"/>
    <w:rsid w:val="009F6D34"/>
    <w:rsid w:val="00A12852"/>
    <w:rsid w:val="00A14C7B"/>
    <w:rsid w:val="00A6044F"/>
    <w:rsid w:val="00AD2E27"/>
    <w:rsid w:val="00AE1BBB"/>
    <w:rsid w:val="00AE5EF0"/>
    <w:rsid w:val="00B4340B"/>
    <w:rsid w:val="00B5191B"/>
    <w:rsid w:val="00BA0ADA"/>
    <w:rsid w:val="00BA22A1"/>
    <w:rsid w:val="00BB272F"/>
    <w:rsid w:val="00C23315"/>
    <w:rsid w:val="00C55DEC"/>
    <w:rsid w:val="00C81178"/>
    <w:rsid w:val="00D6608F"/>
    <w:rsid w:val="00D67E4C"/>
    <w:rsid w:val="00D90ECC"/>
    <w:rsid w:val="00D94AFD"/>
    <w:rsid w:val="00DA02B8"/>
    <w:rsid w:val="00E1643B"/>
    <w:rsid w:val="00E95041"/>
    <w:rsid w:val="00EA100D"/>
    <w:rsid w:val="00EB53B2"/>
    <w:rsid w:val="00EC5C39"/>
    <w:rsid w:val="00EE32B4"/>
    <w:rsid w:val="00F54EFD"/>
    <w:rsid w:val="00F77BCC"/>
    <w:rsid w:val="00F92E2A"/>
    <w:rsid w:val="00FC2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1995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AA2"/>
    <w:pPr>
      <w:spacing w:line="360" w:lineRule="auto"/>
      <w:jc w:val="both"/>
    </w:pPr>
    <w:rPr>
      <w:rFonts w:ascii="Arial" w:hAnsi="Arial"/>
      <w:noProof/>
      <w:sz w:val="24"/>
      <w:lang w:val="en-GB"/>
    </w:rPr>
  </w:style>
  <w:style w:type="paragraph" w:styleId="Heading1">
    <w:name w:val="heading 1"/>
    <w:basedOn w:val="Normal"/>
    <w:next w:val="Normal"/>
    <w:link w:val="Heading1Char"/>
    <w:uiPriority w:val="9"/>
    <w:qFormat/>
    <w:rsid w:val="001A497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A497C"/>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1A497C"/>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97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A497C"/>
    <w:rPr>
      <w:rFonts w:ascii="Arial" w:eastAsiaTheme="majorEastAsia" w:hAnsi="Arial" w:cstheme="majorBidi"/>
      <w:b/>
      <w:color w:val="2F5496" w:themeColor="accent1" w:themeShade="BF"/>
      <w:sz w:val="26"/>
      <w:szCs w:val="26"/>
    </w:rPr>
  </w:style>
  <w:style w:type="paragraph" w:styleId="ListParagraph">
    <w:name w:val="List Paragraph"/>
    <w:basedOn w:val="Normal"/>
    <w:uiPriority w:val="34"/>
    <w:qFormat/>
    <w:rsid w:val="00954970"/>
    <w:pPr>
      <w:ind w:left="720"/>
      <w:contextualSpacing/>
    </w:pPr>
  </w:style>
  <w:style w:type="paragraph" w:styleId="Header">
    <w:name w:val="header"/>
    <w:basedOn w:val="Normal"/>
    <w:link w:val="HeaderChar"/>
    <w:uiPriority w:val="99"/>
    <w:unhideWhenUsed/>
    <w:rsid w:val="001A49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497C"/>
    <w:rPr>
      <w:rFonts w:ascii="Times New Roman" w:hAnsi="Times New Roman"/>
      <w:sz w:val="24"/>
    </w:rPr>
  </w:style>
  <w:style w:type="paragraph" w:styleId="Footer">
    <w:name w:val="footer"/>
    <w:basedOn w:val="Normal"/>
    <w:link w:val="FooterChar"/>
    <w:uiPriority w:val="99"/>
    <w:unhideWhenUsed/>
    <w:rsid w:val="001A49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497C"/>
    <w:rPr>
      <w:rFonts w:ascii="Times New Roman" w:hAnsi="Times New Roman"/>
      <w:sz w:val="24"/>
    </w:rPr>
  </w:style>
  <w:style w:type="paragraph" w:styleId="TOCHeading">
    <w:name w:val="TOC Heading"/>
    <w:basedOn w:val="Heading1"/>
    <w:next w:val="Normal"/>
    <w:uiPriority w:val="39"/>
    <w:unhideWhenUsed/>
    <w:qFormat/>
    <w:rsid w:val="001A497C"/>
    <w:pPr>
      <w:spacing w:line="259" w:lineRule="auto"/>
      <w:jc w:val="left"/>
      <w:outlineLvl w:val="9"/>
    </w:pPr>
    <w:rPr>
      <w:b w:val="0"/>
    </w:rPr>
  </w:style>
  <w:style w:type="paragraph" w:styleId="TOC1">
    <w:name w:val="toc 1"/>
    <w:basedOn w:val="Normal"/>
    <w:next w:val="Normal"/>
    <w:autoRedefine/>
    <w:uiPriority w:val="39"/>
    <w:unhideWhenUsed/>
    <w:rsid w:val="001A497C"/>
    <w:pPr>
      <w:spacing w:after="100"/>
    </w:pPr>
  </w:style>
  <w:style w:type="paragraph" w:styleId="TOC2">
    <w:name w:val="toc 2"/>
    <w:basedOn w:val="Normal"/>
    <w:next w:val="Normal"/>
    <w:autoRedefine/>
    <w:uiPriority w:val="39"/>
    <w:unhideWhenUsed/>
    <w:rsid w:val="001A497C"/>
    <w:pPr>
      <w:spacing w:after="100"/>
      <w:ind w:left="240"/>
    </w:pPr>
  </w:style>
  <w:style w:type="character" w:styleId="Hyperlink">
    <w:name w:val="Hyperlink"/>
    <w:basedOn w:val="DefaultParagraphFont"/>
    <w:uiPriority w:val="99"/>
    <w:unhideWhenUsed/>
    <w:rsid w:val="001A497C"/>
    <w:rPr>
      <w:color w:val="0563C1" w:themeColor="hyperlink"/>
      <w:u w:val="single"/>
    </w:rPr>
  </w:style>
  <w:style w:type="character" w:customStyle="1" w:styleId="Heading3Char">
    <w:name w:val="Heading 3 Char"/>
    <w:basedOn w:val="DefaultParagraphFont"/>
    <w:link w:val="Heading3"/>
    <w:uiPriority w:val="9"/>
    <w:semiHidden/>
    <w:rsid w:val="001A497C"/>
    <w:rPr>
      <w:rFonts w:ascii="Arial" w:eastAsiaTheme="majorEastAsia" w:hAnsi="Arial" w:cstheme="majorBidi"/>
      <w:color w:val="1F3763" w:themeColor="accent1" w:themeShade="7F"/>
      <w:sz w:val="24"/>
      <w:szCs w:val="24"/>
    </w:rPr>
  </w:style>
  <w:style w:type="character" w:styleId="UnresolvedMention">
    <w:name w:val="Unresolved Mention"/>
    <w:basedOn w:val="DefaultParagraphFont"/>
    <w:uiPriority w:val="99"/>
    <w:semiHidden/>
    <w:unhideWhenUsed/>
    <w:rsid w:val="0002452C"/>
    <w:rPr>
      <w:color w:val="605E5C"/>
      <w:shd w:val="clear" w:color="auto" w:fill="E1DFDD"/>
    </w:rPr>
  </w:style>
  <w:style w:type="paragraph" w:styleId="Caption">
    <w:name w:val="caption"/>
    <w:basedOn w:val="Normal"/>
    <w:next w:val="Normal"/>
    <w:autoRedefine/>
    <w:uiPriority w:val="35"/>
    <w:unhideWhenUsed/>
    <w:qFormat/>
    <w:rsid w:val="002C14B0"/>
    <w:pPr>
      <w:spacing w:after="200"/>
    </w:pPr>
    <w:rPr>
      <w:i/>
      <w:iCs/>
      <w:color w:val="2F5496" w:themeColor="accent1" w:themeShade="BF"/>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8705">
      <w:bodyDiv w:val="1"/>
      <w:marLeft w:val="0"/>
      <w:marRight w:val="0"/>
      <w:marTop w:val="0"/>
      <w:marBottom w:val="0"/>
      <w:divBdr>
        <w:top w:val="none" w:sz="0" w:space="0" w:color="auto"/>
        <w:left w:val="none" w:sz="0" w:space="0" w:color="auto"/>
        <w:bottom w:val="none" w:sz="0" w:space="0" w:color="auto"/>
        <w:right w:val="none" w:sz="0" w:space="0" w:color="auto"/>
      </w:divBdr>
      <w:divsChild>
        <w:div w:id="1249266430">
          <w:marLeft w:val="0"/>
          <w:marRight w:val="0"/>
          <w:marTop w:val="0"/>
          <w:marBottom w:val="0"/>
          <w:divBdr>
            <w:top w:val="none" w:sz="0" w:space="0" w:color="auto"/>
            <w:left w:val="none" w:sz="0" w:space="0" w:color="auto"/>
            <w:bottom w:val="none" w:sz="0" w:space="0" w:color="auto"/>
            <w:right w:val="none" w:sz="0" w:space="0" w:color="auto"/>
          </w:divBdr>
        </w:div>
      </w:divsChild>
    </w:div>
    <w:div w:id="616446194">
      <w:bodyDiv w:val="1"/>
      <w:marLeft w:val="0"/>
      <w:marRight w:val="0"/>
      <w:marTop w:val="0"/>
      <w:marBottom w:val="0"/>
      <w:divBdr>
        <w:top w:val="none" w:sz="0" w:space="0" w:color="auto"/>
        <w:left w:val="none" w:sz="0" w:space="0" w:color="auto"/>
        <w:bottom w:val="none" w:sz="0" w:space="0" w:color="auto"/>
        <w:right w:val="none" w:sz="0" w:space="0" w:color="auto"/>
      </w:divBdr>
      <w:divsChild>
        <w:div w:id="1089548696">
          <w:marLeft w:val="0"/>
          <w:marRight w:val="0"/>
          <w:marTop w:val="0"/>
          <w:marBottom w:val="0"/>
          <w:divBdr>
            <w:top w:val="none" w:sz="0" w:space="0" w:color="auto"/>
            <w:left w:val="none" w:sz="0" w:space="0" w:color="auto"/>
            <w:bottom w:val="none" w:sz="0" w:space="0" w:color="auto"/>
            <w:right w:val="none" w:sz="0" w:space="0" w:color="auto"/>
          </w:divBdr>
        </w:div>
      </w:divsChild>
    </w:div>
    <w:div w:id="627513212">
      <w:bodyDiv w:val="1"/>
      <w:marLeft w:val="0"/>
      <w:marRight w:val="0"/>
      <w:marTop w:val="0"/>
      <w:marBottom w:val="0"/>
      <w:divBdr>
        <w:top w:val="none" w:sz="0" w:space="0" w:color="auto"/>
        <w:left w:val="none" w:sz="0" w:space="0" w:color="auto"/>
        <w:bottom w:val="none" w:sz="0" w:space="0" w:color="auto"/>
        <w:right w:val="none" w:sz="0" w:space="0" w:color="auto"/>
      </w:divBdr>
      <w:divsChild>
        <w:div w:id="1536426118">
          <w:marLeft w:val="0"/>
          <w:marRight w:val="0"/>
          <w:marTop w:val="0"/>
          <w:marBottom w:val="0"/>
          <w:divBdr>
            <w:top w:val="none" w:sz="0" w:space="0" w:color="auto"/>
            <w:left w:val="none" w:sz="0" w:space="0" w:color="auto"/>
            <w:bottom w:val="none" w:sz="0" w:space="0" w:color="auto"/>
            <w:right w:val="none" w:sz="0" w:space="0" w:color="auto"/>
          </w:divBdr>
        </w:div>
      </w:divsChild>
    </w:div>
    <w:div w:id="682362608">
      <w:bodyDiv w:val="1"/>
      <w:marLeft w:val="0"/>
      <w:marRight w:val="0"/>
      <w:marTop w:val="0"/>
      <w:marBottom w:val="0"/>
      <w:divBdr>
        <w:top w:val="none" w:sz="0" w:space="0" w:color="auto"/>
        <w:left w:val="none" w:sz="0" w:space="0" w:color="auto"/>
        <w:bottom w:val="none" w:sz="0" w:space="0" w:color="auto"/>
        <w:right w:val="none" w:sz="0" w:space="0" w:color="auto"/>
      </w:divBdr>
      <w:divsChild>
        <w:div w:id="859854858">
          <w:marLeft w:val="0"/>
          <w:marRight w:val="0"/>
          <w:marTop w:val="0"/>
          <w:marBottom w:val="0"/>
          <w:divBdr>
            <w:top w:val="none" w:sz="0" w:space="0" w:color="auto"/>
            <w:left w:val="none" w:sz="0" w:space="0" w:color="auto"/>
            <w:bottom w:val="none" w:sz="0" w:space="0" w:color="auto"/>
            <w:right w:val="none" w:sz="0" w:space="0" w:color="auto"/>
          </w:divBdr>
        </w:div>
      </w:divsChild>
    </w:div>
    <w:div w:id="1205364557">
      <w:bodyDiv w:val="1"/>
      <w:marLeft w:val="0"/>
      <w:marRight w:val="0"/>
      <w:marTop w:val="0"/>
      <w:marBottom w:val="0"/>
      <w:divBdr>
        <w:top w:val="none" w:sz="0" w:space="0" w:color="auto"/>
        <w:left w:val="none" w:sz="0" w:space="0" w:color="auto"/>
        <w:bottom w:val="none" w:sz="0" w:space="0" w:color="auto"/>
        <w:right w:val="none" w:sz="0" w:space="0" w:color="auto"/>
      </w:divBdr>
      <w:divsChild>
        <w:div w:id="480661478">
          <w:marLeft w:val="0"/>
          <w:marRight w:val="0"/>
          <w:marTop w:val="0"/>
          <w:marBottom w:val="0"/>
          <w:divBdr>
            <w:top w:val="none" w:sz="0" w:space="0" w:color="auto"/>
            <w:left w:val="none" w:sz="0" w:space="0" w:color="auto"/>
            <w:bottom w:val="none" w:sz="0" w:space="0" w:color="auto"/>
            <w:right w:val="none" w:sz="0" w:space="0" w:color="auto"/>
          </w:divBdr>
        </w:div>
      </w:divsChild>
    </w:div>
    <w:div w:id="1415858173">
      <w:bodyDiv w:val="1"/>
      <w:marLeft w:val="0"/>
      <w:marRight w:val="0"/>
      <w:marTop w:val="0"/>
      <w:marBottom w:val="0"/>
      <w:divBdr>
        <w:top w:val="none" w:sz="0" w:space="0" w:color="auto"/>
        <w:left w:val="none" w:sz="0" w:space="0" w:color="auto"/>
        <w:bottom w:val="none" w:sz="0" w:space="0" w:color="auto"/>
        <w:right w:val="none" w:sz="0" w:space="0" w:color="auto"/>
      </w:divBdr>
      <w:divsChild>
        <w:div w:id="1984314037">
          <w:marLeft w:val="0"/>
          <w:marRight w:val="0"/>
          <w:marTop w:val="0"/>
          <w:marBottom w:val="0"/>
          <w:divBdr>
            <w:top w:val="none" w:sz="0" w:space="0" w:color="auto"/>
            <w:left w:val="none" w:sz="0" w:space="0" w:color="auto"/>
            <w:bottom w:val="none" w:sz="0" w:space="0" w:color="auto"/>
            <w:right w:val="none" w:sz="0" w:space="0" w:color="auto"/>
          </w:divBdr>
        </w:div>
      </w:divsChild>
    </w:div>
    <w:div w:id="1475489252">
      <w:bodyDiv w:val="1"/>
      <w:marLeft w:val="0"/>
      <w:marRight w:val="0"/>
      <w:marTop w:val="0"/>
      <w:marBottom w:val="0"/>
      <w:divBdr>
        <w:top w:val="none" w:sz="0" w:space="0" w:color="auto"/>
        <w:left w:val="none" w:sz="0" w:space="0" w:color="auto"/>
        <w:bottom w:val="none" w:sz="0" w:space="0" w:color="auto"/>
        <w:right w:val="none" w:sz="0" w:space="0" w:color="auto"/>
      </w:divBdr>
      <w:divsChild>
        <w:div w:id="1115441039">
          <w:marLeft w:val="0"/>
          <w:marRight w:val="0"/>
          <w:marTop w:val="0"/>
          <w:marBottom w:val="0"/>
          <w:divBdr>
            <w:top w:val="none" w:sz="0" w:space="0" w:color="auto"/>
            <w:left w:val="none" w:sz="0" w:space="0" w:color="auto"/>
            <w:bottom w:val="none" w:sz="0" w:space="0" w:color="auto"/>
            <w:right w:val="none" w:sz="0" w:space="0" w:color="auto"/>
          </w:divBdr>
        </w:div>
      </w:divsChild>
    </w:div>
    <w:div w:id="1644772185">
      <w:bodyDiv w:val="1"/>
      <w:marLeft w:val="0"/>
      <w:marRight w:val="0"/>
      <w:marTop w:val="0"/>
      <w:marBottom w:val="0"/>
      <w:divBdr>
        <w:top w:val="none" w:sz="0" w:space="0" w:color="auto"/>
        <w:left w:val="none" w:sz="0" w:space="0" w:color="auto"/>
        <w:bottom w:val="none" w:sz="0" w:space="0" w:color="auto"/>
        <w:right w:val="none" w:sz="0" w:space="0" w:color="auto"/>
      </w:divBdr>
    </w:div>
    <w:div w:id="1673726911">
      <w:bodyDiv w:val="1"/>
      <w:marLeft w:val="0"/>
      <w:marRight w:val="0"/>
      <w:marTop w:val="0"/>
      <w:marBottom w:val="0"/>
      <w:divBdr>
        <w:top w:val="none" w:sz="0" w:space="0" w:color="auto"/>
        <w:left w:val="none" w:sz="0" w:space="0" w:color="auto"/>
        <w:bottom w:val="none" w:sz="0" w:space="0" w:color="auto"/>
        <w:right w:val="none" w:sz="0" w:space="0" w:color="auto"/>
      </w:divBdr>
      <w:divsChild>
        <w:div w:id="1864132504">
          <w:marLeft w:val="0"/>
          <w:marRight w:val="0"/>
          <w:marTop w:val="0"/>
          <w:marBottom w:val="0"/>
          <w:divBdr>
            <w:top w:val="none" w:sz="0" w:space="0" w:color="auto"/>
            <w:left w:val="none" w:sz="0" w:space="0" w:color="auto"/>
            <w:bottom w:val="none" w:sz="0" w:space="0" w:color="auto"/>
            <w:right w:val="none" w:sz="0" w:space="0" w:color="auto"/>
          </w:divBdr>
        </w:div>
      </w:divsChild>
    </w:div>
    <w:div w:id="1717464657">
      <w:bodyDiv w:val="1"/>
      <w:marLeft w:val="0"/>
      <w:marRight w:val="0"/>
      <w:marTop w:val="0"/>
      <w:marBottom w:val="0"/>
      <w:divBdr>
        <w:top w:val="none" w:sz="0" w:space="0" w:color="auto"/>
        <w:left w:val="none" w:sz="0" w:space="0" w:color="auto"/>
        <w:bottom w:val="none" w:sz="0" w:space="0" w:color="auto"/>
        <w:right w:val="none" w:sz="0" w:space="0" w:color="auto"/>
      </w:divBdr>
      <w:divsChild>
        <w:div w:id="955333058">
          <w:marLeft w:val="0"/>
          <w:marRight w:val="0"/>
          <w:marTop w:val="0"/>
          <w:marBottom w:val="0"/>
          <w:divBdr>
            <w:top w:val="none" w:sz="0" w:space="0" w:color="auto"/>
            <w:left w:val="none" w:sz="0" w:space="0" w:color="auto"/>
            <w:bottom w:val="none" w:sz="0" w:space="0" w:color="auto"/>
            <w:right w:val="none" w:sz="0" w:space="0" w:color="auto"/>
          </w:divBdr>
        </w:div>
      </w:divsChild>
    </w:div>
    <w:div w:id="1938630319">
      <w:bodyDiv w:val="1"/>
      <w:marLeft w:val="0"/>
      <w:marRight w:val="0"/>
      <w:marTop w:val="0"/>
      <w:marBottom w:val="0"/>
      <w:divBdr>
        <w:top w:val="none" w:sz="0" w:space="0" w:color="auto"/>
        <w:left w:val="none" w:sz="0" w:space="0" w:color="auto"/>
        <w:bottom w:val="none" w:sz="0" w:space="0" w:color="auto"/>
        <w:right w:val="none" w:sz="0" w:space="0" w:color="auto"/>
      </w:divBdr>
      <w:divsChild>
        <w:div w:id="2010592639">
          <w:marLeft w:val="0"/>
          <w:marRight w:val="0"/>
          <w:marTop w:val="0"/>
          <w:marBottom w:val="0"/>
          <w:divBdr>
            <w:top w:val="none" w:sz="0" w:space="0" w:color="auto"/>
            <w:left w:val="none" w:sz="0" w:space="0" w:color="auto"/>
            <w:bottom w:val="none" w:sz="0" w:space="0" w:color="auto"/>
            <w:right w:val="none" w:sz="0" w:space="0" w:color="auto"/>
          </w:divBdr>
        </w:div>
      </w:divsChild>
    </w:div>
    <w:div w:id="2119057838">
      <w:bodyDiv w:val="1"/>
      <w:marLeft w:val="0"/>
      <w:marRight w:val="0"/>
      <w:marTop w:val="0"/>
      <w:marBottom w:val="0"/>
      <w:divBdr>
        <w:top w:val="none" w:sz="0" w:space="0" w:color="auto"/>
        <w:left w:val="none" w:sz="0" w:space="0" w:color="auto"/>
        <w:bottom w:val="none" w:sz="0" w:space="0" w:color="auto"/>
        <w:right w:val="none" w:sz="0" w:space="0" w:color="auto"/>
      </w:divBdr>
      <w:divsChild>
        <w:div w:id="241260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3F72AE-2E93-4EF6-A9BA-7BBACA61E44C}" type="doc">
      <dgm:prSet loTypeId="urn:microsoft.com/office/officeart/2005/8/layout/target3" loCatId="list" qsTypeId="urn:microsoft.com/office/officeart/2005/8/quickstyle/simple1" qsCatId="simple" csTypeId="urn:microsoft.com/office/officeart/2005/8/colors/accent3_1" csCatId="accent3" phldr="1"/>
      <dgm:spPr/>
      <dgm:t>
        <a:bodyPr/>
        <a:lstStyle/>
        <a:p>
          <a:endParaRPr lang="en-GB"/>
        </a:p>
      </dgm:t>
    </dgm:pt>
    <dgm:pt modelId="{51D20812-A9E3-43C4-8E9C-0756A65EF16F}">
      <dgm:prSet phldrT="[Text]" custT="1"/>
      <dgm:spPr/>
      <dgm:t>
        <a:bodyPr/>
        <a:lstStyle/>
        <a:p>
          <a:pPr algn="just"/>
          <a:r>
            <a:rPr lang="en-GB" sz="1600" b="1">
              <a:latin typeface="Times New Roman" panose="02020603050405020304" pitchFamily="18" charset="0"/>
              <a:cs typeface="Times New Roman" panose="02020603050405020304" pitchFamily="18" charset="0"/>
            </a:rPr>
            <a:t>Organisational Structure</a:t>
          </a:r>
          <a:endParaRPr lang="en-GB" sz="1600">
            <a:latin typeface="Times New Roman" panose="02020603050405020304" pitchFamily="18" charset="0"/>
            <a:cs typeface="Times New Roman" panose="02020603050405020304" pitchFamily="18" charset="0"/>
          </a:endParaRPr>
        </a:p>
      </dgm:t>
    </dgm:pt>
    <dgm:pt modelId="{C682AB6D-3E77-43AC-A39F-97BB61D1299E}" type="parTrans" cxnId="{0F2EED13-A412-47D3-849F-E5B52889A505}">
      <dgm:prSet/>
      <dgm:spPr/>
      <dgm:t>
        <a:bodyPr/>
        <a:lstStyle/>
        <a:p>
          <a:endParaRPr lang="en-GB"/>
        </a:p>
      </dgm:t>
    </dgm:pt>
    <dgm:pt modelId="{BAC9DF1F-CA26-47FF-AEAD-89677F470C6A}" type="sibTrans" cxnId="{0F2EED13-A412-47D3-849F-E5B52889A505}">
      <dgm:prSet/>
      <dgm:spPr/>
      <dgm:t>
        <a:bodyPr/>
        <a:lstStyle/>
        <a:p>
          <a:endParaRPr lang="en-GB"/>
        </a:p>
      </dgm:t>
    </dgm:pt>
    <dgm:pt modelId="{DE1FAA61-0C23-40BB-AF4A-B7E2FEA6D565}">
      <dgm:prSet phldrT="[Text]" custT="1"/>
      <dgm:spPr/>
      <dgm:t>
        <a:bodyPr/>
        <a:lstStyle/>
        <a:p>
          <a:pPr algn="just"/>
          <a:r>
            <a:rPr lang="en-GB" sz="1600">
              <a:latin typeface="Times New Roman" panose="02020603050405020304" pitchFamily="18" charset="0"/>
              <a:cs typeface="Times New Roman" panose="02020603050405020304" pitchFamily="18" charset="0"/>
            </a:rPr>
            <a:t>Corporate Structure</a:t>
          </a:r>
        </a:p>
      </dgm:t>
    </dgm:pt>
    <dgm:pt modelId="{EBA3125B-580C-4595-899B-8FE656EED7FB}" type="parTrans" cxnId="{F3BFF159-A1AB-47EA-B2E6-0BE84638EA39}">
      <dgm:prSet/>
      <dgm:spPr/>
      <dgm:t>
        <a:bodyPr/>
        <a:lstStyle/>
        <a:p>
          <a:endParaRPr lang="en-GB"/>
        </a:p>
      </dgm:t>
    </dgm:pt>
    <dgm:pt modelId="{D5D8C220-9377-4F70-9119-2823FC793F7A}" type="sibTrans" cxnId="{F3BFF159-A1AB-47EA-B2E6-0BE84638EA39}">
      <dgm:prSet/>
      <dgm:spPr/>
      <dgm:t>
        <a:bodyPr/>
        <a:lstStyle/>
        <a:p>
          <a:endParaRPr lang="en-GB"/>
        </a:p>
      </dgm:t>
    </dgm:pt>
    <dgm:pt modelId="{C21B312E-7BA5-4563-AABC-208B19FB68F8}">
      <dgm:prSet phldrT="[Text]" custT="1"/>
      <dgm:spPr/>
      <dgm:t>
        <a:bodyPr/>
        <a:lstStyle/>
        <a:p>
          <a:pPr algn="just"/>
          <a:r>
            <a:rPr lang="en-GB" sz="1600">
              <a:latin typeface="Times New Roman" panose="02020603050405020304" pitchFamily="18" charset="0"/>
              <a:cs typeface="Times New Roman" panose="02020603050405020304" pitchFamily="18" charset="0"/>
            </a:rPr>
            <a:t>Divisional Structure</a:t>
          </a:r>
        </a:p>
      </dgm:t>
    </dgm:pt>
    <dgm:pt modelId="{3B1D9250-E582-4F49-B07B-AC3501A14C7E}" type="parTrans" cxnId="{97F6CCB0-8AE8-44A1-A771-9B31FA70C3D1}">
      <dgm:prSet/>
      <dgm:spPr/>
      <dgm:t>
        <a:bodyPr/>
        <a:lstStyle/>
        <a:p>
          <a:endParaRPr lang="en-GB"/>
        </a:p>
      </dgm:t>
    </dgm:pt>
    <dgm:pt modelId="{ABF96B41-F00C-48FF-8299-EAC9767B677F}" type="sibTrans" cxnId="{97F6CCB0-8AE8-44A1-A771-9B31FA70C3D1}">
      <dgm:prSet/>
      <dgm:spPr/>
      <dgm:t>
        <a:bodyPr/>
        <a:lstStyle/>
        <a:p>
          <a:endParaRPr lang="en-GB"/>
        </a:p>
      </dgm:t>
    </dgm:pt>
    <dgm:pt modelId="{0B3B3999-1BDD-425A-80C5-915BCABC9009}">
      <dgm:prSet phldrT="[Text]" custT="1"/>
      <dgm:spPr/>
      <dgm:t>
        <a:bodyPr/>
        <a:lstStyle/>
        <a:p>
          <a:pPr algn="just"/>
          <a:r>
            <a:rPr lang="en-GB" sz="1600">
              <a:latin typeface="Times New Roman" panose="02020603050405020304" pitchFamily="18" charset="0"/>
              <a:cs typeface="Times New Roman" panose="02020603050405020304" pitchFamily="18" charset="0"/>
            </a:rPr>
            <a:t>Unit Structure</a:t>
          </a:r>
        </a:p>
      </dgm:t>
    </dgm:pt>
    <dgm:pt modelId="{D373DB57-DE6D-4881-AE27-A910F1DC1502}" type="parTrans" cxnId="{7E05C00B-88CB-46A2-8231-D7744DC235E0}">
      <dgm:prSet/>
      <dgm:spPr/>
      <dgm:t>
        <a:bodyPr/>
        <a:lstStyle/>
        <a:p>
          <a:endParaRPr lang="en-GB"/>
        </a:p>
      </dgm:t>
    </dgm:pt>
    <dgm:pt modelId="{D43DCD52-712F-4E95-93CD-8D8F17EBBF7B}" type="sibTrans" cxnId="{7E05C00B-88CB-46A2-8231-D7744DC235E0}">
      <dgm:prSet/>
      <dgm:spPr/>
      <dgm:t>
        <a:bodyPr/>
        <a:lstStyle/>
        <a:p>
          <a:endParaRPr lang="en-GB"/>
        </a:p>
      </dgm:t>
    </dgm:pt>
    <dgm:pt modelId="{FDDA0977-198E-4838-8472-16307204FA16}" type="pres">
      <dgm:prSet presAssocID="{A33F72AE-2E93-4EF6-A9BA-7BBACA61E44C}" presName="Name0" presStyleCnt="0">
        <dgm:presLayoutVars>
          <dgm:chMax val="7"/>
          <dgm:dir/>
          <dgm:animLvl val="lvl"/>
          <dgm:resizeHandles val="exact"/>
        </dgm:presLayoutVars>
      </dgm:prSet>
      <dgm:spPr/>
    </dgm:pt>
    <dgm:pt modelId="{3FCAADF9-3052-4A96-AFC1-F50BB21373FA}" type="pres">
      <dgm:prSet presAssocID="{51D20812-A9E3-43C4-8E9C-0756A65EF16F}" presName="circle1" presStyleLbl="node1" presStyleIdx="0" presStyleCnt="1"/>
      <dgm:spPr/>
    </dgm:pt>
    <dgm:pt modelId="{7D52BB57-A2D4-47C9-80ED-25AC892DDDFF}" type="pres">
      <dgm:prSet presAssocID="{51D20812-A9E3-43C4-8E9C-0756A65EF16F}" presName="space" presStyleCnt="0"/>
      <dgm:spPr/>
    </dgm:pt>
    <dgm:pt modelId="{99B9866F-3686-4028-9455-C7B55EA01A0A}" type="pres">
      <dgm:prSet presAssocID="{51D20812-A9E3-43C4-8E9C-0756A65EF16F}" presName="rect1" presStyleLbl="alignAcc1" presStyleIdx="0" presStyleCnt="1"/>
      <dgm:spPr/>
    </dgm:pt>
    <dgm:pt modelId="{2EFB3E5E-F531-4FB0-AC2A-431DF0897DC6}" type="pres">
      <dgm:prSet presAssocID="{51D20812-A9E3-43C4-8E9C-0756A65EF16F}" presName="rect1ParTx" presStyleLbl="alignAcc1" presStyleIdx="0" presStyleCnt="1">
        <dgm:presLayoutVars>
          <dgm:chMax val="1"/>
          <dgm:bulletEnabled val="1"/>
        </dgm:presLayoutVars>
      </dgm:prSet>
      <dgm:spPr/>
    </dgm:pt>
    <dgm:pt modelId="{0A5598B2-A91D-444D-A6A6-244368D44719}" type="pres">
      <dgm:prSet presAssocID="{51D20812-A9E3-43C4-8E9C-0756A65EF16F}" presName="rect1ChTx" presStyleLbl="alignAcc1" presStyleIdx="0" presStyleCnt="1">
        <dgm:presLayoutVars>
          <dgm:bulletEnabled val="1"/>
        </dgm:presLayoutVars>
      </dgm:prSet>
      <dgm:spPr/>
    </dgm:pt>
  </dgm:ptLst>
  <dgm:cxnLst>
    <dgm:cxn modelId="{7E05C00B-88CB-46A2-8231-D7744DC235E0}" srcId="{51D20812-A9E3-43C4-8E9C-0756A65EF16F}" destId="{0B3B3999-1BDD-425A-80C5-915BCABC9009}" srcOrd="2" destOrd="0" parTransId="{D373DB57-DE6D-4881-AE27-A910F1DC1502}" sibTransId="{D43DCD52-712F-4E95-93CD-8D8F17EBBF7B}"/>
    <dgm:cxn modelId="{0F2EED13-A412-47D3-849F-E5B52889A505}" srcId="{A33F72AE-2E93-4EF6-A9BA-7BBACA61E44C}" destId="{51D20812-A9E3-43C4-8E9C-0756A65EF16F}" srcOrd="0" destOrd="0" parTransId="{C682AB6D-3E77-43AC-A39F-97BB61D1299E}" sibTransId="{BAC9DF1F-CA26-47FF-AEAD-89677F470C6A}"/>
    <dgm:cxn modelId="{F4FB4030-9B27-4BBC-9B4F-787E10A66141}" type="presOf" srcId="{DE1FAA61-0C23-40BB-AF4A-B7E2FEA6D565}" destId="{0A5598B2-A91D-444D-A6A6-244368D44719}" srcOrd="0" destOrd="0" presId="urn:microsoft.com/office/officeart/2005/8/layout/target3"/>
    <dgm:cxn modelId="{B7B2E932-B2E3-4054-99CA-3DFC74598C51}" type="presOf" srcId="{51D20812-A9E3-43C4-8E9C-0756A65EF16F}" destId="{2EFB3E5E-F531-4FB0-AC2A-431DF0897DC6}" srcOrd="1" destOrd="0" presId="urn:microsoft.com/office/officeart/2005/8/layout/target3"/>
    <dgm:cxn modelId="{3BA2D935-6FCC-4531-89A9-5116F1D34B6A}" type="presOf" srcId="{51D20812-A9E3-43C4-8E9C-0756A65EF16F}" destId="{99B9866F-3686-4028-9455-C7B55EA01A0A}" srcOrd="0" destOrd="0" presId="urn:microsoft.com/office/officeart/2005/8/layout/target3"/>
    <dgm:cxn modelId="{BCE8793D-F620-4046-8165-F73E7F312A71}" type="presOf" srcId="{A33F72AE-2E93-4EF6-A9BA-7BBACA61E44C}" destId="{FDDA0977-198E-4838-8472-16307204FA16}" srcOrd="0" destOrd="0" presId="urn:microsoft.com/office/officeart/2005/8/layout/target3"/>
    <dgm:cxn modelId="{F3BFF159-A1AB-47EA-B2E6-0BE84638EA39}" srcId="{51D20812-A9E3-43C4-8E9C-0756A65EF16F}" destId="{DE1FAA61-0C23-40BB-AF4A-B7E2FEA6D565}" srcOrd="0" destOrd="0" parTransId="{EBA3125B-580C-4595-899B-8FE656EED7FB}" sibTransId="{D5D8C220-9377-4F70-9119-2823FC793F7A}"/>
    <dgm:cxn modelId="{97F6CCB0-8AE8-44A1-A771-9B31FA70C3D1}" srcId="{51D20812-A9E3-43C4-8E9C-0756A65EF16F}" destId="{C21B312E-7BA5-4563-AABC-208B19FB68F8}" srcOrd="1" destOrd="0" parTransId="{3B1D9250-E582-4F49-B07B-AC3501A14C7E}" sibTransId="{ABF96B41-F00C-48FF-8299-EAC9767B677F}"/>
    <dgm:cxn modelId="{1F4F0BB2-F855-4AAC-BDFC-D17A2A76EDB7}" type="presOf" srcId="{C21B312E-7BA5-4563-AABC-208B19FB68F8}" destId="{0A5598B2-A91D-444D-A6A6-244368D44719}" srcOrd="0" destOrd="1" presId="urn:microsoft.com/office/officeart/2005/8/layout/target3"/>
    <dgm:cxn modelId="{51009EBB-0A37-41B8-B063-D90A4D73399F}" type="presOf" srcId="{0B3B3999-1BDD-425A-80C5-915BCABC9009}" destId="{0A5598B2-A91D-444D-A6A6-244368D44719}" srcOrd="0" destOrd="2" presId="urn:microsoft.com/office/officeart/2005/8/layout/target3"/>
    <dgm:cxn modelId="{A10E2CC1-126F-4BB0-B132-FDB005804920}" type="presParOf" srcId="{FDDA0977-198E-4838-8472-16307204FA16}" destId="{3FCAADF9-3052-4A96-AFC1-F50BB21373FA}" srcOrd="0" destOrd="0" presId="urn:microsoft.com/office/officeart/2005/8/layout/target3"/>
    <dgm:cxn modelId="{83FDBE76-FF47-47A0-849C-1BF01717C0C9}" type="presParOf" srcId="{FDDA0977-198E-4838-8472-16307204FA16}" destId="{7D52BB57-A2D4-47C9-80ED-25AC892DDDFF}" srcOrd="1" destOrd="0" presId="urn:microsoft.com/office/officeart/2005/8/layout/target3"/>
    <dgm:cxn modelId="{FC25984D-7FB1-46B7-88C5-D62245D1850A}" type="presParOf" srcId="{FDDA0977-198E-4838-8472-16307204FA16}" destId="{99B9866F-3686-4028-9455-C7B55EA01A0A}" srcOrd="2" destOrd="0" presId="urn:microsoft.com/office/officeart/2005/8/layout/target3"/>
    <dgm:cxn modelId="{781FC365-F951-4BDA-8FF2-A1CE07345160}" type="presParOf" srcId="{FDDA0977-198E-4838-8472-16307204FA16}" destId="{2EFB3E5E-F531-4FB0-AC2A-431DF0897DC6}" srcOrd="3" destOrd="0" presId="urn:microsoft.com/office/officeart/2005/8/layout/target3"/>
    <dgm:cxn modelId="{AE2061CA-6F70-40A6-8E09-B8E25588BDB0}" type="presParOf" srcId="{FDDA0977-198E-4838-8472-16307204FA16}" destId="{0A5598B2-A91D-444D-A6A6-244368D44719}" srcOrd="4" destOrd="0" presId="urn:microsoft.com/office/officeart/2005/8/layout/target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2FC0C75-E190-4460-A965-C162FCB45BC4}" type="doc">
      <dgm:prSet loTypeId="urn:microsoft.com/office/officeart/2005/8/layout/cycle7" loCatId="cycle" qsTypeId="urn:microsoft.com/office/officeart/2005/8/quickstyle/simple5" qsCatId="simple" csTypeId="urn:microsoft.com/office/officeart/2005/8/colors/colorful5" csCatId="colorful" phldr="1"/>
      <dgm:spPr/>
    </dgm:pt>
    <dgm:pt modelId="{BDED6646-D88F-4D69-8314-B8809F10ED41}">
      <dgm:prSet phldrT="[Text]" custT="1"/>
      <dgm:spPr/>
      <dgm:t>
        <a:bodyPr/>
        <a:lstStyle/>
        <a:p>
          <a:r>
            <a:rPr lang="en-GB" sz="1200">
              <a:latin typeface="Times New Roman" panose="02020603050405020304" pitchFamily="18" charset="0"/>
              <a:cs typeface="Times New Roman" panose="02020603050405020304" pitchFamily="18" charset="0"/>
            </a:rPr>
            <a:t>Artifacts</a:t>
          </a:r>
        </a:p>
      </dgm:t>
    </dgm:pt>
    <dgm:pt modelId="{387FAE0A-03DF-4CA9-A6B3-3F6E9A25604D}" type="parTrans" cxnId="{4D9449F0-27B1-44BB-A155-13863C32D34B}">
      <dgm:prSet/>
      <dgm:spPr/>
      <dgm:t>
        <a:bodyPr/>
        <a:lstStyle/>
        <a:p>
          <a:endParaRPr lang="en-GB"/>
        </a:p>
      </dgm:t>
    </dgm:pt>
    <dgm:pt modelId="{B1C85DEF-637A-42AC-9453-166C12E67431}" type="sibTrans" cxnId="{4D9449F0-27B1-44BB-A155-13863C32D34B}">
      <dgm:prSet/>
      <dgm:spPr/>
      <dgm:t>
        <a:bodyPr/>
        <a:lstStyle/>
        <a:p>
          <a:endParaRPr lang="en-GB"/>
        </a:p>
      </dgm:t>
    </dgm:pt>
    <dgm:pt modelId="{815B3D41-C341-420C-B7D1-035C596F9EE9}">
      <dgm:prSet phldrT="[Text]" custT="1"/>
      <dgm:spPr/>
      <dgm:t>
        <a:bodyPr/>
        <a:lstStyle/>
        <a:p>
          <a:r>
            <a:rPr lang="en-GB" sz="1200">
              <a:latin typeface="Times New Roman" panose="02020603050405020304" pitchFamily="18" charset="0"/>
              <a:cs typeface="Times New Roman" panose="02020603050405020304" pitchFamily="18" charset="0"/>
            </a:rPr>
            <a:t>Espoused Values</a:t>
          </a:r>
        </a:p>
      </dgm:t>
    </dgm:pt>
    <dgm:pt modelId="{880D6BF3-1E74-4D55-87A2-4C943EEF60DA}" type="parTrans" cxnId="{28C2969C-52F7-4111-9864-C6752F714CDF}">
      <dgm:prSet/>
      <dgm:spPr/>
      <dgm:t>
        <a:bodyPr/>
        <a:lstStyle/>
        <a:p>
          <a:endParaRPr lang="en-GB"/>
        </a:p>
      </dgm:t>
    </dgm:pt>
    <dgm:pt modelId="{A6859B4D-48C2-44CB-A74E-466D8F2407DC}" type="sibTrans" cxnId="{28C2969C-52F7-4111-9864-C6752F714CDF}">
      <dgm:prSet/>
      <dgm:spPr/>
      <dgm:t>
        <a:bodyPr/>
        <a:lstStyle/>
        <a:p>
          <a:endParaRPr lang="en-GB"/>
        </a:p>
      </dgm:t>
    </dgm:pt>
    <dgm:pt modelId="{5961DE8E-D03F-4744-9567-FEED5BE45013}">
      <dgm:prSet phldrT="[Text]" custT="1"/>
      <dgm:spPr/>
      <dgm:t>
        <a:bodyPr/>
        <a:lstStyle/>
        <a:p>
          <a:r>
            <a:rPr lang="en-GB" sz="1200">
              <a:latin typeface="Times New Roman" panose="02020603050405020304" pitchFamily="18" charset="0"/>
              <a:cs typeface="Times New Roman" panose="02020603050405020304" pitchFamily="18" charset="0"/>
            </a:rPr>
            <a:t>Basic Underlying Assumptions</a:t>
          </a:r>
        </a:p>
      </dgm:t>
    </dgm:pt>
    <dgm:pt modelId="{2B0136F9-3DA1-4A63-9455-A56086E7C49D}" type="parTrans" cxnId="{1677949B-86C2-403B-BAE6-F4AC454A07A4}">
      <dgm:prSet/>
      <dgm:spPr/>
      <dgm:t>
        <a:bodyPr/>
        <a:lstStyle/>
        <a:p>
          <a:endParaRPr lang="en-GB"/>
        </a:p>
      </dgm:t>
    </dgm:pt>
    <dgm:pt modelId="{9BFAA613-AA7C-4894-A2CA-C593E6403A04}" type="sibTrans" cxnId="{1677949B-86C2-403B-BAE6-F4AC454A07A4}">
      <dgm:prSet/>
      <dgm:spPr/>
      <dgm:t>
        <a:bodyPr/>
        <a:lstStyle/>
        <a:p>
          <a:endParaRPr lang="en-GB"/>
        </a:p>
      </dgm:t>
    </dgm:pt>
    <dgm:pt modelId="{4871D75E-29E2-403F-9B85-DB94E66604BD}" type="pres">
      <dgm:prSet presAssocID="{D2FC0C75-E190-4460-A965-C162FCB45BC4}" presName="Name0" presStyleCnt="0">
        <dgm:presLayoutVars>
          <dgm:dir/>
          <dgm:resizeHandles val="exact"/>
        </dgm:presLayoutVars>
      </dgm:prSet>
      <dgm:spPr/>
    </dgm:pt>
    <dgm:pt modelId="{9959D21B-A357-4B58-93C0-EA286E1E10FC}" type="pres">
      <dgm:prSet presAssocID="{BDED6646-D88F-4D69-8314-B8809F10ED41}" presName="node" presStyleLbl="node1" presStyleIdx="0" presStyleCnt="3">
        <dgm:presLayoutVars>
          <dgm:bulletEnabled val="1"/>
        </dgm:presLayoutVars>
      </dgm:prSet>
      <dgm:spPr/>
    </dgm:pt>
    <dgm:pt modelId="{647E07B8-F3B5-4B8B-8803-A729393CEAE0}" type="pres">
      <dgm:prSet presAssocID="{B1C85DEF-637A-42AC-9453-166C12E67431}" presName="sibTrans" presStyleLbl="sibTrans2D1" presStyleIdx="0" presStyleCnt="3"/>
      <dgm:spPr/>
    </dgm:pt>
    <dgm:pt modelId="{0F924F4B-CCF0-4565-A485-0E7F8463C70C}" type="pres">
      <dgm:prSet presAssocID="{B1C85DEF-637A-42AC-9453-166C12E67431}" presName="connectorText" presStyleLbl="sibTrans2D1" presStyleIdx="0" presStyleCnt="3"/>
      <dgm:spPr/>
    </dgm:pt>
    <dgm:pt modelId="{D53BA065-91EC-4B5F-BC01-BE9320FC4AC9}" type="pres">
      <dgm:prSet presAssocID="{815B3D41-C341-420C-B7D1-035C596F9EE9}" presName="node" presStyleLbl="node1" presStyleIdx="1" presStyleCnt="3">
        <dgm:presLayoutVars>
          <dgm:bulletEnabled val="1"/>
        </dgm:presLayoutVars>
      </dgm:prSet>
      <dgm:spPr/>
    </dgm:pt>
    <dgm:pt modelId="{443A479C-F446-4A87-ABEC-9EF30B16DCC7}" type="pres">
      <dgm:prSet presAssocID="{A6859B4D-48C2-44CB-A74E-466D8F2407DC}" presName="sibTrans" presStyleLbl="sibTrans2D1" presStyleIdx="1" presStyleCnt="3"/>
      <dgm:spPr/>
    </dgm:pt>
    <dgm:pt modelId="{C73D9DD5-F18C-4149-A452-1D0F1322FF99}" type="pres">
      <dgm:prSet presAssocID="{A6859B4D-48C2-44CB-A74E-466D8F2407DC}" presName="connectorText" presStyleLbl="sibTrans2D1" presStyleIdx="1" presStyleCnt="3"/>
      <dgm:spPr/>
    </dgm:pt>
    <dgm:pt modelId="{AFBD9830-18A9-493C-896D-4A11395FE9D5}" type="pres">
      <dgm:prSet presAssocID="{5961DE8E-D03F-4744-9567-FEED5BE45013}" presName="node" presStyleLbl="node1" presStyleIdx="2" presStyleCnt="3">
        <dgm:presLayoutVars>
          <dgm:bulletEnabled val="1"/>
        </dgm:presLayoutVars>
      </dgm:prSet>
      <dgm:spPr/>
    </dgm:pt>
    <dgm:pt modelId="{8BE2B1E4-B50D-4F78-BEFC-814DF56B12FC}" type="pres">
      <dgm:prSet presAssocID="{9BFAA613-AA7C-4894-A2CA-C593E6403A04}" presName="sibTrans" presStyleLbl="sibTrans2D1" presStyleIdx="2" presStyleCnt="3"/>
      <dgm:spPr/>
    </dgm:pt>
    <dgm:pt modelId="{F278A88F-DC7E-4A65-8561-343EFAD7D3A9}" type="pres">
      <dgm:prSet presAssocID="{9BFAA613-AA7C-4894-A2CA-C593E6403A04}" presName="connectorText" presStyleLbl="sibTrans2D1" presStyleIdx="2" presStyleCnt="3"/>
      <dgm:spPr/>
    </dgm:pt>
  </dgm:ptLst>
  <dgm:cxnLst>
    <dgm:cxn modelId="{ADDB0B04-2595-4BCE-AF38-64AE489B6BD3}" type="presOf" srcId="{815B3D41-C341-420C-B7D1-035C596F9EE9}" destId="{D53BA065-91EC-4B5F-BC01-BE9320FC4AC9}" srcOrd="0" destOrd="0" presId="urn:microsoft.com/office/officeart/2005/8/layout/cycle7"/>
    <dgm:cxn modelId="{7DDC6D04-CF97-4FCA-B2DD-C4ED131193B4}" type="presOf" srcId="{B1C85DEF-637A-42AC-9453-166C12E67431}" destId="{647E07B8-F3B5-4B8B-8803-A729393CEAE0}" srcOrd="0" destOrd="0" presId="urn:microsoft.com/office/officeart/2005/8/layout/cycle7"/>
    <dgm:cxn modelId="{11E1640E-AC7A-430B-9E43-BC04361554E8}" type="presOf" srcId="{BDED6646-D88F-4D69-8314-B8809F10ED41}" destId="{9959D21B-A357-4B58-93C0-EA286E1E10FC}" srcOrd="0" destOrd="0" presId="urn:microsoft.com/office/officeart/2005/8/layout/cycle7"/>
    <dgm:cxn modelId="{C6C6863A-93F6-42A2-9D13-0EC585B52529}" type="presOf" srcId="{A6859B4D-48C2-44CB-A74E-466D8F2407DC}" destId="{C73D9DD5-F18C-4149-A452-1D0F1322FF99}" srcOrd="1" destOrd="0" presId="urn:microsoft.com/office/officeart/2005/8/layout/cycle7"/>
    <dgm:cxn modelId="{2A290B3D-54F0-47C5-BC55-16B4A10B586C}" type="presOf" srcId="{5961DE8E-D03F-4744-9567-FEED5BE45013}" destId="{AFBD9830-18A9-493C-896D-4A11395FE9D5}" srcOrd="0" destOrd="0" presId="urn:microsoft.com/office/officeart/2005/8/layout/cycle7"/>
    <dgm:cxn modelId="{07C38442-845A-460B-BC32-753917CA2C83}" type="presOf" srcId="{9BFAA613-AA7C-4894-A2CA-C593E6403A04}" destId="{8BE2B1E4-B50D-4F78-BEFC-814DF56B12FC}" srcOrd="0" destOrd="0" presId="urn:microsoft.com/office/officeart/2005/8/layout/cycle7"/>
    <dgm:cxn modelId="{3898CB8F-6698-460B-8825-EBB01C5D1088}" type="presOf" srcId="{A6859B4D-48C2-44CB-A74E-466D8F2407DC}" destId="{443A479C-F446-4A87-ABEC-9EF30B16DCC7}" srcOrd="0" destOrd="0" presId="urn:microsoft.com/office/officeart/2005/8/layout/cycle7"/>
    <dgm:cxn modelId="{1677949B-86C2-403B-BAE6-F4AC454A07A4}" srcId="{D2FC0C75-E190-4460-A965-C162FCB45BC4}" destId="{5961DE8E-D03F-4744-9567-FEED5BE45013}" srcOrd="2" destOrd="0" parTransId="{2B0136F9-3DA1-4A63-9455-A56086E7C49D}" sibTransId="{9BFAA613-AA7C-4894-A2CA-C593E6403A04}"/>
    <dgm:cxn modelId="{28C2969C-52F7-4111-9864-C6752F714CDF}" srcId="{D2FC0C75-E190-4460-A965-C162FCB45BC4}" destId="{815B3D41-C341-420C-B7D1-035C596F9EE9}" srcOrd="1" destOrd="0" parTransId="{880D6BF3-1E74-4D55-87A2-4C943EEF60DA}" sibTransId="{A6859B4D-48C2-44CB-A74E-466D8F2407DC}"/>
    <dgm:cxn modelId="{D467999F-B879-42AF-A69C-9C033550C50D}" type="presOf" srcId="{D2FC0C75-E190-4460-A965-C162FCB45BC4}" destId="{4871D75E-29E2-403F-9B85-DB94E66604BD}" srcOrd="0" destOrd="0" presId="urn:microsoft.com/office/officeart/2005/8/layout/cycle7"/>
    <dgm:cxn modelId="{EBFF03B5-A0A4-4DE7-A01E-F225BD6E98DD}" type="presOf" srcId="{9BFAA613-AA7C-4894-A2CA-C593E6403A04}" destId="{F278A88F-DC7E-4A65-8561-343EFAD7D3A9}" srcOrd="1" destOrd="0" presId="urn:microsoft.com/office/officeart/2005/8/layout/cycle7"/>
    <dgm:cxn modelId="{143F82D8-09B4-4B75-AA93-E1BC29F4CBFA}" type="presOf" srcId="{B1C85DEF-637A-42AC-9453-166C12E67431}" destId="{0F924F4B-CCF0-4565-A485-0E7F8463C70C}" srcOrd="1" destOrd="0" presId="urn:microsoft.com/office/officeart/2005/8/layout/cycle7"/>
    <dgm:cxn modelId="{4D9449F0-27B1-44BB-A155-13863C32D34B}" srcId="{D2FC0C75-E190-4460-A965-C162FCB45BC4}" destId="{BDED6646-D88F-4D69-8314-B8809F10ED41}" srcOrd="0" destOrd="0" parTransId="{387FAE0A-03DF-4CA9-A6B3-3F6E9A25604D}" sibTransId="{B1C85DEF-637A-42AC-9453-166C12E67431}"/>
    <dgm:cxn modelId="{6C9DB971-F71C-49FE-BA5D-047CC587ED1B}" type="presParOf" srcId="{4871D75E-29E2-403F-9B85-DB94E66604BD}" destId="{9959D21B-A357-4B58-93C0-EA286E1E10FC}" srcOrd="0" destOrd="0" presId="urn:microsoft.com/office/officeart/2005/8/layout/cycle7"/>
    <dgm:cxn modelId="{8C6EFF7A-1388-4346-9E0B-625332244F84}" type="presParOf" srcId="{4871D75E-29E2-403F-9B85-DB94E66604BD}" destId="{647E07B8-F3B5-4B8B-8803-A729393CEAE0}" srcOrd="1" destOrd="0" presId="urn:microsoft.com/office/officeart/2005/8/layout/cycle7"/>
    <dgm:cxn modelId="{6458655F-6FE6-4C50-A2E1-BC0C44CAA179}" type="presParOf" srcId="{647E07B8-F3B5-4B8B-8803-A729393CEAE0}" destId="{0F924F4B-CCF0-4565-A485-0E7F8463C70C}" srcOrd="0" destOrd="0" presId="urn:microsoft.com/office/officeart/2005/8/layout/cycle7"/>
    <dgm:cxn modelId="{1E2733FA-3BCC-40B8-B64C-72FDF4C9DF01}" type="presParOf" srcId="{4871D75E-29E2-403F-9B85-DB94E66604BD}" destId="{D53BA065-91EC-4B5F-BC01-BE9320FC4AC9}" srcOrd="2" destOrd="0" presId="urn:microsoft.com/office/officeart/2005/8/layout/cycle7"/>
    <dgm:cxn modelId="{9C5372FF-5C13-4391-A677-73A3B36809F9}" type="presParOf" srcId="{4871D75E-29E2-403F-9B85-DB94E66604BD}" destId="{443A479C-F446-4A87-ABEC-9EF30B16DCC7}" srcOrd="3" destOrd="0" presId="urn:microsoft.com/office/officeart/2005/8/layout/cycle7"/>
    <dgm:cxn modelId="{BE2E96BA-C3A8-4285-B082-43755C88E7BD}" type="presParOf" srcId="{443A479C-F446-4A87-ABEC-9EF30B16DCC7}" destId="{C73D9DD5-F18C-4149-A452-1D0F1322FF99}" srcOrd="0" destOrd="0" presId="urn:microsoft.com/office/officeart/2005/8/layout/cycle7"/>
    <dgm:cxn modelId="{3D5DC072-EBA6-4743-A7F9-05325B2BCB6F}" type="presParOf" srcId="{4871D75E-29E2-403F-9B85-DB94E66604BD}" destId="{AFBD9830-18A9-493C-896D-4A11395FE9D5}" srcOrd="4" destOrd="0" presId="urn:microsoft.com/office/officeart/2005/8/layout/cycle7"/>
    <dgm:cxn modelId="{564D9C23-3193-4370-AEBF-243D252DE7EA}" type="presParOf" srcId="{4871D75E-29E2-403F-9B85-DB94E66604BD}" destId="{8BE2B1E4-B50D-4F78-BEFC-814DF56B12FC}" srcOrd="5" destOrd="0" presId="urn:microsoft.com/office/officeart/2005/8/layout/cycle7"/>
    <dgm:cxn modelId="{7CC31482-9FAD-4B03-842F-8000AB54F6C3}" type="presParOf" srcId="{8BE2B1E4-B50D-4F78-BEFC-814DF56B12FC}" destId="{F278A88F-DC7E-4A65-8561-343EFAD7D3A9}" srcOrd="0" destOrd="0" presId="urn:microsoft.com/office/officeart/2005/8/layout/cycle7"/>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AADF9-3052-4A96-AFC1-F50BB21373FA}">
      <dsp:nvSpPr>
        <dsp:cNvPr id="0" name=""/>
        <dsp:cNvSpPr/>
      </dsp:nvSpPr>
      <dsp:spPr>
        <a:xfrm>
          <a:off x="0" y="0"/>
          <a:ext cx="1181099" cy="1181099"/>
        </a:xfrm>
        <a:prstGeom prst="pie">
          <a:avLst>
            <a:gd name="adj1" fmla="val 5400000"/>
            <a:gd name="adj2" fmla="val 1620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B9866F-3686-4028-9455-C7B55EA01A0A}">
      <dsp:nvSpPr>
        <dsp:cNvPr id="0" name=""/>
        <dsp:cNvSpPr/>
      </dsp:nvSpPr>
      <dsp:spPr>
        <a:xfrm>
          <a:off x="590549" y="0"/>
          <a:ext cx="5095875" cy="1181099"/>
        </a:xfrm>
        <a:prstGeom prst="rect">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Organisational Structure</a:t>
          </a:r>
          <a:endParaRPr lang="en-GB" sz="1600" kern="1200">
            <a:latin typeface="Times New Roman" panose="02020603050405020304" pitchFamily="18" charset="0"/>
            <a:cs typeface="Times New Roman" panose="02020603050405020304" pitchFamily="18" charset="0"/>
          </a:endParaRPr>
        </a:p>
      </dsp:txBody>
      <dsp:txXfrm>
        <a:off x="590549" y="0"/>
        <a:ext cx="2547937" cy="1181099"/>
      </dsp:txXfrm>
    </dsp:sp>
    <dsp:sp modelId="{0A5598B2-A91D-444D-A6A6-244368D44719}">
      <dsp:nvSpPr>
        <dsp:cNvPr id="0" name=""/>
        <dsp:cNvSpPr/>
      </dsp:nvSpPr>
      <dsp:spPr>
        <a:xfrm>
          <a:off x="3138487" y="0"/>
          <a:ext cx="2547937" cy="1181099"/>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71450" lvl="1" indent="-171450" algn="just"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Corporate Structure</a:t>
          </a:r>
        </a:p>
        <a:p>
          <a:pPr marL="171450" lvl="1" indent="-171450" algn="just"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Divisional Structure</a:t>
          </a:r>
        </a:p>
        <a:p>
          <a:pPr marL="171450" lvl="1" indent="-171450" algn="just" defTabSz="711200">
            <a:lnSpc>
              <a:spcPct val="90000"/>
            </a:lnSpc>
            <a:spcBef>
              <a:spcPct val="0"/>
            </a:spcBef>
            <a:spcAft>
              <a:spcPct val="15000"/>
            </a:spcAft>
            <a:buChar char="•"/>
          </a:pPr>
          <a:r>
            <a:rPr lang="en-GB" sz="1600" kern="1200">
              <a:latin typeface="Times New Roman" panose="02020603050405020304" pitchFamily="18" charset="0"/>
              <a:cs typeface="Times New Roman" panose="02020603050405020304" pitchFamily="18" charset="0"/>
            </a:rPr>
            <a:t>Unit Structure</a:t>
          </a:r>
        </a:p>
      </dsp:txBody>
      <dsp:txXfrm>
        <a:off x="3138487" y="0"/>
        <a:ext cx="2547937" cy="11810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59D21B-A357-4B58-93C0-EA286E1E10FC}">
      <dsp:nvSpPr>
        <dsp:cNvPr id="0" name=""/>
        <dsp:cNvSpPr/>
      </dsp:nvSpPr>
      <dsp:spPr>
        <a:xfrm>
          <a:off x="2063804" y="826"/>
          <a:ext cx="1301641" cy="650820"/>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Artifacts</a:t>
          </a:r>
        </a:p>
      </dsp:txBody>
      <dsp:txXfrm>
        <a:off x="2082866" y="19888"/>
        <a:ext cx="1263517" cy="612696"/>
      </dsp:txXfrm>
    </dsp:sp>
    <dsp:sp modelId="{647E07B8-F3B5-4B8B-8803-A729393CEAE0}">
      <dsp:nvSpPr>
        <dsp:cNvPr id="0" name=""/>
        <dsp:cNvSpPr/>
      </dsp:nvSpPr>
      <dsp:spPr>
        <a:xfrm rot="3600000">
          <a:off x="2912751" y="1143406"/>
          <a:ext cx="678844" cy="227787"/>
        </a:xfrm>
        <a:prstGeom prst="lef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981087" y="1188963"/>
        <a:ext cx="542172" cy="136673"/>
      </dsp:txXfrm>
    </dsp:sp>
    <dsp:sp modelId="{D53BA065-91EC-4B5F-BC01-BE9320FC4AC9}">
      <dsp:nvSpPr>
        <dsp:cNvPr id="0" name=""/>
        <dsp:cNvSpPr/>
      </dsp:nvSpPr>
      <dsp:spPr>
        <a:xfrm>
          <a:off x="3138903" y="1862952"/>
          <a:ext cx="1301641" cy="650820"/>
        </a:xfrm>
        <a:prstGeom prst="roundRect">
          <a:avLst>
            <a:gd name="adj" fmla="val 1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Espoused Values</a:t>
          </a:r>
        </a:p>
      </dsp:txBody>
      <dsp:txXfrm>
        <a:off x="3157965" y="1882014"/>
        <a:ext cx="1263517" cy="612696"/>
      </dsp:txXfrm>
    </dsp:sp>
    <dsp:sp modelId="{443A479C-F446-4A87-ABEC-9EF30B16DCC7}">
      <dsp:nvSpPr>
        <dsp:cNvPr id="0" name=""/>
        <dsp:cNvSpPr/>
      </dsp:nvSpPr>
      <dsp:spPr>
        <a:xfrm rot="10800000">
          <a:off x="2375202" y="2074469"/>
          <a:ext cx="678844" cy="227787"/>
        </a:xfrm>
        <a:prstGeom prst="leftRightArrow">
          <a:avLst>
            <a:gd name="adj1" fmla="val 60000"/>
            <a:gd name="adj2" fmla="val 5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443538" y="2120026"/>
        <a:ext cx="542172" cy="136673"/>
      </dsp:txXfrm>
    </dsp:sp>
    <dsp:sp modelId="{AFBD9830-18A9-493C-896D-4A11395FE9D5}">
      <dsp:nvSpPr>
        <dsp:cNvPr id="0" name=""/>
        <dsp:cNvSpPr/>
      </dsp:nvSpPr>
      <dsp:spPr>
        <a:xfrm>
          <a:off x="988705" y="1862952"/>
          <a:ext cx="1301641" cy="650820"/>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Basic Underlying Assumptions</a:t>
          </a:r>
        </a:p>
      </dsp:txBody>
      <dsp:txXfrm>
        <a:off x="1007767" y="1882014"/>
        <a:ext cx="1263517" cy="612696"/>
      </dsp:txXfrm>
    </dsp:sp>
    <dsp:sp modelId="{8BE2B1E4-B50D-4F78-BEFC-814DF56B12FC}">
      <dsp:nvSpPr>
        <dsp:cNvPr id="0" name=""/>
        <dsp:cNvSpPr/>
      </dsp:nvSpPr>
      <dsp:spPr>
        <a:xfrm rot="18000000">
          <a:off x="1837653" y="1143406"/>
          <a:ext cx="678844" cy="227787"/>
        </a:xfrm>
        <a:prstGeom prst="lef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905989" y="1188963"/>
        <a:ext cx="542172" cy="136673"/>
      </dsp:txXfrm>
    </dsp:sp>
  </dsp:spTree>
</dsp:drawing>
</file>

<file path=word/diagrams/layout1.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9F8AC-0AF6-455A-B7BD-99031A3BB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2024-05-23T16:42:00Z</dcterms:created>
  <dcterms:modified xsi:type="dcterms:W3CDTF">2024-05-31T15:43:00Z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2024-05-23T16:42:56Z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b8feb428-7a71-493a-9407-37e805d16c95</vt:lpwstr>
  </property>
  <property fmtid="{D5CDD505-2E9C-101B-9397-08002B2CF9AE}" pid="8" name="MSIP_Label_defa4170-0d19-0005-0004-bc88714345d2_ContentBits">
    <vt:lpwstr>0</vt:lpwstr>
  </property>
</Properties>
</file>