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AD3DA" w14:textId="4FC04FBE" w:rsidR="008F2E02" w:rsidRPr="005C53F4" w:rsidRDefault="008F2E02" w:rsidP="005C53F4">
      <w:pPr>
        <w:spacing w:line="360" w:lineRule="auto"/>
        <w:jc w:val="both"/>
        <w:rPr>
          <w:rFonts w:ascii="Arial" w:hAnsi="Arial" w:cs="Arial"/>
          <w:color w:val="000000" w:themeColor="text1"/>
        </w:rPr>
      </w:pPr>
    </w:p>
    <w:p w14:paraId="0E6E3BC6" w14:textId="77777777" w:rsidR="008F2E02" w:rsidRPr="005C53F4" w:rsidRDefault="008F2E02" w:rsidP="005C53F4">
      <w:pPr>
        <w:spacing w:line="360" w:lineRule="auto"/>
        <w:jc w:val="both"/>
        <w:rPr>
          <w:rFonts w:ascii="Arial" w:hAnsi="Arial" w:cs="Arial"/>
          <w:color w:val="000000" w:themeColor="text1"/>
        </w:rPr>
      </w:pPr>
    </w:p>
    <w:p w14:paraId="1CBFEA5C" w14:textId="77777777" w:rsidR="008F2E02" w:rsidRPr="005C53F4" w:rsidRDefault="008F2E02" w:rsidP="005C53F4">
      <w:pPr>
        <w:spacing w:line="360" w:lineRule="auto"/>
        <w:jc w:val="both"/>
        <w:rPr>
          <w:rFonts w:ascii="Arial" w:hAnsi="Arial" w:cs="Arial"/>
          <w:color w:val="000000" w:themeColor="text1"/>
        </w:rPr>
      </w:pPr>
    </w:p>
    <w:p w14:paraId="098E8CB0" w14:textId="77777777" w:rsidR="008F2E02" w:rsidRPr="005C53F4" w:rsidRDefault="008F2E02" w:rsidP="005C53F4">
      <w:pPr>
        <w:spacing w:line="360" w:lineRule="auto"/>
        <w:jc w:val="both"/>
        <w:rPr>
          <w:rFonts w:ascii="Arial" w:hAnsi="Arial" w:cs="Arial"/>
          <w:color w:val="000000" w:themeColor="text1"/>
        </w:rPr>
      </w:pPr>
    </w:p>
    <w:p w14:paraId="3CB7F76E" w14:textId="77777777" w:rsidR="008F2E02" w:rsidRPr="005C53F4" w:rsidRDefault="008F2E02" w:rsidP="005C53F4">
      <w:pPr>
        <w:spacing w:line="360" w:lineRule="auto"/>
        <w:jc w:val="both"/>
        <w:rPr>
          <w:rFonts w:ascii="Arial" w:hAnsi="Arial" w:cs="Arial"/>
          <w:color w:val="000000" w:themeColor="text1"/>
        </w:rPr>
      </w:pPr>
    </w:p>
    <w:p w14:paraId="789C1957" w14:textId="57AE1134" w:rsidR="008F2E02" w:rsidRPr="00A004F7" w:rsidRDefault="00350A0C" w:rsidP="00614445">
      <w:pPr>
        <w:spacing w:line="360" w:lineRule="auto"/>
        <w:jc w:val="center"/>
        <w:rPr>
          <w:rFonts w:ascii="Arial" w:hAnsi="Arial" w:cs="Arial"/>
          <w:b/>
          <w:bCs/>
          <w:color w:val="000000" w:themeColor="text1"/>
          <w:sz w:val="28"/>
          <w:szCs w:val="24"/>
        </w:rPr>
      </w:pPr>
      <w:r w:rsidRPr="00A004F7">
        <w:rPr>
          <w:rFonts w:ascii="Arial" w:hAnsi="Arial" w:cs="Arial"/>
          <w:b/>
          <w:bCs/>
          <w:color w:val="000000" w:themeColor="text1"/>
          <w:sz w:val="28"/>
          <w:szCs w:val="24"/>
        </w:rPr>
        <w:t>Student name</w:t>
      </w:r>
      <w:r w:rsidR="00A004F7">
        <w:rPr>
          <w:rFonts w:ascii="Arial" w:hAnsi="Arial" w:cs="Arial"/>
          <w:b/>
          <w:bCs/>
          <w:color w:val="000000" w:themeColor="text1"/>
          <w:sz w:val="28"/>
          <w:szCs w:val="24"/>
        </w:rPr>
        <w:t>: Justyna Cichocka</w:t>
      </w:r>
    </w:p>
    <w:p w14:paraId="17850B67" w14:textId="1978E74E" w:rsidR="008F2E02" w:rsidRDefault="00350A0C" w:rsidP="00614445">
      <w:pPr>
        <w:spacing w:line="360" w:lineRule="auto"/>
        <w:jc w:val="center"/>
        <w:rPr>
          <w:rFonts w:ascii="Arial" w:hAnsi="Arial" w:cs="Arial"/>
          <w:b/>
          <w:bCs/>
          <w:color w:val="000000" w:themeColor="text1"/>
          <w:sz w:val="28"/>
          <w:szCs w:val="24"/>
        </w:rPr>
      </w:pPr>
      <w:r w:rsidRPr="00A004F7">
        <w:rPr>
          <w:rFonts w:ascii="Arial" w:hAnsi="Arial" w:cs="Arial"/>
          <w:b/>
          <w:bCs/>
          <w:color w:val="000000" w:themeColor="text1"/>
          <w:sz w:val="28"/>
          <w:szCs w:val="24"/>
        </w:rPr>
        <w:t>Student ID</w:t>
      </w:r>
      <w:r w:rsidR="00A004F7">
        <w:rPr>
          <w:rFonts w:ascii="Arial" w:hAnsi="Arial" w:cs="Arial"/>
          <w:b/>
          <w:bCs/>
          <w:color w:val="000000" w:themeColor="text1"/>
          <w:sz w:val="28"/>
          <w:szCs w:val="24"/>
        </w:rPr>
        <w:t>: 1916227</w:t>
      </w:r>
    </w:p>
    <w:p w14:paraId="41B42F76" w14:textId="3DBD25A5" w:rsidR="00724021" w:rsidRDefault="00724021" w:rsidP="00614445">
      <w:pPr>
        <w:spacing w:line="360" w:lineRule="auto"/>
        <w:jc w:val="center"/>
        <w:rPr>
          <w:rFonts w:ascii="Arial" w:hAnsi="Arial" w:cs="Arial"/>
          <w:b/>
          <w:bCs/>
          <w:color w:val="000000" w:themeColor="text1"/>
          <w:sz w:val="28"/>
          <w:szCs w:val="24"/>
        </w:rPr>
      </w:pPr>
      <w:r w:rsidRPr="00724021">
        <w:rPr>
          <w:rFonts w:ascii="Arial" w:hAnsi="Arial" w:cs="Arial"/>
          <w:b/>
          <w:bCs/>
          <w:color w:val="000000" w:themeColor="text1"/>
          <w:sz w:val="28"/>
          <w:szCs w:val="24"/>
        </w:rPr>
        <w:t>Factors associated with the hesitancy towards the COVID-19 vaccine in the UK</w:t>
      </w:r>
    </w:p>
    <w:p w14:paraId="0B4C6EB9" w14:textId="36ED5F6B" w:rsidR="008F2E02" w:rsidRPr="00A004F7" w:rsidRDefault="00350A0C" w:rsidP="00614445">
      <w:pPr>
        <w:spacing w:line="360" w:lineRule="auto"/>
        <w:jc w:val="center"/>
        <w:rPr>
          <w:rFonts w:ascii="Arial" w:hAnsi="Arial" w:cs="Arial"/>
          <w:b/>
          <w:bCs/>
          <w:color w:val="000000" w:themeColor="text1"/>
          <w:sz w:val="28"/>
          <w:szCs w:val="24"/>
        </w:rPr>
      </w:pPr>
      <w:r w:rsidRPr="00A004F7">
        <w:rPr>
          <w:rFonts w:ascii="Arial" w:hAnsi="Arial" w:cs="Arial"/>
          <w:b/>
          <w:bCs/>
          <w:color w:val="000000" w:themeColor="text1"/>
          <w:sz w:val="28"/>
          <w:szCs w:val="24"/>
        </w:rPr>
        <w:t>Module name</w:t>
      </w:r>
      <w:r w:rsidR="00A004F7">
        <w:rPr>
          <w:rFonts w:ascii="Arial" w:hAnsi="Arial" w:cs="Arial"/>
          <w:b/>
          <w:bCs/>
          <w:color w:val="000000" w:themeColor="text1"/>
          <w:sz w:val="28"/>
          <w:szCs w:val="24"/>
        </w:rPr>
        <w:t>:</w:t>
      </w:r>
      <w:r w:rsidR="000918F6" w:rsidRPr="000918F6">
        <w:t xml:space="preserve"> </w:t>
      </w:r>
      <w:r w:rsidR="000918F6" w:rsidRPr="000918F6">
        <w:rPr>
          <w:rFonts w:ascii="Arial" w:hAnsi="Arial" w:cs="Arial"/>
          <w:b/>
          <w:bCs/>
          <w:color w:val="000000" w:themeColor="text1"/>
          <w:sz w:val="28"/>
          <w:szCs w:val="24"/>
        </w:rPr>
        <w:t xml:space="preserve">Introduction to Research </w:t>
      </w:r>
    </w:p>
    <w:p w14:paraId="0E406921" w14:textId="415E48C5" w:rsidR="008F2E02" w:rsidRPr="00A004F7" w:rsidRDefault="00350A0C" w:rsidP="00614445">
      <w:pPr>
        <w:spacing w:line="360" w:lineRule="auto"/>
        <w:jc w:val="center"/>
        <w:rPr>
          <w:rFonts w:ascii="Arial" w:hAnsi="Arial" w:cs="Arial"/>
          <w:b/>
          <w:bCs/>
          <w:color w:val="000000" w:themeColor="text1"/>
          <w:sz w:val="28"/>
          <w:szCs w:val="24"/>
        </w:rPr>
      </w:pPr>
      <w:r w:rsidRPr="00A004F7">
        <w:rPr>
          <w:rFonts w:ascii="Arial" w:hAnsi="Arial" w:cs="Arial"/>
          <w:b/>
          <w:bCs/>
          <w:color w:val="000000" w:themeColor="text1"/>
          <w:sz w:val="28"/>
          <w:szCs w:val="24"/>
        </w:rPr>
        <w:t>Module code</w:t>
      </w:r>
      <w:r w:rsidR="00A004F7">
        <w:rPr>
          <w:rFonts w:ascii="Arial" w:hAnsi="Arial" w:cs="Arial"/>
          <w:b/>
          <w:bCs/>
          <w:color w:val="000000" w:themeColor="text1"/>
          <w:sz w:val="28"/>
          <w:szCs w:val="24"/>
        </w:rPr>
        <w:t>:</w:t>
      </w:r>
      <w:r w:rsidR="000918F6" w:rsidRPr="000918F6">
        <w:t xml:space="preserve"> </w:t>
      </w:r>
      <w:r w:rsidR="000918F6" w:rsidRPr="000918F6">
        <w:rPr>
          <w:rFonts w:ascii="Arial" w:hAnsi="Arial" w:cs="Arial"/>
          <w:b/>
          <w:bCs/>
          <w:color w:val="000000" w:themeColor="text1"/>
          <w:sz w:val="28"/>
          <w:szCs w:val="24"/>
        </w:rPr>
        <w:t>BMHP5005</w:t>
      </w:r>
    </w:p>
    <w:p w14:paraId="580DDA1F" w14:textId="30EBF613" w:rsidR="00543638" w:rsidRPr="00A004F7" w:rsidRDefault="00350A0C" w:rsidP="00614445">
      <w:pPr>
        <w:spacing w:line="360" w:lineRule="auto"/>
        <w:jc w:val="center"/>
        <w:rPr>
          <w:rFonts w:ascii="Arial" w:hAnsi="Arial" w:cs="Arial"/>
          <w:b/>
          <w:bCs/>
          <w:color w:val="000000" w:themeColor="text1"/>
          <w:sz w:val="28"/>
          <w:szCs w:val="24"/>
        </w:rPr>
      </w:pPr>
      <w:r w:rsidRPr="00A004F7">
        <w:rPr>
          <w:rFonts w:ascii="Arial" w:hAnsi="Arial" w:cs="Arial"/>
          <w:b/>
          <w:bCs/>
          <w:color w:val="000000" w:themeColor="text1"/>
          <w:sz w:val="28"/>
          <w:szCs w:val="24"/>
        </w:rPr>
        <w:t>Lecturer name</w:t>
      </w:r>
      <w:r w:rsidR="00A004F7">
        <w:rPr>
          <w:rFonts w:ascii="Arial" w:hAnsi="Arial" w:cs="Arial"/>
          <w:b/>
          <w:bCs/>
          <w:color w:val="000000" w:themeColor="text1"/>
          <w:sz w:val="28"/>
          <w:szCs w:val="24"/>
        </w:rPr>
        <w:t>:</w:t>
      </w:r>
      <w:r w:rsidR="00442AF2">
        <w:rPr>
          <w:rFonts w:ascii="Arial" w:hAnsi="Arial" w:cs="Arial"/>
          <w:b/>
          <w:bCs/>
          <w:color w:val="000000" w:themeColor="text1"/>
          <w:sz w:val="28"/>
          <w:szCs w:val="24"/>
        </w:rPr>
        <w:t xml:space="preserve"> </w:t>
      </w:r>
      <w:r w:rsidR="00E62EA5" w:rsidRPr="00E62EA5">
        <w:rPr>
          <w:rFonts w:ascii="Arial" w:hAnsi="Arial" w:cs="Arial"/>
          <w:b/>
          <w:bCs/>
          <w:color w:val="000000" w:themeColor="text1"/>
          <w:sz w:val="28"/>
          <w:szCs w:val="24"/>
        </w:rPr>
        <w:t>Dr Eleni Koutsogeorgou</w:t>
      </w:r>
    </w:p>
    <w:p w14:paraId="2675CDE0" w14:textId="77777777" w:rsidR="008F2E02" w:rsidRPr="005C53F4" w:rsidRDefault="008F2E02" w:rsidP="00614445">
      <w:pPr>
        <w:spacing w:line="360" w:lineRule="auto"/>
        <w:jc w:val="center"/>
        <w:rPr>
          <w:rFonts w:ascii="Arial" w:hAnsi="Arial" w:cs="Arial"/>
          <w:color w:val="000000" w:themeColor="text1"/>
        </w:rPr>
      </w:pPr>
    </w:p>
    <w:p w14:paraId="1067D276" w14:textId="77777777" w:rsidR="008F2E02" w:rsidRPr="005C53F4" w:rsidRDefault="008F2E02" w:rsidP="005C53F4">
      <w:pPr>
        <w:spacing w:line="360" w:lineRule="auto"/>
        <w:jc w:val="both"/>
        <w:rPr>
          <w:rFonts w:ascii="Arial" w:hAnsi="Arial" w:cs="Arial"/>
          <w:color w:val="000000" w:themeColor="text1"/>
        </w:rPr>
      </w:pPr>
    </w:p>
    <w:p w14:paraId="7A01A24D" w14:textId="612F96D6" w:rsidR="008F2E02" w:rsidRPr="005C53F4" w:rsidRDefault="008F2E02" w:rsidP="005C53F4">
      <w:pPr>
        <w:spacing w:line="360" w:lineRule="auto"/>
        <w:jc w:val="both"/>
        <w:rPr>
          <w:rFonts w:ascii="Arial" w:hAnsi="Arial" w:cs="Arial"/>
          <w:color w:val="000000" w:themeColor="text1"/>
        </w:rPr>
      </w:pPr>
    </w:p>
    <w:p w14:paraId="2BBC4EF9" w14:textId="79BA7E42" w:rsidR="008F2E02" w:rsidRPr="005C53F4" w:rsidRDefault="00572718" w:rsidP="005C53F4">
      <w:pPr>
        <w:spacing w:line="360" w:lineRule="auto"/>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658240" behindDoc="1" locked="0" layoutInCell="1" allowOverlap="1" wp14:anchorId="182EBA86" wp14:editId="22854F6D">
            <wp:simplePos x="0" y="0"/>
            <wp:positionH relativeFrom="margin">
              <wp:align>center</wp:align>
            </wp:positionH>
            <wp:positionV relativeFrom="paragraph">
              <wp:posOffset>5080</wp:posOffset>
            </wp:positionV>
            <wp:extent cx="2733113" cy="107442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3113" cy="1074420"/>
                    </a:xfrm>
                    <a:prstGeom prst="rect">
                      <a:avLst/>
                    </a:prstGeom>
                    <a:noFill/>
                  </pic:spPr>
                </pic:pic>
              </a:graphicData>
            </a:graphic>
            <wp14:sizeRelH relativeFrom="margin">
              <wp14:pctWidth>0</wp14:pctWidth>
            </wp14:sizeRelH>
            <wp14:sizeRelV relativeFrom="margin">
              <wp14:pctHeight>0</wp14:pctHeight>
            </wp14:sizeRelV>
          </wp:anchor>
        </w:drawing>
      </w:r>
    </w:p>
    <w:p w14:paraId="722E689E" w14:textId="77777777" w:rsidR="008F2E02" w:rsidRPr="005C53F4" w:rsidRDefault="008F2E02" w:rsidP="005C53F4">
      <w:pPr>
        <w:spacing w:line="360" w:lineRule="auto"/>
        <w:jc w:val="both"/>
        <w:rPr>
          <w:rFonts w:ascii="Arial" w:hAnsi="Arial" w:cs="Arial"/>
          <w:color w:val="000000" w:themeColor="text1"/>
        </w:rPr>
      </w:pPr>
    </w:p>
    <w:p w14:paraId="75081DCC" w14:textId="77777777" w:rsidR="008F2E02" w:rsidRDefault="008F2E02" w:rsidP="005C53F4">
      <w:pPr>
        <w:spacing w:line="360" w:lineRule="auto"/>
        <w:jc w:val="both"/>
        <w:rPr>
          <w:rFonts w:ascii="Arial" w:hAnsi="Arial" w:cs="Arial"/>
          <w:color w:val="000000" w:themeColor="text1"/>
        </w:rPr>
      </w:pPr>
    </w:p>
    <w:p w14:paraId="2D735A54" w14:textId="77777777" w:rsidR="00FB51FC" w:rsidRDefault="00FB51FC" w:rsidP="005C53F4">
      <w:pPr>
        <w:spacing w:line="360" w:lineRule="auto"/>
        <w:jc w:val="both"/>
        <w:rPr>
          <w:rFonts w:ascii="Arial" w:hAnsi="Arial" w:cs="Arial"/>
          <w:color w:val="000000" w:themeColor="text1"/>
        </w:rPr>
      </w:pPr>
    </w:p>
    <w:p w14:paraId="353DCF0B" w14:textId="77777777" w:rsidR="007B1557" w:rsidRPr="005C53F4" w:rsidRDefault="007B1557" w:rsidP="005C53F4">
      <w:pPr>
        <w:spacing w:line="360" w:lineRule="auto"/>
        <w:jc w:val="both"/>
        <w:rPr>
          <w:rFonts w:ascii="Arial" w:hAnsi="Arial" w:cs="Arial"/>
          <w:color w:val="000000" w:themeColor="text1"/>
        </w:rPr>
      </w:pPr>
    </w:p>
    <w:p w14:paraId="536C111F" w14:textId="77777777" w:rsidR="008F2E02" w:rsidRPr="005C53F4" w:rsidRDefault="008F2E02" w:rsidP="005C53F4">
      <w:pPr>
        <w:spacing w:line="360" w:lineRule="auto"/>
        <w:jc w:val="both"/>
        <w:rPr>
          <w:rFonts w:ascii="Arial" w:hAnsi="Arial" w:cs="Arial"/>
          <w:color w:val="000000" w:themeColor="text1"/>
        </w:rPr>
      </w:pPr>
    </w:p>
    <w:sdt>
      <w:sdtPr>
        <w:rPr>
          <w:rFonts w:ascii="Arial" w:eastAsiaTheme="minorHAnsi" w:hAnsi="Arial" w:cs="Arial"/>
          <w:color w:val="000000" w:themeColor="text1"/>
          <w:sz w:val="22"/>
          <w:szCs w:val="22"/>
        </w:rPr>
        <w:id w:val="239612939"/>
        <w:docPartObj>
          <w:docPartGallery w:val="Table of Contents"/>
          <w:docPartUnique/>
        </w:docPartObj>
      </w:sdtPr>
      <w:sdtEndPr>
        <w:rPr>
          <w:b/>
          <w:bCs/>
          <w:noProof/>
          <w:sz w:val="24"/>
          <w:szCs w:val="24"/>
        </w:rPr>
      </w:sdtEndPr>
      <w:sdtContent>
        <w:p w14:paraId="73D9AF65" w14:textId="77777777" w:rsidR="008F2E02" w:rsidRPr="00C13F10" w:rsidRDefault="008F2E02" w:rsidP="002E2809">
          <w:pPr>
            <w:pStyle w:val="TOCHeading"/>
            <w:spacing w:line="360" w:lineRule="auto"/>
            <w:jc w:val="both"/>
            <w:rPr>
              <w:rFonts w:ascii="Arial" w:hAnsi="Arial" w:cs="Arial"/>
              <w:b/>
              <w:bCs/>
              <w:color w:val="000000" w:themeColor="text1"/>
              <w:sz w:val="24"/>
              <w:szCs w:val="24"/>
            </w:rPr>
          </w:pPr>
          <w:r w:rsidRPr="00C13F10">
            <w:rPr>
              <w:rFonts w:ascii="Arial" w:hAnsi="Arial" w:cs="Arial"/>
              <w:b/>
              <w:bCs/>
              <w:color w:val="000000" w:themeColor="text1"/>
              <w:sz w:val="24"/>
              <w:szCs w:val="24"/>
            </w:rPr>
            <w:t>Table of Contents</w:t>
          </w:r>
        </w:p>
        <w:p w14:paraId="10FA2C18" w14:textId="2D750676" w:rsidR="00E06DC8" w:rsidRPr="00C13F10" w:rsidRDefault="008F2E02" w:rsidP="002E2809">
          <w:pPr>
            <w:pStyle w:val="TOC1"/>
            <w:tabs>
              <w:tab w:val="left" w:pos="440"/>
              <w:tab w:val="right" w:leader="dot" w:pos="9350"/>
            </w:tabs>
            <w:spacing w:line="360" w:lineRule="auto"/>
            <w:rPr>
              <w:rFonts w:ascii="Arial" w:hAnsi="Arial" w:cs="Arial"/>
              <w:b/>
              <w:bCs/>
              <w:noProof/>
              <w:szCs w:val="24"/>
            </w:rPr>
          </w:pPr>
          <w:r w:rsidRPr="00C13F10">
            <w:rPr>
              <w:rFonts w:ascii="Arial" w:hAnsi="Arial" w:cs="Arial"/>
              <w:b/>
              <w:bCs/>
              <w:color w:val="000000" w:themeColor="text1"/>
              <w:szCs w:val="24"/>
            </w:rPr>
            <w:fldChar w:fldCharType="begin"/>
          </w:r>
          <w:r w:rsidRPr="00C13F10">
            <w:rPr>
              <w:rFonts w:ascii="Arial" w:hAnsi="Arial" w:cs="Arial"/>
              <w:b/>
              <w:bCs/>
              <w:color w:val="000000" w:themeColor="text1"/>
              <w:szCs w:val="24"/>
            </w:rPr>
            <w:instrText xml:space="preserve"> TOC \o "1-3" \h \z \u </w:instrText>
          </w:r>
          <w:r w:rsidRPr="00C13F10">
            <w:rPr>
              <w:rFonts w:ascii="Arial" w:hAnsi="Arial" w:cs="Arial"/>
              <w:b/>
              <w:bCs/>
              <w:color w:val="000000" w:themeColor="text1"/>
              <w:szCs w:val="24"/>
            </w:rPr>
            <w:fldChar w:fldCharType="separate"/>
          </w:r>
          <w:hyperlink w:anchor="_Toc90222630" w:history="1">
            <w:r w:rsidR="005C53F4" w:rsidRPr="00C13F10">
              <w:rPr>
                <w:rStyle w:val="Hyperlink"/>
                <w:rFonts w:ascii="Arial" w:hAnsi="Arial" w:cs="Arial"/>
                <w:b/>
                <w:bCs/>
                <w:noProof/>
                <w:szCs w:val="24"/>
              </w:rPr>
              <w:t>1.</w:t>
            </w:r>
            <w:r w:rsidR="005C53F4" w:rsidRPr="00C13F10">
              <w:rPr>
                <w:rFonts w:ascii="Arial" w:eastAsiaTheme="minorEastAsia" w:hAnsi="Arial" w:cs="Arial"/>
                <w:b/>
                <w:bCs/>
                <w:noProof/>
                <w:szCs w:val="24"/>
              </w:rPr>
              <w:tab/>
            </w:r>
            <w:r w:rsidR="005C53F4" w:rsidRPr="00C13F10">
              <w:rPr>
                <w:rStyle w:val="Hyperlink"/>
                <w:rFonts w:ascii="Arial" w:hAnsi="Arial" w:cs="Arial"/>
                <w:b/>
                <w:bCs/>
                <w:noProof/>
                <w:szCs w:val="24"/>
              </w:rPr>
              <w:t>Introduction</w:t>
            </w:r>
            <w:r w:rsidR="005C53F4" w:rsidRPr="00C13F10">
              <w:rPr>
                <w:rFonts w:ascii="Arial" w:hAnsi="Arial" w:cs="Arial"/>
                <w:b/>
                <w:bCs/>
                <w:noProof/>
                <w:webHidden/>
                <w:szCs w:val="24"/>
              </w:rPr>
              <w:tab/>
            </w:r>
            <w:r w:rsidR="005C53F4" w:rsidRPr="00C13F10">
              <w:rPr>
                <w:rFonts w:ascii="Arial" w:hAnsi="Arial" w:cs="Arial"/>
                <w:b/>
                <w:bCs/>
                <w:noProof/>
                <w:webHidden/>
                <w:szCs w:val="24"/>
              </w:rPr>
              <w:fldChar w:fldCharType="begin"/>
            </w:r>
            <w:r w:rsidR="005C53F4" w:rsidRPr="00C13F10">
              <w:rPr>
                <w:rFonts w:ascii="Arial" w:hAnsi="Arial" w:cs="Arial"/>
                <w:b/>
                <w:bCs/>
                <w:noProof/>
                <w:webHidden/>
                <w:szCs w:val="24"/>
              </w:rPr>
              <w:instrText xml:space="preserve"> PAGEREF _Toc90222630 \h </w:instrText>
            </w:r>
            <w:r w:rsidR="005C53F4" w:rsidRPr="00C13F10">
              <w:rPr>
                <w:rFonts w:ascii="Arial" w:hAnsi="Arial" w:cs="Arial"/>
                <w:b/>
                <w:bCs/>
                <w:noProof/>
                <w:webHidden/>
                <w:szCs w:val="24"/>
              </w:rPr>
            </w:r>
            <w:r w:rsidR="005C53F4" w:rsidRPr="00C13F10">
              <w:rPr>
                <w:rFonts w:ascii="Arial" w:hAnsi="Arial" w:cs="Arial"/>
                <w:b/>
                <w:bCs/>
                <w:noProof/>
                <w:webHidden/>
                <w:szCs w:val="24"/>
              </w:rPr>
              <w:fldChar w:fldCharType="separate"/>
            </w:r>
            <w:r w:rsidR="005C53F4" w:rsidRPr="00C13F10">
              <w:rPr>
                <w:rFonts w:ascii="Arial" w:hAnsi="Arial" w:cs="Arial"/>
                <w:b/>
                <w:bCs/>
                <w:noProof/>
                <w:webHidden/>
                <w:szCs w:val="24"/>
              </w:rPr>
              <w:t>3</w:t>
            </w:r>
            <w:r w:rsidR="005C53F4" w:rsidRPr="00C13F10">
              <w:rPr>
                <w:rFonts w:ascii="Arial" w:hAnsi="Arial" w:cs="Arial"/>
                <w:b/>
                <w:bCs/>
                <w:noProof/>
                <w:webHidden/>
                <w:szCs w:val="24"/>
              </w:rPr>
              <w:fldChar w:fldCharType="end"/>
            </w:r>
          </w:hyperlink>
        </w:p>
        <w:p w14:paraId="5D4C12A0" w14:textId="3A6006F9" w:rsidR="005C53F4" w:rsidRPr="00C13F10" w:rsidRDefault="00E06DC8" w:rsidP="002E2809">
          <w:pPr>
            <w:pStyle w:val="TOC2"/>
            <w:tabs>
              <w:tab w:val="right" w:leader="dot" w:pos="9350"/>
            </w:tabs>
            <w:spacing w:line="360" w:lineRule="auto"/>
            <w:rPr>
              <w:rFonts w:ascii="Arial" w:eastAsiaTheme="minorEastAsia" w:hAnsi="Arial" w:cs="Arial"/>
              <w:b/>
              <w:bCs/>
              <w:noProof/>
              <w:szCs w:val="24"/>
            </w:rPr>
          </w:pPr>
          <w:r w:rsidRPr="00C13F10">
            <w:rPr>
              <w:rFonts w:ascii="Arial" w:hAnsi="Arial" w:cs="Arial"/>
              <w:b/>
              <w:bCs/>
              <w:szCs w:val="24"/>
            </w:rPr>
            <w:t>Aim</w:t>
          </w:r>
          <w:r w:rsidR="00E615E2" w:rsidRPr="00C13F10">
            <w:rPr>
              <w:rFonts w:ascii="Arial" w:hAnsi="Arial" w:cs="Arial"/>
              <w:b/>
              <w:bCs/>
              <w:szCs w:val="24"/>
            </w:rPr>
            <w:t>………………………………………………………………………………</w:t>
          </w:r>
          <w:r w:rsidR="00C13F10">
            <w:rPr>
              <w:rFonts w:ascii="Arial" w:hAnsi="Arial" w:cs="Arial"/>
              <w:b/>
              <w:bCs/>
              <w:szCs w:val="24"/>
            </w:rPr>
            <w:t>…………….</w:t>
          </w:r>
          <w:r w:rsidR="00B90746" w:rsidRPr="00C13F10">
            <w:rPr>
              <w:rFonts w:ascii="Arial" w:hAnsi="Arial" w:cs="Arial"/>
              <w:b/>
              <w:bCs/>
              <w:szCs w:val="24"/>
            </w:rPr>
            <w:t>4</w:t>
          </w:r>
          <w:r w:rsidR="009E7DB8" w:rsidRPr="00C13F10">
            <w:rPr>
              <w:rFonts w:ascii="Arial" w:hAnsi="Arial" w:cs="Arial"/>
              <w:b/>
              <w:bCs/>
              <w:szCs w:val="24"/>
            </w:rPr>
            <w:t xml:space="preserve"> </w:t>
          </w:r>
          <w:r w:rsidR="00C13F10">
            <w:rPr>
              <w:rFonts w:ascii="Arial" w:hAnsi="Arial" w:cs="Arial"/>
              <w:b/>
              <w:bCs/>
              <w:szCs w:val="24"/>
            </w:rPr>
            <w:t xml:space="preserve">  </w:t>
          </w:r>
          <w:hyperlink w:anchor="_Toc90222631" w:history="1">
            <w:r w:rsidR="005C53F4" w:rsidRPr="00C13F10">
              <w:rPr>
                <w:rStyle w:val="Hyperlink"/>
                <w:rFonts w:ascii="Arial" w:hAnsi="Arial" w:cs="Arial"/>
                <w:b/>
                <w:bCs/>
                <w:noProof/>
                <w:szCs w:val="24"/>
              </w:rPr>
              <w:t>Objectives</w:t>
            </w:r>
            <w:r w:rsidR="005C53F4" w:rsidRPr="00C13F10">
              <w:rPr>
                <w:rFonts w:ascii="Arial" w:hAnsi="Arial" w:cs="Arial"/>
                <w:b/>
                <w:bCs/>
                <w:noProof/>
                <w:webHidden/>
                <w:szCs w:val="24"/>
              </w:rPr>
              <w:tab/>
            </w:r>
            <w:r w:rsidR="002057EE" w:rsidRPr="00C13F10">
              <w:rPr>
                <w:rFonts w:ascii="Arial" w:hAnsi="Arial" w:cs="Arial"/>
                <w:b/>
                <w:bCs/>
                <w:noProof/>
                <w:webHidden/>
                <w:szCs w:val="24"/>
              </w:rPr>
              <w:t xml:space="preserve"> </w:t>
            </w:r>
            <w:r w:rsidR="00B90746" w:rsidRPr="00C13F10">
              <w:rPr>
                <w:rFonts w:ascii="Arial" w:hAnsi="Arial" w:cs="Arial"/>
                <w:b/>
                <w:bCs/>
                <w:noProof/>
                <w:webHidden/>
                <w:szCs w:val="24"/>
              </w:rPr>
              <w:t>4</w:t>
            </w:r>
          </w:hyperlink>
        </w:p>
        <w:p w14:paraId="4A7370C6" w14:textId="50530DE0" w:rsidR="005C53F4" w:rsidRPr="00C13F10" w:rsidRDefault="0010160E" w:rsidP="002E2809">
          <w:pPr>
            <w:pStyle w:val="TOC1"/>
            <w:tabs>
              <w:tab w:val="left" w:pos="440"/>
              <w:tab w:val="right" w:leader="dot" w:pos="9350"/>
            </w:tabs>
            <w:spacing w:line="360" w:lineRule="auto"/>
            <w:rPr>
              <w:rFonts w:ascii="Arial" w:eastAsiaTheme="minorEastAsia" w:hAnsi="Arial" w:cs="Arial"/>
              <w:b/>
              <w:bCs/>
              <w:noProof/>
              <w:szCs w:val="24"/>
            </w:rPr>
          </w:pPr>
          <w:hyperlink w:anchor="_Toc90222632" w:history="1">
            <w:r w:rsidR="005C53F4" w:rsidRPr="00C13F10">
              <w:rPr>
                <w:rStyle w:val="Hyperlink"/>
                <w:rFonts w:ascii="Arial" w:hAnsi="Arial" w:cs="Arial"/>
                <w:b/>
                <w:bCs/>
                <w:noProof/>
                <w:szCs w:val="24"/>
              </w:rPr>
              <w:t>2.</w:t>
            </w:r>
            <w:r w:rsidR="005C53F4" w:rsidRPr="00C13F10">
              <w:rPr>
                <w:rFonts w:ascii="Arial" w:eastAsiaTheme="minorEastAsia" w:hAnsi="Arial" w:cs="Arial"/>
                <w:b/>
                <w:bCs/>
                <w:noProof/>
                <w:szCs w:val="24"/>
              </w:rPr>
              <w:tab/>
            </w:r>
            <w:r w:rsidR="005C53F4" w:rsidRPr="00C13F10">
              <w:rPr>
                <w:rStyle w:val="Hyperlink"/>
                <w:rFonts w:ascii="Arial" w:hAnsi="Arial" w:cs="Arial"/>
                <w:b/>
                <w:bCs/>
                <w:noProof/>
                <w:szCs w:val="24"/>
              </w:rPr>
              <w:t>Background</w:t>
            </w:r>
            <w:r w:rsidR="005C53F4" w:rsidRPr="00C13F10">
              <w:rPr>
                <w:rFonts w:ascii="Arial" w:hAnsi="Arial" w:cs="Arial"/>
                <w:b/>
                <w:bCs/>
                <w:noProof/>
                <w:webHidden/>
                <w:szCs w:val="24"/>
              </w:rPr>
              <w:tab/>
            </w:r>
            <w:r w:rsidR="00B90746" w:rsidRPr="00C13F10">
              <w:rPr>
                <w:rFonts w:ascii="Arial" w:hAnsi="Arial" w:cs="Arial"/>
                <w:b/>
                <w:bCs/>
                <w:noProof/>
                <w:webHidden/>
                <w:szCs w:val="24"/>
              </w:rPr>
              <w:t>4</w:t>
            </w:r>
          </w:hyperlink>
        </w:p>
        <w:p w14:paraId="49BA2968" w14:textId="152F7895" w:rsidR="005C53F4" w:rsidRPr="00C13F10" w:rsidRDefault="0010160E" w:rsidP="002E2809">
          <w:pPr>
            <w:pStyle w:val="TOC1"/>
            <w:tabs>
              <w:tab w:val="left" w:pos="440"/>
              <w:tab w:val="right" w:leader="dot" w:pos="9350"/>
            </w:tabs>
            <w:spacing w:line="360" w:lineRule="auto"/>
            <w:rPr>
              <w:rFonts w:ascii="Arial" w:eastAsiaTheme="minorEastAsia" w:hAnsi="Arial" w:cs="Arial"/>
              <w:b/>
              <w:bCs/>
              <w:noProof/>
              <w:szCs w:val="24"/>
            </w:rPr>
          </w:pPr>
          <w:hyperlink w:anchor="_Toc90222633" w:history="1">
            <w:r w:rsidR="005C53F4" w:rsidRPr="00C13F10">
              <w:rPr>
                <w:rStyle w:val="Hyperlink"/>
                <w:rFonts w:ascii="Arial" w:hAnsi="Arial" w:cs="Arial"/>
                <w:b/>
                <w:bCs/>
                <w:noProof/>
                <w:szCs w:val="24"/>
              </w:rPr>
              <w:t>3.</w:t>
            </w:r>
            <w:r w:rsidR="005C53F4" w:rsidRPr="00C13F10">
              <w:rPr>
                <w:rFonts w:ascii="Arial" w:eastAsiaTheme="minorEastAsia" w:hAnsi="Arial" w:cs="Arial"/>
                <w:b/>
                <w:bCs/>
                <w:noProof/>
                <w:szCs w:val="24"/>
              </w:rPr>
              <w:tab/>
            </w:r>
            <w:r w:rsidR="005C53F4" w:rsidRPr="00C13F10">
              <w:rPr>
                <w:rStyle w:val="Hyperlink"/>
                <w:rFonts w:ascii="Arial" w:hAnsi="Arial" w:cs="Arial"/>
                <w:b/>
                <w:bCs/>
                <w:noProof/>
                <w:szCs w:val="24"/>
              </w:rPr>
              <w:t>Methods</w:t>
            </w:r>
            <w:r w:rsidR="005C53F4" w:rsidRPr="00C13F10">
              <w:rPr>
                <w:rFonts w:ascii="Arial" w:hAnsi="Arial" w:cs="Arial"/>
                <w:b/>
                <w:bCs/>
                <w:noProof/>
                <w:webHidden/>
                <w:szCs w:val="24"/>
              </w:rPr>
              <w:tab/>
            </w:r>
            <w:r w:rsidR="00EF407B" w:rsidRPr="00C13F10">
              <w:rPr>
                <w:rFonts w:ascii="Arial" w:hAnsi="Arial" w:cs="Arial"/>
                <w:b/>
                <w:bCs/>
                <w:noProof/>
                <w:webHidden/>
                <w:szCs w:val="24"/>
              </w:rPr>
              <w:t>5</w:t>
            </w:r>
          </w:hyperlink>
        </w:p>
        <w:p w14:paraId="05D34D95" w14:textId="5D5DA917" w:rsidR="005C53F4" w:rsidRPr="00C13F10" w:rsidRDefault="007C33C3" w:rsidP="00B20301">
          <w:pPr>
            <w:pStyle w:val="TOC2"/>
            <w:tabs>
              <w:tab w:val="right" w:leader="dot" w:pos="9350"/>
            </w:tabs>
            <w:spacing w:line="360" w:lineRule="auto"/>
            <w:ind w:left="0"/>
            <w:rPr>
              <w:rFonts w:ascii="Arial" w:eastAsiaTheme="minorEastAsia" w:hAnsi="Arial" w:cs="Arial"/>
              <w:b/>
              <w:bCs/>
              <w:noProof/>
              <w:szCs w:val="24"/>
            </w:rPr>
          </w:pPr>
          <w:r w:rsidRPr="00C13F10">
            <w:rPr>
              <w:rFonts w:ascii="Arial" w:eastAsiaTheme="minorEastAsia" w:hAnsi="Arial" w:cs="Arial"/>
              <w:b/>
              <w:bCs/>
              <w:noProof/>
              <w:szCs w:val="24"/>
            </w:rPr>
            <w:t>3.1 Search Strategies……………………………………………………</w:t>
          </w:r>
          <w:r w:rsidR="00A206A6" w:rsidRPr="00C13F10">
            <w:rPr>
              <w:rFonts w:ascii="Arial" w:eastAsiaTheme="minorEastAsia" w:hAnsi="Arial" w:cs="Arial"/>
              <w:b/>
              <w:bCs/>
              <w:noProof/>
              <w:szCs w:val="24"/>
            </w:rPr>
            <w:t>…...</w:t>
          </w:r>
          <w:r w:rsidR="00C13F10">
            <w:rPr>
              <w:rFonts w:ascii="Arial" w:eastAsiaTheme="minorEastAsia" w:hAnsi="Arial" w:cs="Arial"/>
              <w:b/>
              <w:bCs/>
              <w:noProof/>
              <w:szCs w:val="24"/>
            </w:rPr>
            <w:t>................</w:t>
          </w:r>
          <w:r w:rsidR="009F0E27">
            <w:rPr>
              <w:rFonts w:ascii="Arial" w:eastAsiaTheme="minorEastAsia" w:hAnsi="Arial" w:cs="Arial"/>
              <w:b/>
              <w:bCs/>
              <w:noProof/>
              <w:szCs w:val="24"/>
            </w:rPr>
            <w:t>....</w:t>
          </w:r>
          <w:r w:rsidR="00C13F10">
            <w:rPr>
              <w:rFonts w:ascii="Arial" w:eastAsiaTheme="minorEastAsia" w:hAnsi="Arial" w:cs="Arial"/>
              <w:b/>
              <w:bCs/>
              <w:noProof/>
              <w:szCs w:val="24"/>
            </w:rPr>
            <w:t>...</w:t>
          </w:r>
          <w:r w:rsidR="00A206A6" w:rsidRPr="00C13F10">
            <w:rPr>
              <w:rFonts w:ascii="Arial" w:eastAsiaTheme="minorEastAsia" w:hAnsi="Arial" w:cs="Arial"/>
              <w:b/>
              <w:bCs/>
              <w:noProof/>
              <w:szCs w:val="24"/>
            </w:rPr>
            <w:t>5</w:t>
          </w:r>
        </w:p>
        <w:p w14:paraId="714F98C8" w14:textId="36C2A26E" w:rsidR="00A206A6" w:rsidRPr="00C13F10" w:rsidRDefault="00A206A6" w:rsidP="009F0E27">
          <w:pPr>
            <w:spacing w:line="360" w:lineRule="auto"/>
            <w:rPr>
              <w:rFonts w:ascii="Arial" w:hAnsi="Arial" w:cs="Arial"/>
              <w:b/>
              <w:bCs/>
              <w:szCs w:val="24"/>
            </w:rPr>
          </w:pPr>
          <w:r w:rsidRPr="00C13F10">
            <w:rPr>
              <w:rFonts w:ascii="Arial" w:hAnsi="Arial" w:cs="Arial"/>
              <w:b/>
              <w:bCs/>
              <w:szCs w:val="24"/>
            </w:rPr>
            <w:t xml:space="preserve">3.2 </w:t>
          </w:r>
          <w:r w:rsidR="00D87673" w:rsidRPr="00C13F10">
            <w:rPr>
              <w:rFonts w:ascii="Arial" w:hAnsi="Arial" w:cs="Arial"/>
              <w:b/>
              <w:bCs/>
              <w:szCs w:val="24"/>
            </w:rPr>
            <w:t>Inclusion Criteri</w:t>
          </w:r>
          <w:r w:rsidR="002E2809" w:rsidRPr="00C13F10">
            <w:rPr>
              <w:rFonts w:ascii="Arial" w:hAnsi="Arial" w:cs="Arial"/>
              <w:b/>
              <w:bCs/>
              <w:szCs w:val="24"/>
            </w:rPr>
            <w:t>a</w:t>
          </w:r>
          <w:r w:rsidR="00B72322" w:rsidRPr="00C13F10">
            <w:rPr>
              <w:rFonts w:ascii="Arial" w:hAnsi="Arial" w:cs="Arial"/>
              <w:b/>
              <w:bCs/>
              <w:szCs w:val="24"/>
            </w:rPr>
            <w:t>…...</w:t>
          </w:r>
          <w:r w:rsidR="00D87673" w:rsidRPr="00C13F10">
            <w:rPr>
              <w:rFonts w:ascii="Arial" w:hAnsi="Arial" w:cs="Arial"/>
              <w:b/>
              <w:bCs/>
              <w:szCs w:val="24"/>
            </w:rPr>
            <w:t>……………………</w:t>
          </w:r>
          <w:r w:rsidR="00B20301">
            <w:rPr>
              <w:rFonts w:ascii="Arial" w:hAnsi="Arial" w:cs="Arial"/>
              <w:b/>
              <w:bCs/>
              <w:szCs w:val="24"/>
            </w:rPr>
            <w:t>…..</w:t>
          </w:r>
          <w:r w:rsidR="00D87673" w:rsidRPr="00C13F10">
            <w:rPr>
              <w:rFonts w:ascii="Arial" w:hAnsi="Arial" w:cs="Arial"/>
              <w:b/>
              <w:bCs/>
              <w:szCs w:val="24"/>
            </w:rPr>
            <w:t>………………</w:t>
          </w:r>
          <w:r w:rsidR="00C13F10">
            <w:rPr>
              <w:rFonts w:ascii="Arial" w:hAnsi="Arial" w:cs="Arial"/>
              <w:b/>
              <w:bCs/>
              <w:szCs w:val="24"/>
            </w:rPr>
            <w:t>……………</w:t>
          </w:r>
          <w:r w:rsidR="009F0E27">
            <w:rPr>
              <w:rFonts w:ascii="Arial" w:hAnsi="Arial" w:cs="Arial"/>
              <w:b/>
              <w:bCs/>
              <w:szCs w:val="24"/>
            </w:rPr>
            <w:t>…………</w:t>
          </w:r>
          <w:r w:rsidR="00D87673" w:rsidRPr="00C13F10">
            <w:rPr>
              <w:rFonts w:ascii="Arial" w:hAnsi="Arial" w:cs="Arial"/>
              <w:b/>
              <w:bCs/>
              <w:szCs w:val="24"/>
            </w:rPr>
            <w:t>……6</w:t>
          </w:r>
          <w:r w:rsidRPr="00C13F10">
            <w:rPr>
              <w:rFonts w:ascii="Arial" w:hAnsi="Arial" w:cs="Arial"/>
              <w:b/>
              <w:bCs/>
              <w:szCs w:val="24"/>
            </w:rPr>
            <w:t xml:space="preserve"> </w:t>
          </w:r>
        </w:p>
        <w:p w14:paraId="52FA9CAC" w14:textId="7A7733FC" w:rsidR="00D87673" w:rsidRDefault="00D87673" w:rsidP="009F0E27">
          <w:pPr>
            <w:spacing w:line="360" w:lineRule="auto"/>
            <w:rPr>
              <w:rFonts w:ascii="Arial" w:hAnsi="Arial" w:cs="Arial"/>
              <w:b/>
              <w:bCs/>
              <w:szCs w:val="24"/>
            </w:rPr>
          </w:pPr>
          <w:r w:rsidRPr="00C13F10">
            <w:rPr>
              <w:rFonts w:ascii="Arial" w:hAnsi="Arial" w:cs="Arial"/>
              <w:b/>
              <w:bCs/>
              <w:szCs w:val="24"/>
            </w:rPr>
            <w:t>3.3 Exclusion Criteri</w:t>
          </w:r>
          <w:r w:rsidR="00B72322" w:rsidRPr="00C13F10">
            <w:rPr>
              <w:rFonts w:ascii="Arial" w:hAnsi="Arial" w:cs="Arial"/>
              <w:b/>
              <w:bCs/>
              <w:szCs w:val="24"/>
            </w:rPr>
            <w:t>a ......</w:t>
          </w:r>
          <w:r w:rsidRPr="00C13F10">
            <w:rPr>
              <w:rFonts w:ascii="Arial" w:hAnsi="Arial" w:cs="Arial"/>
              <w:b/>
              <w:bCs/>
              <w:szCs w:val="24"/>
            </w:rPr>
            <w:t>…………………………</w:t>
          </w:r>
          <w:r w:rsidR="00B20301">
            <w:rPr>
              <w:rFonts w:ascii="Arial" w:hAnsi="Arial" w:cs="Arial"/>
              <w:b/>
              <w:bCs/>
              <w:szCs w:val="24"/>
            </w:rPr>
            <w:t>..</w:t>
          </w:r>
          <w:r w:rsidRPr="00C13F10">
            <w:rPr>
              <w:rFonts w:ascii="Arial" w:hAnsi="Arial" w:cs="Arial"/>
              <w:b/>
              <w:bCs/>
              <w:szCs w:val="24"/>
            </w:rPr>
            <w:t>………………</w:t>
          </w:r>
          <w:r w:rsidR="00C13F10">
            <w:rPr>
              <w:rFonts w:ascii="Arial" w:hAnsi="Arial" w:cs="Arial"/>
              <w:b/>
              <w:bCs/>
              <w:szCs w:val="24"/>
            </w:rPr>
            <w:t>……………</w:t>
          </w:r>
          <w:r w:rsidR="009F0E27">
            <w:rPr>
              <w:rFonts w:ascii="Arial" w:hAnsi="Arial" w:cs="Arial"/>
              <w:b/>
              <w:bCs/>
              <w:szCs w:val="24"/>
            </w:rPr>
            <w:t>………..</w:t>
          </w:r>
          <w:r w:rsidR="00C13F10">
            <w:rPr>
              <w:rFonts w:ascii="Arial" w:hAnsi="Arial" w:cs="Arial"/>
              <w:b/>
              <w:bCs/>
              <w:szCs w:val="24"/>
            </w:rPr>
            <w:t>..</w:t>
          </w:r>
          <w:r w:rsidRPr="00C13F10">
            <w:rPr>
              <w:rFonts w:ascii="Arial" w:hAnsi="Arial" w:cs="Arial"/>
              <w:b/>
              <w:bCs/>
              <w:szCs w:val="24"/>
            </w:rPr>
            <w:t>..6</w:t>
          </w:r>
        </w:p>
        <w:p w14:paraId="1B06CC50" w14:textId="1FA3019B" w:rsidR="00B20301" w:rsidRPr="00C13F10" w:rsidRDefault="00B20301" w:rsidP="009F0E27">
          <w:pPr>
            <w:spacing w:line="360" w:lineRule="auto"/>
            <w:rPr>
              <w:rFonts w:ascii="Arial" w:hAnsi="Arial" w:cs="Arial"/>
              <w:b/>
              <w:bCs/>
              <w:szCs w:val="24"/>
            </w:rPr>
          </w:pPr>
          <w:r w:rsidRPr="00B20301">
            <w:rPr>
              <w:rFonts w:ascii="Arial" w:hAnsi="Arial" w:cs="Arial"/>
              <w:b/>
              <w:bCs/>
              <w:szCs w:val="24"/>
            </w:rPr>
            <w:t>3.4 Ethical consideration</w:t>
          </w:r>
          <w:r>
            <w:rPr>
              <w:rFonts w:ascii="Arial" w:hAnsi="Arial" w:cs="Arial"/>
              <w:b/>
              <w:bCs/>
              <w:szCs w:val="24"/>
            </w:rPr>
            <w:t>…………………………………………………</w:t>
          </w:r>
          <w:r w:rsidR="009F0E27">
            <w:rPr>
              <w:rFonts w:ascii="Arial" w:hAnsi="Arial" w:cs="Arial"/>
              <w:b/>
              <w:bCs/>
              <w:szCs w:val="24"/>
            </w:rPr>
            <w:t>……….</w:t>
          </w:r>
          <w:r>
            <w:rPr>
              <w:rFonts w:ascii="Arial" w:hAnsi="Arial" w:cs="Arial"/>
              <w:b/>
              <w:bCs/>
              <w:szCs w:val="24"/>
            </w:rPr>
            <w:t>………….6</w:t>
          </w:r>
        </w:p>
        <w:p w14:paraId="4B948FC0" w14:textId="28910286" w:rsidR="000F48A9" w:rsidRPr="00C13F10" w:rsidRDefault="0010160E" w:rsidP="002E2809">
          <w:pPr>
            <w:pStyle w:val="TOC1"/>
            <w:tabs>
              <w:tab w:val="left" w:pos="440"/>
              <w:tab w:val="right" w:leader="dot" w:pos="9350"/>
            </w:tabs>
            <w:spacing w:line="360" w:lineRule="auto"/>
            <w:rPr>
              <w:rFonts w:ascii="Arial" w:hAnsi="Arial" w:cs="Arial"/>
              <w:b/>
              <w:bCs/>
              <w:noProof/>
              <w:szCs w:val="24"/>
            </w:rPr>
          </w:pPr>
          <w:hyperlink w:anchor="_Toc90222635" w:history="1">
            <w:r w:rsidR="005C53F4" w:rsidRPr="00C13F10">
              <w:rPr>
                <w:rStyle w:val="Hyperlink"/>
                <w:rFonts w:ascii="Arial" w:hAnsi="Arial" w:cs="Arial"/>
                <w:b/>
                <w:bCs/>
                <w:noProof/>
                <w:szCs w:val="24"/>
              </w:rPr>
              <w:t>4.</w:t>
            </w:r>
            <w:r w:rsidR="005C53F4" w:rsidRPr="00C13F10">
              <w:rPr>
                <w:rFonts w:ascii="Arial" w:eastAsiaTheme="minorEastAsia" w:hAnsi="Arial" w:cs="Arial"/>
                <w:b/>
                <w:bCs/>
                <w:noProof/>
                <w:szCs w:val="24"/>
              </w:rPr>
              <w:tab/>
            </w:r>
            <w:r w:rsidR="00D87673" w:rsidRPr="00C13F10">
              <w:rPr>
                <w:rFonts w:ascii="Arial" w:eastAsiaTheme="minorEastAsia" w:hAnsi="Arial" w:cs="Arial"/>
                <w:b/>
                <w:bCs/>
                <w:noProof/>
                <w:szCs w:val="24"/>
              </w:rPr>
              <w:t>Literature Review</w:t>
            </w:r>
            <w:r w:rsidR="005C53F4" w:rsidRPr="00C13F10">
              <w:rPr>
                <w:rFonts w:ascii="Arial" w:hAnsi="Arial" w:cs="Arial"/>
                <w:b/>
                <w:bCs/>
                <w:noProof/>
                <w:webHidden/>
                <w:szCs w:val="24"/>
              </w:rPr>
              <w:tab/>
            </w:r>
            <w:r w:rsidR="005C53F4" w:rsidRPr="00C13F10">
              <w:rPr>
                <w:rFonts w:ascii="Arial" w:hAnsi="Arial" w:cs="Arial"/>
                <w:b/>
                <w:bCs/>
                <w:noProof/>
                <w:webHidden/>
                <w:szCs w:val="24"/>
              </w:rPr>
              <w:fldChar w:fldCharType="begin"/>
            </w:r>
            <w:r w:rsidR="005C53F4" w:rsidRPr="00C13F10">
              <w:rPr>
                <w:rFonts w:ascii="Arial" w:hAnsi="Arial" w:cs="Arial"/>
                <w:b/>
                <w:bCs/>
                <w:noProof/>
                <w:webHidden/>
                <w:szCs w:val="24"/>
              </w:rPr>
              <w:instrText xml:space="preserve"> PAGEREF _Toc90222635 \h </w:instrText>
            </w:r>
            <w:r w:rsidR="005C53F4" w:rsidRPr="00C13F10">
              <w:rPr>
                <w:rFonts w:ascii="Arial" w:hAnsi="Arial" w:cs="Arial"/>
                <w:b/>
                <w:bCs/>
                <w:noProof/>
                <w:webHidden/>
                <w:szCs w:val="24"/>
              </w:rPr>
            </w:r>
            <w:r w:rsidR="005C53F4" w:rsidRPr="00C13F10">
              <w:rPr>
                <w:rFonts w:ascii="Arial" w:hAnsi="Arial" w:cs="Arial"/>
                <w:b/>
                <w:bCs/>
                <w:noProof/>
                <w:webHidden/>
                <w:szCs w:val="24"/>
              </w:rPr>
              <w:fldChar w:fldCharType="separate"/>
            </w:r>
            <w:r w:rsidR="005C53F4" w:rsidRPr="00C13F10">
              <w:rPr>
                <w:rFonts w:ascii="Arial" w:hAnsi="Arial" w:cs="Arial"/>
                <w:b/>
                <w:bCs/>
                <w:noProof/>
                <w:webHidden/>
                <w:szCs w:val="24"/>
              </w:rPr>
              <w:t>6</w:t>
            </w:r>
            <w:r w:rsidR="005C53F4" w:rsidRPr="00C13F10">
              <w:rPr>
                <w:rFonts w:ascii="Arial" w:hAnsi="Arial" w:cs="Arial"/>
                <w:b/>
                <w:bCs/>
                <w:noProof/>
                <w:webHidden/>
                <w:szCs w:val="24"/>
              </w:rPr>
              <w:fldChar w:fldCharType="end"/>
            </w:r>
          </w:hyperlink>
        </w:p>
        <w:p w14:paraId="0A71A7A6" w14:textId="6B0643CC" w:rsidR="005C53F4" w:rsidRPr="00C13F10" w:rsidRDefault="0010160E" w:rsidP="002E2809">
          <w:pPr>
            <w:pStyle w:val="TOC1"/>
            <w:tabs>
              <w:tab w:val="left" w:pos="440"/>
              <w:tab w:val="right" w:leader="dot" w:pos="9350"/>
            </w:tabs>
            <w:spacing w:line="360" w:lineRule="auto"/>
            <w:rPr>
              <w:rFonts w:ascii="Arial" w:eastAsiaTheme="minorEastAsia" w:hAnsi="Arial" w:cs="Arial"/>
              <w:b/>
              <w:bCs/>
              <w:noProof/>
              <w:szCs w:val="24"/>
            </w:rPr>
          </w:pPr>
          <w:hyperlink w:anchor="_Toc90222637" w:history="1">
            <w:r w:rsidR="005C53F4" w:rsidRPr="00C13F10">
              <w:rPr>
                <w:rStyle w:val="Hyperlink"/>
                <w:rFonts w:ascii="Arial" w:hAnsi="Arial" w:cs="Arial"/>
                <w:b/>
                <w:bCs/>
                <w:noProof/>
                <w:szCs w:val="24"/>
              </w:rPr>
              <w:t>5.</w:t>
            </w:r>
            <w:r w:rsidR="005C53F4" w:rsidRPr="00C13F10">
              <w:rPr>
                <w:rFonts w:ascii="Arial" w:eastAsiaTheme="minorEastAsia" w:hAnsi="Arial" w:cs="Arial"/>
                <w:b/>
                <w:bCs/>
                <w:noProof/>
                <w:szCs w:val="24"/>
              </w:rPr>
              <w:tab/>
            </w:r>
            <w:r w:rsidR="000F48A9" w:rsidRPr="00C13F10">
              <w:rPr>
                <w:rFonts w:ascii="Arial" w:eastAsiaTheme="minorEastAsia" w:hAnsi="Arial" w:cs="Arial"/>
                <w:b/>
                <w:bCs/>
                <w:noProof/>
                <w:szCs w:val="24"/>
              </w:rPr>
              <w:t>Results</w:t>
            </w:r>
            <w:r w:rsidR="005C53F4" w:rsidRPr="00C13F10">
              <w:rPr>
                <w:rFonts w:ascii="Arial" w:hAnsi="Arial" w:cs="Arial"/>
                <w:b/>
                <w:bCs/>
                <w:noProof/>
                <w:webHidden/>
                <w:szCs w:val="24"/>
              </w:rPr>
              <w:tab/>
            </w:r>
            <w:r w:rsidR="002E2809" w:rsidRPr="00C13F10">
              <w:rPr>
                <w:rFonts w:ascii="Arial" w:hAnsi="Arial" w:cs="Arial"/>
                <w:b/>
                <w:bCs/>
                <w:noProof/>
                <w:webHidden/>
                <w:szCs w:val="24"/>
              </w:rPr>
              <w:t>8</w:t>
            </w:r>
          </w:hyperlink>
        </w:p>
        <w:p w14:paraId="453948D2" w14:textId="586DA092" w:rsidR="005C53F4" w:rsidRPr="00C13F10" w:rsidRDefault="0010160E" w:rsidP="002E2809">
          <w:pPr>
            <w:pStyle w:val="TOC1"/>
            <w:tabs>
              <w:tab w:val="left" w:pos="440"/>
              <w:tab w:val="right" w:leader="dot" w:pos="9350"/>
            </w:tabs>
            <w:spacing w:line="360" w:lineRule="auto"/>
            <w:rPr>
              <w:rFonts w:ascii="Arial" w:hAnsi="Arial" w:cs="Arial"/>
              <w:b/>
              <w:bCs/>
              <w:noProof/>
              <w:szCs w:val="24"/>
            </w:rPr>
          </w:pPr>
          <w:hyperlink w:anchor="_Toc90222638" w:history="1">
            <w:r w:rsidR="005C53F4" w:rsidRPr="00C13F10">
              <w:rPr>
                <w:rStyle w:val="Hyperlink"/>
                <w:rFonts w:ascii="Arial" w:hAnsi="Arial" w:cs="Arial"/>
                <w:b/>
                <w:bCs/>
                <w:noProof/>
                <w:szCs w:val="24"/>
              </w:rPr>
              <w:t>6.</w:t>
            </w:r>
            <w:r w:rsidR="005C53F4" w:rsidRPr="00C13F10">
              <w:rPr>
                <w:rFonts w:ascii="Arial" w:eastAsiaTheme="minorEastAsia" w:hAnsi="Arial" w:cs="Arial"/>
                <w:b/>
                <w:bCs/>
                <w:noProof/>
                <w:szCs w:val="24"/>
              </w:rPr>
              <w:tab/>
            </w:r>
            <w:r w:rsidR="002E2809" w:rsidRPr="00C13F10">
              <w:rPr>
                <w:rFonts w:ascii="Arial" w:eastAsiaTheme="minorEastAsia" w:hAnsi="Arial" w:cs="Arial"/>
                <w:b/>
                <w:bCs/>
                <w:noProof/>
                <w:szCs w:val="24"/>
              </w:rPr>
              <w:t>Discussion</w:t>
            </w:r>
            <w:r w:rsidR="005C53F4" w:rsidRPr="00C13F10">
              <w:rPr>
                <w:rFonts w:ascii="Arial" w:hAnsi="Arial" w:cs="Arial"/>
                <w:b/>
                <w:bCs/>
                <w:noProof/>
                <w:webHidden/>
                <w:szCs w:val="24"/>
              </w:rPr>
              <w:tab/>
            </w:r>
          </w:hyperlink>
          <w:r w:rsidR="002E2809" w:rsidRPr="00C13F10">
            <w:rPr>
              <w:rFonts w:ascii="Arial" w:hAnsi="Arial" w:cs="Arial"/>
              <w:b/>
              <w:bCs/>
              <w:noProof/>
              <w:szCs w:val="24"/>
            </w:rPr>
            <w:t>9</w:t>
          </w:r>
        </w:p>
        <w:p w14:paraId="5E71FAB0" w14:textId="768405DD" w:rsidR="002E2809" w:rsidRPr="00C13F10" w:rsidRDefault="002E2809" w:rsidP="002E2809">
          <w:pPr>
            <w:spacing w:line="360" w:lineRule="auto"/>
            <w:rPr>
              <w:rFonts w:ascii="Arial" w:hAnsi="Arial" w:cs="Arial"/>
              <w:b/>
              <w:bCs/>
              <w:szCs w:val="24"/>
            </w:rPr>
          </w:pPr>
          <w:r w:rsidRPr="00C13F10">
            <w:rPr>
              <w:rFonts w:ascii="Arial" w:hAnsi="Arial" w:cs="Arial"/>
              <w:b/>
              <w:bCs/>
              <w:szCs w:val="24"/>
            </w:rPr>
            <w:t>7. Conclusion…………</w:t>
          </w:r>
          <w:r w:rsidR="00B72322" w:rsidRPr="00C13F10">
            <w:rPr>
              <w:rFonts w:ascii="Arial" w:hAnsi="Arial" w:cs="Arial"/>
              <w:b/>
              <w:bCs/>
              <w:szCs w:val="24"/>
            </w:rPr>
            <w:t>…...</w:t>
          </w:r>
          <w:r w:rsidRPr="00C13F10">
            <w:rPr>
              <w:rFonts w:ascii="Arial" w:hAnsi="Arial" w:cs="Arial"/>
              <w:b/>
              <w:bCs/>
              <w:szCs w:val="24"/>
            </w:rPr>
            <w:t>…………………………………………………</w:t>
          </w:r>
          <w:r w:rsidR="00C13F10">
            <w:rPr>
              <w:rFonts w:ascii="Arial" w:hAnsi="Arial" w:cs="Arial"/>
              <w:b/>
              <w:bCs/>
              <w:szCs w:val="24"/>
            </w:rPr>
            <w:t>………………</w:t>
          </w:r>
          <w:r w:rsidRPr="00C13F10">
            <w:rPr>
              <w:rFonts w:ascii="Arial" w:hAnsi="Arial" w:cs="Arial"/>
              <w:b/>
              <w:bCs/>
              <w:szCs w:val="24"/>
            </w:rPr>
            <w:t>.12</w:t>
          </w:r>
        </w:p>
        <w:p w14:paraId="6B33ED40" w14:textId="5D71307D" w:rsidR="008F2E02" w:rsidRPr="00C13F10" w:rsidRDefault="002E2809" w:rsidP="002E2809">
          <w:pPr>
            <w:pStyle w:val="TOC1"/>
            <w:tabs>
              <w:tab w:val="right" w:leader="dot" w:pos="9350"/>
            </w:tabs>
            <w:spacing w:line="360" w:lineRule="auto"/>
            <w:rPr>
              <w:rFonts w:ascii="Arial" w:hAnsi="Arial" w:cs="Arial"/>
              <w:b/>
              <w:bCs/>
              <w:color w:val="000000" w:themeColor="text1"/>
              <w:szCs w:val="24"/>
            </w:rPr>
          </w:pPr>
          <w:r w:rsidRPr="00C13F10">
            <w:rPr>
              <w:rFonts w:ascii="Arial" w:hAnsi="Arial" w:cs="Arial"/>
              <w:b/>
              <w:bCs/>
              <w:szCs w:val="24"/>
            </w:rPr>
            <w:t xml:space="preserve">8. </w:t>
          </w:r>
          <w:hyperlink w:anchor="_Toc90222639" w:history="1">
            <w:r w:rsidR="005C53F4" w:rsidRPr="00C13F10">
              <w:rPr>
                <w:rStyle w:val="Hyperlink"/>
                <w:rFonts w:ascii="Arial" w:hAnsi="Arial" w:cs="Arial"/>
                <w:b/>
                <w:bCs/>
                <w:noProof/>
                <w:szCs w:val="24"/>
              </w:rPr>
              <w:t>References</w:t>
            </w:r>
            <w:r w:rsidR="005C53F4" w:rsidRPr="00C13F10">
              <w:rPr>
                <w:rFonts w:ascii="Arial" w:hAnsi="Arial" w:cs="Arial"/>
                <w:b/>
                <w:bCs/>
                <w:noProof/>
                <w:webHidden/>
                <w:szCs w:val="24"/>
              </w:rPr>
              <w:tab/>
            </w:r>
            <w:r w:rsidR="005C53F4" w:rsidRPr="00C13F10">
              <w:rPr>
                <w:rFonts w:ascii="Arial" w:hAnsi="Arial" w:cs="Arial"/>
                <w:b/>
                <w:bCs/>
                <w:noProof/>
                <w:webHidden/>
                <w:szCs w:val="24"/>
              </w:rPr>
              <w:fldChar w:fldCharType="begin"/>
            </w:r>
            <w:r w:rsidR="005C53F4" w:rsidRPr="00C13F10">
              <w:rPr>
                <w:rFonts w:ascii="Arial" w:hAnsi="Arial" w:cs="Arial"/>
                <w:b/>
                <w:bCs/>
                <w:noProof/>
                <w:webHidden/>
                <w:szCs w:val="24"/>
              </w:rPr>
              <w:instrText xml:space="preserve"> PAGEREF _Toc90222639 \h </w:instrText>
            </w:r>
            <w:r w:rsidR="005C53F4" w:rsidRPr="00C13F10">
              <w:rPr>
                <w:rFonts w:ascii="Arial" w:hAnsi="Arial" w:cs="Arial"/>
                <w:b/>
                <w:bCs/>
                <w:noProof/>
                <w:webHidden/>
                <w:szCs w:val="24"/>
              </w:rPr>
            </w:r>
            <w:r w:rsidR="005C53F4" w:rsidRPr="00C13F10">
              <w:rPr>
                <w:rFonts w:ascii="Arial" w:hAnsi="Arial" w:cs="Arial"/>
                <w:b/>
                <w:bCs/>
                <w:noProof/>
                <w:webHidden/>
                <w:szCs w:val="24"/>
              </w:rPr>
              <w:fldChar w:fldCharType="separate"/>
            </w:r>
            <w:r w:rsidR="005C53F4" w:rsidRPr="00C13F10">
              <w:rPr>
                <w:rFonts w:ascii="Arial" w:hAnsi="Arial" w:cs="Arial"/>
                <w:b/>
                <w:bCs/>
                <w:noProof/>
                <w:webHidden/>
                <w:szCs w:val="24"/>
              </w:rPr>
              <w:t>1</w:t>
            </w:r>
            <w:r w:rsidR="005C53F4" w:rsidRPr="00C13F10">
              <w:rPr>
                <w:rFonts w:ascii="Arial" w:hAnsi="Arial" w:cs="Arial"/>
                <w:b/>
                <w:bCs/>
                <w:noProof/>
                <w:webHidden/>
                <w:szCs w:val="24"/>
              </w:rPr>
              <w:fldChar w:fldCharType="end"/>
            </w:r>
          </w:hyperlink>
          <w:r w:rsidRPr="00C13F10">
            <w:rPr>
              <w:rFonts w:ascii="Arial" w:hAnsi="Arial" w:cs="Arial"/>
              <w:b/>
              <w:bCs/>
              <w:noProof/>
              <w:szCs w:val="24"/>
            </w:rPr>
            <w:t>4</w:t>
          </w:r>
          <w:r w:rsidR="008F2E02" w:rsidRPr="00C13F10">
            <w:rPr>
              <w:rFonts w:ascii="Arial" w:hAnsi="Arial" w:cs="Arial"/>
              <w:b/>
              <w:bCs/>
              <w:noProof/>
              <w:color w:val="000000" w:themeColor="text1"/>
              <w:szCs w:val="24"/>
            </w:rPr>
            <w:fldChar w:fldCharType="end"/>
          </w:r>
        </w:p>
      </w:sdtContent>
    </w:sdt>
    <w:p w14:paraId="4221B0AD" w14:textId="77777777" w:rsidR="008F2E02" w:rsidRPr="005C53F4" w:rsidRDefault="008F2E02" w:rsidP="005C53F4">
      <w:pPr>
        <w:spacing w:line="360" w:lineRule="auto"/>
        <w:jc w:val="both"/>
        <w:rPr>
          <w:rFonts w:ascii="Arial" w:hAnsi="Arial" w:cs="Arial"/>
          <w:color w:val="000000" w:themeColor="text1"/>
        </w:rPr>
      </w:pPr>
    </w:p>
    <w:p w14:paraId="2183C394" w14:textId="2C54E34A" w:rsidR="008F2E02" w:rsidRPr="005C53F4" w:rsidRDefault="009E7DB8" w:rsidP="009E7DB8">
      <w:pPr>
        <w:tabs>
          <w:tab w:val="left" w:pos="1001"/>
        </w:tabs>
        <w:spacing w:line="360" w:lineRule="auto"/>
        <w:jc w:val="both"/>
        <w:rPr>
          <w:rFonts w:ascii="Arial" w:hAnsi="Arial" w:cs="Arial"/>
          <w:color w:val="000000" w:themeColor="text1"/>
        </w:rPr>
      </w:pPr>
      <w:r>
        <w:rPr>
          <w:rFonts w:ascii="Arial" w:hAnsi="Arial" w:cs="Arial"/>
          <w:color w:val="000000" w:themeColor="text1"/>
        </w:rPr>
        <w:tab/>
      </w:r>
    </w:p>
    <w:p w14:paraId="56F2B95D" w14:textId="77777777" w:rsidR="00DD7629" w:rsidRDefault="00DD7629" w:rsidP="005C53F4">
      <w:pPr>
        <w:spacing w:line="360" w:lineRule="auto"/>
        <w:jc w:val="both"/>
        <w:rPr>
          <w:rFonts w:ascii="Arial" w:hAnsi="Arial" w:cs="Arial"/>
          <w:color w:val="000000" w:themeColor="text1"/>
        </w:rPr>
      </w:pPr>
    </w:p>
    <w:p w14:paraId="683213E7" w14:textId="77777777" w:rsidR="00403B9C" w:rsidRDefault="00403B9C" w:rsidP="005C53F4">
      <w:pPr>
        <w:spacing w:line="360" w:lineRule="auto"/>
        <w:jc w:val="both"/>
        <w:rPr>
          <w:rFonts w:ascii="Arial" w:hAnsi="Arial" w:cs="Arial"/>
          <w:color w:val="000000" w:themeColor="text1"/>
        </w:rPr>
      </w:pPr>
    </w:p>
    <w:p w14:paraId="7D4A148C" w14:textId="77777777" w:rsidR="00403B9C" w:rsidRDefault="00403B9C" w:rsidP="005C53F4">
      <w:pPr>
        <w:spacing w:line="360" w:lineRule="auto"/>
        <w:jc w:val="both"/>
        <w:rPr>
          <w:rFonts w:ascii="Arial" w:hAnsi="Arial" w:cs="Arial"/>
          <w:color w:val="000000" w:themeColor="text1"/>
        </w:rPr>
      </w:pPr>
    </w:p>
    <w:p w14:paraId="7DDEF73F" w14:textId="77777777" w:rsidR="00403B9C" w:rsidRDefault="00403B9C" w:rsidP="005C53F4">
      <w:pPr>
        <w:spacing w:line="360" w:lineRule="auto"/>
        <w:jc w:val="both"/>
        <w:rPr>
          <w:rFonts w:ascii="Arial" w:hAnsi="Arial" w:cs="Arial"/>
          <w:color w:val="000000" w:themeColor="text1"/>
        </w:rPr>
      </w:pPr>
    </w:p>
    <w:p w14:paraId="0225CC23" w14:textId="77777777" w:rsidR="00403B9C" w:rsidRPr="005C53F4" w:rsidRDefault="00403B9C" w:rsidP="005C53F4">
      <w:pPr>
        <w:spacing w:line="360" w:lineRule="auto"/>
        <w:jc w:val="both"/>
        <w:rPr>
          <w:rFonts w:ascii="Arial" w:hAnsi="Arial" w:cs="Arial"/>
          <w:color w:val="000000" w:themeColor="text1"/>
        </w:rPr>
      </w:pPr>
    </w:p>
    <w:p w14:paraId="38BE1242" w14:textId="77777777" w:rsidR="00DD7629" w:rsidRPr="005C53F4" w:rsidRDefault="00DD7629" w:rsidP="005C53F4">
      <w:pPr>
        <w:spacing w:line="360" w:lineRule="auto"/>
        <w:jc w:val="both"/>
        <w:rPr>
          <w:rFonts w:ascii="Arial" w:hAnsi="Arial" w:cs="Arial"/>
          <w:color w:val="000000" w:themeColor="text1"/>
        </w:rPr>
      </w:pPr>
    </w:p>
    <w:p w14:paraId="1D6DF7DB" w14:textId="77777777" w:rsidR="00DD7629" w:rsidRPr="005C53F4" w:rsidRDefault="00DD7629" w:rsidP="005C53F4">
      <w:pPr>
        <w:spacing w:line="360" w:lineRule="auto"/>
        <w:jc w:val="both"/>
        <w:rPr>
          <w:rFonts w:ascii="Arial" w:hAnsi="Arial" w:cs="Arial"/>
          <w:color w:val="000000" w:themeColor="text1"/>
        </w:rPr>
      </w:pPr>
    </w:p>
    <w:p w14:paraId="23ED1283" w14:textId="379C0ABA" w:rsidR="008F2E02" w:rsidRPr="002C498F" w:rsidRDefault="008F2E02" w:rsidP="005C53F4">
      <w:pPr>
        <w:pStyle w:val="Heading1"/>
        <w:numPr>
          <w:ilvl w:val="0"/>
          <w:numId w:val="1"/>
        </w:numPr>
        <w:spacing w:line="360" w:lineRule="auto"/>
        <w:rPr>
          <w:rFonts w:ascii="Arial" w:hAnsi="Arial" w:cs="Arial"/>
          <w:iCs/>
          <w:sz w:val="28"/>
          <w:szCs w:val="28"/>
        </w:rPr>
      </w:pPr>
      <w:bookmarkStart w:id="0" w:name="_Toc90222630"/>
      <w:r w:rsidRPr="002C498F">
        <w:rPr>
          <w:rFonts w:ascii="Arial" w:hAnsi="Arial" w:cs="Arial"/>
          <w:iCs/>
          <w:sz w:val="28"/>
          <w:szCs w:val="28"/>
        </w:rPr>
        <w:t>Introduction</w:t>
      </w:r>
      <w:bookmarkEnd w:id="0"/>
      <w:r w:rsidR="00BA08A1">
        <w:rPr>
          <w:rFonts w:ascii="Arial" w:hAnsi="Arial" w:cs="Arial"/>
          <w:iCs/>
          <w:sz w:val="28"/>
          <w:szCs w:val="28"/>
        </w:rPr>
        <w:t xml:space="preserve"> </w:t>
      </w:r>
    </w:p>
    <w:p w14:paraId="0C22EC9A" w14:textId="775C2334" w:rsidR="002D5CAE" w:rsidRDefault="00EE6714" w:rsidP="00741FB7">
      <w:pPr>
        <w:spacing w:before="100" w:beforeAutospacing="1" w:after="100" w:afterAutospacing="1" w:line="360" w:lineRule="auto"/>
        <w:ind w:firstLine="720"/>
        <w:jc w:val="both"/>
        <w:rPr>
          <w:rFonts w:ascii="Arial" w:hAnsi="Arial" w:cs="Arial"/>
          <w:sz w:val="22"/>
        </w:rPr>
      </w:pPr>
      <w:r w:rsidRPr="004B7094">
        <w:rPr>
          <w:rFonts w:ascii="Arial" w:eastAsia="Times New Roman" w:hAnsi="Arial" w:cs="Arial"/>
          <w:color w:val="000000" w:themeColor="text1"/>
          <w:sz w:val="22"/>
        </w:rPr>
        <w:t xml:space="preserve">It is </w:t>
      </w:r>
      <w:r w:rsidR="00307BCA" w:rsidRPr="004B7094">
        <w:rPr>
          <w:rFonts w:ascii="Arial" w:eastAsia="Times New Roman" w:hAnsi="Arial" w:cs="Arial"/>
          <w:color w:val="000000" w:themeColor="text1"/>
          <w:sz w:val="22"/>
        </w:rPr>
        <w:t xml:space="preserve">approved </w:t>
      </w:r>
      <w:r w:rsidRPr="004B7094">
        <w:rPr>
          <w:rFonts w:ascii="Arial" w:eastAsia="Times New Roman" w:hAnsi="Arial" w:cs="Arial"/>
          <w:color w:val="000000" w:themeColor="text1"/>
          <w:sz w:val="22"/>
        </w:rPr>
        <w:t>that v</w:t>
      </w:r>
      <w:r w:rsidR="00434637" w:rsidRPr="004B7094">
        <w:rPr>
          <w:rFonts w:ascii="Arial" w:eastAsia="Times New Roman" w:hAnsi="Arial" w:cs="Arial"/>
          <w:color w:val="000000" w:themeColor="text1"/>
          <w:sz w:val="22"/>
        </w:rPr>
        <w:t xml:space="preserve">accines are one of the </w:t>
      </w:r>
      <w:r w:rsidR="00EB3819" w:rsidRPr="004B7094">
        <w:rPr>
          <w:rFonts w:ascii="Arial" w:eastAsia="Times New Roman" w:hAnsi="Arial" w:cs="Arial"/>
          <w:color w:val="000000" w:themeColor="text1"/>
          <w:sz w:val="22"/>
        </w:rPr>
        <w:t xml:space="preserve">greatest </w:t>
      </w:r>
      <w:r w:rsidR="0070731E" w:rsidRPr="004B7094">
        <w:rPr>
          <w:rFonts w:ascii="Arial" w:eastAsia="Times New Roman" w:hAnsi="Arial" w:cs="Arial"/>
          <w:color w:val="000000" w:themeColor="text1"/>
          <w:sz w:val="22"/>
        </w:rPr>
        <w:t>revolutions</w:t>
      </w:r>
      <w:r w:rsidR="00434637" w:rsidRPr="004B7094">
        <w:rPr>
          <w:rFonts w:ascii="Arial" w:eastAsia="Times New Roman" w:hAnsi="Arial" w:cs="Arial"/>
          <w:color w:val="000000" w:themeColor="text1"/>
          <w:sz w:val="22"/>
        </w:rPr>
        <w:t xml:space="preserve"> in medicine, significantly </w:t>
      </w:r>
      <w:r w:rsidR="00434637" w:rsidRPr="006632F4">
        <w:rPr>
          <w:rFonts w:ascii="Arial" w:eastAsia="Times New Roman" w:hAnsi="Arial" w:cs="Arial"/>
          <w:color w:val="000000" w:themeColor="text1"/>
          <w:sz w:val="22"/>
        </w:rPr>
        <w:t>reducing the incidence of diseases that have long plagued humanity</w:t>
      </w:r>
      <w:r w:rsidR="00926328" w:rsidRPr="006632F4">
        <w:rPr>
          <w:rFonts w:ascii="Arial" w:hAnsi="Arial" w:cs="Arial"/>
          <w:sz w:val="22"/>
        </w:rPr>
        <w:t xml:space="preserve"> </w:t>
      </w:r>
      <w:r w:rsidR="00926328" w:rsidRPr="006632F4">
        <w:rPr>
          <w:rFonts w:ascii="Arial" w:eastAsia="Times New Roman" w:hAnsi="Arial" w:cs="Arial"/>
          <w:color w:val="000000" w:themeColor="text1"/>
          <w:sz w:val="22"/>
        </w:rPr>
        <w:t>(Trogen and Pirofski, 2021).</w:t>
      </w:r>
      <w:r w:rsidR="00583F40" w:rsidRPr="006632F4">
        <w:rPr>
          <w:rFonts w:ascii="Arial" w:hAnsi="Arial" w:cs="Arial"/>
          <w:sz w:val="22"/>
        </w:rPr>
        <w:t xml:space="preserve"> </w:t>
      </w:r>
      <w:r w:rsidR="006632F4" w:rsidRPr="006632F4">
        <w:rPr>
          <w:rFonts w:ascii="Arial" w:hAnsi="Arial" w:cs="Arial"/>
          <w:sz w:val="22"/>
        </w:rPr>
        <w:t xml:space="preserve">Vaccines work upon interaction with our immune system and produce a response that is just like the natural infection. Components that are used for developing vaccines </w:t>
      </w:r>
      <w:r w:rsidR="00A368AC">
        <w:rPr>
          <w:rFonts w:ascii="Arial" w:hAnsi="Arial" w:cs="Arial"/>
          <w:sz w:val="22"/>
        </w:rPr>
        <w:t>are</w:t>
      </w:r>
      <w:r w:rsidR="006632F4" w:rsidRPr="006632F4">
        <w:rPr>
          <w:rFonts w:ascii="Arial" w:hAnsi="Arial" w:cs="Arial"/>
          <w:sz w:val="22"/>
        </w:rPr>
        <w:t xml:space="preserve"> dead or attenuated (pathogen or viral particle), that produces protection for a long time by producing antibodies, and memory response that is effective upon the exposure of pathogens</w:t>
      </w:r>
      <w:r w:rsidR="00032B92">
        <w:rPr>
          <w:rFonts w:ascii="Arial" w:hAnsi="Arial" w:cs="Arial"/>
          <w:sz w:val="22"/>
        </w:rPr>
        <w:t xml:space="preserve"> </w:t>
      </w:r>
      <w:r w:rsidR="00A24C58">
        <w:rPr>
          <w:rFonts w:ascii="Arial" w:hAnsi="Arial" w:cs="Arial"/>
          <w:sz w:val="22"/>
        </w:rPr>
        <w:t>(NC</w:t>
      </w:r>
      <w:r w:rsidR="00C40B6D">
        <w:rPr>
          <w:rFonts w:ascii="Arial" w:hAnsi="Arial" w:cs="Arial"/>
          <w:sz w:val="22"/>
        </w:rPr>
        <w:t>IRS, 2013)</w:t>
      </w:r>
      <w:r w:rsidR="006632F4" w:rsidRPr="006632F4">
        <w:rPr>
          <w:rFonts w:ascii="Arial" w:hAnsi="Arial" w:cs="Arial"/>
          <w:sz w:val="22"/>
        </w:rPr>
        <w:t xml:space="preserve">. </w:t>
      </w:r>
      <w:r w:rsidR="006031C8" w:rsidRPr="006031C8">
        <w:rPr>
          <w:rFonts w:ascii="Arial" w:hAnsi="Arial" w:cs="Arial"/>
          <w:sz w:val="22"/>
        </w:rPr>
        <w:t>The immune system learns to distinguish foreign bacteria in this way, and the next time a true disease comes to attack the body, it will be discovered and killed very immediately</w:t>
      </w:r>
      <w:r w:rsidR="006031C8" w:rsidRPr="006031C8">
        <w:rPr>
          <w:rFonts w:ascii="Arial" w:hAnsi="Arial" w:cs="Arial"/>
          <w:sz w:val="22"/>
        </w:rPr>
        <w:t xml:space="preserve"> </w:t>
      </w:r>
      <w:r w:rsidR="00A65678" w:rsidRPr="00A65678">
        <w:rPr>
          <w:rFonts w:ascii="Arial" w:hAnsi="Arial" w:cs="Arial"/>
          <w:sz w:val="22"/>
        </w:rPr>
        <w:t>(</w:t>
      </w:r>
      <w:r w:rsidR="00B844FD">
        <w:rPr>
          <w:rFonts w:ascii="Arial" w:hAnsi="Arial" w:cs="Arial"/>
          <w:sz w:val="22"/>
        </w:rPr>
        <w:t>WHO</w:t>
      </w:r>
      <w:r w:rsidR="00A65678" w:rsidRPr="00A65678">
        <w:rPr>
          <w:rFonts w:ascii="Arial" w:hAnsi="Arial" w:cs="Arial"/>
          <w:sz w:val="22"/>
        </w:rPr>
        <w:t>, 202</w:t>
      </w:r>
      <w:r w:rsidR="00B844FD">
        <w:rPr>
          <w:rFonts w:ascii="Arial" w:hAnsi="Arial" w:cs="Arial"/>
          <w:sz w:val="22"/>
        </w:rPr>
        <w:t>2</w:t>
      </w:r>
      <w:r w:rsidR="00A65678" w:rsidRPr="00A65678">
        <w:rPr>
          <w:rFonts w:ascii="Arial" w:hAnsi="Arial" w:cs="Arial"/>
          <w:sz w:val="22"/>
        </w:rPr>
        <w:t>).</w:t>
      </w:r>
      <w:r w:rsidR="00801B03">
        <w:rPr>
          <w:rFonts w:ascii="Arial" w:hAnsi="Arial" w:cs="Arial"/>
          <w:sz w:val="22"/>
        </w:rPr>
        <w:t xml:space="preserve"> </w:t>
      </w:r>
    </w:p>
    <w:p w14:paraId="4324A13E" w14:textId="296A0100" w:rsidR="00856CA8" w:rsidRDefault="00B0008A" w:rsidP="0082520A">
      <w:pPr>
        <w:spacing w:before="100" w:beforeAutospacing="1" w:after="100" w:afterAutospacing="1" w:line="360" w:lineRule="auto"/>
        <w:ind w:firstLine="720"/>
        <w:jc w:val="both"/>
        <w:rPr>
          <w:rFonts w:ascii="Arial" w:eastAsia="Times New Roman" w:hAnsi="Arial" w:cs="Arial"/>
          <w:color w:val="000000" w:themeColor="text1"/>
          <w:sz w:val="22"/>
        </w:rPr>
      </w:pPr>
      <w:r w:rsidRPr="00B0008A">
        <w:rPr>
          <w:rFonts w:ascii="Arial" w:eastAsia="Times New Roman" w:hAnsi="Arial" w:cs="Arial"/>
          <w:color w:val="000000" w:themeColor="text1"/>
          <w:sz w:val="22"/>
        </w:rPr>
        <w:t xml:space="preserve">The World Health Organization (2019) identifies the failure to vaccinate as one of the top ten global health threats. </w:t>
      </w:r>
      <w:r w:rsidR="00CA2103" w:rsidRPr="004B7094">
        <w:rPr>
          <w:rFonts w:ascii="Arial" w:eastAsia="Times New Roman" w:hAnsi="Arial" w:cs="Arial"/>
          <w:color w:val="000000" w:themeColor="text1"/>
          <w:sz w:val="22"/>
        </w:rPr>
        <w:t>Reluctance to vaccinate is a delay in admission or refusal to vaccinate despite the availability of vaccination services</w:t>
      </w:r>
      <w:r w:rsidR="007E4CEC">
        <w:rPr>
          <w:rFonts w:ascii="Arial" w:eastAsia="Times New Roman" w:hAnsi="Arial" w:cs="Arial"/>
          <w:color w:val="000000" w:themeColor="text1"/>
          <w:sz w:val="22"/>
        </w:rPr>
        <w:t xml:space="preserve"> (Tull</w:t>
      </w:r>
      <w:r w:rsidR="00F87DAE">
        <w:rPr>
          <w:rFonts w:ascii="Arial" w:eastAsia="Times New Roman" w:hAnsi="Arial" w:cs="Arial"/>
          <w:color w:val="000000" w:themeColor="text1"/>
          <w:sz w:val="22"/>
        </w:rPr>
        <w:t>, 2019)</w:t>
      </w:r>
      <w:r w:rsidR="00CA2103" w:rsidRPr="004B7094">
        <w:rPr>
          <w:rFonts w:ascii="Arial" w:eastAsia="Times New Roman" w:hAnsi="Arial" w:cs="Arial"/>
          <w:color w:val="000000" w:themeColor="text1"/>
          <w:sz w:val="22"/>
        </w:rPr>
        <w:t>. The term includes complete refusal to vaccinate, delaying vaccinations, receiving vaccinations but the uncertainty of their use, or the use of certain vaccines but not others</w:t>
      </w:r>
      <w:r w:rsidR="008B278B">
        <w:rPr>
          <w:rFonts w:ascii="Arial" w:eastAsia="Times New Roman" w:hAnsi="Arial" w:cs="Arial"/>
          <w:color w:val="000000" w:themeColor="text1"/>
          <w:sz w:val="22"/>
        </w:rPr>
        <w:t xml:space="preserve"> (The Lancet, </w:t>
      </w:r>
      <w:r w:rsidR="00615755">
        <w:rPr>
          <w:rFonts w:ascii="Arial" w:eastAsia="Times New Roman" w:hAnsi="Arial" w:cs="Arial"/>
          <w:color w:val="000000" w:themeColor="text1"/>
          <w:sz w:val="22"/>
        </w:rPr>
        <w:t>2019)</w:t>
      </w:r>
      <w:r w:rsidR="00CA2103" w:rsidRPr="004B7094">
        <w:rPr>
          <w:rFonts w:ascii="Arial" w:eastAsia="Times New Roman" w:hAnsi="Arial" w:cs="Arial"/>
          <w:color w:val="000000" w:themeColor="text1"/>
          <w:sz w:val="22"/>
        </w:rPr>
        <w:t xml:space="preserve">. </w:t>
      </w:r>
      <w:r w:rsidR="008F35DD">
        <w:rPr>
          <w:rFonts w:ascii="Arial" w:eastAsia="Times New Roman" w:hAnsi="Arial" w:cs="Arial"/>
          <w:color w:val="000000" w:themeColor="text1"/>
          <w:sz w:val="22"/>
        </w:rPr>
        <w:t xml:space="preserve"> </w:t>
      </w:r>
    </w:p>
    <w:p w14:paraId="76FC6D4D" w14:textId="547C64BA" w:rsidR="008C4EBE" w:rsidRPr="004B7094" w:rsidRDefault="008C4EBE" w:rsidP="0082520A">
      <w:pPr>
        <w:spacing w:before="100" w:beforeAutospacing="1" w:after="100" w:afterAutospacing="1" w:line="360" w:lineRule="auto"/>
        <w:ind w:firstLine="720"/>
        <w:jc w:val="both"/>
        <w:rPr>
          <w:rFonts w:ascii="Arial" w:eastAsia="Times New Roman" w:hAnsi="Arial" w:cs="Arial"/>
          <w:color w:val="000000" w:themeColor="text1"/>
          <w:sz w:val="22"/>
        </w:rPr>
      </w:pPr>
      <w:r w:rsidRPr="008C4EBE">
        <w:rPr>
          <w:rFonts w:ascii="Arial" w:eastAsia="Times New Roman" w:hAnsi="Arial" w:cs="Arial"/>
          <w:color w:val="000000" w:themeColor="text1"/>
          <w:sz w:val="22"/>
        </w:rPr>
        <w:t>Factors that are affecting the vaccine hesitancy based on the “3Cs model” (confidence, convenience</w:t>
      </w:r>
      <w:r w:rsidR="00154EDA">
        <w:rPr>
          <w:rFonts w:ascii="Arial" w:eastAsia="Times New Roman" w:hAnsi="Arial" w:cs="Arial"/>
          <w:color w:val="000000" w:themeColor="text1"/>
          <w:sz w:val="22"/>
        </w:rPr>
        <w:t>,</w:t>
      </w:r>
      <w:r w:rsidRPr="008C4EBE">
        <w:rPr>
          <w:rFonts w:ascii="Arial" w:eastAsia="Times New Roman" w:hAnsi="Arial" w:cs="Arial"/>
          <w:color w:val="000000" w:themeColor="text1"/>
          <w:sz w:val="22"/>
        </w:rPr>
        <w:t xml:space="preserve"> and complacency) confidence is the trust in systems of administering the vaccines, on health services and professionals who </w:t>
      </w:r>
      <w:r w:rsidR="00154EDA">
        <w:rPr>
          <w:rFonts w:ascii="Arial" w:eastAsia="Times New Roman" w:hAnsi="Arial" w:cs="Arial"/>
          <w:color w:val="000000" w:themeColor="text1"/>
          <w:sz w:val="22"/>
        </w:rPr>
        <w:t>deliver</w:t>
      </w:r>
      <w:r w:rsidRPr="008C4EBE">
        <w:rPr>
          <w:rFonts w:ascii="Arial" w:eastAsia="Times New Roman" w:hAnsi="Arial" w:cs="Arial"/>
          <w:color w:val="000000" w:themeColor="text1"/>
          <w:sz w:val="22"/>
        </w:rPr>
        <w:t xml:space="preserve"> them, safety and effectiveness of vaccines complacency </w:t>
      </w:r>
      <w:r w:rsidR="00154EDA">
        <w:rPr>
          <w:rFonts w:ascii="Arial" w:eastAsia="Times New Roman" w:hAnsi="Arial" w:cs="Arial"/>
          <w:color w:val="000000" w:themeColor="text1"/>
          <w:sz w:val="22"/>
        </w:rPr>
        <w:t>refer</w:t>
      </w:r>
      <w:r w:rsidRPr="008C4EBE">
        <w:rPr>
          <w:rFonts w:ascii="Arial" w:eastAsia="Times New Roman" w:hAnsi="Arial" w:cs="Arial"/>
          <w:color w:val="000000" w:themeColor="text1"/>
          <w:sz w:val="22"/>
        </w:rPr>
        <w:t xml:space="preserve"> to when there is no need of vaccination if there less risk of </w:t>
      </w:r>
      <w:r w:rsidR="00154EDA">
        <w:rPr>
          <w:rFonts w:ascii="Arial" w:eastAsia="Times New Roman" w:hAnsi="Arial" w:cs="Arial"/>
          <w:color w:val="000000" w:themeColor="text1"/>
          <w:sz w:val="22"/>
        </w:rPr>
        <w:t>vaccine-preventable</w:t>
      </w:r>
      <w:r w:rsidRPr="008C4EBE">
        <w:rPr>
          <w:rFonts w:ascii="Arial" w:eastAsia="Times New Roman" w:hAnsi="Arial" w:cs="Arial"/>
          <w:color w:val="000000" w:themeColor="text1"/>
          <w:sz w:val="22"/>
        </w:rPr>
        <w:t xml:space="preserve"> disease and convenience is more about the affordability of vaccines according to the geographical point of view and willing to pay</w:t>
      </w:r>
      <w:r w:rsidR="000B7E3F">
        <w:rPr>
          <w:rFonts w:ascii="Arial" w:eastAsia="Times New Roman" w:hAnsi="Arial" w:cs="Arial"/>
          <w:color w:val="000000" w:themeColor="text1"/>
          <w:sz w:val="22"/>
        </w:rPr>
        <w:t xml:space="preserve"> </w:t>
      </w:r>
      <w:r w:rsidR="000B7E3F" w:rsidRPr="000B7E3F">
        <w:rPr>
          <w:rFonts w:ascii="Arial" w:eastAsia="Times New Roman" w:hAnsi="Arial" w:cs="Arial"/>
          <w:color w:val="000000" w:themeColor="text1"/>
          <w:sz w:val="22"/>
        </w:rPr>
        <w:t>(</w:t>
      </w:r>
      <w:r w:rsidR="000A669A">
        <w:rPr>
          <w:rFonts w:ascii="Arial" w:eastAsia="Times New Roman" w:hAnsi="Arial" w:cs="Arial"/>
          <w:color w:val="000000" w:themeColor="text1"/>
          <w:sz w:val="22"/>
        </w:rPr>
        <w:t>Frugoli et al. 2021)</w:t>
      </w:r>
      <w:r w:rsidRPr="008C4EBE">
        <w:rPr>
          <w:rFonts w:ascii="Arial" w:eastAsia="Times New Roman" w:hAnsi="Arial" w:cs="Arial"/>
          <w:color w:val="000000" w:themeColor="text1"/>
          <w:sz w:val="22"/>
        </w:rPr>
        <w:t>. Complacency and confidence are concerns about the psychological state while convenience is more about the accessibility of vaccines, their availability</w:t>
      </w:r>
      <w:r w:rsidR="00154EDA">
        <w:rPr>
          <w:rFonts w:ascii="Arial" w:eastAsia="Times New Roman" w:hAnsi="Arial" w:cs="Arial"/>
          <w:color w:val="000000" w:themeColor="text1"/>
          <w:sz w:val="22"/>
        </w:rPr>
        <w:t>,</w:t>
      </w:r>
      <w:r w:rsidRPr="008C4EBE">
        <w:rPr>
          <w:rFonts w:ascii="Arial" w:eastAsia="Times New Roman" w:hAnsi="Arial" w:cs="Arial"/>
          <w:color w:val="000000" w:themeColor="text1"/>
          <w:sz w:val="22"/>
        </w:rPr>
        <w:t xml:space="preserve"> and health literacy</w:t>
      </w:r>
      <w:r w:rsidR="002A3F74">
        <w:rPr>
          <w:rFonts w:ascii="Arial" w:eastAsia="Times New Roman" w:hAnsi="Arial" w:cs="Arial"/>
          <w:color w:val="000000" w:themeColor="text1"/>
          <w:sz w:val="22"/>
        </w:rPr>
        <w:t xml:space="preserve"> (Frugoli et al. 2021)</w:t>
      </w:r>
      <w:r w:rsidRPr="008C4EBE">
        <w:rPr>
          <w:rFonts w:ascii="Arial" w:eastAsia="Times New Roman" w:hAnsi="Arial" w:cs="Arial"/>
          <w:color w:val="000000" w:themeColor="text1"/>
          <w:sz w:val="22"/>
        </w:rPr>
        <w:t xml:space="preserve">. The most cited reason for vaccine hesitancy is the safety concerns (Kerrigan et al. 2020), there are more various concerns that </w:t>
      </w:r>
      <w:r w:rsidR="00154EDA">
        <w:rPr>
          <w:rFonts w:ascii="Arial" w:eastAsia="Times New Roman" w:hAnsi="Arial" w:cs="Arial"/>
          <w:color w:val="000000" w:themeColor="text1"/>
          <w:sz w:val="22"/>
        </w:rPr>
        <w:t>contribute</w:t>
      </w:r>
      <w:r w:rsidRPr="008C4EBE">
        <w:rPr>
          <w:rFonts w:ascii="Arial" w:eastAsia="Times New Roman" w:hAnsi="Arial" w:cs="Arial"/>
          <w:color w:val="000000" w:themeColor="text1"/>
          <w:sz w:val="22"/>
        </w:rPr>
        <w:t xml:space="preserve"> to vaccine hesitancy, some concerns were minor including pain while receiving vaccines and chances of fever, and other reasons identified were also the cause for the rise in vaccine hesitancy such as emotions, disease risks, way of thinking, experiences, trust in health care systems. </w:t>
      </w:r>
      <w:r w:rsidR="001778A6">
        <w:rPr>
          <w:rFonts w:ascii="Arial" w:eastAsia="Times New Roman" w:hAnsi="Arial" w:cs="Arial"/>
          <w:color w:val="000000" w:themeColor="text1"/>
          <w:sz w:val="22"/>
        </w:rPr>
        <w:t>Dudley et al., (2020) mentioned that v</w:t>
      </w:r>
      <w:r w:rsidRPr="008C4EBE">
        <w:rPr>
          <w:rFonts w:ascii="Arial" w:eastAsia="Times New Roman" w:hAnsi="Arial" w:cs="Arial"/>
          <w:color w:val="000000" w:themeColor="text1"/>
          <w:sz w:val="22"/>
        </w:rPr>
        <w:t xml:space="preserve">accine hesitancy is reduced by improving the uptake of </w:t>
      </w:r>
      <w:r w:rsidR="00154EDA">
        <w:rPr>
          <w:rFonts w:ascii="Arial" w:eastAsia="Times New Roman" w:hAnsi="Arial" w:cs="Arial"/>
          <w:color w:val="000000" w:themeColor="text1"/>
          <w:sz w:val="22"/>
        </w:rPr>
        <w:t xml:space="preserve">the </w:t>
      </w:r>
      <w:r w:rsidRPr="008C4EBE">
        <w:rPr>
          <w:rFonts w:ascii="Arial" w:eastAsia="Times New Roman" w:hAnsi="Arial" w:cs="Arial"/>
          <w:color w:val="000000" w:themeColor="text1"/>
          <w:sz w:val="22"/>
        </w:rPr>
        <w:t xml:space="preserve">vaccine, but uptake of </w:t>
      </w:r>
      <w:r w:rsidR="00154EDA">
        <w:rPr>
          <w:rFonts w:ascii="Arial" w:eastAsia="Times New Roman" w:hAnsi="Arial" w:cs="Arial"/>
          <w:color w:val="000000" w:themeColor="text1"/>
          <w:sz w:val="22"/>
        </w:rPr>
        <w:t>vaccines</w:t>
      </w:r>
      <w:r w:rsidRPr="008C4EBE">
        <w:rPr>
          <w:rFonts w:ascii="Arial" w:eastAsia="Times New Roman" w:hAnsi="Arial" w:cs="Arial"/>
          <w:color w:val="000000" w:themeColor="text1"/>
          <w:sz w:val="22"/>
        </w:rPr>
        <w:t xml:space="preserve"> </w:t>
      </w:r>
      <w:r w:rsidR="00154EDA">
        <w:rPr>
          <w:rFonts w:ascii="Arial" w:eastAsia="Times New Roman" w:hAnsi="Arial" w:cs="Arial"/>
          <w:color w:val="000000" w:themeColor="text1"/>
          <w:sz w:val="22"/>
        </w:rPr>
        <w:t>affected</w:t>
      </w:r>
      <w:r w:rsidRPr="008C4EBE">
        <w:rPr>
          <w:rFonts w:ascii="Arial" w:eastAsia="Times New Roman" w:hAnsi="Arial" w:cs="Arial"/>
          <w:color w:val="000000" w:themeColor="text1"/>
          <w:sz w:val="22"/>
        </w:rPr>
        <w:t xml:space="preserve"> by the factors </w:t>
      </w:r>
      <w:r w:rsidR="00154EDA">
        <w:rPr>
          <w:rFonts w:ascii="Arial" w:eastAsia="Times New Roman" w:hAnsi="Arial" w:cs="Arial"/>
          <w:color w:val="000000" w:themeColor="text1"/>
          <w:sz w:val="22"/>
        </w:rPr>
        <w:t>are challenging</w:t>
      </w:r>
      <w:r w:rsidRPr="008C4EBE">
        <w:rPr>
          <w:rFonts w:ascii="Arial" w:eastAsia="Times New Roman" w:hAnsi="Arial" w:cs="Arial"/>
          <w:color w:val="000000" w:themeColor="text1"/>
          <w:sz w:val="22"/>
        </w:rPr>
        <w:t xml:space="preserve"> to affordability, acceptance, access, activation</w:t>
      </w:r>
      <w:r w:rsidR="00154EDA">
        <w:rPr>
          <w:rFonts w:ascii="Arial" w:eastAsia="Times New Roman" w:hAnsi="Arial" w:cs="Arial"/>
          <w:color w:val="000000" w:themeColor="text1"/>
          <w:sz w:val="22"/>
        </w:rPr>
        <w:t>,</w:t>
      </w:r>
      <w:r w:rsidRPr="008C4EBE">
        <w:rPr>
          <w:rFonts w:ascii="Arial" w:eastAsia="Times New Roman" w:hAnsi="Arial" w:cs="Arial"/>
          <w:color w:val="000000" w:themeColor="text1"/>
          <w:sz w:val="22"/>
        </w:rPr>
        <w:t xml:space="preserve"> and awareness (5As)</w:t>
      </w:r>
      <w:r w:rsidR="003E188C">
        <w:rPr>
          <w:rFonts w:ascii="Arial" w:eastAsia="Times New Roman" w:hAnsi="Arial" w:cs="Arial"/>
          <w:color w:val="000000" w:themeColor="text1"/>
          <w:sz w:val="22"/>
        </w:rPr>
        <w:t xml:space="preserve"> </w:t>
      </w:r>
      <w:r w:rsidR="00FE18D1">
        <w:rPr>
          <w:rFonts w:ascii="Arial" w:eastAsia="Times New Roman" w:hAnsi="Arial" w:cs="Arial"/>
          <w:color w:val="000000" w:themeColor="text1"/>
          <w:sz w:val="22"/>
        </w:rPr>
        <w:t>.</w:t>
      </w:r>
    </w:p>
    <w:p w14:paraId="2CE69EF3" w14:textId="08D76D0E" w:rsidR="00DE0DD8" w:rsidRDefault="005F7174" w:rsidP="00DE0DD8">
      <w:pPr>
        <w:spacing w:before="100" w:beforeAutospacing="1" w:after="100" w:afterAutospacing="1" w:line="360" w:lineRule="auto"/>
        <w:ind w:firstLine="720"/>
        <w:jc w:val="both"/>
        <w:rPr>
          <w:rFonts w:ascii="Arial" w:eastAsia="Times New Roman" w:hAnsi="Arial" w:cs="Arial"/>
          <w:color w:val="000000" w:themeColor="text1"/>
          <w:sz w:val="22"/>
        </w:rPr>
      </w:pPr>
      <w:r w:rsidRPr="004B7094">
        <w:rPr>
          <w:rFonts w:ascii="Arial" w:eastAsia="Times New Roman" w:hAnsi="Arial" w:cs="Arial"/>
          <w:color w:val="000000" w:themeColor="text1"/>
          <w:sz w:val="22"/>
        </w:rPr>
        <w:t xml:space="preserve">Explanations behind antibody reluctance are recognized as being complicated yet in addition setting explicit. Reluctance around take-up can fluctuate topographically, at various occasions, and for various immunizations by a scope of elements including carelessness around the infection, </w:t>
      </w:r>
      <w:r w:rsidR="00AA4D0D" w:rsidRPr="004B7094">
        <w:rPr>
          <w:rFonts w:ascii="Arial" w:eastAsia="Times New Roman" w:hAnsi="Arial" w:cs="Arial"/>
          <w:color w:val="000000" w:themeColor="text1"/>
          <w:sz w:val="22"/>
        </w:rPr>
        <w:t xml:space="preserve">the </w:t>
      </w:r>
      <w:r w:rsidRPr="004B7094">
        <w:rPr>
          <w:rFonts w:ascii="Arial" w:eastAsia="Times New Roman" w:hAnsi="Arial" w:cs="Arial"/>
          <w:color w:val="000000" w:themeColor="text1"/>
          <w:sz w:val="22"/>
        </w:rPr>
        <w:t>comfort of access, and trust in the actual antibody</w:t>
      </w:r>
      <w:r w:rsidR="003D5624" w:rsidRPr="004B7094">
        <w:rPr>
          <w:rFonts w:ascii="Arial" w:eastAsia="Times New Roman" w:hAnsi="Arial" w:cs="Arial"/>
          <w:color w:val="000000" w:themeColor="text1"/>
          <w:sz w:val="22"/>
        </w:rPr>
        <w:t xml:space="preserve"> (MacDonald, 2015)</w:t>
      </w:r>
      <w:r w:rsidRPr="004B7094">
        <w:rPr>
          <w:rFonts w:ascii="Arial" w:eastAsia="Times New Roman" w:hAnsi="Arial" w:cs="Arial"/>
          <w:color w:val="000000" w:themeColor="text1"/>
          <w:sz w:val="22"/>
        </w:rPr>
        <w:t xml:space="preserve">. In examinations led before immunization endorsement, aversion rates for a COVID-19 antibody in the overall UK populace shifted enormously, from roughly </w:t>
      </w:r>
      <w:r w:rsidR="004D12DF" w:rsidRPr="004B7094">
        <w:rPr>
          <w:rFonts w:ascii="Arial" w:eastAsia="Times New Roman" w:hAnsi="Arial" w:cs="Arial"/>
          <w:color w:val="000000" w:themeColor="text1"/>
          <w:sz w:val="22"/>
        </w:rPr>
        <w:t>“</w:t>
      </w:r>
      <w:r w:rsidRPr="004B7094">
        <w:rPr>
          <w:rFonts w:ascii="Arial" w:eastAsia="Times New Roman" w:hAnsi="Arial" w:cs="Arial"/>
          <w:color w:val="000000" w:themeColor="text1"/>
          <w:sz w:val="22"/>
        </w:rPr>
        <w:t>12%</w:t>
      </w:r>
      <w:r w:rsidR="00DD7629" w:rsidRPr="004B7094">
        <w:rPr>
          <w:rFonts w:ascii="Arial" w:eastAsia="Times New Roman" w:hAnsi="Arial" w:cs="Arial"/>
          <w:color w:val="000000" w:themeColor="text1"/>
          <w:sz w:val="22"/>
        </w:rPr>
        <w:t xml:space="preserve"> to 31%” (Freeman et al. 2020)</w:t>
      </w:r>
      <w:r w:rsidRPr="004B7094">
        <w:rPr>
          <w:rFonts w:ascii="Arial" w:eastAsia="Times New Roman" w:hAnsi="Arial" w:cs="Arial"/>
          <w:color w:val="000000" w:themeColor="text1"/>
          <w:sz w:val="22"/>
        </w:rPr>
        <w:t xml:space="preserve">. In investigations where identity was thought of, little example sizes didn't take into consideration definite examination of explicit ethnic </w:t>
      </w:r>
      <w:r w:rsidR="00DE0DD8" w:rsidRPr="004B7094">
        <w:rPr>
          <w:rFonts w:ascii="Arial" w:eastAsia="Times New Roman" w:hAnsi="Arial" w:cs="Arial"/>
          <w:color w:val="000000" w:themeColor="text1"/>
          <w:sz w:val="22"/>
        </w:rPr>
        <w:t>gatherings yet</w:t>
      </w:r>
      <w:r w:rsidRPr="004B7094">
        <w:rPr>
          <w:rFonts w:ascii="Arial" w:eastAsia="Times New Roman" w:hAnsi="Arial" w:cs="Arial"/>
          <w:color w:val="000000" w:themeColor="text1"/>
          <w:sz w:val="22"/>
        </w:rPr>
        <w:t xml:space="preserve"> recommended more prominent reluctance among individuals named non-White. This is especially significant, given the frequently more </w:t>
      </w:r>
      <w:r w:rsidR="00DE0DD8" w:rsidRPr="004B7094">
        <w:rPr>
          <w:rFonts w:ascii="Arial" w:eastAsia="Times New Roman" w:hAnsi="Arial" w:cs="Arial"/>
          <w:color w:val="000000" w:themeColor="text1"/>
          <w:sz w:val="22"/>
        </w:rPr>
        <w:t>danger</w:t>
      </w:r>
      <w:r w:rsidRPr="004B7094">
        <w:rPr>
          <w:rFonts w:ascii="Arial" w:eastAsia="Times New Roman" w:hAnsi="Arial" w:cs="Arial"/>
          <w:color w:val="000000" w:themeColor="text1"/>
          <w:sz w:val="22"/>
        </w:rPr>
        <w:t xml:space="preserve"> of COVID-19 damages </w:t>
      </w:r>
      <w:r w:rsidR="00AA4D0D" w:rsidRPr="004B7094">
        <w:rPr>
          <w:rFonts w:ascii="Arial" w:eastAsia="Times New Roman" w:hAnsi="Arial" w:cs="Arial"/>
          <w:color w:val="000000" w:themeColor="text1"/>
          <w:sz w:val="22"/>
        </w:rPr>
        <w:t>seen</w:t>
      </w:r>
      <w:r w:rsidRPr="004B7094">
        <w:rPr>
          <w:rFonts w:ascii="Arial" w:eastAsia="Times New Roman" w:hAnsi="Arial" w:cs="Arial"/>
          <w:color w:val="000000" w:themeColor="text1"/>
          <w:sz w:val="22"/>
        </w:rPr>
        <w:t xml:space="preserve"> among a few ethnic minority gatherings</w:t>
      </w:r>
      <w:r w:rsidR="001C704B">
        <w:rPr>
          <w:rFonts w:ascii="Arial" w:eastAsia="Times New Roman" w:hAnsi="Arial" w:cs="Arial"/>
          <w:color w:val="000000" w:themeColor="text1"/>
          <w:sz w:val="22"/>
        </w:rPr>
        <w:t xml:space="preserve"> (Freeman et al</w:t>
      </w:r>
      <w:r w:rsidR="00682420">
        <w:rPr>
          <w:rFonts w:ascii="Arial" w:eastAsia="Times New Roman" w:hAnsi="Arial" w:cs="Arial"/>
          <w:color w:val="000000" w:themeColor="text1"/>
          <w:sz w:val="22"/>
        </w:rPr>
        <w:t>. 2020).</w:t>
      </w:r>
      <w:r w:rsidR="00DE0DD8" w:rsidRPr="004B7094">
        <w:rPr>
          <w:rFonts w:ascii="Arial" w:eastAsia="Times New Roman" w:hAnsi="Arial" w:cs="Arial"/>
          <w:color w:val="000000" w:themeColor="text1"/>
          <w:sz w:val="22"/>
        </w:rPr>
        <w:t xml:space="preserve"> </w:t>
      </w:r>
      <w:bookmarkStart w:id="1" w:name="_Toc90222631"/>
    </w:p>
    <w:p w14:paraId="68FAADA9" w14:textId="336A6F73" w:rsidR="00CF5578" w:rsidRPr="004B7094" w:rsidRDefault="004F13B1" w:rsidP="0008386C">
      <w:pPr>
        <w:spacing w:before="100" w:beforeAutospacing="1" w:after="100" w:afterAutospacing="1" w:line="360" w:lineRule="auto"/>
        <w:jc w:val="both"/>
        <w:rPr>
          <w:rFonts w:ascii="Arial" w:hAnsi="Arial" w:cs="Arial"/>
          <w:b/>
          <w:bCs/>
          <w:i/>
          <w:iCs/>
          <w:sz w:val="22"/>
        </w:rPr>
      </w:pPr>
      <w:r>
        <w:rPr>
          <w:rFonts w:ascii="Arial" w:hAnsi="Arial" w:cs="Arial"/>
          <w:bCs/>
          <w:iCs/>
          <w:sz w:val="22"/>
        </w:rPr>
        <w:t>Research question:</w:t>
      </w:r>
      <w:r w:rsidR="00130AE1">
        <w:rPr>
          <w:rFonts w:ascii="Arial" w:hAnsi="Arial" w:cs="Arial"/>
          <w:bCs/>
          <w:iCs/>
          <w:sz w:val="22"/>
        </w:rPr>
        <w:t xml:space="preserve"> </w:t>
      </w:r>
      <w:r w:rsidR="00130AE1" w:rsidRPr="00130AE1">
        <w:rPr>
          <w:rFonts w:ascii="Arial" w:hAnsi="Arial" w:cs="Arial"/>
          <w:bCs/>
          <w:iCs/>
          <w:sz w:val="22"/>
        </w:rPr>
        <w:t>What factors contribute to the hesitation to a vaccine against COVID-19 and what are the related risks?</w:t>
      </w:r>
      <w:r w:rsidR="00DB562F">
        <w:rPr>
          <w:rFonts w:ascii="Arial" w:hAnsi="Arial" w:cs="Arial"/>
          <w:bCs/>
          <w:iCs/>
          <w:sz w:val="22"/>
        </w:rPr>
        <w:tab/>
      </w:r>
      <w:r w:rsidR="00DB562F">
        <w:rPr>
          <w:rFonts w:ascii="Arial" w:hAnsi="Arial" w:cs="Arial"/>
          <w:bCs/>
          <w:iCs/>
          <w:sz w:val="22"/>
        </w:rPr>
        <w:tab/>
      </w:r>
      <w:r w:rsidR="00DB562F">
        <w:rPr>
          <w:rFonts w:ascii="Arial" w:hAnsi="Arial" w:cs="Arial"/>
          <w:bCs/>
          <w:iCs/>
          <w:sz w:val="22"/>
        </w:rPr>
        <w:tab/>
      </w:r>
      <w:r w:rsidR="00DB562F">
        <w:rPr>
          <w:rFonts w:ascii="Arial" w:hAnsi="Arial" w:cs="Arial"/>
          <w:bCs/>
          <w:iCs/>
          <w:sz w:val="22"/>
        </w:rPr>
        <w:tab/>
      </w:r>
      <w:r w:rsidR="00DB562F">
        <w:rPr>
          <w:rFonts w:ascii="Arial" w:hAnsi="Arial" w:cs="Arial"/>
          <w:bCs/>
          <w:iCs/>
          <w:sz w:val="22"/>
        </w:rPr>
        <w:tab/>
      </w:r>
      <w:r w:rsidR="00DB562F">
        <w:rPr>
          <w:rFonts w:ascii="Arial" w:hAnsi="Arial" w:cs="Arial"/>
          <w:bCs/>
          <w:iCs/>
          <w:sz w:val="22"/>
        </w:rPr>
        <w:tab/>
        <w:t xml:space="preserve">                              </w:t>
      </w:r>
      <w:r w:rsidR="00130AE1">
        <w:rPr>
          <w:rFonts w:ascii="Arial" w:hAnsi="Arial" w:cs="Arial"/>
          <w:bCs/>
          <w:iCs/>
          <w:sz w:val="22"/>
        </w:rPr>
        <w:t xml:space="preserve">                           </w:t>
      </w:r>
      <w:r w:rsidR="00DB562F">
        <w:rPr>
          <w:rFonts w:ascii="Arial" w:hAnsi="Arial" w:cs="Arial"/>
          <w:bCs/>
          <w:iCs/>
          <w:sz w:val="22"/>
        </w:rPr>
        <w:t>Aim</w:t>
      </w:r>
      <w:r w:rsidR="00455B05" w:rsidRPr="004B7094">
        <w:rPr>
          <w:rFonts w:ascii="Arial" w:hAnsi="Arial" w:cs="Arial"/>
          <w:bCs/>
          <w:iCs/>
          <w:sz w:val="22"/>
        </w:rPr>
        <w:t>:</w:t>
      </w:r>
      <w:r w:rsidR="005517C4" w:rsidRPr="004B7094">
        <w:rPr>
          <w:rFonts w:ascii="Arial" w:hAnsi="Arial" w:cs="Arial"/>
          <w:iCs/>
          <w:sz w:val="22"/>
        </w:rPr>
        <w:t xml:space="preserve"> </w:t>
      </w:r>
      <w:r w:rsidR="007B6827" w:rsidRPr="004B7094">
        <w:rPr>
          <w:rFonts w:ascii="Arial" w:hAnsi="Arial" w:cs="Arial"/>
          <w:iCs/>
          <w:sz w:val="22"/>
        </w:rPr>
        <w:t xml:space="preserve">The </w:t>
      </w:r>
      <w:r w:rsidR="000D0424" w:rsidRPr="004B7094">
        <w:rPr>
          <w:rFonts w:ascii="Arial" w:hAnsi="Arial" w:cs="Arial"/>
          <w:iCs/>
          <w:sz w:val="22"/>
        </w:rPr>
        <w:t>predominant</w:t>
      </w:r>
      <w:r w:rsidR="007B6827" w:rsidRPr="004B7094">
        <w:rPr>
          <w:rFonts w:ascii="Arial" w:hAnsi="Arial" w:cs="Arial"/>
          <w:iCs/>
          <w:sz w:val="22"/>
        </w:rPr>
        <w:t xml:space="preserve"> purpose of the study was to evaluate</w:t>
      </w:r>
      <w:r w:rsidR="000D0424" w:rsidRPr="004B7094">
        <w:rPr>
          <w:rFonts w:ascii="Arial" w:hAnsi="Arial" w:cs="Arial"/>
          <w:iCs/>
          <w:sz w:val="22"/>
        </w:rPr>
        <w:t xml:space="preserve"> the factors related to</w:t>
      </w:r>
      <w:r w:rsidR="007B6827" w:rsidRPr="004B7094">
        <w:rPr>
          <w:rFonts w:ascii="Arial" w:hAnsi="Arial" w:cs="Arial"/>
          <w:iCs/>
          <w:sz w:val="22"/>
        </w:rPr>
        <w:t xml:space="preserve"> COVID-19 vaccine hesitancy </w:t>
      </w:r>
      <w:r w:rsidR="00505694" w:rsidRPr="004B7094">
        <w:rPr>
          <w:rFonts w:ascii="Arial" w:hAnsi="Arial" w:cs="Arial"/>
          <w:iCs/>
          <w:sz w:val="22"/>
        </w:rPr>
        <w:t xml:space="preserve">among the </w:t>
      </w:r>
      <w:r w:rsidR="006B7FAB">
        <w:rPr>
          <w:rFonts w:ascii="Arial" w:hAnsi="Arial" w:cs="Arial"/>
          <w:iCs/>
          <w:sz w:val="22"/>
        </w:rPr>
        <w:t xml:space="preserve">Brits </w:t>
      </w:r>
      <w:r w:rsidR="002F09C5" w:rsidRPr="004B7094">
        <w:rPr>
          <w:rFonts w:ascii="Arial" w:hAnsi="Arial" w:cs="Arial"/>
          <w:iCs/>
          <w:sz w:val="22"/>
        </w:rPr>
        <w:t>living in the UK</w:t>
      </w:r>
      <w:r w:rsidR="000B1B7C" w:rsidRPr="004B7094">
        <w:rPr>
          <w:rFonts w:ascii="Arial" w:hAnsi="Arial" w:cs="Arial"/>
          <w:iCs/>
          <w:sz w:val="22"/>
        </w:rPr>
        <w:t>.</w:t>
      </w:r>
      <w:r w:rsidR="00DE0DD8" w:rsidRPr="004B7094">
        <w:rPr>
          <w:rFonts w:ascii="Arial" w:hAnsi="Arial" w:cs="Arial"/>
          <w:iCs/>
          <w:sz w:val="22"/>
        </w:rPr>
        <w:t xml:space="preserve"> </w:t>
      </w:r>
      <w:r w:rsidR="004B7094" w:rsidRPr="004B7094">
        <w:rPr>
          <w:rFonts w:ascii="Arial" w:hAnsi="Arial" w:cs="Arial"/>
          <w:iCs/>
          <w:sz w:val="22"/>
        </w:rPr>
        <w:tab/>
      </w:r>
      <w:r w:rsidR="004B7094" w:rsidRPr="004B7094">
        <w:rPr>
          <w:rFonts w:ascii="Arial" w:hAnsi="Arial" w:cs="Arial"/>
          <w:iCs/>
          <w:sz w:val="22"/>
        </w:rPr>
        <w:tab/>
        <w:t xml:space="preserve">                   </w:t>
      </w:r>
      <w:r w:rsidR="00BA0982">
        <w:rPr>
          <w:rFonts w:ascii="Arial" w:hAnsi="Arial" w:cs="Arial"/>
          <w:iCs/>
          <w:sz w:val="22"/>
        </w:rPr>
        <w:t xml:space="preserve">                           </w:t>
      </w:r>
      <w:r w:rsidR="004B7094" w:rsidRPr="004B7094">
        <w:rPr>
          <w:rFonts w:ascii="Arial" w:hAnsi="Arial" w:cs="Arial"/>
          <w:iCs/>
          <w:sz w:val="22"/>
        </w:rPr>
        <w:t xml:space="preserve">  </w:t>
      </w:r>
      <w:r w:rsidR="00CF5578" w:rsidRPr="004B7094">
        <w:rPr>
          <w:rFonts w:ascii="Arial" w:hAnsi="Arial" w:cs="Arial"/>
          <w:bCs/>
          <w:iCs/>
          <w:sz w:val="22"/>
        </w:rPr>
        <w:t>Objectives</w:t>
      </w:r>
      <w:bookmarkEnd w:id="1"/>
      <w:r w:rsidR="00455B05" w:rsidRPr="004B7094">
        <w:rPr>
          <w:rFonts w:ascii="Arial" w:hAnsi="Arial" w:cs="Arial"/>
          <w:bCs/>
          <w:iCs/>
          <w:sz w:val="22"/>
        </w:rPr>
        <w:t>:</w:t>
      </w:r>
      <w:r w:rsidR="00455B05" w:rsidRPr="004B7094">
        <w:rPr>
          <w:rFonts w:ascii="Arial" w:hAnsi="Arial" w:cs="Arial"/>
          <w:iCs/>
          <w:sz w:val="22"/>
        </w:rPr>
        <w:t xml:space="preserve"> </w:t>
      </w:r>
      <w:r w:rsidR="00A073AF" w:rsidRPr="004B7094">
        <w:rPr>
          <w:rFonts w:ascii="Arial" w:hAnsi="Arial" w:cs="Arial"/>
          <w:iCs/>
          <w:sz w:val="22"/>
        </w:rPr>
        <w:t xml:space="preserve">Examine relevant publications to determine socio-demographic variations, respondents' opinions, and </w:t>
      </w:r>
      <w:r w:rsidR="00354EE5" w:rsidRPr="004B7094">
        <w:rPr>
          <w:rFonts w:ascii="Arial" w:hAnsi="Arial" w:cs="Arial"/>
          <w:iCs/>
          <w:sz w:val="22"/>
        </w:rPr>
        <w:t>find out association</w:t>
      </w:r>
      <w:r w:rsidR="008544C6" w:rsidRPr="004B7094">
        <w:rPr>
          <w:rFonts w:ascii="Arial" w:hAnsi="Arial" w:cs="Arial"/>
          <w:iCs/>
          <w:sz w:val="22"/>
        </w:rPr>
        <w:t>s</w:t>
      </w:r>
      <w:r w:rsidR="00354EE5" w:rsidRPr="004B7094">
        <w:rPr>
          <w:rFonts w:ascii="Arial" w:hAnsi="Arial" w:cs="Arial"/>
          <w:iCs/>
          <w:sz w:val="22"/>
        </w:rPr>
        <w:t xml:space="preserve"> </w:t>
      </w:r>
      <w:r w:rsidR="00A073AF" w:rsidRPr="004B7094">
        <w:rPr>
          <w:rFonts w:ascii="Arial" w:hAnsi="Arial" w:cs="Arial"/>
          <w:iCs/>
          <w:sz w:val="22"/>
        </w:rPr>
        <w:t>between injection fears and vaccine hesitation.</w:t>
      </w:r>
      <w:r w:rsidR="0008386C">
        <w:rPr>
          <w:rFonts w:ascii="Arial" w:hAnsi="Arial" w:cs="Arial"/>
          <w:iCs/>
          <w:sz w:val="22"/>
        </w:rPr>
        <w:t xml:space="preserve"> </w:t>
      </w:r>
      <w:r w:rsidR="00A073AF" w:rsidRPr="004B7094">
        <w:rPr>
          <w:rFonts w:ascii="Arial" w:hAnsi="Arial" w:cs="Arial"/>
          <w:iCs/>
          <w:sz w:val="22"/>
        </w:rPr>
        <w:t>Determine what factors may be contributing to vaccine apprehension for COVID-19.</w:t>
      </w:r>
    </w:p>
    <w:p w14:paraId="3137411E" w14:textId="77777777" w:rsidR="00881438" w:rsidRPr="005C53F4" w:rsidRDefault="00881438" w:rsidP="005C53F4">
      <w:pPr>
        <w:spacing w:line="360" w:lineRule="auto"/>
        <w:jc w:val="both"/>
        <w:rPr>
          <w:rFonts w:ascii="Arial" w:hAnsi="Arial" w:cs="Arial"/>
          <w:color w:val="000000" w:themeColor="text1"/>
        </w:rPr>
      </w:pPr>
    </w:p>
    <w:p w14:paraId="73E51EBB" w14:textId="77777777" w:rsidR="008F2E02" w:rsidRPr="002C498F" w:rsidRDefault="008F2E02" w:rsidP="005C53F4">
      <w:pPr>
        <w:pStyle w:val="Heading1"/>
        <w:numPr>
          <w:ilvl w:val="0"/>
          <w:numId w:val="1"/>
        </w:numPr>
        <w:spacing w:line="360" w:lineRule="auto"/>
        <w:rPr>
          <w:rFonts w:ascii="Arial" w:hAnsi="Arial" w:cs="Arial"/>
          <w:iCs/>
          <w:sz w:val="28"/>
          <w:szCs w:val="28"/>
        </w:rPr>
      </w:pPr>
      <w:bookmarkStart w:id="2" w:name="_Toc90222632"/>
      <w:r w:rsidRPr="002C498F">
        <w:rPr>
          <w:rFonts w:ascii="Arial" w:hAnsi="Arial" w:cs="Arial"/>
          <w:iCs/>
          <w:sz w:val="28"/>
          <w:szCs w:val="28"/>
        </w:rPr>
        <w:t>Background</w:t>
      </w:r>
      <w:bookmarkEnd w:id="2"/>
    </w:p>
    <w:p w14:paraId="6F250F20" w14:textId="70B36F0C" w:rsidR="004D5348" w:rsidRDefault="008B2544" w:rsidP="005C53F4">
      <w:pPr>
        <w:spacing w:line="360" w:lineRule="auto"/>
        <w:ind w:firstLine="720"/>
        <w:jc w:val="both"/>
        <w:rPr>
          <w:rFonts w:ascii="Arial" w:hAnsi="Arial" w:cs="Arial"/>
          <w:color w:val="000000" w:themeColor="text1"/>
          <w:sz w:val="22"/>
        </w:rPr>
      </w:pPr>
      <w:r w:rsidRPr="008B2544">
        <w:rPr>
          <w:rFonts w:ascii="Arial" w:hAnsi="Arial" w:cs="Arial"/>
          <w:color w:val="000000" w:themeColor="text1"/>
          <w:sz w:val="22"/>
        </w:rPr>
        <w:t xml:space="preserve">Indeed, even before the </w:t>
      </w:r>
      <w:r w:rsidR="00165C33">
        <w:rPr>
          <w:rFonts w:ascii="Arial" w:hAnsi="Arial" w:cs="Arial"/>
          <w:color w:val="000000" w:themeColor="text1"/>
          <w:sz w:val="22"/>
        </w:rPr>
        <w:t xml:space="preserve">first </w:t>
      </w:r>
      <w:r w:rsidRPr="008B2544">
        <w:rPr>
          <w:rFonts w:ascii="Arial" w:hAnsi="Arial" w:cs="Arial"/>
          <w:color w:val="000000" w:themeColor="text1"/>
          <w:sz w:val="22"/>
        </w:rPr>
        <w:t>outbreak of SARS-CoV-2</w:t>
      </w:r>
      <w:r w:rsidR="00165C33">
        <w:rPr>
          <w:rFonts w:ascii="Arial" w:hAnsi="Arial" w:cs="Arial"/>
          <w:color w:val="000000" w:themeColor="text1"/>
          <w:sz w:val="22"/>
        </w:rPr>
        <w:t xml:space="preserve"> in </w:t>
      </w:r>
      <w:r w:rsidR="00C74AE3">
        <w:rPr>
          <w:rFonts w:ascii="Arial" w:hAnsi="Arial" w:cs="Arial"/>
          <w:color w:val="000000" w:themeColor="text1"/>
          <w:sz w:val="22"/>
        </w:rPr>
        <w:t>Wuhan in China</w:t>
      </w:r>
      <w:r w:rsidRPr="008B2544">
        <w:rPr>
          <w:rFonts w:ascii="Arial" w:hAnsi="Arial" w:cs="Arial"/>
          <w:color w:val="000000" w:themeColor="text1"/>
          <w:sz w:val="22"/>
        </w:rPr>
        <w:t>, WHO</w:t>
      </w:r>
      <w:r w:rsidR="00143433">
        <w:rPr>
          <w:rFonts w:ascii="Arial" w:hAnsi="Arial" w:cs="Arial"/>
          <w:color w:val="000000" w:themeColor="text1"/>
          <w:sz w:val="22"/>
        </w:rPr>
        <w:t xml:space="preserve"> (2019)</w:t>
      </w:r>
      <w:r w:rsidRPr="008B2544">
        <w:rPr>
          <w:rFonts w:ascii="Arial" w:hAnsi="Arial" w:cs="Arial"/>
          <w:color w:val="000000" w:themeColor="text1"/>
          <w:sz w:val="22"/>
        </w:rPr>
        <w:t xml:space="preserve"> had featured immunization aversion as one of the ten driving dangers to worldwide well-being. The “WHO Strategic Advisory Group of Experts Working Group on Vaccine Hesitancy” characterizes it as the "delay in acknowledgment or refusal of safe antibodies regardless of the accessibility of immunization administrations" (WHO, 2019). Fear of vaccination with COVID19 is common in the population and has a detrimental effect both on individuals as there is a greater risk of infection, and on the community, as there is a greater likelihood of transmission of the virus (Freeman et al. 2021). </w:t>
      </w:r>
      <w:r w:rsidR="004D12DF" w:rsidRPr="004F73BB">
        <w:rPr>
          <w:rFonts w:ascii="Arial" w:hAnsi="Arial" w:cs="Arial"/>
          <w:color w:val="000000" w:themeColor="text1"/>
          <w:sz w:val="22"/>
        </w:rPr>
        <w:t>“</w:t>
      </w:r>
      <w:r w:rsidR="005F7174" w:rsidRPr="004F73BB">
        <w:rPr>
          <w:rFonts w:ascii="Arial" w:hAnsi="Arial" w:cs="Arial"/>
          <w:color w:val="000000" w:themeColor="text1"/>
          <w:sz w:val="22"/>
        </w:rPr>
        <w:t>The COVID-19 pandemic has been portrayed as a 'syndemic' where it acts along with, yet declines and intensifies, non-transmittable infections and social conditions and thus worsens disparities in wellbeing</w:t>
      </w:r>
      <w:r w:rsidR="004D12DF" w:rsidRPr="004F73BB">
        <w:rPr>
          <w:rFonts w:ascii="Arial" w:hAnsi="Arial" w:cs="Arial"/>
          <w:color w:val="000000" w:themeColor="text1"/>
          <w:sz w:val="22"/>
        </w:rPr>
        <w:t>”</w:t>
      </w:r>
      <w:r w:rsidR="003D5624" w:rsidRPr="004F73BB">
        <w:rPr>
          <w:rFonts w:ascii="Arial" w:hAnsi="Arial" w:cs="Arial"/>
          <w:color w:val="000000" w:themeColor="text1"/>
          <w:sz w:val="22"/>
        </w:rPr>
        <w:t>.</w:t>
      </w:r>
      <w:r w:rsidR="005F7174" w:rsidRPr="004F73BB">
        <w:rPr>
          <w:rFonts w:ascii="Arial" w:hAnsi="Arial" w:cs="Arial"/>
          <w:color w:val="000000" w:themeColor="text1"/>
          <w:sz w:val="22"/>
        </w:rPr>
        <w:t xml:space="preserve"> As disparities as of now exist in occasional flu and pneumococcal immunization take-up, with lower take-up in more denied regions there is motivation to accept that imbalances will exist in a</w:t>
      </w:r>
      <w:r w:rsidR="00DD7629" w:rsidRPr="004F73BB">
        <w:rPr>
          <w:rFonts w:ascii="Arial" w:hAnsi="Arial" w:cs="Arial"/>
          <w:color w:val="000000" w:themeColor="text1"/>
          <w:sz w:val="22"/>
        </w:rPr>
        <w:t xml:space="preserve">ntibody take-up against </w:t>
      </w:r>
      <w:r w:rsidR="00FB18D2">
        <w:rPr>
          <w:rFonts w:ascii="Arial" w:hAnsi="Arial" w:cs="Arial"/>
          <w:color w:val="000000" w:themeColor="text1"/>
          <w:sz w:val="22"/>
        </w:rPr>
        <w:t>coronavirus</w:t>
      </w:r>
      <w:r w:rsidR="003D5624" w:rsidRPr="004F73BB">
        <w:rPr>
          <w:rFonts w:ascii="Arial" w:hAnsi="Arial" w:cs="Arial"/>
          <w:color w:val="000000" w:themeColor="text1"/>
          <w:sz w:val="22"/>
        </w:rPr>
        <w:t xml:space="preserve"> (Bambra et al.</w:t>
      </w:r>
      <w:r w:rsidR="00CF1B56">
        <w:rPr>
          <w:rFonts w:ascii="Arial" w:hAnsi="Arial" w:cs="Arial"/>
          <w:color w:val="000000" w:themeColor="text1"/>
          <w:sz w:val="22"/>
        </w:rPr>
        <w:t xml:space="preserve"> </w:t>
      </w:r>
      <w:r w:rsidR="003D5624" w:rsidRPr="004F73BB">
        <w:rPr>
          <w:rFonts w:ascii="Arial" w:hAnsi="Arial" w:cs="Arial"/>
          <w:color w:val="000000" w:themeColor="text1"/>
          <w:sz w:val="22"/>
        </w:rPr>
        <w:t>2020)</w:t>
      </w:r>
      <w:r w:rsidR="00FB18D2">
        <w:rPr>
          <w:rFonts w:ascii="Arial" w:hAnsi="Arial" w:cs="Arial"/>
          <w:color w:val="000000" w:themeColor="text1"/>
          <w:sz w:val="22"/>
        </w:rPr>
        <w:t>.</w:t>
      </w:r>
      <w:r w:rsidR="005F7174" w:rsidRPr="004F73BB">
        <w:rPr>
          <w:rFonts w:ascii="Arial" w:hAnsi="Arial" w:cs="Arial"/>
          <w:color w:val="000000" w:themeColor="text1"/>
          <w:sz w:val="22"/>
        </w:rPr>
        <w:t xml:space="preserve"> Understanding </w:t>
      </w:r>
      <w:r w:rsidR="003706FA">
        <w:rPr>
          <w:rFonts w:ascii="Arial" w:hAnsi="Arial" w:cs="Arial"/>
          <w:color w:val="000000" w:themeColor="text1"/>
          <w:sz w:val="22"/>
        </w:rPr>
        <w:t>that</w:t>
      </w:r>
      <w:r w:rsidR="005F7174" w:rsidRPr="004F73BB">
        <w:rPr>
          <w:rFonts w:ascii="Arial" w:hAnsi="Arial" w:cs="Arial"/>
          <w:color w:val="000000" w:themeColor="text1"/>
          <w:sz w:val="22"/>
        </w:rPr>
        <w:t xml:space="preserve"> a few subgroups of the populace are bound to be antibody reluctant will help in the definition of immunization program procedures to guarantee sufficient populace inclusion to accomplish crowd resistance and limit wellbeing disparities. This will be especially significant in case more noteworthy immunization aversion is found among bunches at more </w:t>
      </w:r>
      <w:r w:rsidR="003706FA" w:rsidRPr="004F73BB">
        <w:rPr>
          <w:rFonts w:ascii="Arial" w:hAnsi="Arial" w:cs="Arial"/>
          <w:color w:val="000000" w:themeColor="text1"/>
          <w:sz w:val="22"/>
        </w:rPr>
        <w:t>danger</w:t>
      </w:r>
      <w:r w:rsidR="005F7174" w:rsidRPr="004F73BB">
        <w:rPr>
          <w:rFonts w:ascii="Arial" w:hAnsi="Arial" w:cs="Arial"/>
          <w:color w:val="000000" w:themeColor="text1"/>
          <w:sz w:val="22"/>
        </w:rPr>
        <w:t xml:space="preserve"> from COVID-19.</w:t>
      </w:r>
      <w:r w:rsidR="004D12DF" w:rsidRPr="004F73BB">
        <w:rPr>
          <w:rFonts w:ascii="Arial" w:hAnsi="Arial" w:cs="Arial"/>
          <w:color w:val="000000" w:themeColor="text1"/>
          <w:sz w:val="22"/>
        </w:rPr>
        <w:t xml:space="preserve"> The issue that was needed to be studied here was that how many </w:t>
      </w:r>
      <w:r w:rsidR="00FE440E">
        <w:rPr>
          <w:rFonts w:ascii="Arial" w:hAnsi="Arial" w:cs="Arial"/>
          <w:color w:val="000000" w:themeColor="text1"/>
          <w:sz w:val="22"/>
        </w:rPr>
        <w:t>people</w:t>
      </w:r>
      <w:r w:rsidR="004D12DF" w:rsidRPr="004F73BB">
        <w:rPr>
          <w:rFonts w:ascii="Arial" w:hAnsi="Arial" w:cs="Arial"/>
          <w:color w:val="000000" w:themeColor="text1"/>
          <w:sz w:val="22"/>
        </w:rPr>
        <w:t xml:space="preserve"> </w:t>
      </w:r>
      <w:r w:rsidR="00DD7629" w:rsidRPr="004F73BB">
        <w:rPr>
          <w:rFonts w:ascii="Arial" w:hAnsi="Arial" w:cs="Arial"/>
          <w:color w:val="000000" w:themeColor="text1"/>
          <w:sz w:val="22"/>
        </w:rPr>
        <w:t>are</w:t>
      </w:r>
      <w:r w:rsidR="004D12DF" w:rsidRPr="004F73BB">
        <w:rPr>
          <w:rFonts w:ascii="Arial" w:hAnsi="Arial" w:cs="Arial"/>
          <w:color w:val="000000" w:themeColor="text1"/>
          <w:sz w:val="22"/>
        </w:rPr>
        <w:t xml:space="preserve"> ready to get vaccinated and if a number of </w:t>
      </w:r>
      <w:r w:rsidR="00DD7629" w:rsidRPr="004F73BB">
        <w:rPr>
          <w:rFonts w:ascii="Arial" w:hAnsi="Arial" w:cs="Arial"/>
          <w:color w:val="000000" w:themeColor="text1"/>
          <w:sz w:val="22"/>
        </w:rPr>
        <w:t xml:space="preserve">the </w:t>
      </w:r>
      <w:r w:rsidR="004D12DF" w:rsidRPr="004F73BB">
        <w:rPr>
          <w:rFonts w:ascii="Arial" w:hAnsi="Arial" w:cs="Arial"/>
          <w:color w:val="000000" w:themeColor="text1"/>
          <w:sz w:val="22"/>
        </w:rPr>
        <w:t xml:space="preserve">population is feeling </w:t>
      </w:r>
      <w:r w:rsidR="00940E59" w:rsidRPr="004F73BB">
        <w:rPr>
          <w:rFonts w:ascii="Arial" w:hAnsi="Arial" w:cs="Arial"/>
          <w:color w:val="000000" w:themeColor="text1"/>
          <w:sz w:val="22"/>
        </w:rPr>
        <w:t>hesitation,</w:t>
      </w:r>
      <w:r w:rsidR="004D12DF" w:rsidRPr="004F73BB">
        <w:rPr>
          <w:rFonts w:ascii="Arial" w:hAnsi="Arial" w:cs="Arial"/>
          <w:color w:val="000000" w:themeColor="text1"/>
          <w:sz w:val="22"/>
        </w:rPr>
        <w:t xml:space="preserve"> </w:t>
      </w:r>
      <w:r w:rsidR="00DD7629" w:rsidRPr="004F73BB">
        <w:rPr>
          <w:rFonts w:ascii="Arial" w:hAnsi="Arial" w:cs="Arial"/>
          <w:color w:val="000000" w:themeColor="text1"/>
          <w:sz w:val="22"/>
        </w:rPr>
        <w:t>then</w:t>
      </w:r>
      <w:r w:rsidR="004D12DF" w:rsidRPr="004F73BB">
        <w:rPr>
          <w:rFonts w:ascii="Arial" w:hAnsi="Arial" w:cs="Arial"/>
          <w:color w:val="000000" w:themeColor="text1"/>
          <w:sz w:val="22"/>
        </w:rPr>
        <w:t xml:space="preserve"> what are the reasons that amidst the waves of </w:t>
      </w:r>
      <w:r w:rsidR="008B3649" w:rsidRPr="004F73BB">
        <w:rPr>
          <w:rFonts w:ascii="Arial" w:hAnsi="Arial" w:cs="Arial"/>
          <w:color w:val="000000" w:themeColor="text1"/>
          <w:sz w:val="22"/>
        </w:rPr>
        <w:t>pandemic,</w:t>
      </w:r>
      <w:r w:rsidR="004D12DF" w:rsidRPr="004F73BB">
        <w:rPr>
          <w:rFonts w:ascii="Arial" w:hAnsi="Arial" w:cs="Arial"/>
          <w:color w:val="000000" w:themeColor="text1"/>
          <w:sz w:val="22"/>
        </w:rPr>
        <w:t xml:space="preserve"> they are not ready to make their lives safe. </w:t>
      </w:r>
    </w:p>
    <w:p w14:paraId="37D8F32E" w14:textId="40731CB2" w:rsidR="004D12DF" w:rsidRPr="004F73BB" w:rsidRDefault="003574DF" w:rsidP="005C53F4">
      <w:pPr>
        <w:spacing w:line="360" w:lineRule="auto"/>
        <w:ind w:firstLine="720"/>
        <w:jc w:val="both"/>
        <w:rPr>
          <w:rFonts w:ascii="Arial" w:hAnsi="Arial" w:cs="Arial"/>
          <w:color w:val="000000" w:themeColor="text1"/>
          <w:sz w:val="22"/>
        </w:rPr>
      </w:pPr>
      <w:r w:rsidRPr="003574DF">
        <w:rPr>
          <w:rFonts w:ascii="Arial" w:hAnsi="Arial" w:cs="Arial"/>
          <w:color w:val="000000" w:themeColor="text1"/>
          <w:sz w:val="22"/>
        </w:rPr>
        <w:t xml:space="preserve">The current ongoing pandemic has resulted in a sickness rate of 127 million, with 2.78 million deaths worldwide on March 28, 2021 (Hudson and Montelpare, 2021), however, continuously many people do not want to receive a vaccine against COVID-19 (Lockyer et al. 2021). </w:t>
      </w:r>
      <w:r w:rsidR="006F5BD9" w:rsidRPr="006F5BD9">
        <w:rPr>
          <w:rFonts w:ascii="Arial" w:hAnsi="Arial" w:cs="Arial"/>
          <w:color w:val="000000" w:themeColor="text1"/>
          <w:sz w:val="22"/>
        </w:rPr>
        <w:t>The vaccine plan needed to efficiently meet each goal: decrease the strain on the healthcare system, lowering overall COVID-19 severity and mortality, reopening society, and disease elimination</w:t>
      </w:r>
      <w:r w:rsidR="006F5BD9">
        <w:rPr>
          <w:rFonts w:ascii="Arial" w:hAnsi="Arial" w:cs="Arial"/>
          <w:color w:val="000000" w:themeColor="text1"/>
          <w:sz w:val="22"/>
        </w:rPr>
        <w:t>.</w:t>
      </w:r>
    </w:p>
    <w:p w14:paraId="18F6004F" w14:textId="7E88476C" w:rsidR="005F7174" w:rsidRPr="004F73BB" w:rsidRDefault="00EB15C8" w:rsidP="005C53F4">
      <w:pPr>
        <w:spacing w:line="360" w:lineRule="auto"/>
        <w:ind w:firstLine="720"/>
        <w:jc w:val="both"/>
        <w:rPr>
          <w:rFonts w:ascii="Arial" w:hAnsi="Arial" w:cs="Arial"/>
          <w:color w:val="000000" w:themeColor="text1"/>
          <w:sz w:val="22"/>
        </w:rPr>
      </w:pPr>
      <w:r w:rsidRPr="004F73BB">
        <w:rPr>
          <w:rFonts w:ascii="Arial" w:hAnsi="Arial" w:cs="Arial"/>
          <w:color w:val="000000" w:themeColor="text1"/>
          <w:sz w:val="22"/>
        </w:rPr>
        <w:t>This s</w:t>
      </w:r>
      <w:r w:rsidR="009C4000">
        <w:rPr>
          <w:rFonts w:ascii="Arial" w:hAnsi="Arial" w:cs="Arial"/>
          <w:color w:val="000000" w:themeColor="text1"/>
          <w:sz w:val="22"/>
        </w:rPr>
        <w:t>ystematic literature review</w:t>
      </w:r>
      <w:r w:rsidRPr="004F73BB">
        <w:rPr>
          <w:rFonts w:ascii="Arial" w:hAnsi="Arial" w:cs="Arial"/>
          <w:color w:val="000000" w:themeColor="text1"/>
          <w:sz w:val="22"/>
        </w:rPr>
        <w:t xml:space="preserve"> gives a</w:t>
      </w:r>
      <w:r w:rsidR="005F7174" w:rsidRPr="004F73BB">
        <w:rPr>
          <w:rFonts w:ascii="Arial" w:hAnsi="Arial" w:cs="Arial"/>
          <w:color w:val="000000" w:themeColor="text1"/>
          <w:sz w:val="22"/>
        </w:rPr>
        <w:t xml:space="preserve"> </w:t>
      </w:r>
      <w:r w:rsidRPr="004F73BB">
        <w:rPr>
          <w:rFonts w:ascii="Arial" w:hAnsi="Arial" w:cs="Arial"/>
          <w:color w:val="000000" w:themeColor="text1"/>
          <w:sz w:val="22"/>
        </w:rPr>
        <w:t xml:space="preserve">complete </w:t>
      </w:r>
      <w:r w:rsidR="005F7174" w:rsidRPr="004F73BB">
        <w:rPr>
          <w:rFonts w:ascii="Arial" w:hAnsi="Arial" w:cs="Arial"/>
          <w:color w:val="000000" w:themeColor="text1"/>
          <w:sz w:val="22"/>
        </w:rPr>
        <w:t xml:space="preserve">investigation of various elements that add to a COVID-19 </w:t>
      </w:r>
      <w:r w:rsidR="001C2975">
        <w:rPr>
          <w:rFonts w:ascii="Arial" w:hAnsi="Arial" w:cs="Arial"/>
          <w:color w:val="000000" w:themeColor="text1"/>
          <w:sz w:val="22"/>
        </w:rPr>
        <w:t>vaccine hesitancy</w:t>
      </w:r>
      <w:r w:rsidR="005F7174" w:rsidRPr="004F73BB">
        <w:rPr>
          <w:rFonts w:ascii="Arial" w:hAnsi="Arial" w:cs="Arial"/>
          <w:color w:val="000000" w:themeColor="text1"/>
          <w:sz w:val="22"/>
        </w:rPr>
        <w:t xml:space="preserve"> among everyone across various social settings </w:t>
      </w:r>
      <w:r w:rsidR="00722E34">
        <w:rPr>
          <w:rFonts w:ascii="Arial" w:hAnsi="Arial" w:cs="Arial"/>
          <w:color w:val="000000" w:themeColor="text1"/>
          <w:sz w:val="22"/>
        </w:rPr>
        <w:t xml:space="preserve">. </w:t>
      </w:r>
      <w:r w:rsidR="00722E34" w:rsidRPr="00722E34">
        <w:rPr>
          <w:rFonts w:ascii="Arial" w:hAnsi="Arial" w:cs="Arial"/>
          <w:color w:val="000000" w:themeColor="text1"/>
          <w:sz w:val="22"/>
        </w:rPr>
        <w:t xml:space="preserve">Relevant topics were recognized that increase expanded aversion, including concerns about safety identification, side effects, comfort, value, belief that vaccination is not required, </w:t>
      </w:r>
      <w:r w:rsidR="00D349B5">
        <w:rPr>
          <w:rFonts w:ascii="Arial" w:hAnsi="Arial" w:cs="Arial"/>
          <w:color w:val="000000" w:themeColor="text1"/>
          <w:sz w:val="22"/>
        </w:rPr>
        <w:t xml:space="preserve">also </w:t>
      </w:r>
      <w:r w:rsidR="00722E34" w:rsidRPr="00722E34">
        <w:rPr>
          <w:rFonts w:ascii="Arial" w:hAnsi="Arial" w:cs="Arial"/>
          <w:color w:val="000000" w:themeColor="text1"/>
          <w:sz w:val="22"/>
        </w:rPr>
        <w:t>antibody testing was missing</w:t>
      </w:r>
      <w:r w:rsidR="00D349B5">
        <w:rPr>
          <w:rFonts w:ascii="Arial" w:hAnsi="Arial" w:cs="Arial"/>
          <w:color w:val="000000" w:themeColor="text1"/>
          <w:sz w:val="22"/>
        </w:rPr>
        <w:t>.</w:t>
      </w:r>
    </w:p>
    <w:p w14:paraId="3F323555" w14:textId="77777777" w:rsidR="00DC0C6A" w:rsidRPr="005C53F4" w:rsidRDefault="00DC0C6A" w:rsidP="00C37B8D">
      <w:pPr>
        <w:spacing w:line="360" w:lineRule="auto"/>
        <w:jc w:val="both"/>
        <w:rPr>
          <w:rFonts w:ascii="Arial" w:hAnsi="Arial" w:cs="Arial"/>
          <w:color w:val="000000" w:themeColor="text1"/>
        </w:rPr>
      </w:pPr>
    </w:p>
    <w:p w14:paraId="30768CF3" w14:textId="2106C707" w:rsidR="00483845" w:rsidRPr="00C37B8D" w:rsidRDefault="00897C99" w:rsidP="00C37B8D">
      <w:pPr>
        <w:pStyle w:val="Heading1"/>
        <w:numPr>
          <w:ilvl w:val="0"/>
          <w:numId w:val="1"/>
        </w:numPr>
        <w:spacing w:line="360" w:lineRule="auto"/>
        <w:rPr>
          <w:rFonts w:ascii="Arial" w:hAnsi="Arial" w:cs="Arial"/>
          <w:iCs/>
          <w:sz w:val="28"/>
          <w:szCs w:val="28"/>
        </w:rPr>
      </w:pPr>
      <w:bookmarkStart w:id="3" w:name="_Toc90222633"/>
      <w:r>
        <w:rPr>
          <w:rFonts w:ascii="Arial" w:hAnsi="Arial" w:cs="Arial"/>
          <w:iCs/>
          <w:sz w:val="28"/>
          <w:szCs w:val="28"/>
        </w:rPr>
        <w:t>Method</w:t>
      </w:r>
      <w:r w:rsidR="00B84213">
        <w:rPr>
          <w:rFonts w:ascii="Arial" w:hAnsi="Arial" w:cs="Arial"/>
          <w:iCs/>
          <w:sz w:val="28"/>
          <w:szCs w:val="28"/>
        </w:rPr>
        <w:t xml:space="preserve">ology and </w:t>
      </w:r>
      <w:r w:rsidR="008F2E02" w:rsidRPr="00C37B8D">
        <w:rPr>
          <w:rFonts w:ascii="Arial" w:hAnsi="Arial" w:cs="Arial"/>
          <w:iCs/>
          <w:sz w:val="28"/>
          <w:szCs w:val="28"/>
        </w:rPr>
        <w:t>Methods</w:t>
      </w:r>
      <w:bookmarkEnd w:id="3"/>
      <w:r w:rsidR="00483845" w:rsidRPr="00C37B8D">
        <w:rPr>
          <w:rFonts w:ascii="Arial" w:hAnsi="Arial" w:cs="Arial"/>
          <w:iCs/>
          <w:sz w:val="28"/>
          <w:szCs w:val="28"/>
        </w:rPr>
        <w:t xml:space="preserve"> </w:t>
      </w:r>
    </w:p>
    <w:p w14:paraId="7612E93E" w14:textId="467B83F5" w:rsidR="00C80631" w:rsidRPr="00C37B8D" w:rsidRDefault="00A758FF" w:rsidP="00C37B8D">
      <w:pPr>
        <w:jc w:val="both"/>
        <w:rPr>
          <w:rFonts w:ascii="Arial" w:hAnsi="Arial" w:cs="Arial"/>
          <w:b/>
          <w:bCs/>
        </w:rPr>
      </w:pPr>
      <w:r>
        <w:rPr>
          <w:rFonts w:ascii="Arial" w:hAnsi="Arial" w:cs="Arial"/>
          <w:b/>
          <w:bCs/>
        </w:rPr>
        <w:t xml:space="preserve">3.1 </w:t>
      </w:r>
      <w:r w:rsidR="00051FF2" w:rsidRPr="00C37B8D">
        <w:rPr>
          <w:rFonts w:ascii="Arial" w:hAnsi="Arial" w:cs="Arial"/>
          <w:b/>
          <w:bCs/>
        </w:rPr>
        <w:t xml:space="preserve">Search </w:t>
      </w:r>
      <w:r w:rsidR="00213F31" w:rsidRPr="00C37B8D">
        <w:rPr>
          <w:rFonts w:ascii="Arial" w:hAnsi="Arial" w:cs="Arial"/>
          <w:b/>
          <w:bCs/>
        </w:rPr>
        <w:t>s</w:t>
      </w:r>
      <w:r w:rsidR="00C80631" w:rsidRPr="00C37B8D">
        <w:rPr>
          <w:rFonts w:ascii="Arial" w:hAnsi="Arial" w:cs="Arial"/>
          <w:b/>
          <w:bCs/>
        </w:rPr>
        <w:t>trategies</w:t>
      </w:r>
    </w:p>
    <w:p w14:paraId="677F1388" w14:textId="227240A0" w:rsidR="00283283" w:rsidRDefault="00CC1213" w:rsidP="009A2094">
      <w:pPr>
        <w:spacing w:line="360" w:lineRule="auto"/>
        <w:jc w:val="both"/>
        <w:rPr>
          <w:rFonts w:ascii="Arial" w:hAnsi="Arial" w:cs="Arial"/>
          <w:sz w:val="22"/>
        </w:rPr>
      </w:pPr>
      <w:r w:rsidRPr="004F73BB">
        <w:rPr>
          <w:rFonts w:ascii="Arial" w:hAnsi="Arial" w:cs="Arial"/>
          <w:sz w:val="22"/>
        </w:rPr>
        <w:t>In December 2020, t</w:t>
      </w:r>
      <w:r w:rsidR="00D20B55" w:rsidRPr="004F73BB">
        <w:rPr>
          <w:rFonts w:ascii="Arial" w:hAnsi="Arial" w:cs="Arial"/>
          <w:sz w:val="22"/>
        </w:rPr>
        <w:t xml:space="preserve">he </w:t>
      </w:r>
      <w:r w:rsidR="00CA3CE5" w:rsidRPr="004F73BB">
        <w:rPr>
          <w:rFonts w:ascii="Arial" w:hAnsi="Arial" w:cs="Arial"/>
          <w:sz w:val="22"/>
        </w:rPr>
        <w:t xml:space="preserve">systematic </w:t>
      </w:r>
      <w:r w:rsidR="00E0542B" w:rsidRPr="004F73BB">
        <w:rPr>
          <w:rFonts w:ascii="Arial" w:hAnsi="Arial" w:cs="Arial"/>
          <w:sz w:val="22"/>
        </w:rPr>
        <w:t>literature review was conducted</w:t>
      </w:r>
      <w:r w:rsidR="00346EC9" w:rsidRPr="004F73BB">
        <w:rPr>
          <w:rFonts w:ascii="Arial" w:hAnsi="Arial" w:cs="Arial"/>
          <w:sz w:val="22"/>
        </w:rPr>
        <w:t xml:space="preserve"> using electronic</w:t>
      </w:r>
      <w:r w:rsidR="00A47FAF" w:rsidRPr="004F73BB">
        <w:rPr>
          <w:rFonts w:ascii="Arial" w:hAnsi="Arial" w:cs="Arial"/>
          <w:sz w:val="22"/>
        </w:rPr>
        <w:t xml:space="preserve"> and multiply</w:t>
      </w:r>
      <w:r w:rsidR="00346EC9" w:rsidRPr="004F73BB">
        <w:rPr>
          <w:rFonts w:ascii="Arial" w:hAnsi="Arial" w:cs="Arial"/>
          <w:sz w:val="22"/>
        </w:rPr>
        <w:t xml:space="preserve"> database</w:t>
      </w:r>
      <w:r w:rsidR="00710690" w:rsidRPr="004F73BB">
        <w:rPr>
          <w:rFonts w:ascii="Arial" w:hAnsi="Arial" w:cs="Arial"/>
          <w:sz w:val="22"/>
        </w:rPr>
        <w:t xml:space="preserve">s </w:t>
      </w:r>
      <w:r w:rsidR="00192529" w:rsidRPr="004F73BB">
        <w:rPr>
          <w:rFonts w:ascii="Arial" w:hAnsi="Arial" w:cs="Arial"/>
          <w:sz w:val="22"/>
        </w:rPr>
        <w:t xml:space="preserve">such as </w:t>
      </w:r>
      <w:r w:rsidR="00710690" w:rsidRPr="004F73BB">
        <w:rPr>
          <w:rFonts w:ascii="Arial" w:hAnsi="Arial" w:cs="Arial"/>
          <w:sz w:val="22"/>
        </w:rPr>
        <w:t>Google Scholar, PubMed</w:t>
      </w:r>
      <w:r w:rsidR="00F94436" w:rsidRPr="004F73BB">
        <w:rPr>
          <w:rFonts w:ascii="Arial" w:hAnsi="Arial" w:cs="Arial"/>
          <w:sz w:val="22"/>
        </w:rPr>
        <w:t xml:space="preserve">. The broad search was done </w:t>
      </w:r>
      <w:r w:rsidR="00BA7046" w:rsidRPr="004F73BB">
        <w:rPr>
          <w:rFonts w:ascii="Arial" w:hAnsi="Arial" w:cs="Arial"/>
          <w:sz w:val="22"/>
        </w:rPr>
        <w:t xml:space="preserve">with the </w:t>
      </w:r>
      <w:r w:rsidR="00CA3CE5" w:rsidRPr="004F73BB">
        <w:rPr>
          <w:rFonts w:ascii="Arial" w:hAnsi="Arial" w:cs="Arial"/>
          <w:sz w:val="22"/>
        </w:rPr>
        <w:t xml:space="preserve">following </w:t>
      </w:r>
      <w:r w:rsidR="00A758FF">
        <w:rPr>
          <w:rFonts w:ascii="Arial" w:hAnsi="Arial" w:cs="Arial"/>
          <w:sz w:val="22"/>
        </w:rPr>
        <w:t>keywords</w:t>
      </w:r>
      <w:r w:rsidR="00CA3CE5" w:rsidRPr="004F73BB">
        <w:rPr>
          <w:rFonts w:ascii="Arial" w:hAnsi="Arial" w:cs="Arial"/>
          <w:sz w:val="22"/>
        </w:rPr>
        <w:t xml:space="preserve">: </w:t>
      </w:r>
      <w:r w:rsidR="009D4C93" w:rsidRPr="004F73BB">
        <w:rPr>
          <w:rFonts w:ascii="Arial" w:hAnsi="Arial" w:cs="Arial"/>
          <w:sz w:val="22"/>
        </w:rPr>
        <w:t xml:space="preserve">adults, Britain, coronavirus, Covid-19, </w:t>
      </w:r>
      <w:r w:rsidR="00DF2F32" w:rsidRPr="004F73BB">
        <w:rPr>
          <w:rFonts w:ascii="Arial" w:hAnsi="Arial" w:cs="Arial"/>
          <w:sz w:val="22"/>
        </w:rPr>
        <w:t xml:space="preserve">England, </w:t>
      </w:r>
      <w:r w:rsidR="009A32F7" w:rsidRPr="004F73BB">
        <w:rPr>
          <w:rFonts w:ascii="Arial" w:hAnsi="Arial" w:cs="Arial"/>
          <w:sz w:val="22"/>
        </w:rPr>
        <w:t xml:space="preserve">factors, </w:t>
      </w:r>
      <w:r w:rsidR="00AB7BE9" w:rsidRPr="004F73BB">
        <w:rPr>
          <w:rFonts w:ascii="Arial" w:hAnsi="Arial" w:cs="Arial"/>
          <w:sz w:val="22"/>
        </w:rPr>
        <w:t xml:space="preserve">SARS-CoV-2, </w:t>
      </w:r>
      <w:r w:rsidR="00F96981" w:rsidRPr="004F73BB">
        <w:rPr>
          <w:rFonts w:ascii="Arial" w:hAnsi="Arial" w:cs="Arial"/>
          <w:sz w:val="22"/>
        </w:rPr>
        <w:t xml:space="preserve">UK, vaccination, </w:t>
      </w:r>
      <w:r w:rsidR="009A32F7" w:rsidRPr="004F73BB">
        <w:rPr>
          <w:rFonts w:ascii="Arial" w:hAnsi="Arial" w:cs="Arial"/>
          <w:sz w:val="22"/>
        </w:rPr>
        <w:t>vaccine hesitancy</w:t>
      </w:r>
      <w:r w:rsidR="0001305D" w:rsidRPr="004F73BB">
        <w:rPr>
          <w:rFonts w:ascii="Arial" w:hAnsi="Arial" w:cs="Arial"/>
          <w:sz w:val="22"/>
        </w:rPr>
        <w:t>. The present secondary research study incl</w:t>
      </w:r>
      <w:r w:rsidR="00F93238" w:rsidRPr="004F73BB">
        <w:rPr>
          <w:rFonts w:ascii="Arial" w:hAnsi="Arial" w:cs="Arial"/>
          <w:sz w:val="22"/>
        </w:rPr>
        <w:t xml:space="preserve">udes </w:t>
      </w:r>
      <w:r w:rsidR="005C293E" w:rsidRPr="004F73BB">
        <w:rPr>
          <w:rFonts w:ascii="Arial" w:hAnsi="Arial" w:cs="Arial"/>
          <w:sz w:val="22"/>
        </w:rPr>
        <w:t xml:space="preserve">peer-reviewed </w:t>
      </w:r>
      <w:r w:rsidR="00F93238" w:rsidRPr="004F73BB">
        <w:rPr>
          <w:rFonts w:ascii="Arial" w:hAnsi="Arial" w:cs="Arial"/>
          <w:sz w:val="22"/>
        </w:rPr>
        <w:t>articles</w:t>
      </w:r>
      <w:r w:rsidR="00373E15" w:rsidRPr="004F73BB">
        <w:rPr>
          <w:rFonts w:ascii="Arial" w:hAnsi="Arial" w:cs="Arial"/>
          <w:sz w:val="22"/>
        </w:rPr>
        <w:t xml:space="preserve"> </w:t>
      </w:r>
      <w:r w:rsidR="00D6654C" w:rsidRPr="004F73BB">
        <w:rPr>
          <w:rFonts w:ascii="Arial" w:hAnsi="Arial" w:cs="Arial"/>
          <w:sz w:val="22"/>
        </w:rPr>
        <w:t xml:space="preserve">with </w:t>
      </w:r>
      <w:r w:rsidR="00DA1F3D" w:rsidRPr="004F73BB">
        <w:rPr>
          <w:rFonts w:ascii="Arial" w:hAnsi="Arial" w:cs="Arial"/>
          <w:sz w:val="22"/>
        </w:rPr>
        <w:t xml:space="preserve">a </w:t>
      </w:r>
      <w:r w:rsidR="00373E15" w:rsidRPr="004F73BB">
        <w:rPr>
          <w:rFonts w:ascii="Arial" w:hAnsi="Arial" w:cs="Arial"/>
          <w:sz w:val="22"/>
        </w:rPr>
        <w:t>combination of mixed methods</w:t>
      </w:r>
      <w:r w:rsidR="00074C11" w:rsidRPr="004F73BB">
        <w:rPr>
          <w:rFonts w:ascii="Arial" w:hAnsi="Arial" w:cs="Arial"/>
          <w:sz w:val="22"/>
        </w:rPr>
        <w:t>,</w:t>
      </w:r>
      <w:r w:rsidR="00F93238" w:rsidRPr="004F73BB">
        <w:rPr>
          <w:rFonts w:ascii="Arial" w:hAnsi="Arial" w:cs="Arial"/>
          <w:sz w:val="22"/>
        </w:rPr>
        <w:t xml:space="preserve"> published during </w:t>
      </w:r>
      <w:r w:rsidR="00764C31" w:rsidRPr="004F73BB">
        <w:rPr>
          <w:rFonts w:ascii="Arial" w:hAnsi="Arial" w:cs="Arial"/>
          <w:sz w:val="22"/>
        </w:rPr>
        <w:t xml:space="preserve">the </w:t>
      </w:r>
      <w:r w:rsidR="00AA79D3" w:rsidRPr="004F73BB">
        <w:rPr>
          <w:rFonts w:ascii="Arial" w:hAnsi="Arial" w:cs="Arial"/>
          <w:sz w:val="22"/>
        </w:rPr>
        <w:t xml:space="preserve">ongoing </w:t>
      </w:r>
      <w:r w:rsidR="00FC4DDD" w:rsidRPr="004F73BB">
        <w:rPr>
          <w:rFonts w:ascii="Arial" w:hAnsi="Arial" w:cs="Arial"/>
          <w:sz w:val="22"/>
        </w:rPr>
        <w:t xml:space="preserve">COVID-19 </w:t>
      </w:r>
      <w:r w:rsidR="00AA79D3" w:rsidRPr="004F73BB">
        <w:rPr>
          <w:rFonts w:ascii="Arial" w:hAnsi="Arial" w:cs="Arial"/>
          <w:sz w:val="22"/>
        </w:rPr>
        <w:t xml:space="preserve">pandemic </w:t>
      </w:r>
      <w:r w:rsidR="00B4059F" w:rsidRPr="004F73BB">
        <w:rPr>
          <w:rFonts w:ascii="Arial" w:hAnsi="Arial" w:cs="Arial"/>
          <w:sz w:val="22"/>
        </w:rPr>
        <w:t xml:space="preserve">and </w:t>
      </w:r>
      <w:r w:rsidR="00764C31" w:rsidRPr="004F73BB">
        <w:rPr>
          <w:rFonts w:ascii="Arial" w:hAnsi="Arial" w:cs="Arial"/>
          <w:sz w:val="22"/>
        </w:rPr>
        <w:t>describes</w:t>
      </w:r>
      <w:r w:rsidR="000A361F" w:rsidRPr="004F73BB">
        <w:rPr>
          <w:rFonts w:ascii="Arial" w:hAnsi="Arial" w:cs="Arial"/>
          <w:sz w:val="22"/>
        </w:rPr>
        <w:t xml:space="preserve"> </w:t>
      </w:r>
      <w:r w:rsidR="00675513" w:rsidRPr="004F73BB">
        <w:rPr>
          <w:rFonts w:ascii="Arial" w:hAnsi="Arial" w:cs="Arial"/>
          <w:sz w:val="22"/>
        </w:rPr>
        <w:t>information on vaccin</w:t>
      </w:r>
      <w:r w:rsidR="00230D61" w:rsidRPr="004F73BB">
        <w:rPr>
          <w:rFonts w:ascii="Arial" w:hAnsi="Arial" w:cs="Arial"/>
          <w:sz w:val="22"/>
        </w:rPr>
        <w:t>e hesitancy</w:t>
      </w:r>
      <w:r w:rsidR="000C76EA" w:rsidRPr="004F73BB">
        <w:rPr>
          <w:rFonts w:ascii="Arial" w:hAnsi="Arial" w:cs="Arial"/>
          <w:sz w:val="22"/>
        </w:rPr>
        <w:t xml:space="preserve"> among the UK population</w:t>
      </w:r>
      <w:r w:rsidR="00230D61" w:rsidRPr="004F73BB">
        <w:rPr>
          <w:rFonts w:ascii="Arial" w:hAnsi="Arial" w:cs="Arial"/>
          <w:sz w:val="22"/>
        </w:rPr>
        <w:t>.</w:t>
      </w:r>
    </w:p>
    <w:p w14:paraId="3C0E8166" w14:textId="77777777" w:rsidR="00283283" w:rsidRDefault="00283283" w:rsidP="009A2094">
      <w:pPr>
        <w:spacing w:line="360" w:lineRule="auto"/>
        <w:jc w:val="both"/>
        <w:rPr>
          <w:rFonts w:ascii="Arial" w:hAnsi="Arial" w:cs="Arial"/>
          <w:sz w:val="22"/>
        </w:rPr>
      </w:pPr>
    </w:p>
    <w:p w14:paraId="3A08C8E9" w14:textId="77777777" w:rsidR="00283283" w:rsidRPr="004F73BB" w:rsidRDefault="00283283" w:rsidP="009A2094">
      <w:pPr>
        <w:spacing w:line="360" w:lineRule="auto"/>
        <w:jc w:val="both"/>
        <w:rPr>
          <w:rFonts w:ascii="Arial" w:hAnsi="Arial" w:cs="Arial"/>
          <w:sz w:val="22"/>
        </w:rPr>
      </w:pPr>
    </w:p>
    <w:p w14:paraId="315001C3" w14:textId="2E8A894C" w:rsidR="00283283" w:rsidRDefault="00D27967" w:rsidP="00283283">
      <w:pPr>
        <w:jc w:val="both"/>
        <w:rPr>
          <w:rFonts w:ascii="Arial" w:hAnsi="Arial" w:cs="Arial"/>
          <w:b/>
          <w:bCs/>
        </w:rPr>
      </w:pPr>
      <w:r>
        <w:rPr>
          <w:rFonts w:ascii="Arial" w:hAnsi="Arial" w:cs="Arial"/>
          <w:b/>
          <w:bCs/>
        </w:rPr>
        <w:t xml:space="preserve">3.2 </w:t>
      </w:r>
      <w:r w:rsidR="0044431E" w:rsidRPr="00C37B8D">
        <w:rPr>
          <w:rFonts w:ascii="Arial" w:hAnsi="Arial" w:cs="Arial"/>
          <w:b/>
          <w:bCs/>
        </w:rPr>
        <w:t>Inclusion criteria</w:t>
      </w:r>
    </w:p>
    <w:p w14:paraId="7DB03094" w14:textId="436C6AF5" w:rsidR="00C1288D" w:rsidRDefault="009B5B83" w:rsidP="00283283">
      <w:pPr>
        <w:spacing w:line="360" w:lineRule="auto"/>
        <w:jc w:val="both"/>
        <w:rPr>
          <w:rFonts w:ascii="Arial" w:hAnsi="Arial" w:cs="Arial"/>
          <w:sz w:val="22"/>
        </w:rPr>
      </w:pPr>
      <w:r w:rsidRPr="004F73BB">
        <w:rPr>
          <w:rFonts w:ascii="Arial" w:hAnsi="Arial" w:cs="Arial"/>
          <w:sz w:val="22"/>
        </w:rPr>
        <w:t>The articles</w:t>
      </w:r>
      <w:r w:rsidR="00A52B16" w:rsidRPr="004F73BB">
        <w:rPr>
          <w:rFonts w:ascii="Arial" w:hAnsi="Arial" w:cs="Arial"/>
          <w:sz w:val="22"/>
        </w:rPr>
        <w:t xml:space="preserve"> that met</w:t>
      </w:r>
      <w:r w:rsidR="00BB4181" w:rsidRPr="004F73BB">
        <w:rPr>
          <w:rFonts w:ascii="Arial" w:hAnsi="Arial" w:cs="Arial"/>
          <w:sz w:val="22"/>
        </w:rPr>
        <w:t xml:space="preserve"> the r</w:t>
      </w:r>
      <w:r w:rsidR="00C1288D" w:rsidRPr="004F73BB">
        <w:rPr>
          <w:rFonts w:ascii="Arial" w:hAnsi="Arial" w:cs="Arial"/>
          <w:sz w:val="22"/>
        </w:rPr>
        <w:t>equirements</w:t>
      </w:r>
      <w:r w:rsidR="008C5EF2" w:rsidRPr="004F73BB">
        <w:rPr>
          <w:rFonts w:ascii="Arial" w:hAnsi="Arial" w:cs="Arial"/>
          <w:sz w:val="22"/>
        </w:rPr>
        <w:t xml:space="preserve"> </w:t>
      </w:r>
      <w:r w:rsidR="00787A79" w:rsidRPr="004F73BB">
        <w:rPr>
          <w:rFonts w:ascii="Arial" w:hAnsi="Arial" w:cs="Arial"/>
          <w:sz w:val="22"/>
        </w:rPr>
        <w:t xml:space="preserve">for eligibility </w:t>
      </w:r>
      <w:r w:rsidR="00214CF2" w:rsidRPr="004F73BB">
        <w:rPr>
          <w:rFonts w:ascii="Arial" w:hAnsi="Arial" w:cs="Arial"/>
          <w:sz w:val="22"/>
        </w:rPr>
        <w:t>were</w:t>
      </w:r>
      <w:r w:rsidR="00C1288D" w:rsidRPr="004F73BB">
        <w:rPr>
          <w:rFonts w:ascii="Arial" w:hAnsi="Arial" w:cs="Arial"/>
          <w:sz w:val="22"/>
        </w:rPr>
        <w:t xml:space="preserve"> primary research</w:t>
      </w:r>
      <w:r w:rsidR="005529BD" w:rsidRPr="004F73BB">
        <w:rPr>
          <w:rFonts w:ascii="Arial" w:hAnsi="Arial" w:cs="Arial"/>
          <w:sz w:val="22"/>
        </w:rPr>
        <w:t xml:space="preserve"> </w:t>
      </w:r>
      <w:r w:rsidR="00E62E5F" w:rsidRPr="004F73BB">
        <w:rPr>
          <w:rFonts w:ascii="Arial" w:hAnsi="Arial" w:cs="Arial"/>
          <w:sz w:val="22"/>
        </w:rPr>
        <w:t>studies</w:t>
      </w:r>
      <w:r w:rsidR="002A73C1" w:rsidRPr="004F73BB">
        <w:rPr>
          <w:rFonts w:ascii="Arial" w:hAnsi="Arial" w:cs="Arial"/>
          <w:sz w:val="22"/>
        </w:rPr>
        <w:t xml:space="preserve"> </w:t>
      </w:r>
      <w:r w:rsidR="00E76011" w:rsidRPr="004F73BB">
        <w:rPr>
          <w:rFonts w:ascii="Arial" w:hAnsi="Arial" w:cs="Arial"/>
          <w:sz w:val="22"/>
        </w:rPr>
        <w:t xml:space="preserve">that </w:t>
      </w:r>
      <w:r w:rsidR="002A73C1" w:rsidRPr="004F73BB">
        <w:rPr>
          <w:rFonts w:ascii="Arial" w:hAnsi="Arial" w:cs="Arial"/>
          <w:sz w:val="22"/>
        </w:rPr>
        <w:t>investigated</w:t>
      </w:r>
      <w:r w:rsidR="002F4855" w:rsidRPr="004F73BB">
        <w:rPr>
          <w:rFonts w:ascii="Arial" w:hAnsi="Arial" w:cs="Arial"/>
          <w:sz w:val="22"/>
        </w:rPr>
        <w:t xml:space="preserve"> COVID-19 vaccine hesitancy</w:t>
      </w:r>
      <w:r w:rsidR="00C1288D" w:rsidRPr="004F73BB">
        <w:rPr>
          <w:rFonts w:ascii="Arial" w:hAnsi="Arial" w:cs="Arial"/>
          <w:sz w:val="22"/>
        </w:rPr>
        <w:t>, peer-reviewed journals, publications</w:t>
      </w:r>
      <w:r w:rsidR="001019B1" w:rsidRPr="004F73BB">
        <w:rPr>
          <w:rFonts w:ascii="Arial" w:hAnsi="Arial" w:cs="Arial"/>
          <w:sz w:val="22"/>
        </w:rPr>
        <w:t xml:space="preserve"> written in English</w:t>
      </w:r>
      <w:r w:rsidR="005529BD" w:rsidRPr="004F73BB">
        <w:rPr>
          <w:rFonts w:ascii="Arial" w:hAnsi="Arial" w:cs="Arial"/>
          <w:sz w:val="22"/>
        </w:rPr>
        <w:t xml:space="preserve"> and </w:t>
      </w:r>
      <w:r w:rsidR="00C1288D" w:rsidRPr="004F73BB">
        <w:rPr>
          <w:rFonts w:ascii="Arial" w:hAnsi="Arial" w:cs="Arial"/>
          <w:sz w:val="22"/>
        </w:rPr>
        <w:t xml:space="preserve">published in the UK, </w:t>
      </w:r>
      <w:r w:rsidR="006A41C9" w:rsidRPr="004F73BB">
        <w:rPr>
          <w:rFonts w:ascii="Arial" w:hAnsi="Arial" w:cs="Arial"/>
          <w:sz w:val="22"/>
        </w:rPr>
        <w:t xml:space="preserve">studies </w:t>
      </w:r>
      <w:r w:rsidR="00BC1709" w:rsidRPr="004F73BB">
        <w:rPr>
          <w:rFonts w:ascii="Arial" w:hAnsi="Arial" w:cs="Arial"/>
          <w:sz w:val="22"/>
        </w:rPr>
        <w:t>conducted</w:t>
      </w:r>
      <w:r w:rsidR="002667F3" w:rsidRPr="004F73BB">
        <w:rPr>
          <w:rFonts w:ascii="Arial" w:hAnsi="Arial" w:cs="Arial"/>
          <w:sz w:val="22"/>
        </w:rPr>
        <w:t xml:space="preserve"> among</w:t>
      </w:r>
      <w:r w:rsidR="00C66AB0" w:rsidRPr="004F73BB">
        <w:rPr>
          <w:rFonts w:ascii="Arial" w:hAnsi="Arial" w:cs="Arial"/>
          <w:sz w:val="22"/>
        </w:rPr>
        <w:t xml:space="preserve"> </w:t>
      </w:r>
      <w:r w:rsidR="003F07F6" w:rsidRPr="004F73BB">
        <w:rPr>
          <w:rFonts w:ascii="Arial" w:hAnsi="Arial" w:cs="Arial"/>
          <w:sz w:val="22"/>
        </w:rPr>
        <w:t xml:space="preserve">the nonvulnerable </w:t>
      </w:r>
      <w:r w:rsidR="00C1288D" w:rsidRPr="004F73BB">
        <w:rPr>
          <w:rFonts w:ascii="Arial" w:hAnsi="Arial" w:cs="Arial"/>
          <w:sz w:val="22"/>
        </w:rPr>
        <w:t>adult population</w:t>
      </w:r>
      <w:r w:rsidR="002667F3" w:rsidRPr="004F73BB">
        <w:rPr>
          <w:rFonts w:ascii="Arial" w:hAnsi="Arial" w:cs="Arial"/>
          <w:sz w:val="22"/>
        </w:rPr>
        <w:t xml:space="preserve"> in</w:t>
      </w:r>
      <w:r w:rsidR="00C1288D" w:rsidRPr="004F73BB">
        <w:rPr>
          <w:rFonts w:ascii="Arial" w:hAnsi="Arial" w:cs="Arial"/>
          <w:sz w:val="22"/>
        </w:rPr>
        <w:t xml:space="preserve"> </w:t>
      </w:r>
      <w:r w:rsidR="006A41C9" w:rsidRPr="004F73BB">
        <w:rPr>
          <w:rFonts w:ascii="Arial" w:hAnsi="Arial" w:cs="Arial"/>
          <w:sz w:val="22"/>
        </w:rPr>
        <w:t xml:space="preserve">the </w:t>
      </w:r>
      <w:r w:rsidR="00986128" w:rsidRPr="004F73BB">
        <w:rPr>
          <w:rFonts w:ascii="Arial" w:hAnsi="Arial" w:cs="Arial"/>
          <w:sz w:val="22"/>
        </w:rPr>
        <w:t xml:space="preserve">UK as a </w:t>
      </w:r>
      <w:r w:rsidR="00C1288D" w:rsidRPr="004F73BB">
        <w:rPr>
          <w:rFonts w:ascii="Arial" w:hAnsi="Arial" w:cs="Arial"/>
          <w:sz w:val="22"/>
        </w:rPr>
        <w:t>geographic location</w:t>
      </w:r>
      <w:r w:rsidR="003F07F6" w:rsidRPr="004F73BB">
        <w:rPr>
          <w:rFonts w:ascii="Arial" w:hAnsi="Arial" w:cs="Arial"/>
          <w:sz w:val="22"/>
        </w:rPr>
        <w:t>.</w:t>
      </w:r>
    </w:p>
    <w:p w14:paraId="12248723" w14:textId="77777777" w:rsidR="00D27967" w:rsidRPr="004F73BB" w:rsidRDefault="00D27967" w:rsidP="00283283">
      <w:pPr>
        <w:spacing w:line="360" w:lineRule="auto"/>
        <w:jc w:val="both"/>
        <w:rPr>
          <w:rFonts w:ascii="Arial" w:hAnsi="Arial" w:cs="Arial"/>
          <w:sz w:val="22"/>
        </w:rPr>
      </w:pPr>
    </w:p>
    <w:p w14:paraId="1878E53D" w14:textId="3510A564" w:rsidR="00213F31" w:rsidRPr="00C37B8D" w:rsidRDefault="00D27967" w:rsidP="00C37B8D">
      <w:pPr>
        <w:jc w:val="both"/>
        <w:rPr>
          <w:rFonts w:ascii="Arial" w:hAnsi="Arial" w:cs="Arial"/>
          <w:b/>
          <w:bCs/>
        </w:rPr>
      </w:pPr>
      <w:r>
        <w:rPr>
          <w:rFonts w:ascii="Arial" w:hAnsi="Arial" w:cs="Arial"/>
          <w:b/>
          <w:bCs/>
        </w:rPr>
        <w:t xml:space="preserve">3.3 </w:t>
      </w:r>
      <w:r w:rsidR="00213F31" w:rsidRPr="00C37B8D">
        <w:rPr>
          <w:rFonts w:ascii="Arial" w:hAnsi="Arial" w:cs="Arial"/>
          <w:b/>
          <w:bCs/>
        </w:rPr>
        <w:t xml:space="preserve">Exclusion </w:t>
      </w:r>
      <w:r w:rsidR="00144D1B" w:rsidRPr="00C37B8D">
        <w:rPr>
          <w:rFonts w:ascii="Arial" w:hAnsi="Arial" w:cs="Arial"/>
          <w:b/>
          <w:bCs/>
        </w:rPr>
        <w:t>criteria</w:t>
      </w:r>
    </w:p>
    <w:p w14:paraId="5C566C4D" w14:textId="6FA894F6" w:rsidR="00274875" w:rsidRDefault="004D5872" w:rsidP="009A2094">
      <w:pPr>
        <w:spacing w:line="360" w:lineRule="auto"/>
        <w:jc w:val="both"/>
        <w:rPr>
          <w:rFonts w:ascii="Arial" w:hAnsi="Arial" w:cs="Arial"/>
          <w:sz w:val="22"/>
        </w:rPr>
      </w:pPr>
      <w:r w:rsidRPr="004F73BB">
        <w:rPr>
          <w:rFonts w:ascii="Arial" w:hAnsi="Arial" w:cs="Arial"/>
          <w:sz w:val="22"/>
        </w:rPr>
        <w:t>The search did not include s</w:t>
      </w:r>
      <w:r w:rsidR="007A1524" w:rsidRPr="004F73BB">
        <w:rPr>
          <w:rFonts w:ascii="Arial" w:hAnsi="Arial" w:cs="Arial"/>
          <w:sz w:val="22"/>
        </w:rPr>
        <w:t>tudies</w:t>
      </w:r>
      <w:r w:rsidRPr="004F73BB">
        <w:rPr>
          <w:rFonts w:ascii="Arial" w:hAnsi="Arial" w:cs="Arial"/>
          <w:sz w:val="22"/>
        </w:rPr>
        <w:t xml:space="preserve"> of non-UK populations around the world, publications written in a language other than English</w:t>
      </w:r>
      <w:r w:rsidR="005E5C1A">
        <w:rPr>
          <w:rFonts w:ascii="Arial" w:hAnsi="Arial" w:cs="Arial"/>
          <w:sz w:val="22"/>
        </w:rPr>
        <w:t xml:space="preserve">, meta-analysis </w:t>
      </w:r>
      <w:r w:rsidR="00CA7310">
        <w:rPr>
          <w:rFonts w:ascii="Arial" w:hAnsi="Arial" w:cs="Arial"/>
          <w:sz w:val="22"/>
        </w:rPr>
        <w:t xml:space="preserve">and secondary research </w:t>
      </w:r>
      <w:r w:rsidR="006F626A">
        <w:rPr>
          <w:rFonts w:ascii="Arial" w:hAnsi="Arial" w:cs="Arial"/>
          <w:sz w:val="22"/>
        </w:rPr>
        <w:t>studies</w:t>
      </w:r>
      <w:r w:rsidR="005E5C1A">
        <w:rPr>
          <w:rFonts w:ascii="Arial" w:hAnsi="Arial" w:cs="Arial"/>
          <w:sz w:val="22"/>
        </w:rPr>
        <w:t xml:space="preserve">, </w:t>
      </w:r>
      <w:r w:rsidR="00BD3840" w:rsidRPr="004F73BB">
        <w:rPr>
          <w:rFonts w:ascii="Arial" w:hAnsi="Arial" w:cs="Arial"/>
          <w:sz w:val="22"/>
        </w:rPr>
        <w:t xml:space="preserve"> Children, individual and vulnerable populations were excluded from the sample size.</w:t>
      </w:r>
      <w:r w:rsidR="00176489" w:rsidRPr="004F73BB">
        <w:rPr>
          <w:rFonts w:ascii="Arial" w:hAnsi="Arial" w:cs="Arial"/>
          <w:sz w:val="22"/>
        </w:rPr>
        <w:t xml:space="preserve"> </w:t>
      </w:r>
    </w:p>
    <w:p w14:paraId="4D6F917D" w14:textId="77777777" w:rsidR="00B1546F" w:rsidRDefault="00B1546F" w:rsidP="009A2094">
      <w:pPr>
        <w:spacing w:line="360" w:lineRule="auto"/>
        <w:jc w:val="both"/>
        <w:rPr>
          <w:rFonts w:ascii="Arial" w:hAnsi="Arial" w:cs="Arial"/>
          <w:sz w:val="22"/>
        </w:rPr>
      </w:pPr>
    </w:p>
    <w:p w14:paraId="7D535DED" w14:textId="1FF98667" w:rsidR="00B1546F" w:rsidRPr="00B1546F" w:rsidRDefault="00B1546F" w:rsidP="00B1546F">
      <w:pPr>
        <w:spacing w:line="360" w:lineRule="auto"/>
        <w:jc w:val="both"/>
        <w:rPr>
          <w:rFonts w:ascii="Arial" w:hAnsi="Arial" w:cs="Arial"/>
          <w:b/>
          <w:bCs/>
          <w:szCs w:val="24"/>
        </w:rPr>
      </w:pPr>
      <w:r>
        <w:rPr>
          <w:rFonts w:ascii="Arial" w:hAnsi="Arial" w:cs="Arial"/>
          <w:b/>
          <w:bCs/>
          <w:szCs w:val="24"/>
        </w:rPr>
        <w:t xml:space="preserve">3.4 </w:t>
      </w:r>
      <w:r w:rsidRPr="00B1546F">
        <w:rPr>
          <w:rFonts w:ascii="Arial" w:hAnsi="Arial" w:cs="Arial"/>
          <w:b/>
          <w:bCs/>
          <w:szCs w:val="24"/>
        </w:rPr>
        <w:t>Ethical consideration</w:t>
      </w:r>
    </w:p>
    <w:p w14:paraId="27091388" w14:textId="429AAEF5" w:rsidR="00B1546F" w:rsidRPr="00B1546F" w:rsidRDefault="00B1546F" w:rsidP="00B1546F">
      <w:pPr>
        <w:spacing w:line="360" w:lineRule="auto"/>
        <w:jc w:val="both"/>
        <w:rPr>
          <w:rFonts w:ascii="Arial" w:hAnsi="Arial" w:cs="Arial"/>
          <w:sz w:val="22"/>
        </w:rPr>
      </w:pPr>
      <w:r w:rsidRPr="00B1546F">
        <w:rPr>
          <w:rFonts w:ascii="Arial" w:hAnsi="Arial" w:cs="Arial"/>
          <w:sz w:val="22"/>
        </w:rPr>
        <w:t xml:space="preserve">In this </w:t>
      </w:r>
      <w:r w:rsidR="00D333CC">
        <w:rPr>
          <w:rFonts w:ascii="Arial" w:hAnsi="Arial" w:cs="Arial"/>
          <w:sz w:val="22"/>
        </w:rPr>
        <w:t>research</w:t>
      </w:r>
      <w:r w:rsidRPr="00B1546F">
        <w:rPr>
          <w:rFonts w:ascii="Arial" w:hAnsi="Arial" w:cs="Arial"/>
          <w:sz w:val="22"/>
        </w:rPr>
        <w:t xml:space="preserve">, strict adherence to ethics was observed. </w:t>
      </w:r>
      <w:r w:rsidR="000030F1">
        <w:rPr>
          <w:rFonts w:ascii="Arial" w:hAnsi="Arial" w:cs="Arial"/>
          <w:sz w:val="22"/>
        </w:rPr>
        <w:t>A</w:t>
      </w:r>
      <w:r w:rsidR="000030F1" w:rsidRPr="000030F1">
        <w:rPr>
          <w:rFonts w:ascii="Arial" w:hAnsi="Arial" w:cs="Arial"/>
          <w:sz w:val="22"/>
        </w:rPr>
        <w:t>ccording to</w:t>
      </w:r>
      <w:r w:rsidR="00EF0FFD">
        <w:rPr>
          <w:rFonts w:ascii="Arial" w:hAnsi="Arial" w:cs="Arial"/>
          <w:sz w:val="22"/>
        </w:rPr>
        <w:t xml:space="preserve"> Resnik (2011)</w:t>
      </w:r>
      <w:r w:rsidR="000030F1">
        <w:rPr>
          <w:rFonts w:ascii="Arial" w:hAnsi="Arial" w:cs="Arial"/>
          <w:sz w:val="22"/>
        </w:rPr>
        <w:t>, t</w:t>
      </w:r>
      <w:r w:rsidRPr="00B1546F">
        <w:rPr>
          <w:rFonts w:ascii="Arial" w:hAnsi="Arial" w:cs="Arial"/>
          <w:sz w:val="22"/>
        </w:rPr>
        <w:t xml:space="preserve">his </w:t>
      </w:r>
      <w:r w:rsidR="006F626A">
        <w:rPr>
          <w:rFonts w:ascii="Arial" w:hAnsi="Arial" w:cs="Arial"/>
          <w:sz w:val="22"/>
        </w:rPr>
        <w:t>study</w:t>
      </w:r>
      <w:r w:rsidRPr="00B1546F">
        <w:rPr>
          <w:rFonts w:ascii="Arial" w:hAnsi="Arial" w:cs="Arial"/>
          <w:sz w:val="22"/>
        </w:rPr>
        <w:t xml:space="preserve"> was carried out in accordance with ethics to 'support the purposes of research (knowledge, truth, avoidance of error) and the values that are necessary to collaborative work (trust, accountability, mutual respect, and fairness)</w:t>
      </w:r>
      <w:r w:rsidR="000030F1">
        <w:rPr>
          <w:rFonts w:ascii="Arial" w:hAnsi="Arial" w:cs="Arial"/>
          <w:sz w:val="22"/>
        </w:rPr>
        <w:t>.</w:t>
      </w:r>
      <w:r w:rsidRPr="00B1546F">
        <w:rPr>
          <w:rFonts w:ascii="Arial" w:hAnsi="Arial" w:cs="Arial"/>
          <w:sz w:val="22"/>
        </w:rPr>
        <w:t>' As a result of this assumption, the study made certain that all literature sources employed were properly and professionally recognized</w:t>
      </w:r>
      <w:r w:rsidR="00FD04A0">
        <w:rPr>
          <w:rFonts w:ascii="Arial" w:hAnsi="Arial" w:cs="Arial"/>
          <w:sz w:val="22"/>
        </w:rPr>
        <w:t xml:space="preserve"> (</w:t>
      </w:r>
      <w:r w:rsidR="00FD04A0" w:rsidRPr="00FD04A0">
        <w:rPr>
          <w:rFonts w:ascii="Arial" w:hAnsi="Arial" w:cs="Arial"/>
          <w:sz w:val="22"/>
        </w:rPr>
        <w:t>Morris</w:t>
      </w:r>
      <w:r w:rsidR="00FD04A0">
        <w:rPr>
          <w:rFonts w:ascii="Arial" w:hAnsi="Arial" w:cs="Arial"/>
          <w:sz w:val="22"/>
        </w:rPr>
        <w:t>,</w:t>
      </w:r>
      <w:r w:rsidR="00FD04A0" w:rsidRPr="00FD04A0">
        <w:rPr>
          <w:rFonts w:ascii="Arial" w:hAnsi="Arial" w:cs="Arial"/>
          <w:sz w:val="22"/>
        </w:rPr>
        <w:t xml:space="preserve"> 2015)</w:t>
      </w:r>
      <w:r w:rsidRPr="00B1546F">
        <w:rPr>
          <w:rFonts w:ascii="Arial" w:hAnsi="Arial" w:cs="Arial"/>
          <w:sz w:val="22"/>
        </w:rPr>
        <w:t>. There was no attempt to commit academic crimes at the price of truth, mutual respect, and fairness, particularly in relation to past research works on the issue. With these realities in mind, it's critical to look at the study's findings right now</w:t>
      </w:r>
      <w:r w:rsidR="00FD04A0">
        <w:rPr>
          <w:rFonts w:ascii="Arial" w:hAnsi="Arial" w:cs="Arial"/>
          <w:sz w:val="22"/>
        </w:rPr>
        <w:t xml:space="preserve"> (Morris, 2015)</w:t>
      </w:r>
      <w:r w:rsidRPr="00B1546F">
        <w:rPr>
          <w:rFonts w:ascii="Arial" w:hAnsi="Arial" w:cs="Arial"/>
          <w:sz w:val="22"/>
        </w:rPr>
        <w:t>.</w:t>
      </w:r>
    </w:p>
    <w:p w14:paraId="4B8584D7" w14:textId="77777777" w:rsidR="00B801C4" w:rsidRPr="004F73BB" w:rsidRDefault="00B801C4" w:rsidP="00FB6599">
      <w:pPr>
        <w:jc w:val="both"/>
        <w:rPr>
          <w:rFonts w:ascii="Arial" w:hAnsi="Arial" w:cs="Arial"/>
          <w:sz w:val="22"/>
        </w:rPr>
      </w:pPr>
    </w:p>
    <w:p w14:paraId="270BDC6F" w14:textId="113A945F" w:rsidR="008F2E02" w:rsidRDefault="004E71BB" w:rsidP="005C53F4">
      <w:pPr>
        <w:pStyle w:val="Heading1"/>
        <w:numPr>
          <w:ilvl w:val="0"/>
          <w:numId w:val="1"/>
        </w:numPr>
        <w:spacing w:line="360" w:lineRule="auto"/>
        <w:rPr>
          <w:rFonts w:ascii="Arial" w:hAnsi="Arial" w:cs="Arial"/>
          <w:iCs/>
          <w:sz w:val="28"/>
          <w:szCs w:val="28"/>
        </w:rPr>
      </w:pPr>
      <w:bookmarkStart w:id="4" w:name="_Toc90222635"/>
      <w:r>
        <w:rPr>
          <w:rFonts w:ascii="Arial" w:hAnsi="Arial" w:cs="Arial"/>
          <w:iCs/>
          <w:sz w:val="28"/>
          <w:szCs w:val="28"/>
        </w:rPr>
        <w:t>Literature Review</w:t>
      </w:r>
      <w:bookmarkEnd w:id="4"/>
    </w:p>
    <w:p w14:paraId="219719C4" w14:textId="77777777" w:rsidR="005839B7" w:rsidRDefault="000400D7" w:rsidP="00A20689">
      <w:pPr>
        <w:spacing w:line="360" w:lineRule="auto"/>
        <w:jc w:val="both"/>
        <w:rPr>
          <w:rFonts w:ascii="Arial" w:hAnsi="Arial" w:cs="Arial"/>
          <w:sz w:val="22"/>
        </w:rPr>
      </w:pPr>
      <w:r w:rsidRPr="004F73BB">
        <w:rPr>
          <w:rFonts w:ascii="Arial" w:hAnsi="Arial" w:cs="Arial"/>
          <w:sz w:val="22"/>
        </w:rPr>
        <w:t>T</w:t>
      </w:r>
      <w:r w:rsidR="00BB7949" w:rsidRPr="004F73BB">
        <w:rPr>
          <w:rFonts w:ascii="Arial" w:hAnsi="Arial" w:cs="Arial"/>
          <w:sz w:val="22"/>
        </w:rPr>
        <w:t xml:space="preserve">his </w:t>
      </w:r>
      <w:r w:rsidR="00FF2D24" w:rsidRPr="004F73BB">
        <w:rPr>
          <w:rFonts w:ascii="Arial" w:hAnsi="Arial" w:cs="Arial"/>
          <w:sz w:val="22"/>
        </w:rPr>
        <w:t>section</w:t>
      </w:r>
      <w:r w:rsidR="00BB7949" w:rsidRPr="004F73BB">
        <w:rPr>
          <w:rFonts w:ascii="Arial" w:hAnsi="Arial" w:cs="Arial"/>
          <w:sz w:val="22"/>
        </w:rPr>
        <w:t xml:space="preserve"> </w:t>
      </w:r>
      <w:r w:rsidRPr="004F73BB">
        <w:rPr>
          <w:rFonts w:ascii="Arial" w:hAnsi="Arial" w:cs="Arial"/>
          <w:sz w:val="22"/>
        </w:rPr>
        <w:t xml:space="preserve">presents the main </w:t>
      </w:r>
      <w:r w:rsidR="00D35434" w:rsidRPr="004F73BB">
        <w:rPr>
          <w:rFonts w:ascii="Arial" w:hAnsi="Arial" w:cs="Arial"/>
          <w:sz w:val="22"/>
        </w:rPr>
        <w:t>characteristics of</w:t>
      </w:r>
      <w:r w:rsidR="00FD772C" w:rsidRPr="004F73BB">
        <w:rPr>
          <w:rFonts w:ascii="Arial" w:hAnsi="Arial" w:cs="Arial"/>
          <w:sz w:val="22"/>
        </w:rPr>
        <w:t xml:space="preserve"> the chosen studies. </w:t>
      </w:r>
    </w:p>
    <w:p w14:paraId="799B52C4" w14:textId="77777777" w:rsidR="00D26752" w:rsidRDefault="001D5D83" w:rsidP="00A20689">
      <w:pPr>
        <w:spacing w:line="360" w:lineRule="auto"/>
        <w:jc w:val="both"/>
      </w:pPr>
      <w:r w:rsidRPr="004F73BB">
        <w:rPr>
          <w:rFonts w:ascii="Arial" w:hAnsi="Arial" w:cs="Arial"/>
          <w:sz w:val="22"/>
        </w:rPr>
        <w:t xml:space="preserve">The first article is </w:t>
      </w:r>
      <w:r w:rsidR="00C0389F" w:rsidRPr="00C0389F">
        <w:rPr>
          <w:rFonts w:ascii="Arial" w:hAnsi="Arial" w:cs="Arial"/>
          <w:sz w:val="22"/>
        </w:rPr>
        <w:t>‘COVID-19 vaccine</w:t>
      </w:r>
      <w:r w:rsidR="0051413D" w:rsidRPr="004F73BB">
        <w:rPr>
          <w:rFonts w:ascii="Arial" w:hAnsi="Arial" w:cs="Arial"/>
          <w:sz w:val="22"/>
        </w:rPr>
        <w:t xml:space="preserve"> </w:t>
      </w:r>
      <w:r w:rsidR="00C0389F" w:rsidRPr="00C0389F">
        <w:rPr>
          <w:rFonts w:ascii="Arial" w:hAnsi="Arial" w:cs="Arial"/>
          <w:sz w:val="22"/>
        </w:rPr>
        <w:t>hesitancy in the  UK: the</w:t>
      </w:r>
      <w:r w:rsidR="00C0389F" w:rsidRPr="004F73BB">
        <w:rPr>
          <w:rFonts w:ascii="Arial" w:hAnsi="Arial" w:cs="Arial"/>
          <w:sz w:val="22"/>
        </w:rPr>
        <w:t xml:space="preserve"> </w:t>
      </w:r>
      <w:r w:rsidR="00C0389F" w:rsidRPr="00C0389F">
        <w:rPr>
          <w:rFonts w:ascii="Arial" w:hAnsi="Arial" w:cs="Arial"/>
          <w:sz w:val="22"/>
        </w:rPr>
        <w:t>Oxford coronavirus explanations, attitudes,</w:t>
      </w:r>
      <w:r w:rsidR="00C0389F" w:rsidRPr="004F73BB">
        <w:rPr>
          <w:rFonts w:ascii="Arial" w:hAnsi="Arial" w:cs="Arial"/>
          <w:sz w:val="22"/>
        </w:rPr>
        <w:t xml:space="preserve"> and narratives survey (Oceans) II’</w:t>
      </w:r>
      <w:r w:rsidR="003A590C" w:rsidRPr="004F73BB">
        <w:rPr>
          <w:rFonts w:ascii="Arial" w:hAnsi="Arial" w:cs="Arial"/>
          <w:sz w:val="22"/>
        </w:rPr>
        <w:t xml:space="preserve"> </w:t>
      </w:r>
      <w:r w:rsidRPr="004F73BB">
        <w:rPr>
          <w:rFonts w:ascii="Arial" w:hAnsi="Arial" w:cs="Arial"/>
          <w:sz w:val="22"/>
        </w:rPr>
        <w:t xml:space="preserve">written by </w:t>
      </w:r>
      <w:r w:rsidR="00C0389F" w:rsidRPr="004F73BB">
        <w:rPr>
          <w:rFonts w:ascii="Arial" w:hAnsi="Arial" w:cs="Arial"/>
          <w:sz w:val="22"/>
        </w:rPr>
        <w:t xml:space="preserve">Freeman et al., </w:t>
      </w:r>
      <w:r w:rsidRPr="004F73BB">
        <w:rPr>
          <w:rFonts w:ascii="Arial" w:hAnsi="Arial" w:cs="Arial"/>
          <w:sz w:val="22"/>
        </w:rPr>
        <w:t>(</w:t>
      </w:r>
      <w:r w:rsidR="00C0389F" w:rsidRPr="004F73BB">
        <w:rPr>
          <w:rFonts w:ascii="Arial" w:hAnsi="Arial" w:cs="Arial"/>
          <w:sz w:val="22"/>
        </w:rPr>
        <w:t>2021</w:t>
      </w:r>
      <w:r w:rsidR="003A590C" w:rsidRPr="004F73BB">
        <w:rPr>
          <w:rFonts w:ascii="Arial" w:hAnsi="Arial" w:cs="Arial"/>
          <w:sz w:val="22"/>
        </w:rPr>
        <w:t>)</w:t>
      </w:r>
      <w:r w:rsidR="00C0389F" w:rsidRPr="004F73BB">
        <w:rPr>
          <w:rFonts w:ascii="Arial" w:hAnsi="Arial" w:cs="Arial"/>
          <w:sz w:val="22"/>
        </w:rPr>
        <w:t>.</w:t>
      </w:r>
      <w:r w:rsidR="005B52CD" w:rsidRPr="004F73BB">
        <w:rPr>
          <w:rFonts w:ascii="Arial" w:hAnsi="Arial" w:cs="Arial"/>
          <w:sz w:val="22"/>
        </w:rPr>
        <w:t xml:space="preserve"> The a</w:t>
      </w:r>
      <w:r w:rsidR="007006C8" w:rsidRPr="004F73BB">
        <w:rPr>
          <w:rFonts w:ascii="Arial" w:hAnsi="Arial" w:cs="Arial"/>
          <w:sz w:val="22"/>
        </w:rPr>
        <w:t xml:space="preserve">im of </w:t>
      </w:r>
      <w:r w:rsidR="00882527" w:rsidRPr="004F73BB">
        <w:rPr>
          <w:rFonts w:ascii="Arial" w:hAnsi="Arial" w:cs="Arial"/>
          <w:sz w:val="22"/>
        </w:rPr>
        <w:t xml:space="preserve">the </w:t>
      </w:r>
      <w:r w:rsidR="007006C8" w:rsidRPr="004F73BB">
        <w:rPr>
          <w:rFonts w:ascii="Arial" w:hAnsi="Arial" w:cs="Arial"/>
          <w:sz w:val="22"/>
        </w:rPr>
        <w:t>study</w:t>
      </w:r>
      <w:r w:rsidR="005B52CD" w:rsidRPr="004F73BB">
        <w:rPr>
          <w:rFonts w:ascii="Arial" w:hAnsi="Arial" w:cs="Arial"/>
          <w:sz w:val="22"/>
        </w:rPr>
        <w:t xml:space="preserve"> was</w:t>
      </w:r>
      <w:r w:rsidR="007006C8" w:rsidRPr="004F73BB">
        <w:rPr>
          <w:rFonts w:ascii="Arial" w:hAnsi="Arial" w:cs="Arial"/>
          <w:sz w:val="22"/>
        </w:rPr>
        <w:t xml:space="preserve"> </w:t>
      </w:r>
      <w:r w:rsidR="005B52CD" w:rsidRPr="004F73BB">
        <w:rPr>
          <w:rFonts w:ascii="Arial" w:hAnsi="Arial" w:cs="Arial"/>
          <w:sz w:val="22"/>
        </w:rPr>
        <w:t>t</w:t>
      </w:r>
      <w:r w:rsidR="00F074ED" w:rsidRPr="004F73BB">
        <w:rPr>
          <w:rFonts w:ascii="Arial" w:hAnsi="Arial" w:cs="Arial"/>
          <w:sz w:val="22"/>
        </w:rPr>
        <w:t>o investigate the relationship between socio-demographic factors and vaccination rejection, as well as possible explanations. Most importantly, determining a person's willingness to get a coronavirus vaccine on a trial basis.</w:t>
      </w:r>
      <w:r w:rsidR="00743011" w:rsidRPr="004F73BB">
        <w:rPr>
          <w:rFonts w:ascii="Arial" w:hAnsi="Arial" w:cs="Arial"/>
          <w:sz w:val="22"/>
        </w:rPr>
        <w:t xml:space="preserve"> </w:t>
      </w:r>
      <w:r w:rsidR="00857DDA" w:rsidRPr="004F73BB">
        <w:rPr>
          <w:rFonts w:ascii="Arial" w:hAnsi="Arial" w:cs="Arial"/>
          <w:sz w:val="22"/>
        </w:rPr>
        <w:t xml:space="preserve">Methods and </w:t>
      </w:r>
      <w:r w:rsidR="00743011" w:rsidRPr="004F73BB">
        <w:rPr>
          <w:rFonts w:ascii="Arial" w:hAnsi="Arial" w:cs="Arial"/>
          <w:sz w:val="22"/>
        </w:rPr>
        <w:t>s</w:t>
      </w:r>
      <w:r w:rsidR="00857DDA" w:rsidRPr="004F73BB">
        <w:rPr>
          <w:rFonts w:ascii="Arial" w:hAnsi="Arial" w:cs="Arial"/>
          <w:sz w:val="22"/>
        </w:rPr>
        <w:t>ample size</w:t>
      </w:r>
      <w:r w:rsidR="00743011" w:rsidRPr="004F73BB">
        <w:rPr>
          <w:rFonts w:ascii="Arial" w:hAnsi="Arial" w:cs="Arial"/>
          <w:sz w:val="22"/>
        </w:rPr>
        <w:t xml:space="preserve"> was collected b</w:t>
      </w:r>
      <w:r w:rsidR="003E0A66" w:rsidRPr="004F73BB">
        <w:rPr>
          <w:rFonts w:ascii="Arial" w:hAnsi="Arial" w:cs="Arial"/>
          <w:sz w:val="22"/>
        </w:rPr>
        <w:t xml:space="preserve">etween September 24th and October 17th, 2020, an online survey of 5,114 British adults was conducted, with the proportion of the </w:t>
      </w:r>
      <w:r w:rsidR="00FE360C">
        <w:rPr>
          <w:rFonts w:ascii="Arial" w:hAnsi="Arial" w:cs="Arial"/>
          <w:sz w:val="22"/>
        </w:rPr>
        <w:t>population-adjusted</w:t>
      </w:r>
      <w:r w:rsidR="003E0A66" w:rsidRPr="004F73BB">
        <w:rPr>
          <w:rFonts w:ascii="Arial" w:hAnsi="Arial" w:cs="Arial"/>
          <w:sz w:val="22"/>
        </w:rPr>
        <w:t xml:space="preserve"> for age, gender, ethnicity, income, education level, and region. The 'Oxford COVID19 Vaccination Hesitancy Scale' assesses people's readiness to receive the coronavirus 2019 vaccine. A structural equation model was used to estimate descriptive factor </w:t>
      </w:r>
      <w:r w:rsidR="00F23DE4">
        <w:rPr>
          <w:rFonts w:ascii="Arial" w:hAnsi="Arial" w:cs="Arial"/>
          <w:sz w:val="22"/>
        </w:rPr>
        <w:t>relationship</w:t>
      </w:r>
      <w:r w:rsidR="00F809C6">
        <w:rPr>
          <w:rFonts w:ascii="Arial" w:hAnsi="Arial" w:cs="Arial"/>
          <w:sz w:val="22"/>
        </w:rPr>
        <w:t>s</w:t>
      </w:r>
      <w:r w:rsidR="003E0A66" w:rsidRPr="004F73BB">
        <w:rPr>
          <w:rFonts w:ascii="Arial" w:hAnsi="Arial" w:cs="Arial"/>
          <w:sz w:val="22"/>
        </w:rPr>
        <w:t>.</w:t>
      </w:r>
      <w:r w:rsidR="003D4731" w:rsidRPr="004F73BB">
        <w:rPr>
          <w:rFonts w:ascii="Arial" w:hAnsi="Arial" w:cs="Arial"/>
          <w:sz w:val="22"/>
        </w:rPr>
        <w:t xml:space="preserve"> </w:t>
      </w:r>
      <w:r w:rsidR="00354BB7" w:rsidRPr="004F73BB">
        <w:rPr>
          <w:rFonts w:ascii="Arial" w:hAnsi="Arial" w:cs="Arial"/>
          <w:sz w:val="22"/>
        </w:rPr>
        <w:t>Many people are agreed with the vaccination but also there is a ratio who do not agree</w:t>
      </w:r>
      <w:r w:rsidR="00FF0796" w:rsidRPr="004F73BB">
        <w:rPr>
          <w:rFonts w:ascii="Arial" w:hAnsi="Arial" w:cs="Arial"/>
          <w:sz w:val="22"/>
        </w:rPr>
        <w:t xml:space="preserve">. </w:t>
      </w:r>
      <w:r w:rsidR="00904698" w:rsidRPr="004F73BB">
        <w:rPr>
          <w:rFonts w:ascii="Arial" w:hAnsi="Arial" w:cs="Arial"/>
          <w:sz w:val="22"/>
        </w:rPr>
        <w:t>The majority</w:t>
      </w:r>
      <w:r w:rsidR="003D4731" w:rsidRPr="004F73BB">
        <w:rPr>
          <w:rFonts w:ascii="Arial" w:hAnsi="Arial" w:cs="Arial"/>
          <w:sz w:val="22"/>
        </w:rPr>
        <w:t xml:space="preserve"> of participants (</w:t>
      </w:r>
      <w:r w:rsidR="00E028EC" w:rsidRPr="004F73BB">
        <w:rPr>
          <w:rFonts w:ascii="Arial" w:hAnsi="Arial" w:cs="Arial"/>
          <w:sz w:val="22"/>
        </w:rPr>
        <w:t>71.7 percent</w:t>
      </w:r>
      <w:r w:rsidR="006F79E9" w:rsidRPr="004F73BB">
        <w:rPr>
          <w:rFonts w:ascii="Arial" w:hAnsi="Arial" w:cs="Arial"/>
          <w:sz w:val="22"/>
        </w:rPr>
        <w:t>)</w:t>
      </w:r>
      <w:r w:rsidR="00E028EC" w:rsidRPr="004F73BB">
        <w:rPr>
          <w:rFonts w:ascii="Arial" w:hAnsi="Arial" w:cs="Arial"/>
          <w:sz w:val="22"/>
        </w:rPr>
        <w:t xml:space="preserve"> were favorable about getting the vaccine, </w:t>
      </w:r>
      <w:r w:rsidR="00C27F8F" w:rsidRPr="004F73BB">
        <w:rPr>
          <w:rFonts w:ascii="Arial" w:hAnsi="Arial" w:cs="Arial"/>
          <w:sz w:val="22"/>
        </w:rPr>
        <w:t xml:space="preserve">and a further </w:t>
      </w:r>
      <w:r w:rsidR="00E028EC" w:rsidRPr="004F73BB">
        <w:rPr>
          <w:rFonts w:ascii="Arial" w:hAnsi="Arial" w:cs="Arial"/>
          <w:sz w:val="22"/>
        </w:rPr>
        <w:t>16.6 percent were dubious,</w:t>
      </w:r>
      <w:r w:rsidR="00937EEE" w:rsidRPr="004F73BB">
        <w:rPr>
          <w:rFonts w:ascii="Arial" w:hAnsi="Arial" w:cs="Arial"/>
          <w:sz w:val="22"/>
        </w:rPr>
        <w:t xml:space="preserve"> </w:t>
      </w:r>
      <w:r w:rsidR="00687905" w:rsidRPr="004F73BB">
        <w:rPr>
          <w:rFonts w:ascii="Arial" w:hAnsi="Arial" w:cs="Arial"/>
          <w:sz w:val="22"/>
        </w:rPr>
        <w:t>and</w:t>
      </w:r>
      <w:r w:rsidR="00E028EC" w:rsidRPr="004F73BB">
        <w:rPr>
          <w:rFonts w:ascii="Arial" w:hAnsi="Arial" w:cs="Arial"/>
          <w:sz w:val="22"/>
        </w:rPr>
        <w:t xml:space="preserve"> 11.7 percent were extremely hesitant.</w:t>
      </w:r>
      <w:r w:rsidR="000F728A" w:rsidRPr="004F73BB">
        <w:rPr>
          <w:rFonts w:ascii="Arial" w:hAnsi="Arial" w:cs="Arial"/>
          <w:sz w:val="22"/>
        </w:rPr>
        <w:t xml:space="preserve"> </w:t>
      </w:r>
      <w:r w:rsidR="00E028EC" w:rsidRPr="004F73BB">
        <w:rPr>
          <w:rFonts w:ascii="Arial" w:hAnsi="Arial" w:cs="Arial"/>
          <w:sz w:val="22"/>
        </w:rPr>
        <w:t xml:space="preserve">Vaccine apprehension was unrelated to sociodemographic factors or political beliefs. </w:t>
      </w:r>
      <w:r w:rsidR="00C51E71" w:rsidRPr="00C51E71">
        <w:rPr>
          <w:rFonts w:ascii="Arial" w:hAnsi="Arial" w:cs="Arial"/>
          <w:sz w:val="22"/>
        </w:rPr>
        <w:t>The fear of COVID19 vaccination is widespread among the population. Acceptance of vaccination is closely related to understanding the relevance of the group. Public awareness of vaccines that emphasize prosocial benefits can be particularly useful. Factors that create suspicion and disrupt social cohesion, such as conspiracy theories, reduce vaccine intake.</w:t>
      </w:r>
      <w:r w:rsidR="00D26752" w:rsidRPr="00D26752">
        <w:t xml:space="preserve"> </w:t>
      </w:r>
    </w:p>
    <w:p w14:paraId="38F454E4" w14:textId="77777777" w:rsidR="00D20AE9" w:rsidRDefault="00D20AE9" w:rsidP="00A20689">
      <w:pPr>
        <w:spacing w:line="360" w:lineRule="auto"/>
        <w:jc w:val="both"/>
        <w:rPr>
          <w:rFonts w:ascii="Arial" w:hAnsi="Arial" w:cs="Arial"/>
          <w:sz w:val="22"/>
        </w:rPr>
      </w:pPr>
    </w:p>
    <w:p w14:paraId="654DF496" w14:textId="3EBCA172" w:rsidR="00DE5FBF" w:rsidRDefault="00DE5FBF" w:rsidP="00A20689">
      <w:pPr>
        <w:spacing w:line="360" w:lineRule="auto"/>
        <w:jc w:val="both"/>
        <w:rPr>
          <w:rFonts w:ascii="Arial" w:hAnsi="Arial" w:cs="Arial"/>
          <w:sz w:val="22"/>
        </w:rPr>
      </w:pPr>
      <w:r w:rsidRPr="004F73BB">
        <w:rPr>
          <w:rFonts w:ascii="Arial" w:hAnsi="Arial" w:cs="Arial"/>
          <w:sz w:val="22"/>
        </w:rPr>
        <w:t xml:space="preserve">The second article </w:t>
      </w:r>
      <w:r w:rsidR="00AE3058" w:rsidRPr="004F73BB">
        <w:rPr>
          <w:rFonts w:ascii="Arial" w:hAnsi="Arial" w:cs="Arial"/>
          <w:sz w:val="22"/>
        </w:rPr>
        <w:t>is ‘Understanding COVID-19 misinformation and vaccine hesitancy in context: Findings from a qualitative study involving citizens in Bradford, UK’ conducted by  Lockyer et al., (2021).</w:t>
      </w:r>
      <w:r w:rsidR="0059657E" w:rsidRPr="004F73BB">
        <w:rPr>
          <w:rFonts w:ascii="Arial" w:hAnsi="Arial" w:cs="Arial"/>
          <w:sz w:val="22"/>
        </w:rPr>
        <w:t xml:space="preserve"> The </w:t>
      </w:r>
      <w:r w:rsidR="003D5ADB" w:rsidRPr="004F73BB">
        <w:rPr>
          <w:rFonts w:ascii="Arial" w:hAnsi="Arial" w:cs="Arial"/>
          <w:sz w:val="22"/>
        </w:rPr>
        <w:t>main aim of the research was to learn more about citizens' ideas, interactions with (mis)information during the continuing pandemic, and attitudes toward the COVID-19 vaccination.</w:t>
      </w:r>
      <w:r w:rsidR="00104971" w:rsidRPr="004F73BB">
        <w:rPr>
          <w:rFonts w:ascii="Arial" w:hAnsi="Arial" w:cs="Arial"/>
          <w:sz w:val="22"/>
        </w:rPr>
        <w:t xml:space="preserve"> </w:t>
      </w:r>
      <w:r w:rsidR="00D47893" w:rsidRPr="004F73BB">
        <w:rPr>
          <w:rFonts w:ascii="Arial" w:hAnsi="Arial" w:cs="Arial"/>
          <w:sz w:val="22"/>
        </w:rPr>
        <w:t>Twenty Brits from Bradford were questioned over the phone in the autumn of 2020. The population was made up of people from many ethnic backgrounds. There was a wide range of ages among the respondents.</w:t>
      </w:r>
      <w:r w:rsidR="000A6E47" w:rsidRPr="004F73BB">
        <w:rPr>
          <w:sz w:val="22"/>
        </w:rPr>
        <w:t xml:space="preserve"> </w:t>
      </w:r>
      <w:r w:rsidR="000A6E47" w:rsidRPr="004F73BB">
        <w:rPr>
          <w:rFonts w:ascii="Arial" w:hAnsi="Arial" w:cs="Arial"/>
          <w:sz w:val="22"/>
        </w:rPr>
        <w:t>Participants indicated that they had come across a variety of COVID-19 misinformation on social media, which had caused them bewilderment, doubt, distress, and mistrust in healthcare providers.</w:t>
      </w:r>
    </w:p>
    <w:p w14:paraId="54774806" w14:textId="77777777" w:rsidR="00E25BA1" w:rsidRPr="004F73BB" w:rsidRDefault="00E25BA1" w:rsidP="00A20689">
      <w:pPr>
        <w:spacing w:line="360" w:lineRule="auto"/>
        <w:jc w:val="both"/>
        <w:rPr>
          <w:rFonts w:ascii="Arial" w:hAnsi="Arial" w:cs="Arial"/>
          <w:sz w:val="22"/>
        </w:rPr>
      </w:pPr>
    </w:p>
    <w:p w14:paraId="676EC53B" w14:textId="5D75388F" w:rsidR="00E64B33" w:rsidRDefault="007A54FD" w:rsidP="00D232D5">
      <w:pPr>
        <w:spacing w:line="360" w:lineRule="auto"/>
        <w:jc w:val="both"/>
        <w:rPr>
          <w:rFonts w:ascii="Arial" w:hAnsi="Arial" w:cs="Arial"/>
          <w:sz w:val="22"/>
        </w:rPr>
      </w:pPr>
      <w:r w:rsidRPr="004F73BB">
        <w:rPr>
          <w:rFonts w:ascii="Arial" w:hAnsi="Arial" w:cs="Arial"/>
          <w:sz w:val="22"/>
        </w:rPr>
        <w:t xml:space="preserve">The third </w:t>
      </w:r>
      <w:r w:rsidR="00337D58" w:rsidRPr="004F73BB">
        <w:rPr>
          <w:rFonts w:ascii="Arial" w:hAnsi="Arial" w:cs="Arial"/>
          <w:sz w:val="22"/>
        </w:rPr>
        <w:t>publication is ‘Injection fears and COVID-19 vaccine hesitancy</w:t>
      </w:r>
      <w:r w:rsidR="00802A1C">
        <w:rPr>
          <w:rFonts w:ascii="Arial" w:hAnsi="Arial" w:cs="Arial"/>
          <w:sz w:val="22"/>
        </w:rPr>
        <w:t>’</w:t>
      </w:r>
      <w:r w:rsidR="00337D58" w:rsidRPr="004F73BB">
        <w:rPr>
          <w:rFonts w:ascii="Arial" w:hAnsi="Arial" w:cs="Arial"/>
          <w:sz w:val="22"/>
        </w:rPr>
        <w:t xml:space="preserve"> conducted by Freeman et al., (2021)</w:t>
      </w:r>
      <w:r w:rsidR="004D2C49" w:rsidRPr="004F73BB">
        <w:rPr>
          <w:rFonts w:ascii="Arial" w:hAnsi="Arial" w:cs="Arial"/>
          <w:sz w:val="22"/>
        </w:rPr>
        <w:t xml:space="preserve">. </w:t>
      </w:r>
      <w:r w:rsidR="006750AC" w:rsidRPr="004F73BB">
        <w:rPr>
          <w:rFonts w:ascii="Arial" w:hAnsi="Arial" w:cs="Arial"/>
          <w:sz w:val="22"/>
        </w:rPr>
        <w:t xml:space="preserve">The aim </w:t>
      </w:r>
      <w:r w:rsidR="00CB026A">
        <w:rPr>
          <w:rFonts w:ascii="Arial" w:hAnsi="Arial" w:cs="Arial"/>
          <w:sz w:val="22"/>
        </w:rPr>
        <w:t>of</w:t>
      </w:r>
      <w:r w:rsidR="006C31A4" w:rsidRPr="004F73BB">
        <w:rPr>
          <w:rFonts w:ascii="Arial" w:hAnsi="Arial" w:cs="Arial"/>
          <w:sz w:val="22"/>
        </w:rPr>
        <w:t xml:space="preserve"> this study </w:t>
      </w:r>
      <w:r w:rsidR="006750AC" w:rsidRPr="004F73BB">
        <w:rPr>
          <w:rFonts w:ascii="Arial" w:hAnsi="Arial" w:cs="Arial"/>
          <w:sz w:val="22"/>
        </w:rPr>
        <w:t>was</w:t>
      </w:r>
      <w:r w:rsidR="006C31A4" w:rsidRPr="004F73BB">
        <w:rPr>
          <w:rFonts w:ascii="Arial" w:hAnsi="Arial" w:cs="Arial"/>
          <w:sz w:val="22"/>
        </w:rPr>
        <w:t xml:space="preserve"> to investigate t</w:t>
      </w:r>
      <w:r w:rsidR="006750AC" w:rsidRPr="004F73BB">
        <w:rPr>
          <w:rFonts w:ascii="Arial" w:hAnsi="Arial" w:cs="Arial"/>
          <w:sz w:val="22"/>
        </w:rPr>
        <w:t>he connection between injection anxieties and COVID-19 vaccination apprehension in the adult population of the United Kingdom.</w:t>
      </w:r>
      <w:r w:rsidR="001B25EB" w:rsidRPr="004F73BB">
        <w:rPr>
          <w:rFonts w:ascii="Arial" w:hAnsi="Arial" w:cs="Arial"/>
          <w:sz w:val="22"/>
        </w:rPr>
        <w:t xml:space="preserve"> </w:t>
      </w:r>
      <w:r w:rsidR="00624383" w:rsidRPr="004F73BB">
        <w:rPr>
          <w:rFonts w:ascii="Arial" w:hAnsi="Arial" w:cs="Arial"/>
          <w:sz w:val="22"/>
        </w:rPr>
        <w:t>Furthermore, b</w:t>
      </w:r>
      <w:r w:rsidR="001B25EB" w:rsidRPr="004F73BB">
        <w:rPr>
          <w:rFonts w:ascii="Arial" w:hAnsi="Arial" w:cs="Arial"/>
          <w:sz w:val="22"/>
        </w:rPr>
        <w:t xml:space="preserve">etween January 19th and February 5th, 2021, an online </w:t>
      </w:r>
      <w:r w:rsidR="00D65324" w:rsidRPr="004F73BB">
        <w:rPr>
          <w:rFonts w:ascii="Arial" w:hAnsi="Arial" w:cs="Arial"/>
          <w:sz w:val="22"/>
        </w:rPr>
        <w:t>survey</w:t>
      </w:r>
      <w:r w:rsidR="001B25EB" w:rsidRPr="004F73BB">
        <w:rPr>
          <w:rFonts w:ascii="Arial" w:hAnsi="Arial" w:cs="Arial"/>
          <w:sz w:val="22"/>
        </w:rPr>
        <w:t xml:space="preserve"> of 15 014 British individuals was conducted.</w:t>
      </w:r>
      <w:r w:rsidR="00624383" w:rsidRPr="004F73BB">
        <w:rPr>
          <w:rFonts w:ascii="Arial" w:hAnsi="Arial" w:cs="Arial"/>
          <w:sz w:val="22"/>
        </w:rPr>
        <w:t xml:space="preserve"> </w:t>
      </w:r>
      <w:r w:rsidR="001B25EB" w:rsidRPr="004F73BB">
        <w:rPr>
          <w:rFonts w:ascii="Arial" w:hAnsi="Arial" w:cs="Arial"/>
          <w:sz w:val="22"/>
        </w:rPr>
        <w:t xml:space="preserve">The Oxford COVID-19 Vaccine Hesitancy Scale was used by researchers to determine adult vaccination intentions. </w:t>
      </w:r>
      <w:r w:rsidR="00A20689">
        <w:rPr>
          <w:rFonts w:ascii="Arial" w:hAnsi="Arial" w:cs="Arial"/>
          <w:sz w:val="22"/>
        </w:rPr>
        <w:t>The</w:t>
      </w:r>
      <w:r w:rsidR="00BB57DF" w:rsidRPr="004F73BB">
        <w:rPr>
          <w:rFonts w:ascii="Arial" w:hAnsi="Arial" w:cs="Arial"/>
          <w:sz w:val="22"/>
        </w:rPr>
        <w:t xml:space="preserve"> population's diversity contributed </w:t>
      </w:r>
      <w:r w:rsidR="00D80749" w:rsidRPr="004F73BB">
        <w:rPr>
          <w:rFonts w:ascii="Arial" w:hAnsi="Arial" w:cs="Arial"/>
          <w:sz w:val="22"/>
        </w:rPr>
        <w:t xml:space="preserve">to </w:t>
      </w:r>
      <w:r w:rsidR="00BB57DF" w:rsidRPr="004F73BB">
        <w:rPr>
          <w:rFonts w:ascii="Arial" w:hAnsi="Arial" w:cs="Arial"/>
          <w:sz w:val="22"/>
        </w:rPr>
        <w:t>a</w:t>
      </w:r>
      <w:r w:rsidR="001B25EB" w:rsidRPr="004F73BB">
        <w:rPr>
          <w:rFonts w:ascii="Arial" w:hAnsi="Arial" w:cs="Arial"/>
          <w:sz w:val="22"/>
        </w:rPr>
        <w:t>ge, gender, marital status, ethnicity, income, education level, and employment</w:t>
      </w:r>
      <w:r w:rsidR="00BB57DF" w:rsidRPr="004F73BB">
        <w:rPr>
          <w:rFonts w:ascii="Arial" w:hAnsi="Arial" w:cs="Arial"/>
          <w:sz w:val="22"/>
        </w:rPr>
        <w:t>.</w:t>
      </w:r>
      <w:r w:rsidR="00A71B2A">
        <w:rPr>
          <w:rFonts w:ascii="Arial" w:hAnsi="Arial" w:cs="Arial"/>
          <w:sz w:val="22"/>
        </w:rPr>
        <w:t xml:space="preserve"> The study revealed that f</w:t>
      </w:r>
      <w:r w:rsidR="00A71B2A" w:rsidRPr="00A71B2A">
        <w:rPr>
          <w:rFonts w:ascii="Arial" w:hAnsi="Arial" w:cs="Arial"/>
          <w:sz w:val="22"/>
        </w:rPr>
        <w:t>ears of blood-injection-injury may account for roughly 10% of adult apprehension against COVID-19 immunization.</w:t>
      </w:r>
      <w:r w:rsidR="007B7456">
        <w:rPr>
          <w:rFonts w:ascii="Arial" w:hAnsi="Arial" w:cs="Arial"/>
          <w:sz w:val="22"/>
        </w:rPr>
        <w:t xml:space="preserve"> </w:t>
      </w:r>
    </w:p>
    <w:p w14:paraId="6E8DF136" w14:textId="77777777" w:rsidR="0086294A" w:rsidRDefault="0086294A" w:rsidP="00D232D5">
      <w:pPr>
        <w:spacing w:line="360" w:lineRule="auto"/>
        <w:jc w:val="both"/>
        <w:rPr>
          <w:rFonts w:ascii="Arial" w:hAnsi="Arial" w:cs="Arial"/>
          <w:sz w:val="22"/>
        </w:rPr>
      </w:pPr>
    </w:p>
    <w:p w14:paraId="6E7C3ABC" w14:textId="43D32B8A" w:rsidR="001D1BB9" w:rsidRDefault="002F391E" w:rsidP="00D76BB9">
      <w:pPr>
        <w:spacing w:line="360" w:lineRule="auto"/>
        <w:jc w:val="both"/>
        <w:rPr>
          <w:rFonts w:ascii="Arial" w:hAnsi="Arial" w:cs="Arial"/>
          <w:sz w:val="22"/>
        </w:rPr>
      </w:pPr>
      <w:r>
        <w:rPr>
          <w:rFonts w:ascii="Arial" w:hAnsi="Arial" w:cs="Arial"/>
          <w:sz w:val="22"/>
        </w:rPr>
        <w:t>Another publication</w:t>
      </w:r>
      <w:r w:rsidR="00833D0A">
        <w:rPr>
          <w:rFonts w:ascii="Arial" w:hAnsi="Arial" w:cs="Arial"/>
          <w:sz w:val="22"/>
        </w:rPr>
        <w:t xml:space="preserve"> </w:t>
      </w:r>
      <w:r w:rsidR="003B7016">
        <w:rPr>
          <w:rFonts w:ascii="Arial" w:hAnsi="Arial" w:cs="Arial"/>
          <w:sz w:val="22"/>
        </w:rPr>
        <w:t>was written</w:t>
      </w:r>
      <w:r w:rsidR="00833D0A">
        <w:rPr>
          <w:rFonts w:ascii="Arial" w:hAnsi="Arial" w:cs="Arial"/>
          <w:sz w:val="22"/>
        </w:rPr>
        <w:t xml:space="preserve"> by </w:t>
      </w:r>
      <w:r w:rsidR="003B7016">
        <w:rPr>
          <w:rFonts w:ascii="Arial" w:hAnsi="Arial" w:cs="Arial"/>
          <w:sz w:val="22"/>
        </w:rPr>
        <w:t>Robertson et al. (</w:t>
      </w:r>
      <w:r w:rsidR="000824BB">
        <w:rPr>
          <w:rFonts w:ascii="Arial" w:hAnsi="Arial" w:cs="Arial"/>
          <w:sz w:val="22"/>
        </w:rPr>
        <w:t xml:space="preserve">2021), the title is </w:t>
      </w:r>
      <w:r w:rsidR="00D76BB9">
        <w:rPr>
          <w:rFonts w:ascii="Arial" w:hAnsi="Arial" w:cs="Arial"/>
          <w:sz w:val="22"/>
        </w:rPr>
        <w:t>‘</w:t>
      </w:r>
      <w:r w:rsidR="00D76BB9" w:rsidRPr="00D76BB9">
        <w:rPr>
          <w:rFonts w:ascii="Arial" w:hAnsi="Arial" w:cs="Arial"/>
          <w:sz w:val="22"/>
        </w:rPr>
        <w:t>Predictors of COVID-19 vaccine hesitancy in the UK household longitudinal study</w:t>
      </w:r>
      <w:r w:rsidR="00802A1C">
        <w:rPr>
          <w:rFonts w:ascii="Arial" w:hAnsi="Arial" w:cs="Arial"/>
          <w:sz w:val="22"/>
        </w:rPr>
        <w:t>.</w:t>
      </w:r>
      <w:r w:rsidR="00D76BB9">
        <w:rPr>
          <w:rFonts w:ascii="Arial" w:hAnsi="Arial" w:cs="Arial"/>
          <w:sz w:val="22"/>
        </w:rPr>
        <w:t>’</w:t>
      </w:r>
      <w:r w:rsidR="00865DAD">
        <w:rPr>
          <w:rFonts w:ascii="Arial" w:hAnsi="Arial" w:cs="Arial"/>
          <w:sz w:val="22"/>
        </w:rPr>
        <w:t xml:space="preserve"> </w:t>
      </w:r>
      <w:r w:rsidR="00865DAD" w:rsidRPr="00865DAD">
        <w:rPr>
          <w:rFonts w:ascii="Arial" w:hAnsi="Arial" w:cs="Arial"/>
          <w:sz w:val="22"/>
        </w:rPr>
        <w:t xml:space="preserve">The goal is to explain why the UK population is willing to be vaccinated against COVID 19, </w:t>
      </w:r>
      <w:r w:rsidR="00674619">
        <w:rPr>
          <w:rFonts w:ascii="Arial" w:hAnsi="Arial" w:cs="Arial"/>
          <w:sz w:val="22"/>
        </w:rPr>
        <w:t xml:space="preserve">also </w:t>
      </w:r>
      <w:r w:rsidR="00865DAD" w:rsidRPr="00865DAD">
        <w:rPr>
          <w:rFonts w:ascii="Arial" w:hAnsi="Arial" w:cs="Arial"/>
          <w:sz w:val="22"/>
        </w:rPr>
        <w:t xml:space="preserve">identify subpopulations who are </w:t>
      </w:r>
      <w:r w:rsidR="00674619">
        <w:rPr>
          <w:rFonts w:ascii="Arial" w:hAnsi="Arial" w:cs="Arial"/>
          <w:sz w:val="22"/>
        </w:rPr>
        <w:t>against</w:t>
      </w:r>
      <w:r w:rsidR="00865DAD" w:rsidRPr="00865DAD">
        <w:rPr>
          <w:rFonts w:ascii="Arial" w:hAnsi="Arial" w:cs="Arial"/>
          <w:sz w:val="22"/>
        </w:rPr>
        <w:t xml:space="preserve"> vaccination, and explain the primary reasons for </w:t>
      </w:r>
      <w:r w:rsidR="00B14A88">
        <w:rPr>
          <w:rFonts w:ascii="Arial" w:hAnsi="Arial" w:cs="Arial"/>
          <w:sz w:val="22"/>
        </w:rPr>
        <w:t>r</w:t>
      </w:r>
      <w:r w:rsidR="00865DAD" w:rsidRPr="00865DAD">
        <w:rPr>
          <w:rFonts w:ascii="Arial" w:hAnsi="Arial" w:cs="Arial"/>
          <w:sz w:val="22"/>
        </w:rPr>
        <w:t>efusal to get vaccinated.</w:t>
      </w:r>
      <w:r w:rsidR="0086294A" w:rsidRPr="0086294A">
        <w:t xml:space="preserve"> </w:t>
      </w:r>
      <w:r w:rsidR="00D116BE" w:rsidRPr="009F4DDA">
        <w:rPr>
          <w:rFonts w:ascii="Arial" w:hAnsi="Arial" w:cs="Arial"/>
        </w:rPr>
        <w:t>This study</w:t>
      </w:r>
      <w:r w:rsidR="0086294A" w:rsidRPr="009F4DDA">
        <w:rPr>
          <w:rFonts w:ascii="Arial" w:hAnsi="Arial" w:cs="Arial"/>
          <w:sz w:val="22"/>
        </w:rPr>
        <w:t xml:space="preserve"> is </w:t>
      </w:r>
      <w:r w:rsidR="0086294A" w:rsidRPr="0086294A">
        <w:rPr>
          <w:rFonts w:ascii="Arial" w:hAnsi="Arial" w:cs="Arial"/>
          <w:sz w:val="22"/>
        </w:rPr>
        <w:t xml:space="preserve">based on a clustered, stratified random sample of UK households, supplemented by boost samples from important ethnic minority groups. Participants over the age of 16 who lived in households </w:t>
      </w:r>
      <w:r w:rsidR="00787F06">
        <w:rPr>
          <w:rFonts w:ascii="Arial" w:hAnsi="Arial" w:cs="Arial"/>
          <w:sz w:val="22"/>
        </w:rPr>
        <w:t>were</w:t>
      </w:r>
      <w:r w:rsidR="0086294A" w:rsidRPr="0086294A">
        <w:rPr>
          <w:rFonts w:ascii="Arial" w:hAnsi="Arial" w:cs="Arial"/>
          <w:sz w:val="22"/>
        </w:rPr>
        <w:t xml:space="preserve"> invited</w:t>
      </w:r>
      <w:r w:rsidR="0088063B">
        <w:rPr>
          <w:rFonts w:ascii="Arial" w:hAnsi="Arial" w:cs="Arial"/>
          <w:sz w:val="22"/>
        </w:rPr>
        <w:t xml:space="preserve"> b</w:t>
      </w:r>
      <w:r w:rsidR="0086294A" w:rsidRPr="0086294A">
        <w:rPr>
          <w:rFonts w:ascii="Arial" w:hAnsi="Arial" w:cs="Arial"/>
          <w:sz w:val="22"/>
        </w:rPr>
        <w:t xml:space="preserve">y phone (n = 42,330). </w:t>
      </w:r>
      <w:r w:rsidR="00625D0E">
        <w:rPr>
          <w:rFonts w:ascii="Arial" w:hAnsi="Arial" w:cs="Arial"/>
          <w:sz w:val="22"/>
        </w:rPr>
        <w:t>Online</w:t>
      </w:r>
      <w:r w:rsidR="0086294A" w:rsidRPr="0086294A">
        <w:rPr>
          <w:rFonts w:ascii="Arial" w:hAnsi="Arial" w:cs="Arial"/>
          <w:sz w:val="22"/>
        </w:rPr>
        <w:t xml:space="preserve"> surveys were conducted </w:t>
      </w:r>
      <w:r w:rsidR="001868D8">
        <w:rPr>
          <w:rFonts w:ascii="Arial" w:hAnsi="Arial" w:cs="Arial"/>
          <w:sz w:val="22"/>
        </w:rPr>
        <w:t>once a month</w:t>
      </w:r>
      <w:r w:rsidR="0086294A" w:rsidRPr="0086294A">
        <w:rPr>
          <w:rFonts w:ascii="Arial" w:hAnsi="Arial" w:cs="Arial"/>
          <w:sz w:val="22"/>
        </w:rPr>
        <w:t xml:space="preserve"> from April to July </w:t>
      </w:r>
      <w:r w:rsidR="00625D0E">
        <w:rPr>
          <w:rFonts w:ascii="Arial" w:hAnsi="Arial" w:cs="Arial"/>
          <w:sz w:val="22"/>
        </w:rPr>
        <w:t xml:space="preserve">2020 </w:t>
      </w:r>
      <w:r w:rsidR="0086294A" w:rsidRPr="0086294A">
        <w:rPr>
          <w:rFonts w:ascii="Arial" w:hAnsi="Arial" w:cs="Arial"/>
          <w:sz w:val="22"/>
        </w:rPr>
        <w:t xml:space="preserve">and then every two months. As a result, 19,289 invitations were sent, 12,035 participated, and the response rate was 62%. </w:t>
      </w:r>
      <w:r w:rsidR="00FF41EB" w:rsidRPr="00FF41EB">
        <w:rPr>
          <w:rFonts w:ascii="Arial" w:hAnsi="Arial" w:cs="Arial"/>
          <w:sz w:val="22"/>
        </w:rPr>
        <w:t>Overall, 53.5% of participants said they were very likely to get the COVID19 vaccine, another 28.5% said they were likely to get it, and 18% said they were hesitant</w:t>
      </w:r>
      <w:r w:rsidR="006A0CEA">
        <w:rPr>
          <w:rFonts w:ascii="Arial" w:hAnsi="Arial" w:cs="Arial"/>
          <w:sz w:val="22"/>
        </w:rPr>
        <w:t>.</w:t>
      </w:r>
      <w:r w:rsidR="00FF41EB" w:rsidRPr="00FF41EB">
        <w:rPr>
          <w:rFonts w:ascii="Arial" w:hAnsi="Arial" w:cs="Arial"/>
          <w:sz w:val="22"/>
        </w:rPr>
        <w:t xml:space="preserve"> However, there were significant differences between the demographic groups. Vaccine concerns were reported by a higher proportion of female participants (21.0%) than male participants (14.7%)</w:t>
      </w:r>
      <w:r w:rsidR="007F4DCD">
        <w:rPr>
          <w:rFonts w:ascii="Arial" w:hAnsi="Arial" w:cs="Arial"/>
          <w:sz w:val="22"/>
        </w:rPr>
        <w:t>,</w:t>
      </w:r>
      <w:r w:rsidR="00174080">
        <w:rPr>
          <w:rFonts w:ascii="Arial" w:hAnsi="Arial" w:cs="Arial"/>
          <w:sz w:val="22"/>
        </w:rPr>
        <w:t xml:space="preserve"> also </w:t>
      </w:r>
      <w:r w:rsidR="00672C90">
        <w:rPr>
          <w:rFonts w:ascii="Arial" w:hAnsi="Arial" w:cs="Arial"/>
          <w:sz w:val="22"/>
        </w:rPr>
        <w:t xml:space="preserve">the </w:t>
      </w:r>
      <w:r w:rsidR="00A95CEE">
        <w:rPr>
          <w:rFonts w:ascii="Arial" w:hAnsi="Arial" w:cs="Arial"/>
          <w:sz w:val="22"/>
        </w:rPr>
        <w:t xml:space="preserve">population </w:t>
      </w:r>
      <w:r w:rsidR="007F4DCD">
        <w:rPr>
          <w:rFonts w:ascii="Arial" w:hAnsi="Arial" w:cs="Arial"/>
          <w:sz w:val="22"/>
        </w:rPr>
        <w:t xml:space="preserve">without </w:t>
      </w:r>
      <w:r w:rsidR="00464574">
        <w:rPr>
          <w:rFonts w:ascii="Arial" w:hAnsi="Arial" w:cs="Arial"/>
          <w:sz w:val="22"/>
        </w:rPr>
        <w:t xml:space="preserve">educational qualifications </w:t>
      </w:r>
      <w:r w:rsidR="00174080">
        <w:rPr>
          <w:rFonts w:ascii="Arial" w:hAnsi="Arial" w:cs="Arial"/>
          <w:sz w:val="22"/>
        </w:rPr>
        <w:t>(</w:t>
      </w:r>
      <w:r w:rsidR="00174080" w:rsidRPr="00174080">
        <w:rPr>
          <w:rFonts w:ascii="Arial" w:hAnsi="Arial" w:cs="Arial"/>
          <w:sz w:val="22"/>
        </w:rPr>
        <w:t>18.6%</w:t>
      </w:r>
      <w:r w:rsidR="00174080">
        <w:rPr>
          <w:rFonts w:ascii="Arial" w:hAnsi="Arial" w:cs="Arial"/>
          <w:sz w:val="22"/>
        </w:rPr>
        <w:t xml:space="preserve">) </w:t>
      </w:r>
      <w:r w:rsidR="00A95CEE">
        <w:rPr>
          <w:rFonts w:ascii="Arial" w:hAnsi="Arial" w:cs="Arial"/>
          <w:sz w:val="22"/>
        </w:rPr>
        <w:t xml:space="preserve">exposed </w:t>
      </w:r>
      <w:r w:rsidR="001B3EB2">
        <w:rPr>
          <w:rFonts w:ascii="Arial" w:hAnsi="Arial" w:cs="Arial"/>
          <w:sz w:val="22"/>
        </w:rPr>
        <w:t>more concern</w:t>
      </w:r>
      <w:r w:rsidR="00997DB8">
        <w:rPr>
          <w:rFonts w:ascii="Arial" w:hAnsi="Arial" w:cs="Arial"/>
          <w:sz w:val="22"/>
        </w:rPr>
        <w:t xml:space="preserve"> than </w:t>
      </w:r>
      <w:r w:rsidR="00743549">
        <w:rPr>
          <w:rFonts w:ascii="Arial" w:hAnsi="Arial" w:cs="Arial"/>
          <w:sz w:val="22"/>
        </w:rPr>
        <w:t xml:space="preserve">those with </w:t>
      </w:r>
      <w:r w:rsidR="00997DB8">
        <w:rPr>
          <w:rFonts w:ascii="Arial" w:hAnsi="Arial" w:cs="Arial"/>
          <w:sz w:val="22"/>
        </w:rPr>
        <w:t xml:space="preserve">educated </w:t>
      </w:r>
      <w:r w:rsidR="00743549">
        <w:rPr>
          <w:rFonts w:ascii="Arial" w:hAnsi="Arial" w:cs="Arial"/>
          <w:sz w:val="22"/>
        </w:rPr>
        <w:t>background (</w:t>
      </w:r>
      <w:r w:rsidR="00743549" w:rsidRPr="00743549">
        <w:rPr>
          <w:rFonts w:ascii="Arial" w:hAnsi="Arial" w:cs="Arial"/>
          <w:sz w:val="22"/>
        </w:rPr>
        <w:t>13.2%</w:t>
      </w:r>
      <w:r w:rsidR="00743549">
        <w:rPr>
          <w:rFonts w:ascii="Arial" w:hAnsi="Arial" w:cs="Arial"/>
          <w:sz w:val="22"/>
        </w:rPr>
        <w:t>).</w:t>
      </w:r>
      <w:r w:rsidR="00682848">
        <w:rPr>
          <w:rFonts w:ascii="Arial" w:hAnsi="Arial" w:cs="Arial"/>
          <w:sz w:val="22"/>
        </w:rPr>
        <w:t xml:space="preserve"> The study revealed that </w:t>
      </w:r>
      <w:r w:rsidR="004918BE">
        <w:rPr>
          <w:rFonts w:ascii="Arial" w:hAnsi="Arial" w:cs="Arial"/>
          <w:sz w:val="22"/>
        </w:rPr>
        <w:t>a</w:t>
      </w:r>
      <w:r w:rsidR="00682848" w:rsidRPr="00682848">
        <w:rPr>
          <w:rFonts w:ascii="Arial" w:hAnsi="Arial" w:cs="Arial"/>
          <w:sz w:val="22"/>
        </w:rPr>
        <w:t xml:space="preserve">pprehension </w:t>
      </w:r>
      <w:r w:rsidR="004918BE">
        <w:rPr>
          <w:rFonts w:ascii="Arial" w:hAnsi="Arial" w:cs="Arial"/>
          <w:sz w:val="22"/>
        </w:rPr>
        <w:t xml:space="preserve">towards vaccine </w:t>
      </w:r>
      <w:r w:rsidR="00682848" w:rsidRPr="00682848">
        <w:rPr>
          <w:rFonts w:ascii="Arial" w:hAnsi="Arial" w:cs="Arial"/>
          <w:sz w:val="22"/>
        </w:rPr>
        <w:t>was highest in the Black (71.8%) and</w:t>
      </w:r>
      <w:r w:rsidR="004918BE">
        <w:rPr>
          <w:rFonts w:ascii="Arial" w:hAnsi="Arial" w:cs="Arial"/>
          <w:sz w:val="22"/>
        </w:rPr>
        <w:t xml:space="preserve"> Asian</w:t>
      </w:r>
      <w:r w:rsidR="00682848" w:rsidRPr="00682848">
        <w:rPr>
          <w:rFonts w:ascii="Arial" w:hAnsi="Arial" w:cs="Arial"/>
          <w:sz w:val="22"/>
        </w:rPr>
        <w:t xml:space="preserve"> (42.3%) ethnic groups</w:t>
      </w:r>
      <w:r w:rsidR="00EE5ABF">
        <w:rPr>
          <w:rFonts w:ascii="Arial" w:hAnsi="Arial" w:cs="Arial"/>
          <w:sz w:val="22"/>
        </w:rPr>
        <w:t xml:space="preserve"> such as </w:t>
      </w:r>
      <w:r w:rsidR="00EE5ABF" w:rsidRPr="00EE5ABF">
        <w:rPr>
          <w:rFonts w:ascii="Arial" w:hAnsi="Arial" w:cs="Arial"/>
          <w:sz w:val="22"/>
        </w:rPr>
        <w:t>Pakistani/Bangladeshi</w:t>
      </w:r>
      <w:r w:rsidR="003A32EE">
        <w:rPr>
          <w:rFonts w:ascii="Arial" w:hAnsi="Arial" w:cs="Arial"/>
          <w:sz w:val="22"/>
        </w:rPr>
        <w:t>.</w:t>
      </w:r>
      <w:r w:rsidR="005C0EA7">
        <w:rPr>
          <w:rFonts w:ascii="Arial" w:hAnsi="Arial" w:cs="Arial"/>
          <w:sz w:val="22"/>
        </w:rPr>
        <w:t xml:space="preserve"> </w:t>
      </w:r>
      <w:r w:rsidR="001D1BB9" w:rsidRPr="001D1BB9">
        <w:rPr>
          <w:rFonts w:ascii="Arial" w:hAnsi="Arial" w:cs="Arial"/>
          <w:sz w:val="22"/>
        </w:rPr>
        <w:t>Younger age groups were also more vaccination hesitant, with 28.3 percent of younger persons aged 25–34 being vaccine apprehensive, compared to only 14.3 percent of those aged 55–64, 8.1 percent of those aged 65–74, and 4.5 percent of those aged 75 and higher. When asked what would most persuade them to take the vaccine, 43.2 percent of Black or Black British respondents said they would not, while another 44.7 percent said they would if the vaccine was proven to be safe. Participants from Pakistan and Bangladesh said they could be persuaded if the vaccine lowered their chance of contracting COVID-19 (65.2 percent) and/or if it was proven to be safe (64.6 percent ).</w:t>
      </w:r>
    </w:p>
    <w:p w14:paraId="68798AC1" w14:textId="77777777" w:rsidR="00BB32B3" w:rsidRPr="005C53F4" w:rsidRDefault="00BB32B3" w:rsidP="00D232D5">
      <w:pPr>
        <w:spacing w:line="360" w:lineRule="auto"/>
        <w:jc w:val="both"/>
        <w:rPr>
          <w:rFonts w:ascii="Arial" w:hAnsi="Arial" w:cs="Arial"/>
          <w:color w:val="000000" w:themeColor="text1"/>
          <w:sz w:val="22"/>
        </w:rPr>
      </w:pPr>
    </w:p>
    <w:p w14:paraId="74685D55" w14:textId="77777777" w:rsidR="00AA5DB1" w:rsidRDefault="00AA5DB1" w:rsidP="005C53F4">
      <w:pPr>
        <w:pStyle w:val="Heading1"/>
        <w:numPr>
          <w:ilvl w:val="0"/>
          <w:numId w:val="1"/>
        </w:numPr>
        <w:spacing w:line="360" w:lineRule="auto"/>
        <w:rPr>
          <w:rFonts w:ascii="Arial" w:hAnsi="Arial" w:cs="Arial"/>
          <w:iCs/>
          <w:sz w:val="28"/>
          <w:szCs w:val="28"/>
        </w:rPr>
      </w:pPr>
      <w:bookmarkStart w:id="5" w:name="_Toc90222637"/>
      <w:r>
        <w:rPr>
          <w:rFonts w:ascii="Arial" w:hAnsi="Arial" w:cs="Arial"/>
          <w:iCs/>
          <w:sz w:val="28"/>
          <w:szCs w:val="28"/>
        </w:rPr>
        <w:t>Results</w:t>
      </w:r>
    </w:p>
    <w:p w14:paraId="6B443106" w14:textId="519A8492" w:rsidR="00DF0E92" w:rsidRPr="00CE0349" w:rsidRDefault="00B801C4" w:rsidP="007B4D24">
      <w:pPr>
        <w:spacing w:line="360" w:lineRule="auto"/>
        <w:jc w:val="both"/>
        <w:rPr>
          <w:rFonts w:ascii="Arial" w:hAnsi="Arial" w:cs="Arial"/>
          <w:sz w:val="22"/>
          <w:szCs w:val="20"/>
        </w:rPr>
      </w:pPr>
      <w:r w:rsidRPr="00CE0349">
        <w:rPr>
          <w:rFonts w:ascii="Arial" w:hAnsi="Arial" w:cs="Arial"/>
          <w:sz w:val="22"/>
          <w:szCs w:val="20"/>
        </w:rPr>
        <w:t>Th</w:t>
      </w:r>
      <w:r w:rsidR="00D37FA8" w:rsidRPr="00CE0349">
        <w:rPr>
          <w:rFonts w:ascii="Arial" w:hAnsi="Arial" w:cs="Arial"/>
          <w:sz w:val="22"/>
          <w:szCs w:val="20"/>
        </w:rPr>
        <w:t xml:space="preserve">ere </w:t>
      </w:r>
      <w:r w:rsidR="009C177D">
        <w:rPr>
          <w:rFonts w:ascii="Arial" w:hAnsi="Arial" w:cs="Arial"/>
          <w:sz w:val="22"/>
          <w:szCs w:val="20"/>
        </w:rPr>
        <w:t>is</w:t>
      </w:r>
      <w:r w:rsidR="00D37FA8" w:rsidRPr="00CE0349">
        <w:rPr>
          <w:rFonts w:ascii="Arial" w:hAnsi="Arial" w:cs="Arial"/>
          <w:sz w:val="22"/>
          <w:szCs w:val="20"/>
        </w:rPr>
        <w:t xml:space="preserve"> limited and </w:t>
      </w:r>
      <w:r w:rsidR="00E748C1" w:rsidRPr="00CE0349">
        <w:rPr>
          <w:rFonts w:ascii="Arial" w:hAnsi="Arial" w:cs="Arial"/>
          <w:sz w:val="22"/>
          <w:szCs w:val="20"/>
        </w:rPr>
        <w:t>insufficient</w:t>
      </w:r>
      <w:r w:rsidR="00D37FA8" w:rsidRPr="00CE0349">
        <w:rPr>
          <w:rFonts w:ascii="Arial" w:hAnsi="Arial" w:cs="Arial"/>
          <w:sz w:val="22"/>
          <w:szCs w:val="20"/>
        </w:rPr>
        <w:t xml:space="preserve"> </w:t>
      </w:r>
      <w:r w:rsidR="00817361" w:rsidRPr="00CE0349">
        <w:rPr>
          <w:rFonts w:ascii="Arial" w:hAnsi="Arial" w:cs="Arial"/>
          <w:sz w:val="22"/>
          <w:szCs w:val="20"/>
        </w:rPr>
        <w:t xml:space="preserve">information from </w:t>
      </w:r>
      <w:r w:rsidR="009E073C" w:rsidRPr="00CE0349">
        <w:rPr>
          <w:rFonts w:ascii="Arial" w:hAnsi="Arial" w:cs="Arial"/>
          <w:sz w:val="22"/>
          <w:szCs w:val="20"/>
        </w:rPr>
        <w:t xml:space="preserve">the </w:t>
      </w:r>
      <w:r w:rsidR="00817361" w:rsidRPr="00CE0349">
        <w:rPr>
          <w:rFonts w:ascii="Arial" w:hAnsi="Arial" w:cs="Arial"/>
          <w:sz w:val="22"/>
          <w:szCs w:val="20"/>
        </w:rPr>
        <w:t xml:space="preserve">healthcare </w:t>
      </w:r>
      <w:r w:rsidR="009E073C" w:rsidRPr="00CE0349">
        <w:rPr>
          <w:rFonts w:ascii="Arial" w:hAnsi="Arial" w:cs="Arial"/>
          <w:sz w:val="22"/>
          <w:szCs w:val="20"/>
        </w:rPr>
        <w:t xml:space="preserve">workers </w:t>
      </w:r>
      <w:r w:rsidR="00817361" w:rsidRPr="00CE0349">
        <w:rPr>
          <w:rFonts w:ascii="Arial" w:hAnsi="Arial" w:cs="Arial"/>
          <w:sz w:val="22"/>
          <w:szCs w:val="20"/>
        </w:rPr>
        <w:t>concerning the safety, efficacy, and effectiveness of coronavirus vaccines</w:t>
      </w:r>
      <w:r w:rsidR="00E748C1" w:rsidRPr="00CE0349">
        <w:rPr>
          <w:rFonts w:ascii="Arial" w:hAnsi="Arial" w:cs="Arial"/>
          <w:sz w:val="22"/>
          <w:szCs w:val="20"/>
        </w:rPr>
        <w:t xml:space="preserve">. </w:t>
      </w:r>
      <w:r w:rsidR="00A03E3A" w:rsidRPr="00CE0349">
        <w:rPr>
          <w:rFonts w:ascii="Arial" w:hAnsi="Arial" w:cs="Arial"/>
          <w:sz w:val="22"/>
          <w:szCs w:val="20"/>
        </w:rPr>
        <w:t>Across the country</w:t>
      </w:r>
      <w:r w:rsidR="009C177D">
        <w:rPr>
          <w:rFonts w:ascii="Arial" w:hAnsi="Arial" w:cs="Arial"/>
          <w:sz w:val="22"/>
          <w:szCs w:val="20"/>
        </w:rPr>
        <w:t>,</w:t>
      </w:r>
      <w:r w:rsidR="00A03E3A" w:rsidRPr="00CE0349">
        <w:rPr>
          <w:rFonts w:ascii="Arial" w:hAnsi="Arial" w:cs="Arial"/>
          <w:sz w:val="22"/>
          <w:szCs w:val="20"/>
        </w:rPr>
        <w:t xml:space="preserve"> </w:t>
      </w:r>
      <w:r w:rsidR="00D147FB" w:rsidRPr="00CE0349">
        <w:rPr>
          <w:rFonts w:ascii="Arial" w:hAnsi="Arial" w:cs="Arial"/>
          <w:sz w:val="22"/>
          <w:szCs w:val="20"/>
        </w:rPr>
        <w:t>w</w:t>
      </w:r>
      <w:r w:rsidR="00550405" w:rsidRPr="00CE0349">
        <w:rPr>
          <w:rFonts w:ascii="Arial" w:hAnsi="Arial" w:cs="Arial"/>
          <w:sz w:val="22"/>
          <w:szCs w:val="20"/>
        </w:rPr>
        <w:t>idespread</w:t>
      </w:r>
      <w:r w:rsidR="00817361" w:rsidRPr="00CE0349">
        <w:rPr>
          <w:rFonts w:ascii="Arial" w:hAnsi="Arial" w:cs="Arial"/>
          <w:sz w:val="22"/>
          <w:szCs w:val="20"/>
        </w:rPr>
        <w:t xml:space="preserve"> </w:t>
      </w:r>
      <w:r w:rsidR="00A03E3A" w:rsidRPr="00CE0349">
        <w:rPr>
          <w:rFonts w:ascii="Arial" w:hAnsi="Arial" w:cs="Arial"/>
          <w:sz w:val="22"/>
          <w:szCs w:val="20"/>
        </w:rPr>
        <w:t>m</w:t>
      </w:r>
      <w:r w:rsidR="00817361" w:rsidRPr="00CE0349">
        <w:rPr>
          <w:rFonts w:ascii="Arial" w:hAnsi="Arial" w:cs="Arial"/>
          <w:sz w:val="22"/>
          <w:szCs w:val="20"/>
        </w:rPr>
        <w:t xml:space="preserve">isinformation had a detrimental influence on respondents' </w:t>
      </w:r>
      <w:r w:rsidR="00500CD0" w:rsidRPr="00CE0349">
        <w:rPr>
          <w:rFonts w:ascii="Arial" w:hAnsi="Arial" w:cs="Arial"/>
          <w:sz w:val="22"/>
          <w:szCs w:val="20"/>
        </w:rPr>
        <w:t>lives because</w:t>
      </w:r>
      <w:r w:rsidR="00550405" w:rsidRPr="00CE0349">
        <w:rPr>
          <w:rFonts w:ascii="Arial" w:hAnsi="Arial" w:cs="Arial"/>
          <w:sz w:val="22"/>
          <w:szCs w:val="20"/>
        </w:rPr>
        <w:t xml:space="preserve"> </w:t>
      </w:r>
      <w:r w:rsidR="008A7A52" w:rsidRPr="00CE0349">
        <w:rPr>
          <w:rFonts w:ascii="Arial" w:hAnsi="Arial" w:cs="Arial"/>
          <w:sz w:val="22"/>
          <w:szCs w:val="20"/>
        </w:rPr>
        <w:t xml:space="preserve">hesitancy regarding </w:t>
      </w:r>
      <w:r w:rsidR="00817361" w:rsidRPr="00CE0349">
        <w:rPr>
          <w:rFonts w:ascii="Arial" w:hAnsi="Arial" w:cs="Arial"/>
          <w:sz w:val="22"/>
          <w:szCs w:val="20"/>
        </w:rPr>
        <w:t xml:space="preserve">vaccination </w:t>
      </w:r>
      <w:r w:rsidR="00A84FB2" w:rsidRPr="00CE0349">
        <w:rPr>
          <w:rFonts w:ascii="Arial" w:hAnsi="Arial" w:cs="Arial"/>
          <w:sz w:val="22"/>
          <w:szCs w:val="20"/>
        </w:rPr>
        <w:t>is</w:t>
      </w:r>
      <w:r w:rsidR="008A7A52" w:rsidRPr="00CE0349">
        <w:rPr>
          <w:rFonts w:ascii="Arial" w:hAnsi="Arial" w:cs="Arial"/>
          <w:sz w:val="22"/>
          <w:szCs w:val="20"/>
        </w:rPr>
        <w:t xml:space="preserve"> </w:t>
      </w:r>
      <w:r w:rsidR="009C177D">
        <w:rPr>
          <w:rFonts w:ascii="Arial" w:hAnsi="Arial" w:cs="Arial"/>
          <w:sz w:val="22"/>
          <w:szCs w:val="20"/>
        </w:rPr>
        <w:t xml:space="preserve">a </w:t>
      </w:r>
      <w:r w:rsidR="008A7A52" w:rsidRPr="00CE0349">
        <w:rPr>
          <w:rFonts w:ascii="Arial" w:hAnsi="Arial" w:cs="Arial"/>
          <w:sz w:val="22"/>
          <w:szCs w:val="20"/>
        </w:rPr>
        <w:t xml:space="preserve">predominant </w:t>
      </w:r>
      <w:r w:rsidR="009C177D">
        <w:rPr>
          <w:rFonts w:ascii="Arial" w:hAnsi="Arial" w:cs="Arial"/>
          <w:sz w:val="22"/>
          <w:szCs w:val="20"/>
        </w:rPr>
        <w:t>issue</w:t>
      </w:r>
      <w:r w:rsidR="00817361" w:rsidRPr="00CE0349">
        <w:rPr>
          <w:rFonts w:ascii="Arial" w:hAnsi="Arial" w:cs="Arial"/>
          <w:sz w:val="22"/>
          <w:szCs w:val="20"/>
        </w:rPr>
        <w:t xml:space="preserve"> </w:t>
      </w:r>
      <w:r w:rsidR="008A7A52" w:rsidRPr="00CE0349">
        <w:rPr>
          <w:rFonts w:ascii="Arial" w:hAnsi="Arial" w:cs="Arial"/>
          <w:sz w:val="22"/>
          <w:szCs w:val="20"/>
        </w:rPr>
        <w:t>and</w:t>
      </w:r>
      <w:r w:rsidR="00817361" w:rsidRPr="00CE0349">
        <w:rPr>
          <w:rFonts w:ascii="Arial" w:hAnsi="Arial" w:cs="Arial"/>
          <w:sz w:val="22"/>
          <w:szCs w:val="20"/>
        </w:rPr>
        <w:t xml:space="preserve"> becoming increasingly problematic and </w:t>
      </w:r>
      <w:r w:rsidR="009C177D">
        <w:rPr>
          <w:rFonts w:ascii="Arial" w:hAnsi="Arial" w:cs="Arial"/>
          <w:sz w:val="22"/>
          <w:szCs w:val="20"/>
        </w:rPr>
        <w:t>poses</w:t>
      </w:r>
      <w:r w:rsidR="00817361" w:rsidRPr="00CE0349">
        <w:rPr>
          <w:rFonts w:ascii="Arial" w:hAnsi="Arial" w:cs="Arial"/>
          <w:sz w:val="22"/>
          <w:szCs w:val="20"/>
        </w:rPr>
        <w:t xml:space="preserve"> a threat to public health.</w:t>
      </w:r>
      <w:r w:rsidR="0007261E" w:rsidRPr="00CE0349">
        <w:rPr>
          <w:rFonts w:ascii="Arial" w:hAnsi="Arial" w:cs="Arial"/>
          <w:sz w:val="22"/>
          <w:szCs w:val="20"/>
        </w:rPr>
        <w:t xml:space="preserve"> </w:t>
      </w:r>
      <w:r w:rsidR="00817361" w:rsidRPr="00CE0349">
        <w:rPr>
          <w:rFonts w:ascii="Arial" w:hAnsi="Arial" w:cs="Arial"/>
          <w:sz w:val="22"/>
          <w:szCs w:val="20"/>
        </w:rPr>
        <w:t>Although conspiracy theories about the COVID-19 pandemic and vaccination are uncommon, they are extensively publicized</w:t>
      </w:r>
      <w:r w:rsidR="0007261E" w:rsidRPr="00CE0349">
        <w:rPr>
          <w:rFonts w:ascii="Arial" w:hAnsi="Arial" w:cs="Arial"/>
          <w:sz w:val="22"/>
          <w:szCs w:val="20"/>
        </w:rPr>
        <w:t xml:space="preserve"> th</w:t>
      </w:r>
      <w:r w:rsidR="004218A0" w:rsidRPr="00CE0349">
        <w:rPr>
          <w:rFonts w:ascii="Arial" w:hAnsi="Arial" w:cs="Arial"/>
          <w:sz w:val="22"/>
          <w:szCs w:val="20"/>
        </w:rPr>
        <w:t>rough the internet</w:t>
      </w:r>
      <w:r w:rsidR="00817361" w:rsidRPr="00CE0349">
        <w:rPr>
          <w:rFonts w:ascii="Arial" w:hAnsi="Arial" w:cs="Arial"/>
          <w:sz w:val="22"/>
          <w:szCs w:val="20"/>
        </w:rPr>
        <w:t>. Self-identified conspiracy theories about vaccinations have been connected to vaccine refusal intentions.</w:t>
      </w:r>
      <w:r w:rsidR="004218A0" w:rsidRPr="00CE0349">
        <w:rPr>
          <w:rFonts w:ascii="Arial" w:hAnsi="Arial" w:cs="Arial"/>
          <w:sz w:val="22"/>
          <w:szCs w:val="20"/>
        </w:rPr>
        <w:t xml:space="preserve"> </w:t>
      </w:r>
      <w:r w:rsidR="00E87B26" w:rsidRPr="00E87B26">
        <w:rPr>
          <w:rFonts w:ascii="Arial" w:hAnsi="Arial" w:cs="Arial"/>
          <w:sz w:val="22"/>
          <w:szCs w:val="20"/>
        </w:rPr>
        <w:t>Conspiracy theories increase distrust and erode societal cohesion, resulting in reduced vaccine uptake.</w:t>
      </w:r>
      <w:r w:rsidR="00E87B26">
        <w:rPr>
          <w:rFonts w:ascii="Arial" w:hAnsi="Arial" w:cs="Arial"/>
          <w:sz w:val="22"/>
          <w:szCs w:val="20"/>
        </w:rPr>
        <w:t xml:space="preserve"> </w:t>
      </w:r>
      <w:r w:rsidR="004218A0" w:rsidRPr="00CE0349">
        <w:rPr>
          <w:rFonts w:ascii="Arial" w:hAnsi="Arial" w:cs="Arial"/>
          <w:sz w:val="22"/>
          <w:szCs w:val="20"/>
        </w:rPr>
        <w:t xml:space="preserve">In addition, </w:t>
      </w:r>
      <w:r w:rsidR="00817361" w:rsidRPr="00CE0349">
        <w:rPr>
          <w:rFonts w:ascii="Arial" w:hAnsi="Arial" w:cs="Arial"/>
          <w:sz w:val="22"/>
          <w:szCs w:val="20"/>
        </w:rPr>
        <w:t xml:space="preserve">Safety concerns, mistrust, and a lack of personal </w:t>
      </w:r>
      <w:r w:rsidR="00BC3288" w:rsidRPr="00CE0349">
        <w:rPr>
          <w:rFonts w:ascii="Arial" w:hAnsi="Arial" w:cs="Arial"/>
          <w:sz w:val="22"/>
          <w:szCs w:val="20"/>
        </w:rPr>
        <w:t xml:space="preserve">medical </w:t>
      </w:r>
      <w:r w:rsidR="00817361" w:rsidRPr="00CE0349">
        <w:rPr>
          <w:rFonts w:ascii="Arial" w:hAnsi="Arial" w:cs="Arial"/>
          <w:sz w:val="22"/>
          <w:szCs w:val="20"/>
        </w:rPr>
        <w:t xml:space="preserve">knowledge can all be attributed </w:t>
      </w:r>
      <w:r w:rsidR="00BC3288" w:rsidRPr="00CE0349">
        <w:rPr>
          <w:rFonts w:ascii="Arial" w:hAnsi="Arial" w:cs="Arial"/>
          <w:sz w:val="22"/>
          <w:szCs w:val="20"/>
        </w:rPr>
        <w:t>to</w:t>
      </w:r>
      <w:r w:rsidR="00817361" w:rsidRPr="00CE0349">
        <w:rPr>
          <w:rFonts w:ascii="Arial" w:hAnsi="Arial" w:cs="Arial"/>
          <w:sz w:val="22"/>
          <w:szCs w:val="20"/>
        </w:rPr>
        <w:t xml:space="preserve"> vaccine hesitation. People were more confused and distrustful of their social environment during the outbreak if they were less optimistic about a vaccination.</w:t>
      </w:r>
      <w:r w:rsidR="0070132F" w:rsidRPr="00CE0349">
        <w:rPr>
          <w:rFonts w:ascii="Arial" w:hAnsi="Arial" w:cs="Arial"/>
          <w:sz w:val="22"/>
          <w:szCs w:val="20"/>
        </w:rPr>
        <w:t xml:space="preserve"> Furthermore, there </w:t>
      </w:r>
      <w:r w:rsidR="00DF46B2" w:rsidRPr="00CE0349">
        <w:rPr>
          <w:rFonts w:ascii="Arial" w:hAnsi="Arial" w:cs="Arial"/>
          <w:sz w:val="22"/>
          <w:szCs w:val="20"/>
        </w:rPr>
        <w:t>is</w:t>
      </w:r>
      <w:r w:rsidR="0070132F" w:rsidRPr="00CE0349">
        <w:rPr>
          <w:rFonts w:ascii="Arial" w:hAnsi="Arial" w:cs="Arial"/>
          <w:sz w:val="22"/>
          <w:szCs w:val="20"/>
        </w:rPr>
        <w:t xml:space="preserve"> </w:t>
      </w:r>
      <w:r w:rsidR="00DF46B2" w:rsidRPr="00CE0349">
        <w:rPr>
          <w:rFonts w:ascii="Arial" w:hAnsi="Arial" w:cs="Arial"/>
          <w:sz w:val="22"/>
          <w:szCs w:val="20"/>
        </w:rPr>
        <w:t xml:space="preserve">a </w:t>
      </w:r>
      <w:r w:rsidR="00817361" w:rsidRPr="00CE0349">
        <w:rPr>
          <w:rFonts w:ascii="Arial" w:hAnsi="Arial" w:cs="Arial"/>
          <w:sz w:val="22"/>
          <w:szCs w:val="20"/>
        </w:rPr>
        <w:t xml:space="preserve">small to medium </w:t>
      </w:r>
      <w:r w:rsidR="00F4650F" w:rsidRPr="00CE0349">
        <w:rPr>
          <w:rFonts w:ascii="Arial" w:hAnsi="Arial" w:cs="Arial"/>
          <w:sz w:val="22"/>
          <w:szCs w:val="20"/>
        </w:rPr>
        <w:t xml:space="preserve">range of </w:t>
      </w:r>
      <w:r w:rsidR="00817361" w:rsidRPr="00CE0349">
        <w:rPr>
          <w:rFonts w:ascii="Arial" w:hAnsi="Arial" w:cs="Arial"/>
          <w:sz w:val="22"/>
          <w:szCs w:val="20"/>
        </w:rPr>
        <w:t>interactions</w:t>
      </w:r>
      <w:r w:rsidR="00DF46B2" w:rsidRPr="00CE0349">
        <w:rPr>
          <w:rFonts w:ascii="Arial" w:hAnsi="Arial" w:cs="Arial"/>
          <w:sz w:val="22"/>
          <w:szCs w:val="20"/>
        </w:rPr>
        <w:t xml:space="preserve"> linked to</w:t>
      </w:r>
      <w:r w:rsidR="00817361" w:rsidRPr="00CE0349">
        <w:rPr>
          <w:rFonts w:ascii="Arial" w:hAnsi="Arial" w:cs="Arial"/>
          <w:sz w:val="22"/>
          <w:szCs w:val="20"/>
        </w:rPr>
        <w:t xml:space="preserve"> </w:t>
      </w:r>
      <w:r w:rsidR="00292AA7" w:rsidRPr="00CE0349">
        <w:rPr>
          <w:rFonts w:ascii="Arial" w:hAnsi="Arial" w:cs="Arial"/>
          <w:sz w:val="22"/>
          <w:szCs w:val="20"/>
        </w:rPr>
        <w:t xml:space="preserve">the anxiety of </w:t>
      </w:r>
      <w:r w:rsidR="00817361" w:rsidRPr="00CE0349">
        <w:rPr>
          <w:rFonts w:ascii="Arial" w:hAnsi="Arial" w:cs="Arial"/>
          <w:sz w:val="22"/>
          <w:szCs w:val="20"/>
        </w:rPr>
        <w:t>injection and COVID-19 apprehension.</w:t>
      </w:r>
      <w:r w:rsidR="00672C13">
        <w:rPr>
          <w:rFonts w:ascii="Arial" w:hAnsi="Arial" w:cs="Arial"/>
          <w:sz w:val="22"/>
          <w:szCs w:val="20"/>
        </w:rPr>
        <w:t xml:space="preserve"> </w:t>
      </w:r>
      <w:r w:rsidR="001B2AA8">
        <w:rPr>
          <w:rFonts w:ascii="Arial" w:hAnsi="Arial" w:cs="Arial"/>
          <w:sz w:val="22"/>
          <w:szCs w:val="20"/>
        </w:rPr>
        <w:t xml:space="preserve">Moreover, </w:t>
      </w:r>
      <w:r w:rsidR="00672C13" w:rsidRPr="00672C13">
        <w:rPr>
          <w:rFonts w:ascii="Arial" w:hAnsi="Arial" w:cs="Arial"/>
          <w:sz w:val="22"/>
          <w:szCs w:val="20"/>
        </w:rPr>
        <w:t>vaccine aversion differs dramatically by nationality, with Black or Black British ethnic groups and Pakistani or Bangladeshi ethnic groups being particularly cautious</w:t>
      </w:r>
      <w:r w:rsidR="001B2AA8">
        <w:rPr>
          <w:rFonts w:ascii="Arial" w:hAnsi="Arial" w:cs="Arial"/>
          <w:sz w:val="22"/>
          <w:szCs w:val="20"/>
        </w:rPr>
        <w:t>.</w:t>
      </w:r>
    </w:p>
    <w:p w14:paraId="1F915D66" w14:textId="564A22E9" w:rsidR="004A58DC" w:rsidRPr="008437AF" w:rsidRDefault="004A58DC" w:rsidP="005C53F4">
      <w:pPr>
        <w:pStyle w:val="Heading1"/>
        <w:numPr>
          <w:ilvl w:val="0"/>
          <w:numId w:val="1"/>
        </w:numPr>
        <w:spacing w:line="360" w:lineRule="auto"/>
        <w:rPr>
          <w:rFonts w:ascii="Arial" w:hAnsi="Arial" w:cs="Arial"/>
          <w:iCs/>
          <w:sz w:val="28"/>
          <w:szCs w:val="28"/>
        </w:rPr>
      </w:pPr>
      <w:r w:rsidRPr="008437AF">
        <w:rPr>
          <w:rFonts w:ascii="Arial" w:hAnsi="Arial" w:cs="Arial"/>
          <w:iCs/>
          <w:sz w:val="28"/>
          <w:szCs w:val="28"/>
        </w:rPr>
        <w:t>Discussion</w:t>
      </w:r>
      <w:bookmarkEnd w:id="5"/>
      <w:r w:rsidR="00DB2F54">
        <w:rPr>
          <w:rFonts w:ascii="Arial" w:hAnsi="Arial" w:cs="Arial"/>
          <w:iCs/>
          <w:sz w:val="28"/>
          <w:szCs w:val="28"/>
        </w:rPr>
        <w:t xml:space="preserve"> </w:t>
      </w:r>
    </w:p>
    <w:p w14:paraId="2050116B" w14:textId="468EAD47" w:rsidR="00D74FBE" w:rsidRDefault="00F42473" w:rsidP="003C6B62">
      <w:pPr>
        <w:pStyle w:val="NormalWeb"/>
        <w:spacing w:after="240" w:line="360" w:lineRule="auto"/>
        <w:jc w:val="both"/>
        <w:rPr>
          <w:rFonts w:ascii="Arial" w:hAnsi="Arial" w:cs="Arial"/>
          <w:color w:val="000000" w:themeColor="text1"/>
          <w:sz w:val="22"/>
          <w:szCs w:val="22"/>
        </w:rPr>
      </w:pPr>
      <w:r w:rsidRPr="00F42473">
        <w:rPr>
          <w:rFonts w:ascii="Arial" w:hAnsi="Arial" w:cs="Arial"/>
          <w:color w:val="000000" w:themeColor="text1"/>
          <w:sz w:val="22"/>
          <w:szCs w:val="22"/>
        </w:rPr>
        <w:t xml:space="preserve">The hesitation to vaccinate is complex and </w:t>
      </w:r>
      <w:r w:rsidR="00365091">
        <w:rPr>
          <w:rFonts w:ascii="Arial" w:hAnsi="Arial" w:cs="Arial"/>
          <w:color w:val="000000" w:themeColor="text1"/>
          <w:sz w:val="22"/>
          <w:szCs w:val="22"/>
        </w:rPr>
        <w:t xml:space="preserve">context-specific. </w:t>
      </w:r>
      <w:r w:rsidR="00365091" w:rsidRPr="00365091">
        <w:rPr>
          <w:rFonts w:ascii="Arial" w:hAnsi="Arial" w:cs="Arial"/>
          <w:color w:val="000000" w:themeColor="text1"/>
          <w:sz w:val="22"/>
          <w:szCs w:val="22"/>
        </w:rPr>
        <w:t>Factors including a lack of basic scientific knowledge and comprehension of how vaccines are created or how vaccines work, complacency, comfort, and even a fear of needles can all impact it. Vaccines are generally safe and effective, according to scientific consensus, which is why a variety of practical efforts must be taken to enhance uptake. The changes are mostly attributable to public disputes about vaccine-related medical, ethical, and legal issues.</w:t>
      </w:r>
      <w:r w:rsidR="00467CEB" w:rsidRPr="00467CEB">
        <w:t xml:space="preserve"> </w:t>
      </w:r>
      <w:r w:rsidR="00467CEB" w:rsidRPr="00467CEB">
        <w:rPr>
          <w:rFonts w:ascii="Arial" w:hAnsi="Arial" w:cs="Arial"/>
          <w:color w:val="000000" w:themeColor="text1"/>
          <w:sz w:val="22"/>
          <w:szCs w:val="22"/>
        </w:rPr>
        <w:t>A person's distrust (distrust of the vaccination and/or healthcare provider), complacency (the person does not perceive the necessity for the vaccine or does not recognize the value of the vaccine), and convenience are all variables that contribute to vaccine aversion (access to vaccines). Anti-vaccination proponents' specific hypotheses have been observed to shift over time.</w:t>
      </w:r>
    </w:p>
    <w:p w14:paraId="78E9708D" w14:textId="69625E94" w:rsidR="003C6B62" w:rsidRDefault="00256A14" w:rsidP="003C6B62">
      <w:pPr>
        <w:pStyle w:val="NormalWeb"/>
        <w:spacing w:after="240" w:line="360" w:lineRule="auto"/>
        <w:jc w:val="both"/>
        <w:rPr>
          <w:rFonts w:ascii="Arial" w:hAnsi="Arial" w:cs="Arial"/>
          <w:color w:val="000000" w:themeColor="text1"/>
          <w:sz w:val="22"/>
          <w:szCs w:val="22"/>
        </w:rPr>
      </w:pPr>
      <w:r w:rsidRPr="00256A14">
        <w:rPr>
          <w:rFonts w:ascii="Arial" w:hAnsi="Arial" w:cs="Arial"/>
          <w:color w:val="000000" w:themeColor="text1"/>
          <w:sz w:val="22"/>
          <w:szCs w:val="22"/>
        </w:rPr>
        <w:t>With the achievement of vaccine, the process of administering vaccines have been under consideration in this field, most of the vaccines licensed are given by injections but this route also has some limitations as this require trained staff and multiple doses of the vaccines. With the greatest achievements in health due to vaccines, the false content regarding vaccines is on the internet and social media platforms that they are not safe, and the community is more concerned about their health as there are several factors linked to the unsafety of vaccines (Trogen and Pirofski, 2021).</w:t>
      </w:r>
      <w:r w:rsidR="003B0AC5">
        <w:rPr>
          <w:rFonts w:ascii="Arial" w:hAnsi="Arial" w:cs="Arial"/>
          <w:color w:val="000000" w:themeColor="text1"/>
          <w:sz w:val="22"/>
          <w:szCs w:val="22"/>
        </w:rPr>
        <w:t xml:space="preserve"> </w:t>
      </w:r>
      <w:r w:rsidR="00903223" w:rsidRPr="00903223">
        <w:rPr>
          <w:rFonts w:ascii="Arial" w:hAnsi="Arial" w:cs="Arial"/>
          <w:color w:val="000000" w:themeColor="text1"/>
          <w:sz w:val="22"/>
          <w:szCs w:val="22"/>
        </w:rPr>
        <w:t>Following the launch of any new vaccine, vaccine apprehension is at an all-time high</w:t>
      </w:r>
      <w:r w:rsidR="00F73292">
        <w:rPr>
          <w:rFonts w:ascii="Arial" w:hAnsi="Arial" w:cs="Arial"/>
          <w:color w:val="000000" w:themeColor="text1"/>
          <w:sz w:val="22"/>
          <w:szCs w:val="22"/>
        </w:rPr>
        <w:t xml:space="preserve"> and has been proved in USA by </w:t>
      </w:r>
      <w:r w:rsidR="00903223" w:rsidRPr="00903223">
        <w:rPr>
          <w:rFonts w:ascii="Arial" w:hAnsi="Arial" w:cs="Arial"/>
          <w:color w:val="000000" w:themeColor="text1"/>
          <w:sz w:val="22"/>
          <w:szCs w:val="22"/>
        </w:rPr>
        <w:t>one survey</w:t>
      </w:r>
      <w:r w:rsidR="00F73292">
        <w:rPr>
          <w:rFonts w:ascii="Arial" w:hAnsi="Arial" w:cs="Arial"/>
          <w:color w:val="000000" w:themeColor="text1"/>
          <w:sz w:val="22"/>
          <w:szCs w:val="22"/>
        </w:rPr>
        <w:t xml:space="preserve"> in which</w:t>
      </w:r>
      <w:r w:rsidR="00903223" w:rsidRPr="00903223">
        <w:rPr>
          <w:rFonts w:ascii="Arial" w:hAnsi="Arial" w:cs="Arial"/>
          <w:color w:val="000000" w:themeColor="text1"/>
          <w:sz w:val="22"/>
          <w:szCs w:val="22"/>
        </w:rPr>
        <w:t xml:space="preserve"> 48 percent of individuals said they were hesitant to </w:t>
      </w:r>
      <w:r w:rsidR="008467D7">
        <w:rPr>
          <w:rFonts w:ascii="Arial" w:hAnsi="Arial" w:cs="Arial"/>
          <w:color w:val="000000" w:themeColor="text1"/>
          <w:sz w:val="22"/>
          <w:szCs w:val="22"/>
        </w:rPr>
        <w:t xml:space="preserve">receive </w:t>
      </w:r>
      <w:r w:rsidR="00903223" w:rsidRPr="00903223">
        <w:rPr>
          <w:rFonts w:ascii="Arial" w:hAnsi="Arial" w:cs="Arial"/>
          <w:color w:val="000000" w:themeColor="text1"/>
          <w:sz w:val="22"/>
          <w:szCs w:val="22"/>
        </w:rPr>
        <w:t xml:space="preserve">the COVID-19 vaccine </w:t>
      </w:r>
      <w:r w:rsidR="000873BB">
        <w:rPr>
          <w:rFonts w:ascii="Arial" w:hAnsi="Arial" w:cs="Arial"/>
          <w:color w:val="000000" w:themeColor="text1"/>
          <w:sz w:val="22"/>
          <w:szCs w:val="22"/>
        </w:rPr>
        <w:t xml:space="preserve">and possibly </w:t>
      </w:r>
      <w:r w:rsidR="00903223" w:rsidRPr="00903223">
        <w:rPr>
          <w:rFonts w:ascii="Arial" w:hAnsi="Arial" w:cs="Arial"/>
          <w:color w:val="000000" w:themeColor="text1"/>
          <w:sz w:val="22"/>
          <w:szCs w:val="22"/>
        </w:rPr>
        <w:t xml:space="preserve">they would </w:t>
      </w:r>
      <w:r w:rsidR="000742FC">
        <w:rPr>
          <w:rFonts w:ascii="Arial" w:hAnsi="Arial" w:cs="Arial"/>
          <w:color w:val="000000" w:themeColor="text1"/>
          <w:sz w:val="22"/>
          <w:szCs w:val="22"/>
        </w:rPr>
        <w:t>be willing</w:t>
      </w:r>
      <w:r w:rsidR="00AC0150">
        <w:rPr>
          <w:rFonts w:ascii="Arial" w:hAnsi="Arial" w:cs="Arial"/>
          <w:color w:val="000000" w:themeColor="text1"/>
          <w:sz w:val="22"/>
          <w:szCs w:val="22"/>
        </w:rPr>
        <w:t xml:space="preserve"> to </w:t>
      </w:r>
      <w:r w:rsidR="00903223" w:rsidRPr="00903223">
        <w:rPr>
          <w:rFonts w:ascii="Arial" w:hAnsi="Arial" w:cs="Arial"/>
          <w:color w:val="000000" w:themeColor="text1"/>
          <w:sz w:val="22"/>
          <w:szCs w:val="22"/>
        </w:rPr>
        <w:t>get it later if it was found to be safe</w:t>
      </w:r>
      <w:r w:rsidR="00AC0150">
        <w:rPr>
          <w:rFonts w:ascii="Arial" w:hAnsi="Arial" w:cs="Arial"/>
          <w:color w:val="000000" w:themeColor="text1"/>
          <w:sz w:val="22"/>
          <w:szCs w:val="22"/>
        </w:rPr>
        <w:t xml:space="preserve"> (Trogen and Pirofski, 2021)</w:t>
      </w:r>
      <w:r w:rsidR="00903223" w:rsidRPr="00903223">
        <w:rPr>
          <w:rFonts w:ascii="Arial" w:hAnsi="Arial" w:cs="Arial"/>
          <w:color w:val="000000" w:themeColor="text1"/>
          <w:sz w:val="22"/>
          <w:szCs w:val="22"/>
        </w:rPr>
        <w:t>.</w:t>
      </w:r>
      <w:r w:rsidR="000742FC" w:rsidRPr="000742FC">
        <w:t xml:space="preserve"> </w:t>
      </w:r>
      <w:r w:rsidR="000850E1" w:rsidRPr="000850E1">
        <w:rPr>
          <w:rFonts w:ascii="Arial" w:hAnsi="Arial" w:cs="Arial"/>
          <w:color w:val="000000" w:themeColor="text1"/>
          <w:sz w:val="22"/>
          <w:szCs w:val="22"/>
        </w:rPr>
        <w:t xml:space="preserve">To enhance public willingness to receive vaccines, </w:t>
      </w:r>
      <w:r w:rsidR="00EE437F">
        <w:rPr>
          <w:rFonts w:ascii="Arial" w:hAnsi="Arial" w:cs="Arial"/>
          <w:color w:val="000000" w:themeColor="text1"/>
          <w:sz w:val="22"/>
          <w:szCs w:val="22"/>
        </w:rPr>
        <w:t xml:space="preserve">it is urgent to </w:t>
      </w:r>
      <w:r w:rsidR="000850E1" w:rsidRPr="000850E1">
        <w:rPr>
          <w:rFonts w:ascii="Arial" w:hAnsi="Arial" w:cs="Arial"/>
          <w:color w:val="000000" w:themeColor="text1"/>
          <w:sz w:val="22"/>
          <w:szCs w:val="22"/>
        </w:rPr>
        <w:t xml:space="preserve">speak to those who are </w:t>
      </w:r>
      <w:r w:rsidR="001E015A">
        <w:rPr>
          <w:rFonts w:ascii="Arial" w:hAnsi="Arial" w:cs="Arial"/>
          <w:color w:val="000000" w:themeColor="text1"/>
          <w:sz w:val="22"/>
          <w:szCs w:val="22"/>
        </w:rPr>
        <w:t>vaccine-hesitant</w:t>
      </w:r>
      <w:r w:rsidR="000850E1" w:rsidRPr="000850E1">
        <w:rPr>
          <w:rFonts w:ascii="Arial" w:hAnsi="Arial" w:cs="Arial"/>
          <w:color w:val="000000" w:themeColor="text1"/>
          <w:sz w:val="22"/>
          <w:szCs w:val="22"/>
        </w:rPr>
        <w:t xml:space="preserve"> in their attitudes and behaviors.</w:t>
      </w:r>
      <w:r w:rsidR="001E015A">
        <w:rPr>
          <w:rFonts w:ascii="Arial" w:hAnsi="Arial" w:cs="Arial"/>
          <w:color w:val="000000" w:themeColor="text1"/>
          <w:sz w:val="22"/>
          <w:szCs w:val="22"/>
        </w:rPr>
        <w:t xml:space="preserve"> </w:t>
      </w:r>
      <w:r w:rsidR="00A76EFD" w:rsidRPr="00A76EFD">
        <w:rPr>
          <w:rFonts w:ascii="Arial" w:hAnsi="Arial" w:cs="Arial"/>
          <w:color w:val="000000" w:themeColor="text1"/>
          <w:sz w:val="22"/>
          <w:szCs w:val="22"/>
        </w:rPr>
        <w:t>There will be a need for strong public health programs</w:t>
      </w:r>
      <w:r w:rsidR="00050F57">
        <w:rPr>
          <w:rFonts w:ascii="Arial" w:hAnsi="Arial" w:cs="Arial"/>
          <w:color w:val="000000" w:themeColor="text1"/>
          <w:sz w:val="22"/>
          <w:szCs w:val="22"/>
        </w:rPr>
        <w:t xml:space="preserve"> to r</w:t>
      </w:r>
      <w:r w:rsidR="00A76EFD" w:rsidRPr="00A76EFD">
        <w:rPr>
          <w:rFonts w:ascii="Arial" w:hAnsi="Arial" w:cs="Arial"/>
          <w:color w:val="000000" w:themeColor="text1"/>
          <w:sz w:val="22"/>
          <w:szCs w:val="22"/>
        </w:rPr>
        <w:t>egain public trust by providing truthful information about the COVID-19 vaccine's safety, efficacy, and benefits.</w:t>
      </w:r>
      <w:r w:rsidR="00B557CD">
        <w:rPr>
          <w:rFonts w:ascii="Arial" w:hAnsi="Arial" w:cs="Arial"/>
          <w:color w:val="000000" w:themeColor="text1"/>
          <w:sz w:val="22"/>
          <w:szCs w:val="22"/>
        </w:rPr>
        <w:t xml:space="preserve"> </w:t>
      </w:r>
      <w:r w:rsidR="000850E1" w:rsidRPr="000850E1">
        <w:rPr>
          <w:rFonts w:ascii="Arial" w:hAnsi="Arial" w:cs="Arial"/>
          <w:color w:val="000000" w:themeColor="text1"/>
          <w:sz w:val="22"/>
          <w:szCs w:val="22"/>
        </w:rPr>
        <w:t>Public understanding of vaccine benefits that emphasize prosocial benefits could be especially effective.</w:t>
      </w:r>
      <w:r w:rsidR="001E015A">
        <w:rPr>
          <w:rFonts w:ascii="Arial" w:hAnsi="Arial" w:cs="Arial"/>
          <w:color w:val="000000" w:themeColor="text1"/>
          <w:sz w:val="22"/>
          <w:szCs w:val="22"/>
        </w:rPr>
        <w:t xml:space="preserve"> </w:t>
      </w:r>
      <w:r w:rsidR="000850E1" w:rsidRPr="000850E1">
        <w:rPr>
          <w:rFonts w:ascii="Arial" w:hAnsi="Arial" w:cs="Arial"/>
          <w:color w:val="000000" w:themeColor="text1"/>
          <w:sz w:val="22"/>
          <w:szCs w:val="22"/>
        </w:rPr>
        <w:t>Vaccine programs should provide a focused, localized, and compassionate approach to reduce misinformation.</w:t>
      </w:r>
      <w:r w:rsidR="001E015A">
        <w:rPr>
          <w:rFonts w:ascii="Arial" w:hAnsi="Arial" w:cs="Arial"/>
          <w:color w:val="000000" w:themeColor="text1"/>
          <w:sz w:val="22"/>
          <w:szCs w:val="22"/>
        </w:rPr>
        <w:t xml:space="preserve"> </w:t>
      </w:r>
      <w:r w:rsidR="007F3F5C" w:rsidRPr="000850E1">
        <w:rPr>
          <w:rFonts w:ascii="Arial" w:hAnsi="Arial" w:cs="Arial"/>
          <w:color w:val="000000" w:themeColor="text1"/>
          <w:sz w:val="22"/>
          <w:szCs w:val="22"/>
        </w:rPr>
        <w:t>To</w:t>
      </w:r>
      <w:r w:rsidR="000850E1" w:rsidRPr="000850E1">
        <w:rPr>
          <w:rFonts w:ascii="Arial" w:hAnsi="Arial" w:cs="Arial"/>
          <w:color w:val="000000" w:themeColor="text1"/>
          <w:sz w:val="22"/>
          <w:szCs w:val="22"/>
        </w:rPr>
        <w:t xml:space="preserve"> comprehend COVID-19 vaccination apprehension, the </w:t>
      </w:r>
      <w:r w:rsidR="00DD172D">
        <w:rPr>
          <w:rFonts w:ascii="Arial" w:hAnsi="Arial" w:cs="Arial"/>
          <w:color w:val="000000" w:themeColor="text1"/>
          <w:sz w:val="22"/>
          <w:szCs w:val="22"/>
        </w:rPr>
        <w:t>link</w:t>
      </w:r>
      <w:r w:rsidR="000850E1" w:rsidRPr="000850E1">
        <w:rPr>
          <w:rFonts w:ascii="Arial" w:hAnsi="Arial" w:cs="Arial"/>
          <w:color w:val="000000" w:themeColor="text1"/>
          <w:sz w:val="22"/>
          <w:szCs w:val="22"/>
        </w:rPr>
        <w:t xml:space="preserve"> between the spread of disinformation and corresponding emotional reactions must be recognized.</w:t>
      </w:r>
      <w:r w:rsidR="001E015A">
        <w:rPr>
          <w:rFonts w:ascii="Arial" w:hAnsi="Arial" w:cs="Arial"/>
          <w:color w:val="000000" w:themeColor="text1"/>
          <w:sz w:val="22"/>
          <w:szCs w:val="22"/>
        </w:rPr>
        <w:t xml:space="preserve"> </w:t>
      </w:r>
      <w:r w:rsidR="000850E1" w:rsidRPr="000850E1">
        <w:rPr>
          <w:rFonts w:ascii="Arial" w:hAnsi="Arial" w:cs="Arial"/>
          <w:color w:val="000000" w:themeColor="text1"/>
          <w:sz w:val="22"/>
          <w:szCs w:val="22"/>
        </w:rPr>
        <w:t xml:space="preserve">Educational efforts could help overcome knowledge gaps and dispel myths about </w:t>
      </w:r>
      <w:r w:rsidR="007254EF">
        <w:rPr>
          <w:rFonts w:ascii="Arial" w:hAnsi="Arial" w:cs="Arial"/>
          <w:color w:val="000000" w:themeColor="text1"/>
          <w:sz w:val="22"/>
          <w:szCs w:val="22"/>
        </w:rPr>
        <w:t xml:space="preserve">coronavirus </w:t>
      </w:r>
      <w:r w:rsidR="000850E1" w:rsidRPr="000850E1">
        <w:rPr>
          <w:rFonts w:ascii="Arial" w:hAnsi="Arial" w:cs="Arial"/>
          <w:color w:val="000000" w:themeColor="text1"/>
          <w:sz w:val="22"/>
          <w:szCs w:val="22"/>
        </w:rPr>
        <w:t>vaccines.</w:t>
      </w:r>
      <w:r w:rsidR="003C6B62">
        <w:rPr>
          <w:rFonts w:ascii="Arial" w:hAnsi="Arial" w:cs="Arial"/>
          <w:color w:val="000000" w:themeColor="text1"/>
          <w:sz w:val="22"/>
          <w:szCs w:val="22"/>
        </w:rPr>
        <w:t xml:space="preserve"> </w:t>
      </w:r>
      <w:r w:rsidR="000850E1" w:rsidRPr="000850E1">
        <w:rPr>
          <w:rFonts w:ascii="Arial" w:hAnsi="Arial" w:cs="Arial"/>
          <w:color w:val="000000" w:themeColor="text1"/>
          <w:sz w:val="22"/>
          <w:szCs w:val="22"/>
        </w:rPr>
        <w:t>The success of immunization programs will almost certainly improve if injection anxieties are addressed.</w:t>
      </w:r>
      <w:r w:rsidR="003C6B62">
        <w:rPr>
          <w:rFonts w:ascii="Arial" w:hAnsi="Arial" w:cs="Arial"/>
          <w:color w:val="000000" w:themeColor="text1"/>
          <w:sz w:val="22"/>
          <w:szCs w:val="22"/>
        </w:rPr>
        <w:t xml:space="preserve"> </w:t>
      </w:r>
    </w:p>
    <w:p w14:paraId="30DAA9E3" w14:textId="62D09406" w:rsidR="00BF681A" w:rsidRDefault="00BF681A" w:rsidP="003C6B62">
      <w:pPr>
        <w:pStyle w:val="NormalWeb"/>
        <w:spacing w:after="240" w:line="360" w:lineRule="auto"/>
        <w:jc w:val="both"/>
        <w:rPr>
          <w:rFonts w:ascii="Arial" w:hAnsi="Arial" w:cs="Arial"/>
          <w:color w:val="000000" w:themeColor="text1"/>
          <w:sz w:val="22"/>
          <w:szCs w:val="22"/>
        </w:rPr>
      </w:pPr>
      <w:r w:rsidRPr="00BF681A">
        <w:rPr>
          <w:rFonts w:ascii="Arial" w:hAnsi="Arial" w:cs="Arial"/>
          <w:color w:val="000000" w:themeColor="text1"/>
          <w:sz w:val="22"/>
          <w:szCs w:val="22"/>
        </w:rPr>
        <w:t>A vast number (82%) of adults in the UK will take COVID-19 antibodies whenever presented, and 18% are reluctant to vaccinate, and so there are clear contrasts in subgroups of the population</w:t>
      </w:r>
      <w:r w:rsidR="006F7364">
        <w:rPr>
          <w:rFonts w:ascii="Arial" w:hAnsi="Arial" w:cs="Arial"/>
          <w:color w:val="000000" w:themeColor="text1"/>
          <w:sz w:val="22"/>
          <w:szCs w:val="22"/>
        </w:rPr>
        <w:t xml:space="preserve"> (Robertson et al. 2021)</w:t>
      </w:r>
      <w:r w:rsidRPr="00BF681A">
        <w:rPr>
          <w:rFonts w:ascii="Arial" w:hAnsi="Arial" w:cs="Arial"/>
          <w:color w:val="000000" w:themeColor="text1"/>
          <w:sz w:val="22"/>
          <w:szCs w:val="22"/>
        </w:rPr>
        <w:t>. More established age and being male are the strongest factors in favor of COVID-19 vaccine admission, women and those with poor educational levels are more reluctant to vaccinate, and therefore recommending a vaccination program could be of great medical benefit in the UK</w:t>
      </w:r>
      <w:r w:rsidR="00C564A0">
        <w:rPr>
          <w:rFonts w:ascii="Arial" w:hAnsi="Arial" w:cs="Arial"/>
          <w:color w:val="000000" w:themeColor="text1"/>
          <w:sz w:val="22"/>
          <w:szCs w:val="22"/>
        </w:rPr>
        <w:t xml:space="preserve"> </w:t>
      </w:r>
      <w:r w:rsidR="00C564A0" w:rsidRPr="00C564A0">
        <w:rPr>
          <w:rFonts w:ascii="Arial" w:hAnsi="Arial" w:cs="Arial"/>
          <w:color w:val="000000" w:themeColor="text1"/>
          <w:sz w:val="22"/>
          <w:szCs w:val="22"/>
        </w:rPr>
        <w:t>(Robertson et al. 2021).</w:t>
      </w:r>
    </w:p>
    <w:p w14:paraId="26B8DA4A" w14:textId="32B7B0B7" w:rsidR="001B5DC5" w:rsidRPr="005C53F4" w:rsidRDefault="00AE16B5" w:rsidP="0013260C">
      <w:pPr>
        <w:pStyle w:val="NormalWeb"/>
        <w:spacing w:after="240" w:line="360" w:lineRule="auto"/>
        <w:jc w:val="both"/>
        <w:rPr>
          <w:rFonts w:ascii="Arial" w:hAnsi="Arial" w:cs="Arial"/>
          <w:color w:val="000000" w:themeColor="text1"/>
          <w:sz w:val="22"/>
          <w:szCs w:val="22"/>
        </w:rPr>
      </w:pPr>
      <w:r w:rsidRPr="005C53F4">
        <w:rPr>
          <w:rFonts w:ascii="Arial" w:hAnsi="Arial" w:cs="Arial"/>
          <w:color w:val="000000" w:themeColor="text1"/>
          <w:sz w:val="22"/>
          <w:szCs w:val="22"/>
        </w:rPr>
        <w:t>“</w:t>
      </w:r>
      <w:r w:rsidR="001B5DC5" w:rsidRPr="005C53F4">
        <w:rPr>
          <w:rFonts w:ascii="Arial" w:hAnsi="Arial" w:cs="Arial"/>
          <w:color w:val="000000" w:themeColor="text1"/>
          <w:sz w:val="22"/>
          <w:szCs w:val="22"/>
        </w:rPr>
        <w:t xml:space="preserve">Exceptionally enormous contrasts in antibody aversion exist by nationality, with Black or Black British and Pakistani or Bangladeshi ethnic gatherings being generally reluctant. Be that as it may, not all minority ethnic gatherings had </w:t>
      </w:r>
      <w:r w:rsidR="006F3BC7" w:rsidRPr="005C53F4">
        <w:rPr>
          <w:rFonts w:ascii="Arial" w:hAnsi="Arial" w:cs="Arial"/>
          <w:color w:val="000000" w:themeColor="text1"/>
          <w:sz w:val="22"/>
          <w:szCs w:val="22"/>
        </w:rPr>
        <w:t>higher vaccine-hesitant</w:t>
      </w:r>
      <w:r w:rsidR="001B5DC5" w:rsidRPr="005C53F4">
        <w:rPr>
          <w:rFonts w:ascii="Arial" w:hAnsi="Arial" w:cs="Arial"/>
          <w:color w:val="000000" w:themeColor="text1"/>
          <w:sz w:val="22"/>
          <w:szCs w:val="22"/>
        </w:rPr>
        <w:t>, featuring the significance of understanding heterogeneity between minority ethnic gatherings. By and large, the fundamental reasons given for antibody aversion were fears around aftereffects and future antagonistic impacts of a COVID-19 immunization</w:t>
      </w:r>
      <w:r w:rsidRPr="005C53F4">
        <w:rPr>
          <w:rFonts w:ascii="Arial" w:hAnsi="Arial" w:cs="Arial"/>
          <w:color w:val="000000" w:themeColor="text1"/>
          <w:sz w:val="22"/>
          <w:szCs w:val="22"/>
        </w:rPr>
        <w:t>”</w:t>
      </w:r>
      <w:r w:rsidR="001B5DC5" w:rsidRPr="005C53F4">
        <w:rPr>
          <w:rFonts w:ascii="Arial" w:hAnsi="Arial" w:cs="Arial"/>
          <w:color w:val="000000" w:themeColor="text1"/>
          <w:sz w:val="22"/>
          <w:szCs w:val="22"/>
        </w:rPr>
        <w:t xml:space="preserve">. The fundamental purposes behind planned immunization take-up identify with the evasion of getting the infection or turning out to be extremely sick from it, yet additionally to permit social and </w:t>
      </w:r>
      <w:r w:rsidR="00906A71" w:rsidRPr="005C53F4">
        <w:rPr>
          <w:rFonts w:ascii="Arial" w:hAnsi="Arial" w:cs="Arial"/>
          <w:color w:val="000000" w:themeColor="text1"/>
          <w:sz w:val="22"/>
          <w:szCs w:val="22"/>
        </w:rPr>
        <w:t>day-to-day</w:t>
      </w:r>
      <w:r w:rsidR="001B5DC5" w:rsidRPr="005C53F4">
        <w:rPr>
          <w:rFonts w:ascii="Arial" w:hAnsi="Arial" w:cs="Arial"/>
          <w:color w:val="000000" w:themeColor="text1"/>
          <w:sz w:val="22"/>
          <w:szCs w:val="22"/>
        </w:rPr>
        <w:t xml:space="preserve"> life to get back to business as usual. Immunization viability and security were recognized as variables that would support antibody take-up.</w:t>
      </w:r>
    </w:p>
    <w:p w14:paraId="1C9B0042" w14:textId="77777777" w:rsidR="004A58DC" w:rsidRPr="005C53F4" w:rsidRDefault="006F3BC7" w:rsidP="00C02DFF">
      <w:pPr>
        <w:pStyle w:val="NormalWeb"/>
        <w:spacing w:after="240" w:line="360" w:lineRule="auto"/>
        <w:jc w:val="both"/>
        <w:rPr>
          <w:rFonts w:ascii="Arial" w:hAnsi="Arial" w:cs="Arial"/>
          <w:color w:val="000000" w:themeColor="text1"/>
          <w:sz w:val="22"/>
          <w:szCs w:val="22"/>
        </w:rPr>
      </w:pPr>
      <w:r w:rsidRPr="005C53F4">
        <w:rPr>
          <w:rFonts w:ascii="Arial" w:hAnsi="Arial" w:cs="Arial"/>
          <w:color w:val="000000" w:themeColor="text1"/>
          <w:sz w:val="22"/>
          <w:szCs w:val="22"/>
        </w:rPr>
        <w:t>“</w:t>
      </w:r>
      <w:r w:rsidR="006F36D0" w:rsidRPr="005C53F4">
        <w:rPr>
          <w:rFonts w:ascii="Arial" w:hAnsi="Arial" w:cs="Arial"/>
          <w:color w:val="000000" w:themeColor="text1"/>
          <w:sz w:val="22"/>
          <w:szCs w:val="22"/>
        </w:rPr>
        <w:t>This</w:t>
      </w:r>
      <w:r w:rsidR="004A58DC" w:rsidRPr="005C53F4">
        <w:rPr>
          <w:rFonts w:ascii="Arial" w:hAnsi="Arial" w:cs="Arial"/>
          <w:color w:val="000000" w:themeColor="text1"/>
          <w:sz w:val="22"/>
          <w:szCs w:val="22"/>
        </w:rPr>
        <w:t xml:space="preserve"> study has several strengths. To our knowledge, it is the first large representative study in the UK to survey participants on likely vaccine uptake or hesitancy and the reasons why a COVID-19 vaccine would be accepted or refused. It also did so at a time when new vaccine development and vaccine efficacy was highly reported in the media (end November 2020, but just before the first vaccine was approved on 2nd December 2020). The four countries of the UK are now rolling out a vaccination </w:t>
      </w:r>
      <w:r w:rsidR="006F36D0" w:rsidRPr="005C53F4">
        <w:rPr>
          <w:rFonts w:ascii="Arial" w:hAnsi="Arial" w:cs="Arial"/>
          <w:color w:val="000000" w:themeColor="text1"/>
          <w:sz w:val="22"/>
          <w:szCs w:val="22"/>
        </w:rPr>
        <w:t>program</w:t>
      </w:r>
      <w:r w:rsidR="004A58DC" w:rsidRPr="005C53F4">
        <w:rPr>
          <w:rFonts w:ascii="Arial" w:hAnsi="Arial" w:cs="Arial"/>
          <w:color w:val="000000" w:themeColor="text1"/>
          <w:sz w:val="22"/>
          <w:szCs w:val="22"/>
        </w:rPr>
        <w:t xml:space="preserve"> commencing with those most at risk of mortality from COVID-19. The findings reported here, provide evidence on the groups who need targeting and arguments that may be most persuasive for them</w:t>
      </w:r>
      <w:r w:rsidRPr="005C53F4">
        <w:rPr>
          <w:rFonts w:ascii="Arial" w:hAnsi="Arial" w:cs="Arial"/>
          <w:color w:val="000000" w:themeColor="text1"/>
          <w:sz w:val="22"/>
          <w:szCs w:val="22"/>
        </w:rPr>
        <w:t>”</w:t>
      </w:r>
      <w:r w:rsidR="004A58DC" w:rsidRPr="005C53F4">
        <w:rPr>
          <w:rFonts w:ascii="Arial" w:hAnsi="Arial" w:cs="Arial"/>
          <w:color w:val="000000" w:themeColor="text1"/>
          <w:sz w:val="22"/>
          <w:szCs w:val="22"/>
        </w:rPr>
        <w:t>.</w:t>
      </w:r>
    </w:p>
    <w:p w14:paraId="0165A05F" w14:textId="3186D13D" w:rsidR="00AE16B5" w:rsidRPr="005C53F4" w:rsidRDefault="008D1508" w:rsidP="00C02DFF">
      <w:pPr>
        <w:pStyle w:val="NormalWeb"/>
        <w:spacing w:after="0" w:line="360" w:lineRule="auto"/>
        <w:jc w:val="both"/>
        <w:rPr>
          <w:rFonts w:ascii="Arial" w:hAnsi="Arial" w:cs="Arial"/>
          <w:color w:val="000000" w:themeColor="text1"/>
          <w:sz w:val="22"/>
          <w:szCs w:val="22"/>
        </w:rPr>
      </w:pPr>
      <w:r w:rsidRPr="005C53F4">
        <w:rPr>
          <w:rFonts w:ascii="Arial" w:hAnsi="Arial" w:cs="Arial"/>
          <w:color w:val="000000" w:themeColor="text1"/>
          <w:sz w:val="22"/>
          <w:szCs w:val="22"/>
        </w:rPr>
        <w:t xml:space="preserve">Some weaknesses of this study are also described here. </w:t>
      </w:r>
      <w:r w:rsidR="00D12C6B">
        <w:rPr>
          <w:rFonts w:ascii="Arial" w:hAnsi="Arial" w:cs="Arial"/>
          <w:color w:val="000000" w:themeColor="text1"/>
          <w:sz w:val="22"/>
          <w:szCs w:val="22"/>
        </w:rPr>
        <w:t>“</w:t>
      </w:r>
      <w:r w:rsidR="00511BC5" w:rsidRPr="005C53F4">
        <w:rPr>
          <w:rFonts w:ascii="Arial" w:hAnsi="Arial" w:cs="Arial"/>
          <w:color w:val="000000" w:themeColor="text1"/>
          <w:sz w:val="22"/>
          <w:szCs w:val="22"/>
        </w:rPr>
        <w:t xml:space="preserve">The overview is </w:t>
      </w:r>
      <w:r w:rsidR="00223797" w:rsidRPr="005C53F4">
        <w:rPr>
          <w:rFonts w:ascii="Arial" w:hAnsi="Arial" w:cs="Arial"/>
          <w:color w:val="000000" w:themeColor="text1"/>
          <w:sz w:val="22"/>
          <w:szCs w:val="22"/>
        </w:rPr>
        <w:t xml:space="preserve">web-based </w:t>
      </w:r>
      <w:r w:rsidR="00511BC5" w:rsidRPr="005C53F4">
        <w:rPr>
          <w:rFonts w:ascii="Arial" w:hAnsi="Arial" w:cs="Arial"/>
          <w:color w:val="000000" w:themeColor="text1"/>
          <w:sz w:val="22"/>
          <w:szCs w:val="22"/>
        </w:rPr>
        <w:t>so non-interest might have brought predisposition into the outcomes. Be that as it may, and following suggested practice for this dataset, the outcomes were weighted to represent non-reaction and whittling down (Benze</w:t>
      </w:r>
      <w:r w:rsidR="006F36D0" w:rsidRPr="005C53F4">
        <w:rPr>
          <w:rFonts w:ascii="Arial" w:hAnsi="Arial" w:cs="Arial"/>
          <w:color w:val="000000" w:themeColor="text1"/>
          <w:sz w:val="22"/>
          <w:szCs w:val="22"/>
        </w:rPr>
        <w:t>val et al. 2021)</w:t>
      </w:r>
      <w:r w:rsidR="00D12C6B">
        <w:rPr>
          <w:rFonts w:ascii="Arial" w:hAnsi="Arial" w:cs="Arial"/>
          <w:color w:val="000000" w:themeColor="text1"/>
          <w:sz w:val="22"/>
          <w:szCs w:val="22"/>
        </w:rPr>
        <w:t>”</w:t>
      </w:r>
      <w:r w:rsidR="006F36D0" w:rsidRPr="005C53F4">
        <w:rPr>
          <w:rFonts w:ascii="Arial" w:hAnsi="Arial" w:cs="Arial"/>
          <w:color w:val="000000" w:themeColor="text1"/>
          <w:sz w:val="22"/>
          <w:szCs w:val="22"/>
        </w:rPr>
        <w:t>. Moreover, the</w:t>
      </w:r>
      <w:r w:rsidR="00511BC5" w:rsidRPr="005C53F4">
        <w:rPr>
          <w:rFonts w:ascii="Arial" w:hAnsi="Arial" w:cs="Arial"/>
          <w:color w:val="000000" w:themeColor="text1"/>
          <w:sz w:val="22"/>
          <w:szCs w:val="22"/>
        </w:rPr>
        <w:t xml:space="preserve"> fundamental example of discoveries of which ethnic, age</w:t>
      </w:r>
      <w:r w:rsidR="006F3BC7" w:rsidRPr="005C53F4">
        <w:rPr>
          <w:rFonts w:ascii="Arial" w:hAnsi="Arial" w:cs="Arial"/>
          <w:color w:val="000000" w:themeColor="text1"/>
          <w:sz w:val="22"/>
          <w:szCs w:val="22"/>
        </w:rPr>
        <w:t>,</w:t>
      </w:r>
      <w:r w:rsidR="00511BC5" w:rsidRPr="005C53F4">
        <w:rPr>
          <w:rFonts w:ascii="Arial" w:hAnsi="Arial" w:cs="Arial"/>
          <w:color w:val="000000" w:themeColor="text1"/>
          <w:sz w:val="22"/>
          <w:szCs w:val="22"/>
        </w:rPr>
        <w:t xml:space="preserve"> and sex bunches were probably going to be antibody reluctant was likewise seen in </w:t>
      </w:r>
      <w:r w:rsidR="006F3BC7" w:rsidRPr="005C53F4">
        <w:rPr>
          <w:rFonts w:ascii="Arial" w:hAnsi="Arial" w:cs="Arial"/>
          <w:color w:val="000000" w:themeColor="text1"/>
          <w:sz w:val="22"/>
          <w:szCs w:val="22"/>
        </w:rPr>
        <w:t>unweight</w:t>
      </w:r>
      <w:r w:rsidR="00511BC5" w:rsidRPr="005C53F4">
        <w:rPr>
          <w:rFonts w:ascii="Arial" w:hAnsi="Arial" w:cs="Arial"/>
          <w:color w:val="000000" w:themeColor="text1"/>
          <w:sz w:val="22"/>
          <w:szCs w:val="22"/>
        </w:rPr>
        <w:t xml:space="preserve"> in</w:t>
      </w:r>
      <w:r w:rsidR="00AE16B5" w:rsidRPr="005C53F4">
        <w:rPr>
          <w:rFonts w:ascii="Arial" w:hAnsi="Arial" w:cs="Arial"/>
          <w:color w:val="000000" w:themeColor="text1"/>
          <w:sz w:val="22"/>
          <w:szCs w:val="22"/>
        </w:rPr>
        <w:t>vestigations</w:t>
      </w:r>
      <w:r w:rsidR="00511BC5" w:rsidRPr="005C53F4">
        <w:rPr>
          <w:rFonts w:ascii="Arial" w:hAnsi="Arial" w:cs="Arial"/>
          <w:color w:val="000000" w:themeColor="text1"/>
          <w:sz w:val="22"/>
          <w:szCs w:val="22"/>
        </w:rPr>
        <w:t xml:space="preserve">. Also, little numbers didn't take into consideration definite examination of some </w:t>
      </w:r>
      <w:r w:rsidR="006F36D0" w:rsidRPr="005C53F4">
        <w:rPr>
          <w:rFonts w:ascii="Arial" w:hAnsi="Arial" w:cs="Arial"/>
          <w:color w:val="000000" w:themeColor="text1"/>
          <w:sz w:val="22"/>
          <w:szCs w:val="22"/>
        </w:rPr>
        <w:t xml:space="preserve">ethnic gatherings. Moreover, it did not </w:t>
      </w:r>
      <w:r w:rsidR="00511BC5" w:rsidRPr="005C53F4">
        <w:rPr>
          <w:rFonts w:ascii="Arial" w:hAnsi="Arial" w:cs="Arial"/>
          <w:color w:val="000000" w:themeColor="text1"/>
          <w:sz w:val="22"/>
          <w:szCs w:val="22"/>
        </w:rPr>
        <w:t>get some information about the various kinds of inoculations being created and regardless of whether this would have any bearing on im</w:t>
      </w:r>
      <w:r w:rsidR="006F36D0" w:rsidRPr="005C53F4">
        <w:rPr>
          <w:rFonts w:ascii="Arial" w:hAnsi="Arial" w:cs="Arial"/>
          <w:color w:val="000000" w:themeColor="text1"/>
          <w:sz w:val="22"/>
          <w:szCs w:val="22"/>
        </w:rPr>
        <w:t>munization reluctance. While it features</w:t>
      </w:r>
      <w:r w:rsidR="00511BC5" w:rsidRPr="005C53F4">
        <w:rPr>
          <w:rFonts w:ascii="Arial" w:hAnsi="Arial" w:cs="Arial"/>
          <w:color w:val="000000" w:themeColor="text1"/>
          <w:sz w:val="22"/>
          <w:szCs w:val="22"/>
        </w:rPr>
        <w:t xml:space="preserve"> </w:t>
      </w:r>
      <w:r w:rsidR="006F3BC7" w:rsidRPr="005C53F4">
        <w:rPr>
          <w:rFonts w:ascii="Arial" w:hAnsi="Arial" w:cs="Arial"/>
          <w:color w:val="000000" w:themeColor="text1"/>
          <w:sz w:val="22"/>
          <w:szCs w:val="22"/>
        </w:rPr>
        <w:t xml:space="preserve">a </w:t>
      </w:r>
      <w:r w:rsidR="00511BC5" w:rsidRPr="005C53F4">
        <w:rPr>
          <w:rFonts w:ascii="Arial" w:hAnsi="Arial" w:cs="Arial"/>
          <w:color w:val="000000" w:themeColor="text1"/>
          <w:sz w:val="22"/>
          <w:szCs w:val="22"/>
        </w:rPr>
        <w:t xml:space="preserve">relationship between antibody aversion and </w:t>
      </w:r>
      <w:r w:rsidR="006F3BC7" w:rsidRPr="005C53F4">
        <w:rPr>
          <w:rFonts w:ascii="Arial" w:hAnsi="Arial" w:cs="Arial"/>
          <w:color w:val="000000" w:themeColor="text1"/>
          <w:sz w:val="22"/>
          <w:szCs w:val="22"/>
        </w:rPr>
        <w:t xml:space="preserve">the </w:t>
      </w:r>
      <w:r w:rsidR="00511BC5" w:rsidRPr="005C53F4">
        <w:rPr>
          <w:rFonts w:ascii="Arial" w:hAnsi="Arial" w:cs="Arial"/>
          <w:color w:val="000000" w:themeColor="text1"/>
          <w:sz w:val="22"/>
          <w:szCs w:val="22"/>
        </w:rPr>
        <w:t xml:space="preserve">scope of socio-segment factors, the motivation behind this examination was clear. Eagerness to be inoculated is affected by general wellbeing and different correspondences, just as a more extensive scope of social elements. </w:t>
      </w:r>
    </w:p>
    <w:p w14:paraId="32C61F6C" w14:textId="77777777" w:rsidR="00511BC5" w:rsidRPr="005C53F4" w:rsidRDefault="00511BC5" w:rsidP="00927110">
      <w:pPr>
        <w:pStyle w:val="NormalWeb"/>
        <w:spacing w:after="0" w:line="360" w:lineRule="auto"/>
        <w:jc w:val="both"/>
        <w:rPr>
          <w:rFonts w:ascii="Arial" w:hAnsi="Arial" w:cs="Arial"/>
          <w:color w:val="000000" w:themeColor="text1"/>
          <w:sz w:val="22"/>
          <w:szCs w:val="22"/>
        </w:rPr>
      </w:pPr>
      <w:r w:rsidRPr="005C53F4">
        <w:rPr>
          <w:rFonts w:ascii="Arial" w:hAnsi="Arial" w:cs="Arial"/>
          <w:color w:val="000000" w:themeColor="text1"/>
          <w:sz w:val="22"/>
          <w:szCs w:val="22"/>
        </w:rPr>
        <w:t>These affiliations ought to in this way not be deciphered as permanent impacts but instead guide immunization arranging</w:t>
      </w:r>
      <w:r w:rsidR="00F64BA3">
        <w:rPr>
          <w:rFonts w:ascii="Arial" w:hAnsi="Arial" w:cs="Arial"/>
          <w:color w:val="000000" w:themeColor="text1"/>
          <w:sz w:val="22"/>
          <w:szCs w:val="22"/>
        </w:rPr>
        <w:t xml:space="preserve"> </w:t>
      </w:r>
      <w:r w:rsidR="00F64BA3" w:rsidRPr="005C53F4">
        <w:rPr>
          <w:rFonts w:ascii="Arial" w:hAnsi="Arial" w:cs="Arial"/>
          <w:color w:val="000000" w:themeColor="text1"/>
          <w:sz w:val="22"/>
          <w:szCs w:val="22"/>
        </w:rPr>
        <w:t>(Paul et al., 2021)</w:t>
      </w:r>
      <w:r w:rsidRPr="005C53F4">
        <w:rPr>
          <w:rFonts w:ascii="Arial" w:hAnsi="Arial" w:cs="Arial"/>
          <w:color w:val="000000" w:themeColor="text1"/>
          <w:sz w:val="22"/>
          <w:szCs w:val="22"/>
        </w:rPr>
        <w:t>.</w:t>
      </w:r>
      <w:r w:rsidR="00AE16B5" w:rsidRPr="005C53F4">
        <w:rPr>
          <w:rFonts w:ascii="Arial" w:hAnsi="Arial" w:cs="Arial"/>
          <w:color w:val="000000" w:themeColor="text1"/>
          <w:sz w:val="22"/>
          <w:szCs w:val="22"/>
        </w:rPr>
        <w:t xml:space="preserve"> “</w:t>
      </w:r>
      <w:r w:rsidRPr="005C53F4">
        <w:rPr>
          <w:rFonts w:ascii="Arial" w:hAnsi="Arial" w:cs="Arial"/>
          <w:color w:val="000000" w:themeColor="text1"/>
          <w:sz w:val="22"/>
          <w:szCs w:val="22"/>
        </w:rPr>
        <w:t>There have been some other more modest UK investigations of COVID-19 immunization hesitancy which have no</w:t>
      </w:r>
      <w:r w:rsidR="00223797" w:rsidRPr="005C53F4">
        <w:rPr>
          <w:rFonts w:ascii="Arial" w:hAnsi="Arial" w:cs="Arial"/>
          <w:color w:val="000000" w:themeColor="text1"/>
          <w:sz w:val="22"/>
          <w:szCs w:val="22"/>
        </w:rPr>
        <w:t>t been founded on delegate samples</w:t>
      </w:r>
      <w:r w:rsidRPr="005C53F4">
        <w:rPr>
          <w:rFonts w:ascii="Arial" w:hAnsi="Arial" w:cs="Arial"/>
          <w:color w:val="000000" w:themeColor="text1"/>
          <w:sz w:val="22"/>
          <w:szCs w:val="22"/>
        </w:rPr>
        <w:t>. These investigations demonstrated that 14% of members were reluctant to get a COVID-19 antibody with a further 22% being uncertain concerning whether they would take this, with simply 64% able t</w:t>
      </w:r>
      <w:r w:rsidR="00F64BA3">
        <w:rPr>
          <w:rFonts w:ascii="Arial" w:hAnsi="Arial" w:cs="Arial"/>
          <w:color w:val="000000" w:themeColor="text1"/>
          <w:sz w:val="22"/>
          <w:szCs w:val="22"/>
        </w:rPr>
        <w:t xml:space="preserve">o take a COVID-19 immunization. </w:t>
      </w:r>
      <w:r w:rsidRPr="005C53F4">
        <w:rPr>
          <w:rFonts w:ascii="Arial" w:hAnsi="Arial" w:cs="Arial"/>
          <w:color w:val="000000" w:themeColor="text1"/>
          <w:sz w:val="22"/>
          <w:szCs w:val="22"/>
        </w:rPr>
        <w:t xml:space="preserve">A review directed in Ireland and </w:t>
      </w:r>
      <w:r w:rsidR="00F64BA3">
        <w:rPr>
          <w:rFonts w:ascii="Arial" w:hAnsi="Arial" w:cs="Arial"/>
          <w:color w:val="000000" w:themeColor="text1"/>
          <w:sz w:val="22"/>
          <w:szCs w:val="22"/>
        </w:rPr>
        <w:t xml:space="preserve">the </w:t>
      </w:r>
      <w:r w:rsidRPr="005C53F4">
        <w:rPr>
          <w:rFonts w:ascii="Arial" w:hAnsi="Arial" w:cs="Arial"/>
          <w:color w:val="000000" w:themeColor="text1"/>
          <w:sz w:val="22"/>
          <w:szCs w:val="22"/>
        </w:rPr>
        <w:t>UK during the beginning stage of the pandemic tracked down antibody aversion of 35% and 31% in these populaces individually (Murphy et al., 2021). A non-likelihood online review in Autumn 2020 viewed 71.7% were willing as immunized, 16.6% were extremely uncertain, and 11.</w:t>
      </w:r>
      <w:r w:rsidR="00D12C6B">
        <w:rPr>
          <w:rFonts w:ascii="Arial" w:hAnsi="Arial" w:cs="Arial"/>
          <w:color w:val="000000" w:themeColor="text1"/>
          <w:sz w:val="22"/>
          <w:szCs w:val="22"/>
        </w:rPr>
        <w:t xml:space="preserve">7% were very antibody reluctant. </w:t>
      </w:r>
      <w:r w:rsidRPr="005C53F4">
        <w:rPr>
          <w:rFonts w:ascii="Arial" w:hAnsi="Arial" w:cs="Arial"/>
          <w:color w:val="000000" w:themeColor="text1"/>
          <w:sz w:val="22"/>
          <w:szCs w:val="22"/>
        </w:rPr>
        <w:t>A Scottish review viewed take-up figures as marginally higher at somewhere in the range of 74 and 78%</w:t>
      </w:r>
      <w:r w:rsidR="00AE16B5" w:rsidRPr="005C53F4">
        <w:rPr>
          <w:rFonts w:ascii="Arial" w:hAnsi="Arial" w:cs="Arial"/>
          <w:color w:val="000000" w:themeColor="text1"/>
          <w:sz w:val="22"/>
          <w:szCs w:val="22"/>
        </w:rPr>
        <w:t>”</w:t>
      </w:r>
      <w:r w:rsidRPr="005C53F4">
        <w:rPr>
          <w:rFonts w:ascii="Arial" w:hAnsi="Arial" w:cs="Arial"/>
          <w:color w:val="000000" w:themeColor="text1"/>
          <w:sz w:val="22"/>
          <w:szCs w:val="22"/>
        </w:rPr>
        <w:t>.</w:t>
      </w:r>
    </w:p>
    <w:p w14:paraId="6F404348" w14:textId="2D5E384C" w:rsidR="00F54742" w:rsidRDefault="00511BC5" w:rsidP="000D79A6">
      <w:pPr>
        <w:pStyle w:val="NormalWeb"/>
        <w:spacing w:after="0" w:line="360" w:lineRule="auto"/>
        <w:jc w:val="both"/>
        <w:rPr>
          <w:rFonts w:ascii="Arial" w:hAnsi="Arial" w:cs="Arial"/>
          <w:color w:val="000000" w:themeColor="text1"/>
          <w:sz w:val="22"/>
          <w:szCs w:val="22"/>
        </w:rPr>
      </w:pPr>
      <w:r w:rsidRPr="005C53F4">
        <w:rPr>
          <w:rFonts w:ascii="Arial" w:hAnsi="Arial" w:cs="Arial"/>
          <w:color w:val="000000" w:themeColor="text1"/>
          <w:sz w:val="22"/>
          <w:szCs w:val="22"/>
        </w:rPr>
        <w:t xml:space="preserve">Immunization aversion rates fluctuate by nation and populace subgroup. Nonetheless, global proof across a few investigations proposes that around 25% of everybody </w:t>
      </w:r>
      <w:r w:rsidR="00F64BA3">
        <w:rPr>
          <w:rFonts w:ascii="Arial" w:hAnsi="Arial" w:cs="Arial"/>
          <w:color w:val="000000" w:themeColor="text1"/>
          <w:sz w:val="22"/>
          <w:szCs w:val="22"/>
        </w:rPr>
        <w:t>is</w:t>
      </w:r>
      <w:r w:rsidRPr="005C53F4">
        <w:rPr>
          <w:rFonts w:ascii="Arial" w:hAnsi="Arial" w:cs="Arial"/>
          <w:color w:val="000000" w:themeColor="text1"/>
          <w:sz w:val="22"/>
          <w:szCs w:val="22"/>
        </w:rPr>
        <w:t xml:space="preserve"> reluctant about tolerating a COVID-19 antibody. </w:t>
      </w:r>
      <w:r w:rsidR="00F64BA3">
        <w:rPr>
          <w:rFonts w:ascii="Arial" w:hAnsi="Arial" w:cs="Arial"/>
          <w:color w:val="000000" w:themeColor="text1"/>
          <w:sz w:val="22"/>
          <w:szCs w:val="22"/>
        </w:rPr>
        <w:t>“</w:t>
      </w:r>
      <w:r w:rsidRPr="005C53F4">
        <w:rPr>
          <w:rFonts w:ascii="Arial" w:hAnsi="Arial" w:cs="Arial"/>
          <w:color w:val="000000" w:themeColor="text1"/>
          <w:sz w:val="22"/>
          <w:szCs w:val="22"/>
        </w:rPr>
        <w:t xml:space="preserve">A review of studies on </w:t>
      </w:r>
      <w:r w:rsidR="00F64BA3">
        <w:rPr>
          <w:rFonts w:ascii="Arial" w:hAnsi="Arial" w:cs="Arial"/>
          <w:color w:val="000000" w:themeColor="text1"/>
          <w:sz w:val="22"/>
          <w:szCs w:val="22"/>
        </w:rPr>
        <w:t xml:space="preserve">the </w:t>
      </w:r>
      <w:r w:rsidRPr="005C53F4">
        <w:rPr>
          <w:rFonts w:ascii="Arial" w:hAnsi="Arial" w:cs="Arial"/>
          <w:color w:val="000000" w:themeColor="text1"/>
          <w:sz w:val="22"/>
          <w:szCs w:val="22"/>
        </w:rPr>
        <w:t>ability to be inoculated recommends 60% of individuals plan to be immunized, demonstrating the UK might be better positioned to use immunization to address the pandemic. In certain nations, for example, Italy, past inoculation rates propose take-up might be too low to even consider halting the spread of COVID-19</w:t>
      </w:r>
      <w:r w:rsidR="006F36D0" w:rsidRPr="005C53F4">
        <w:rPr>
          <w:rFonts w:ascii="Arial" w:hAnsi="Arial" w:cs="Arial"/>
          <w:color w:val="000000" w:themeColor="text1"/>
          <w:sz w:val="22"/>
          <w:szCs w:val="22"/>
        </w:rPr>
        <w:t xml:space="preserve"> (Palamenghi et al., 2020). The </w:t>
      </w:r>
      <w:r w:rsidRPr="005C53F4">
        <w:rPr>
          <w:rFonts w:ascii="Arial" w:hAnsi="Arial" w:cs="Arial"/>
          <w:color w:val="000000" w:themeColor="text1"/>
          <w:sz w:val="22"/>
          <w:szCs w:val="22"/>
        </w:rPr>
        <w:t>review recommends that this isn't true in the UK and assuming each and every individual who has said they are logical or liable to take up the inoculation whenever offered, really get immunized, inclusion in the UK could be sufficiently high to accomplish group invulnerability</w:t>
      </w:r>
      <w:r w:rsidR="00F64BA3">
        <w:rPr>
          <w:rFonts w:ascii="Arial" w:hAnsi="Arial" w:cs="Arial"/>
          <w:color w:val="000000" w:themeColor="text1"/>
          <w:sz w:val="22"/>
          <w:szCs w:val="22"/>
        </w:rPr>
        <w:t>”</w:t>
      </w:r>
      <w:r w:rsidRPr="005C53F4">
        <w:rPr>
          <w:rFonts w:ascii="Arial" w:hAnsi="Arial" w:cs="Arial"/>
          <w:color w:val="000000" w:themeColor="text1"/>
          <w:sz w:val="22"/>
          <w:szCs w:val="22"/>
        </w:rPr>
        <w:t>. Existing examination for antibody reluctance recommends that vital drivers for take-up were seen viability of an immunization, worry over regrettable antagonistic impacts</w:t>
      </w:r>
      <w:r w:rsidR="006F36D0" w:rsidRPr="005C53F4">
        <w:rPr>
          <w:rFonts w:ascii="Arial" w:hAnsi="Arial" w:cs="Arial"/>
          <w:color w:val="000000" w:themeColor="text1"/>
          <w:sz w:val="22"/>
          <w:szCs w:val="22"/>
        </w:rPr>
        <w:t>,</w:t>
      </w:r>
      <w:r w:rsidRPr="005C53F4">
        <w:rPr>
          <w:rFonts w:ascii="Arial" w:hAnsi="Arial" w:cs="Arial"/>
          <w:color w:val="000000" w:themeColor="text1"/>
          <w:sz w:val="22"/>
          <w:szCs w:val="22"/>
        </w:rPr>
        <w:t xml:space="preserve"> and wellbeing of an immun</w:t>
      </w:r>
      <w:r w:rsidR="006F36D0" w:rsidRPr="005C53F4">
        <w:rPr>
          <w:rFonts w:ascii="Arial" w:hAnsi="Arial" w:cs="Arial"/>
          <w:color w:val="000000" w:themeColor="text1"/>
          <w:sz w:val="22"/>
          <w:szCs w:val="22"/>
        </w:rPr>
        <w:t>ization (Paul et al., 2021). The</w:t>
      </w:r>
      <w:r w:rsidRPr="005C53F4">
        <w:rPr>
          <w:rFonts w:ascii="Arial" w:hAnsi="Arial" w:cs="Arial"/>
          <w:color w:val="000000" w:themeColor="text1"/>
          <w:sz w:val="22"/>
          <w:szCs w:val="22"/>
        </w:rPr>
        <w:t xml:space="preserve"> concentrate likewise tracked down apprehensions over antagonistic impacts and wellbeing to be key explanations behind immunization aversion, particularly future advers</w:t>
      </w:r>
      <w:r w:rsidR="006F36D0" w:rsidRPr="005C53F4">
        <w:rPr>
          <w:rFonts w:ascii="Arial" w:hAnsi="Arial" w:cs="Arial"/>
          <w:color w:val="000000" w:themeColor="text1"/>
          <w:sz w:val="22"/>
          <w:szCs w:val="22"/>
        </w:rPr>
        <w:t>e consequences. In any case, the</w:t>
      </w:r>
      <w:r w:rsidRPr="005C53F4">
        <w:rPr>
          <w:rFonts w:ascii="Arial" w:hAnsi="Arial" w:cs="Arial"/>
          <w:color w:val="000000" w:themeColor="text1"/>
          <w:sz w:val="22"/>
          <w:szCs w:val="22"/>
        </w:rPr>
        <w:t xml:space="preserve"> </w:t>
      </w:r>
      <w:r w:rsidR="006F36D0" w:rsidRPr="005C53F4">
        <w:rPr>
          <w:rFonts w:ascii="Arial" w:hAnsi="Arial" w:cs="Arial"/>
          <w:color w:val="000000" w:themeColor="text1"/>
          <w:sz w:val="22"/>
          <w:szCs w:val="22"/>
        </w:rPr>
        <w:t xml:space="preserve">review </w:t>
      </w:r>
      <w:r w:rsidRPr="005C53F4">
        <w:rPr>
          <w:rFonts w:ascii="Arial" w:hAnsi="Arial" w:cs="Arial"/>
          <w:color w:val="000000" w:themeColor="text1"/>
          <w:sz w:val="22"/>
          <w:szCs w:val="22"/>
        </w:rPr>
        <w:t>additionally adds that realizing that an antibody is viable in decreasing the spread of COVID-19 could expand take-up.</w:t>
      </w:r>
    </w:p>
    <w:p w14:paraId="0077E4F5" w14:textId="77777777" w:rsidR="008130AF" w:rsidRDefault="008130AF" w:rsidP="005C53F4">
      <w:pPr>
        <w:pStyle w:val="NormalWeb"/>
        <w:spacing w:after="0" w:line="360" w:lineRule="auto"/>
        <w:ind w:firstLine="720"/>
        <w:jc w:val="both"/>
        <w:rPr>
          <w:rFonts w:ascii="Arial" w:hAnsi="Arial" w:cs="Arial"/>
          <w:color w:val="000000" w:themeColor="text1"/>
          <w:sz w:val="22"/>
          <w:szCs w:val="22"/>
        </w:rPr>
      </w:pPr>
    </w:p>
    <w:p w14:paraId="7E3AD0A4" w14:textId="77777777" w:rsidR="003A41D2" w:rsidRDefault="003A41D2" w:rsidP="005A07FE">
      <w:pPr>
        <w:pStyle w:val="NormalWeb"/>
        <w:spacing w:after="0" w:line="360" w:lineRule="auto"/>
        <w:jc w:val="both"/>
        <w:rPr>
          <w:rFonts w:ascii="Arial" w:hAnsi="Arial" w:cs="Arial"/>
          <w:color w:val="000000" w:themeColor="text1"/>
          <w:sz w:val="22"/>
          <w:szCs w:val="22"/>
        </w:rPr>
      </w:pPr>
    </w:p>
    <w:p w14:paraId="0F621AEB" w14:textId="77777777" w:rsidR="006F36D0" w:rsidRDefault="008F2E02" w:rsidP="005C53F4">
      <w:pPr>
        <w:pStyle w:val="Heading1"/>
        <w:numPr>
          <w:ilvl w:val="0"/>
          <w:numId w:val="1"/>
        </w:numPr>
        <w:spacing w:line="360" w:lineRule="auto"/>
        <w:rPr>
          <w:rFonts w:ascii="Arial" w:hAnsi="Arial" w:cs="Arial"/>
          <w:iCs/>
          <w:sz w:val="28"/>
          <w:szCs w:val="28"/>
        </w:rPr>
      </w:pPr>
      <w:bookmarkStart w:id="6" w:name="_Toc90222638"/>
      <w:r w:rsidRPr="00BC3FBA">
        <w:rPr>
          <w:rFonts w:ascii="Arial" w:hAnsi="Arial" w:cs="Arial"/>
          <w:iCs/>
          <w:sz w:val="28"/>
          <w:szCs w:val="28"/>
        </w:rPr>
        <w:t>Conclusion</w:t>
      </w:r>
      <w:bookmarkEnd w:id="6"/>
    </w:p>
    <w:p w14:paraId="73AD1C1D" w14:textId="7BA30257" w:rsidR="00422A6C" w:rsidRPr="00976F96" w:rsidRDefault="00C97F69" w:rsidP="00201A6D">
      <w:pPr>
        <w:spacing w:line="360" w:lineRule="auto"/>
        <w:jc w:val="both"/>
        <w:rPr>
          <w:rFonts w:ascii="Arial" w:hAnsi="Arial" w:cs="Arial"/>
          <w:sz w:val="22"/>
          <w:szCs w:val="20"/>
        </w:rPr>
      </w:pPr>
      <w:r w:rsidRPr="00976F96">
        <w:rPr>
          <w:rFonts w:ascii="Arial" w:hAnsi="Arial" w:cs="Arial"/>
          <w:sz w:val="22"/>
          <w:szCs w:val="20"/>
        </w:rPr>
        <w:t>Hesitation towards</w:t>
      </w:r>
      <w:r w:rsidR="00F54471" w:rsidRPr="00976F96">
        <w:rPr>
          <w:rFonts w:ascii="Arial" w:hAnsi="Arial" w:cs="Arial"/>
          <w:sz w:val="22"/>
          <w:szCs w:val="20"/>
        </w:rPr>
        <w:t xml:space="preserve"> vaccin</w:t>
      </w:r>
      <w:r w:rsidR="000F2BD9" w:rsidRPr="00976F96">
        <w:rPr>
          <w:rFonts w:ascii="Arial" w:hAnsi="Arial" w:cs="Arial"/>
          <w:sz w:val="22"/>
          <w:szCs w:val="20"/>
        </w:rPr>
        <w:t>e</w:t>
      </w:r>
      <w:r w:rsidR="00F54471" w:rsidRPr="00976F96">
        <w:rPr>
          <w:rFonts w:ascii="Arial" w:hAnsi="Arial" w:cs="Arial"/>
          <w:sz w:val="22"/>
          <w:szCs w:val="20"/>
        </w:rPr>
        <w:t xml:space="preserve"> often leads to outbreaks and deaths from vaccine-preventable diseases. </w:t>
      </w:r>
      <w:r w:rsidR="00422A6C" w:rsidRPr="00976F96">
        <w:rPr>
          <w:rFonts w:ascii="Arial" w:hAnsi="Arial" w:cs="Arial"/>
          <w:sz w:val="22"/>
          <w:szCs w:val="20"/>
        </w:rPr>
        <w:t xml:space="preserve">The first report of COVID-19 came from China. Then it quickly spread across all borders, infecting people of all ages all over the world. It is well known that this epidemic would cause a major global conflict with significant consequences and </w:t>
      </w:r>
      <w:r w:rsidR="007C0661" w:rsidRPr="00976F96">
        <w:rPr>
          <w:rFonts w:ascii="Arial" w:hAnsi="Arial" w:cs="Arial"/>
          <w:sz w:val="22"/>
          <w:szCs w:val="20"/>
        </w:rPr>
        <w:t>several</w:t>
      </w:r>
      <w:r w:rsidR="00422A6C" w:rsidRPr="00976F96">
        <w:rPr>
          <w:rFonts w:ascii="Arial" w:hAnsi="Arial" w:cs="Arial"/>
          <w:sz w:val="22"/>
          <w:szCs w:val="20"/>
        </w:rPr>
        <w:t xml:space="preserve"> unknown occurrences. This pandemic has resulted in a significant loss of life and has become a historic threat to numerous healthcare systems throughout the world. The </w:t>
      </w:r>
      <w:r w:rsidR="0092418D" w:rsidRPr="00976F96">
        <w:rPr>
          <w:rFonts w:ascii="Arial" w:hAnsi="Arial" w:cs="Arial"/>
          <w:sz w:val="22"/>
          <w:szCs w:val="20"/>
        </w:rPr>
        <w:t>willingness</w:t>
      </w:r>
      <w:r w:rsidR="00422A6C" w:rsidRPr="00976F96">
        <w:rPr>
          <w:rFonts w:ascii="Arial" w:hAnsi="Arial" w:cs="Arial"/>
          <w:sz w:val="22"/>
          <w:szCs w:val="20"/>
        </w:rPr>
        <w:t xml:space="preserve"> of people to receive a COVID-19 vaccine is a critical component of this </w:t>
      </w:r>
      <w:r w:rsidR="00DE42EA" w:rsidRPr="00976F96">
        <w:rPr>
          <w:rFonts w:ascii="Arial" w:hAnsi="Arial" w:cs="Arial"/>
          <w:sz w:val="22"/>
          <w:szCs w:val="20"/>
        </w:rPr>
        <w:t>initiative</w:t>
      </w:r>
      <w:r w:rsidR="00422A6C" w:rsidRPr="00976F96">
        <w:rPr>
          <w:rFonts w:ascii="Arial" w:hAnsi="Arial" w:cs="Arial"/>
          <w:sz w:val="22"/>
          <w:szCs w:val="20"/>
        </w:rPr>
        <w:t>.</w:t>
      </w:r>
    </w:p>
    <w:p w14:paraId="205B8E2C" w14:textId="682B0AF0" w:rsidR="00416784" w:rsidRPr="00976F96" w:rsidRDefault="00416784" w:rsidP="00201A6D">
      <w:pPr>
        <w:spacing w:line="360" w:lineRule="auto"/>
        <w:jc w:val="both"/>
        <w:rPr>
          <w:rFonts w:ascii="Arial" w:hAnsi="Arial" w:cs="Arial"/>
          <w:sz w:val="22"/>
          <w:szCs w:val="20"/>
        </w:rPr>
      </w:pPr>
      <w:r w:rsidRPr="00976F96">
        <w:rPr>
          <w:rFonts w:ascii="Arial" w:hAnsi="Arial" w:cs="Arial"/>
          <w:sz w:val="22"/>
          <w:szCs w:val="20"/>
        </w:rPr>
        <w:t xml:space="preserve">The current systematic review </w:t>
      </w:r>
      <w:r w:rsidR="00801E57" w:rsidRPr="00976F96">
        <w:rPr>
          <w:rFonts w:ascii="Arial" w:hAnsi="Arial" w:cs="Arial"/>
          <w:sz w:val="22"/>
          <w:szCs w:val="20"/>
        </w:rPr>
        <w:t>presented</w:t>
      </w:r>
      <w:r w:rsidRPr="00976F96">
        <w:rPr>
          <w:rFonts w:ascii="Arial" w:hAnsi="Arial" w:cs="Arial"/>
          <w:sz w:val="22"/>
          <w:szCs w:val="20"/>
        </w:rPr>
        <w:t xml:space="preserve"> important concerns </w:t>
      </w:r>
      <w:r w:rsidR="001E50CC" w:rsidRPr="00976F96">
        <w:rPr>
          <w:rFonts w:ascii="Arial" w:hAnsi="Arial" w:cs="Arial"/>
          <w:sz w:val="22"/>
          <w:szCs w:val="20"/>
        </w:rPr>
        <w:t xml:space="preserve">not only </w:t>
      </w:r>
      <w:r w:rsidRPr="00976F96">
        <w:rPr>
          <w:rFonts w:ascii="Arial" w:hAnsi="Arial" w:cs="Arial"/>
          <w:sz w:val="22"/>
          <w:szCs w:val="20"/>
        </w:rPr>
        <w:t xml:space="preserve">for healthcare professionals, stakeholders, governments, </w:t>
      </w:r>
      <w:r w:rsidR="001E50CC" w:rsidRPr="00976F96">
        <w:rPr>
          <w:rFonts w:ascii="Arial" w:hAnsi="Arial" w:cs="Arial"/>
          <w:sz w:val="22"/>
          <w:szCs w:val="20"/>
        </w:rPr>
        <w:t xml:space="preserve">as well as for </w:t>
      </w:r>
      <w:r w:rsidRPr="00976F96">
        <w:rPr>
          <w:rFonts w:ascii="Arial" w:hAnsi="Arial" w:cs="Arial"/>
          <w:sz w:val="22"/>
          <w:szCs w:val="20"/>
        </w:rPr>
        <w:t>health policymakers</w:t>
      </w:r>
      <w:r w:rsidR="001E50CC" w:rsidRPr="00976F96">
        <w:rPr>
          <w:rFonts w:ascii="Arial" w:hAnsi="Arial" w:cs="Arial"/>
          <w:sz w:val="22"/>
          <w:szCs w:val="20"/>
        </w:rPr>
        <w:t>,</w:t>
      </w:r>
      <w:r w:rsidRPr="00976F96">
        <w:rPr>
          <w:rFonts w:ascii="Arial" w:hAnsi="Arial" w:cs="Arial"/>
          <w:sz w:val="22"/>
          <w:szCs w:val="20"/>
        </w:rPr>
        <w:t xml:space="preserve"> implementers, researchers, and the </w:t>
      </w:r>
      <w:r w:rsidR="00976F96" w:rsidRPr="00976F96">
        <w:rPr>
          <w:rFonts w:ascii="Arial" w:hAnsi="Arial" w:cs="Arial"/>
          <w:sz w:val="22"/>
          <w:szCs w:val="20"/>
        </w:rPr>
        <w:t>public</w:t>
      </w:r>
      <w:r w:rsidRPr="00976F96">
        <w:rPr>
          <w:rFonts w:ascii="Arial" w:hAnsi="Arial" w:cs="Arial"/>
          <w:sz w:val="22"/>
          <w:szCs w:val="20"/>
        </w:rPr>
        <w:t xml:space="preserve">. To achieve adequate immunization rates, a considerable legislative effort may be required to boost community willingness to embrace a COVID-19 vaccine. It is critical to begin delivering community health education on the problem of COVID-19 vaccination as soon as feasible </w:t>
      </w:r>
      <w:r w:rsidR="00976F96" w:rsidRPr="00976F96">
        <w:rPr>
          <w:rFonts w:ascii="Arial" w:hAnsi="Arial" w:cs="Arial"/>
          <w:sz w:val="22"/>
          <w:szCs w:val="20"/>
        </w:rPr>
        <w:t>to</w:t>
      </w:r>
      <w:r w:rsidRPr="00976F96">
        <w:rPr>
          <w:rFonts w:ascii="Arial" w:hAnsi="Arial" w:cs="Arial"/>
          <w:sz w:val="22"/>
          <w:szCs w:val="20"/>
        </w:rPr>
        <w:t xml:space="preserve"> increase community acceptance of COVID-19 immunization. To avoid the COVID-19 pandemic being prolonged unnecessarily, the </w:t>
      </w:r>
      <w:r w:rsidR="00B834B8" w:rsidRPr="00976F96">
        <w:rPr>
          <w:rFonts w:ascii="Arial" w:hAnsi="Arial" w:cs="Arial"/>
          <w:sz w:val="22"/>
          <w:szCs w:val="20"/>
        </w:rPr>
        <w:t xml:space="preserve">community </w:t>
      </w:r>
      <w:r w:rsidR="00976F96" w:rsidRPr="00976F96">
        <w:rPr>
          <w:rFonts w:ascii="Arial" w:hAnsi="Arial" w:cs="Arial"/>
          <w:sz w:val="22"/>
          <w:szCs w:val="20"/>
        </w:rPr>
        <w:t>should</w:t>
      </w:r>
      <w:r w:rsidRPr="00976F96">
        <w:rPr>
          <w:rFonts w:ascii="Arial" w:hAnsi="Arial" w:cs="Arial"/>
          <w:sz w:val="22"/>
          <w:szCs w:val="20"/>
        </w:rPr>
        <w:t xml:space="preserve"> be informed about the safety, benefits, and efficacy of a COVID-19 </w:t>
      </w:r>
      <w:r w:rsidR="00976F96" w:rsidRPr="00976F96">
        <w:rPr>
          <w:rFonts w:ascii="Arial" w:hAnsi="Arial" w:cs="Arial"/>
          <w:sz w:val="22"/>
          <w:szCs w:val="20"/>
        </w:rPr>
        <w:t>vaccination.</w:t>
      </w:r>
      <w:r w:rsidR="00913F78" w:rsidRPr="00976F96">
        <w:rPr>
          <w:rFonts w:ascii="Arial" w:hAnsi="Arial" w:cs="Arial"/>
          <w:sz w:val="22"/>
          <w:szCs w:val="20"/>
        </w:rPr>
        <w:t xml:space="preserve"> Finally, as the COVID-19 vaccine has been identified as a critical preventative strategy for halting the pandemic, all barriers to acquiring the vaccination should be eliminated as soon as possible through community health programs.</w:t>
      </w:r>
    </w:p>
    <w:p w14:paraId="41AF634A" w14:textId="437BA4E3" w:rsidR="00C0079E" w:rsidRPr="0041300B" w:rsidRDefault="00F54742" w:rsidP="005C53F4">
      <w:pPr>
        <w:spacing w:line="360" w:lineRule="auto"/>
        <w:ind w:firstLine="720"/>
        <w:jc w:val="both"/>
        <w:rPr>
          <w:rFonts w:ascii="Arial" w:hAnsi="Arial" w:cs="Arial"/>
          <w:color w:val="000000" w:themeColor="text1"/>
          <w:sz w:val="22"/>
          <w:szCs w:val="20"/>
        </w:rPr>
      </w:pPr>
      <w:r w:rsidRPr="0041300B">
        <w:rPr>
          <w:rFonts w:ascii="Arial" w:hAnsi="Arial" w:cs="Arial"/>
          <w:color w:val="000000" w:themeColor="text1"/>
          <w:sz w:val="22"/>
          <w:szCs w:val="20"/>
        </w:rPr>
        <w:t xml:space="preserve">This study is all about UK people as they are hesitant to get vaccinated due to after effects, but some are willing for vaccination to save their lives from </w:t>
      </w:r>
      <w:r w:rsidR="00737B22">
        <w:rPr>
          <w:rFonts w:ascii="Arial" w:hAnsi="Arial" w:cs="Arial"/>
          <w:color w:val="000000" w:themeColor="text1"/>
          <w:sz w:val="22"/>
          <w:szCs w:val="20"/>
        </w:rPr>
        <w:t xml:space="preserve">the </w:t>
      </w:r>
      <w:r w:rsidRPr="0041300B">
        <w:rPr>
          <w:rFonts w:ascii="Arial" w:hAnsi="Arial" w:cs="Arial"/>
          <w:color w:val="000000" w:themeColor="text1"/>
          <w:sz w:val="22"/>
          <w:szCs w:val="20"/>
        </w:rPr>
        <w:t xml:space="preserve">deadly virus that has killed thousands of people globally. </w:t>
      </w:r>
      <w:r w:rsidR="000A50EF" w:rsidRPr="0041300B">
        <w:rPr>
          <w:rFonts w:ascii="Arial" w:hAnsi="Arial" w:cs="Arial"/>
          <w:color w:val="000000" w:themeColor="text1"/>
          <w:sz w:val="22"/>
          <w:szCs w:val="20"/>
        </w:rPr>
        <w:t xml:space="preserve">There are recognizable </w:t>
      </w:r>
      <w:r w:rsidR="00F64BA3" w:rsidRPr="0041300B">
        <w:rPr>
          <w:rFonts w:ascii="Arial" w:hAnsi="Arial" w:cs="Arial"/>
          <w:color w:val="000000" w:themeColor="text1"/>
          <w:sz w:val="22"/>
          <w:szCs w:val="20"/>
        </w:rPr>
        <w:t>“</w:t>
      </w:r>
      <w:r w:rsidR="000A50EF" w:rsidRPr="0041300B">
        <w:rPr>
          <w:rFonts w:ascii="Arial" w:hAnsi="Arial" w:cs="Arial"/>
          <w:color w:val="000000" w:themeColor="text1"/>
          <w:sz w:val="22"/>
          <w:szCs w:val="20"/>
        </w:rPr>
        <w:t>subgroups of the UK population</w:t>
      </w:r>
      <w:r w:rsidR="00F64BA3" w:rsidRPr="0041300B">
        <w:rPr>
          <w:rFonts w:ascii="Arial" w:hAnsi="Arial" w:cs="Arial"/>
          <w:color w:val="000000" w:themeColor="text1"/>
          <w:sz w:val="22"/>
          <w:szCs w:val="20"/>
        </w:rPr>
        <w:t>”</w:t>
      </w:r>
      <w:r w:rsidR="000A50EF" w:rsidRPr="0041300B">
        <w:rPr>
          <w:rFonts w:ascii="Arial" w:hAnsi="Arial" w:cs="Arial"/>
          <w:color w:val="000000" w:themeColor="text1"/>
          <w:sz w:val="22"/>
          <w:szCs w:val="20"/>
        </w:rPr>
        <w:t xml:space="preserve"> who are bound to be immunization reluctant. Initially, the subgroups that are recognized as being antibody reluctant ought to be remembered for the preparation and advancement of any commitment programs. There is the possibility to broaden wellbeing imbalances without intentional endeavors to draw in those gatherings who are probably going to be impacted by COVID-19 and most drastically averse to taking up an immunization. Drives to further develop take-up in Black ethnic gatherings inside the UK ought to be a pressing need – for instance, by working in close organization with networks and utilizing local area champions (Woodall et al., 2013). While general and designated instructive mediations are important to empower general society to comprehend the significance of immunization and are morally and politically adequate, they are sufficiently not to alter conduct or increment certainty. Full support from administrative bodies is probably going to expand certainty (Kreps et al., 2020), yet endeavors to battle falsehood, particularly around immunization security, and might be justified. </w:t>
      </w:r>
    </w:p>
    <w:p w14:paraId="6E9F3AD9" w14:textId="17322E1D" w:rsidR="006F36D0" w:rsidRPr="007C7A9E" w:rsidRDefault="007C7A9E" w:rsidP="005C53F4">
      <w:pPr>
        <w:pStyle w:val="NormalWeb"/>
        <w:spacing w:after="0" w:line="360" w:lineRule="auto"/>
        <w:jc w:val="both"/>
        <w:rPr>
          <w:rFonts w:ascii="Arial" w:hAnsi="Arial" w:cs="Arial"/>
          <w:color w:val="000000" w:themeColor="text1"/>
          <w:sz w:val="22"/>
          <w:szCs w:val="22"/>
        </w:rPr>
      </w:pPr>
      <w:r w:rsidRPr="007C7A9E">
        <w:rPr>
          <w:rFonts w:ascii="Arial" w:hAnsi="Arial" w:cs="Arial"/>
          <w:color w:val="000000" w:themeColor="text1"/>
          <w:sz w:val="22"/>
          <w:szCs w:val="22"/>
        </w:rPr>
        <w:t>Further research by point subjective exploration ought to examine the explanations behind immunization aversion with the subgroups distinguished as profoundly reluctant and ways to deal with beating them.</w:t>
      </w:r>
    </w:p>
    <w:p w14:paraId="697789C0" w14:textId="77777777" w:rsidR="002F763F" w:rsidRDefault="002F763F" w:rsidP="005C53F4">
      <w:pPr>
        <w:spacing w:line="360" w:lineRule="auto"/>
        <w:jc w:val="both"/>
        <w:rPr>
          <w:rFonts w:ascii="Arial" w:hAnsi="Arial" w:cs="Arial"/>
          <w:color w:val="000000" w:themeColor="text1"/>
        </w:rPr>
      </w:pPr>
    </w:p>
    <w:p w14:paraId="043F1B37" w14:textId="77777777" w:rsidR="00201A6D" w:rsidRDefault="00201A6D" w:rsidP="005C53F4">
      <w:pPr>
        <w:spacing w:line="360" w:lineRule="auto"/>
        <w:jc w:val="both"/>
        <w:rPr>
          <w:rFonts w:ascii="Arial" w:hAnsi="Arial" w:cs="Arial"/>
          <w:color w:val="000000" w:themeColor="text1"/>
        </w:rPr>
      </w:pPr>
    </w:p>
    <w:p w14:paraId="1FDB5B96" w14:textId="77777777" w:rsidR="00201A6D" w:rsidRDefault="00201A6D" w:rsidP="005C53F4">
      <w:pPr>
        <w:spacing w:line="360" w:lineRule="auto"/>
        <w:jc w:val="both"/>
        <w:rPr>
          <w:rFonts w:ascii="Arial" w:hAnsi="Arial" w:cs="Arial"/>
          <w:color w:val="000000" w:themeColor="text1"/>
        </w:rPr>
      </w:pPr>
    </w:p>
    <w:p w14:paraId="39C4EC53" w14:textId="77777777" w:rsidR="00201A6D" w:rsidRDefault="00201A6D" w:rsidP="005C53F4">
      <w:pPr>
        <w:spacing w:line="360" w:lineRule="auto"/>
        <w:jc w:val="both"/>
        <w:rPr>
          <w:rFonts w:ascii="Arial" w:hAnsi="Arial" w:cs="Arial"/>
          <w:color w:val="000000" w:themeColor="text1"/>
        </w:rPr>
      </w:pPr>
    </w:p>
    <w:p w14:paraId="4344C6EB" w14:textId="77777777" w:rsidR="00FB22AA" w:rsidRDefault="00FB22AA" w:rsidP="005C53F4">
      <w:pPr>
        <w:spacing w:line="360" w:lineRule="auto"/>
        <w:jc w:val="both"/>
        <w:rPr>
          <w:rFonts w:ascii="Arial" w:hAnsi="Arial" w:cs="Arial"/>
          <w:color w:val="000000" w:themeColor="text1"/>
        </w:rPr>
      </w:pPr>
    </w:p>
    <w:p w14:paraId="6EEB3009" w14:textId="77777777" w:rsidR="00FB22AA" w:rsidRDefault="00FB22AA" w:rsidP="005C53F4">
      <w:pPr>
        <w:spacing w:line="360" w:lineRule="auto"/>
        <w:jc w:val="both"/>
        <w:rPr>
          <w:rFonts w:ascii="Arial" w:hAnsi="Arial" w:cs="Arial"/>
          <w:color w:val="000000" w:themeColor="text1"/>
        </w:rPr>
      </w:pPr>
    </w:p>
    <w:p w14:paraId="1A3C51C7" w14:textId="77777777" w:rsidR="00FB22AA" w:rsidRDefault="00FB22AA" w:rsidP="005C53F4">
      <w:pPr>
        <w:spacing w:line="360" w:lineRule="auto"/>
        <w:jc w:val="both"/>
        <w:rPr>
          <w:rFonts w:ascii="Arial" w:hAnsi="Arial" w:cs="Arial"/>
          <w:color w:val="000000" w:themeColor="text1"/>
        </w:rPr>
      </w:pPr>
    </w:p>
    <w:p w14:paraId="5B354DB5" w14:textId="77777777" w:rsidR="00FB22AA" w:rsidRDefault="00FB22AA" w:rsidP="005C53F4">
      <w:pPr>
        <w:spacing w:line="360" w:lineRule="auto"/>
        <w:jc w:val="both"/>
        <w:rPr>
          <w:rFonts w:ascii="Arial" w:hAnsi="Arial" w:cs="Arial"/>
          <w:color w:val="000000" w:themeColor="text1"/>
        </w:rPr>
      </w:pPr>
    </w:p>
    <w:p w14:paraId="55BB3011" w14:textId="77777777" w:rsidR="00FB22AA" w:rsidRDefault="00FB22AA" w:rsidP="005C53F4">
      <w:pPr>
        <w:spacing w:line="360" w:lineRule="auto"/>
        <w:jc w:val="both"/>
        <w:rPr>
          <w:rFonts w:ascii="Arial" w:hAnsi="Arial" w:cs="Arial"/>
          <w:color w:val="000000" w:themeColor="text1"/>
        </w:rPr>
      </w:pPr>
    </w:p>
    <w:p w14:paraId="09E1D842" w14:textId="77777777" w:rsidR="00FB22AA" w:rsidRDefault="00FB22AA" w:rsidP="005C53F4">
      <w:pPr>
        <w:spacing w:line="360" w:lineRule="auto"/>
        <w:jc w:val="both"/>
        <w:rPr>
          <w:rFonts w:ascii="Arial" w:hAnsi="Arial" w:cs="Arial"/>
          <w:color w:val="000000" w:themeColor="text1"/>
        </w:rPr>
      </w:pPr>
    </w:p>
    <w:p w14:paraId="76BAE1F4" w14:textId="77777777" w:rsidR="00FB22AA" w:rsidRDefault="00FB22AA" w:rsidP="005C53F4">
      <w:pPr>
        <w:spacing w:line="360" w:lineRule="auto"/>
        <w:jc w:val="both"/>
        <w:rPr>
          <w:rFonts w:ascii="Arial" w:hAnsi="Arial" w:cs="Arial"/>
          <w:color w:val="000000" w:themeColor="text1"/>
        </w:rPr>
      </w:pPr>
    </w:p>
    <w:p w14:paraId="39F2E146" w14:textId="77777777" w:rsidR="003A41D2" w:rsidRDefault="003A41D2" w:rsidP="003A41D2">
      <w:bookmarkStart w:id="7" w:name="_Toc90222639"/>
    </w:p>
    <w:p w14:paraId="1F2B6F34" w14:textId="77777777" w:rsidR="00D06765" w:rsidRPr="003A41D2" w:rsidRDefault="00D06765" w:rsidP="003A41D2"/>
    <w:p w14:paraId="6BE8B166" w14:textId="57D1BFF2" w:rsidR="00511BC5" w:rsidRPr="00BC3FBA" w:rsidRDefault="0066566A" w:rsidP="00FB22AA">
      <w:pPr>
        <w:pStyle w:val="Heading1"/>
        <w:numPr>
          <w:ilvl w:val="0"/>
          <w:numId w:val="1"/>
        </w:numPr>
        <w:spacing w:line="360" w:lineRule="auto"/>
        <w:rPr>
          <w:rFonts w:ascii="Arial" w:hAnsi="Arial" w:cs="Arial"/>
          <w:iCs/>
          <w:sz w:val="28"/>
          <w:szCs w:val="28"/>
        </w:rPr>
      </w:pPr>
      <w:r w:rsidRPr="00BC3FBA">
        <w:rPr>
          <w:rFonts w:ascii="Arial" w:hAnsi="Arial" w:cs="Arial"/>
          <w:iCs/>
          <w:sz w:val="28"/>
          <w:szCs w:val="28"/>
        </w:rPr>
        <w:t>References</w:t>
      </w:r>
      <w:bookmarkEnd w:id="7"/>
      <w:r w:rsidRPr="00BC3FBA">
        <w:rPr>
          <w:rFonts w:ascii="Arial" w:hAnsi="Arial" w:cs="Arial"/>
          <w:iCs/>
          <w:sz w:val="28"/>
          <w:szCs w:val="28"/>
        </w:rPr>
        <w:t xml:space="preserve"> </w:t>
      </w:r>
    </w:p>
    <w:p w14:paraId="58EA7C41" w14:textId="77777777" w:rsidR="0066566A" w:rsidRPr="00FB22AA" w:rsidRDefault="0066566A"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Bambra, C., Riordan, R., Ford, J. and Matthews, F., 2020. The COVID-19 pandemic and health inequalities. </w:t>
      </w:r>
      <w:r w:rsidRPr="00FB22AA">
        <w:rPr>
          <w:rFonts w:ascii="Arial" w:hAnsi="Arial" w:cs="Arial"/>
          <w:i/>
          <w:iCs/>
          <w:color w:val="000000" w:themeColor="text1"/>
          <w:sz w:val="22"/>
          <w:szCs w:val="20"/>
          <w:shd w:val="clear" w:color="auto" w:fill="FFFFFF"/>
        </w:rPr>
        <w:t>J Epidemiol Community Health</w:t>
      </w:r>
      <w:r w:rsidRPr="00FB22AA">
        <w:rPr>
          <w:rFonts w:ascii="Arial" w:hAnsi="Arial" w:cs="Arial"/>
          <w:color w:val="000000" w:themeColor="text1"/>
          <w:sz w:val="22"/>
          <w:szCs w:val="20"/>
          <w:shd w:val="clear" w:color="auto" w:fill="FFFFFF"/>
        </w:rPr>
        <w:t>, </w:t>
      </w:r>
      <w:r w:rsidRPr="00FB22AA">
        <w:rPr>
          <w:rFonts w:ascii="Arial" w:hAnsi="Arial" w:cs="Arial"/>
          <w:i/>
          <w:iCs/>
          <w:color w:val="000000" w:themeColor="text1"/>
          <w:sz w:val="22"/>
          <w:szCs w:val="20"/>
          <w:shd w:val="clear" w:color="auto" w:fill="FFFFFF"/>
        </w:rPr>
        <w:t>74</w:t>
      </w:r>
      <w:r w:rsidRPr="00FB22AA">
        <w:rPr>
          <w:rFonts w:ascii="Arial" w:hAnsi="Arial" w:cs="Arial"/>
          <w:color w:val="000000" w:themeColor="text1"/>
          <w:sz w:val="22"/>
          <w:szCs w:val="20"/>
          <w:shd w:val="clear" w:color="auto" w:fill="FFFFFF"/>
        </w:rPr>
        <w:t>(11), pp.964-968.</w:t>
      </w:r>
    </w:p>
    <w:p w14:paraId="36ADC086" w14:textId="77777777" w:rsidR="0066566A" w:rsidRDefault="0066566A"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Benzeval, M., Burton, J., Crossley, T., Fisher, P., Gardiner, C., Jackle, A. and Moore, J.C., 2021. High frequency online data collection in an annual household panel study: some evidence on bias prevention and bias adjustment.</w:t>
      </w:r>
    </w:p>
    <w:p w14:paraId="26E24F61" w14:textId="1B9AE557" w:rsidR="00AB54A9" w:rsidRPr="00FB22AA" w:rsidRDefault="00AB54A9" w:rsidP="00FB22AA">
      <w:pPr>
        <w:spacing w:line="360" w:lineRule="auto"/>
        <w:ind w:left="720" w:hanging="720"/>
        <w:jc w:val="both"/>
        <w:rPr>
          <w:rFonts w:ascii="Arial" w:hAnsi="Arial" w:cs="Arial"/>
          <w:color w:val="000000" w:themeColor="text1"/>
          <w:sz w:val="22"/>
          <w:szCs w:val="20"/>
          <w:shd w:val="clear" w:color="auto" w:fill="FFFFFF"/>
        </w:rPr>
      </w:pPr>
      <w:r w:rsidRPr="00AB54A9">
        <w:rPr>
          <w:rFonts w:ascii="Arial" w:hAnsi="Arial" w:cs="Arial"/>
          <w:color w:val="000000" w:themeColor="text1"/>
          <w:sz w:val="22"/>
          <w:szCs w:val="20"/>
          <w:shd w:val="clear" w:color="auto" w:fill="FFFFFF"/>
        </w:rPr>
        <w:t xml:space="preserve">Dudley MZ, Privor-Dumm L, Dubé È, MacDonald NE. </w:t>
      </w:r>
      <w:r>
        <w:rPr>
          <w:rFonts w:ascii="Arial" w:hAnsi="Arial" w:cs="Arial"/>
          <w:color w:val="000000" w:themeColor="text1"/>
          <w:sz w:val="22"/>
          <w:szCs w:val="20"/>
          <w:shd w:val="clear" w:color="auto" w:fill="FFFFFF"/>
        </w:rPr>
        <w:t>(2020) ‘</w:t>
      </w:r>
      <w:r w:rsidRPr="00AB54A9">
        <w:rPr>
          <w:rFonts w:ascii="Arial" w:hAnsi="Arial" w:cs="Arial"/>
          <w:color w:val="000000" w:themeColor="text1"/>
          <w:sz w:val="22"/>
          <w:szCs w:val="20"/>
          <w:shd w:val="clear" w:color="auto" w:fill="FFFFFF"/>
        </w:rPr>
        <w:t>Words matter: Vaccine hesitancy, vaccine demand, vaccine confidence, herd immunity and mandatory vaccination.</w:t>
      </w:r>
      <w:r>
        <w:rPr>
          <w:rFonts w:ascii="Arial" w:hAnsi="Arial" w:cs="Arial"/>
          <w:color w:val="000000" w:themeColor="text1"/>
          <w:sz w:val="22"/>
          <w:szCs w:val="20"/>
          <w:shd w:val="clear" w:color="auto" w:fill="FFFFFF"/>
        </w:rPr>
        <w:t>’</w:t>
      </w:r>
      <w:r w:rsidRPr="00AB54A9">
        <w:rPr>
          <w:rFonts w:ascii="Arial" w:hAnsi="Arial" w:cs="Arial"/>
          <w:color w:val="000000" w:themeColor="text1"/>
          <w:sz w:val="22"/>
          <w:szCs w:val="20"/>
          <w:shd w:val="clear" w:color="auto" w:fill="FFFFFF"/>
        </w:rPr>
        <w:t xml:space="preserve"> </w:t>
      </w:r>
      <w:r w:rsidRPr="00FF63D1">
        <w:rPr>
          <w:rFonts w:ascii="Arial" w:hAnsi="Arial" w:cs="Arial"/>
          <w:i/>
          <w:iCs/>
          <w:color w:val="000000" w:themeColor="text1"/>
          <w:sz w:val="22"/>
          <w:szCs w:val="20"/>
          <w:shd w:val="clear" w:color="auto" w:fill="FFFFFF"/>
        </w:rPr>
        <w:t>Vaccine,</w:t>
      </w:r>
      <w:r>
        <w:rPr>
          <w:rFonts w:ascii="Arial" w:hAnsi="Arial" w:cs="Arial"/>
          <w:color w:val="000000" w:themeColor="text1"/>
          <w:sz w:val="22"/>
          <w:szCs w:val="20"/>
          <w:shd w:val="clear" w:color="auto" w:fill="FFFFFF"/>
        </w:rPr>
        <w:t xml:space="preserve"> </w:t>
      </w:r>
      <w:r w:rsidRPr="00AB54A9">
        <w:rPr>
          <w:rFonts w:ascii="Arial" w:hAnsi="Arial" w:cs="Arial"/>
          <w:color w:val="000000" w:themeColor="text1"/>
          <w:sz w:val="22"/>
          <w:szCs w:val="20"/>
          <w:shd w:val="clear" w:color="auto" w:fill="FFFFFF"/>
        </w:rPr>
        <w:t>38(4):709-711. doi:10.1016/j.vaccine.2019.11.056</w:t>
      </w:r>
      <w:r w:rsidR="00FF63D1">
        <w:rPr>
          <w:rFonts w:ascii="Arial" w:hAnsi="Arial" w:cs="Arial"/>
          <w:color w:val="000000" w:themeColor="text1"/>
          <w:sz w:val="22"/>
          <w:szCs w:val="20"/>
          <w:shd w:val="clear" w:color="auto" w:fill="FFFFFF"/>
        </w:rPr>
        <w:t xml:space="preserve"> </w:t>
      </w:r>
    </w:p>
    <w:p w14:paraId="1C8EA9B1" w14:textId="77777777" w:rsidR="00D25FBB" w:rsidRPr="00FB22AA" w:rsidRDefault="00D25FBB" w:rsidP="00FB22AA">
      <w:pPr>
        <w:spacing w:line="360" w:lineRule="auto"/>
        <w:ind w:left="720" w:hanging="720"/>
        <w:jc w:val="both"/>
        <w:rPr>
          <w:rFonts w:ascii="Arial" w:hAnsi="Arial" w:cs="Arial"/>
          <w:color w:val="000000" w:themeColor="text1"/>
          <w:sz w:val="22"/>
          <w:szCs w:val="20"/>
          <w:shd w:val="clear" w:color="auto" w:fill="FFFFFF"/>
          <w:lang w:val="en-GB"/>
        </w:rPr>
      </w:pPr>
      <w:r w:rsidRPr="00FB22AA">
        <w:rPr>
          <w:rFonts w:ascii="Arial" w:hAnsi="Arial" w:cs="Arial"/>
          <w:color w:val="000000" w:themeColor="text1"/>
          <w:sz w:val="22"/>
          <w:szCs w:val="20"/>
          <w:shd w:val="clear" w:color="auto" w:fill="FFFFFF"/>
          <w:lang w:val="en-GB"/>
        </w:rPr>
        <w:t xml:space="preserve">Freeman, D. et al., (2021) ‘COVID-19 vaccine hesitancy in the UK: the Oxford coronavirus explanations, attitudes, and narratives survey (Oceans) II.’ </w:t>
      </w:r>
      <w:r w:rsidRPr="00FB22AA">
        <w:rPr>
          <w:rFonts w:ascii="Arial" w:hAnsi="Arial" w:cs="Arial"/>
          <w:i/>
          <w:iCs/>
          <w:color w:val="000000" w:themeColor="text1"/>
          <w:sz w:val="22"/>
          <w:szCs w:val="20"/>
          <w:shd w:val="clear" w:color="auto" w:fill="FFFFFF"/>
          <w:lang w:val="en-GB"/>
        </w:rPr>
        <w:t xml:space="preserve">Psychological Medicine, </w:t>
      </w:r>
      <w:r w:rsidRPr="00FB22AA">
        <w:rPr>
          <w:rFonts w:ascii="Arial" w:hAnsi="Arial" w:cs="Arial"/>
          <w:color w:val="000000" w:themeColor="text1"/>
          <w:sz w:val="22"/>
          <w:szCs w:val="20"/>
          <w:shd w:val="clear" w:color="auto" w:fill="FFFFFF"/>
          <w:lang w:val="en-GB"/>
        </w:rPr>
        <w:t xml:space="preserve">1–15. </w:t>
      </w:r>
      <w:hyperlink r:id="rId9" w:history="1">
        <w:r w:rsidRPr="00FB22AA">
          <w:rPr>
            <w:rStyle w:val="Hyperlink"/>
            <w:rFonts w:ascii="Arial" w:hAnsi="Arial" w:cs="Arial"/>
            <w:sz w:val="22"/>
            <w:szCs w:val="20"/>
            <w:shd w:val="clear" w:color="auto" w:fill="FFFFFF"/>
            <w:lang w:val="en-GB"/>
          </w:rPr>
          <w:t>https://doi.org/10.1017/S0033291720005188</w:t>
        </w:r>
      </w:hyperlink>
    </w:p>
    <w:p w14:paraId="3AC57086" w14:textId="77777777" w:rsidR="00D25FBB" w:rsidRPr="00FB22AA" w:rsidRDefault="00D25FBB" w:rsidP="00FB22AA">
      <w:pPr>
        <w:spacing w:line="360" w:lineRule="auto"/>
        <w:ind w:left="720" w:hanging="720"/>
        <w:jc w:val="both"/>
        <w:rPr>
          <w:rFonts w:ascii="Arial" w:hAnsi="Arial" w:cs="Arial"/>
          <w:color w:val="000000" w:themeColor="text1"/>
          <w:sz w:val="22"/>
          <w:szCs w:val="20"/>
          <w:shd w:val="clear" w:color="auto" w:fill="FFFFFF"/>
          <w:lang w:val="en-GB"/>
        </w:rPr>
      </w:pPr>
      <w:r w:rsidRPr="00FB22AA">
        <w:rPr>
          <w:rFonts w:ascii="Arial" w:hAnsi="Arial" w:cs="Arial"/>
          <w:color w:val="000000" w:themeColor="text1"/>
          <w:sz w:val="22"/>
          <w:szCs w:val="20"/>
          <w:shd w:val="clear" w:color="auto" w:fill="FFFFFF"/>
          <w:lang w:val="en-GB"/>
        </w:rPr>
        <w:t xml:space="preserve">Freeman, D. et al., (2021) ‘Injection fears and COVID-19 vaccine hesitancy.’ </w:t>
      </w:r>
      <w:r w:rsidRPr="00FB22AA">
        <w:rPr>
          <w:rFonts w:ascii="Arial" w:hAnsi="Arial" w:cs="Arial"/>
          <w:i/>
          <w:iCs/>
          <w:color w:val="000000" w:themeColor="text1"/>
          <w:sz w:val="22"/>
          <w:szCs w:val="20"/>
          <w:shd w:val="clear" w:color="auto" w:fill="FFFFFF"/>
          <w:lang w:val="en-GB"/>
        </w:rPr>
        <w:t>Psychological Medicine,</w:t>
      </w:r>
      <w:r w:rsidRPr="00FB22AA">
        <w:rPr>
          <w:rFonts w:ascii="Arial" w:hAnsi="Arial" w:cs="Arial"/>
          <w:color w:val="000000" w:themeColor="text1"/>
          <w:sz w:val="22"/>
          <w:szCs w:val="20"/>
          <w:shd w:val="clear" w:color="auto" w:fill="FFFFFF"/>
          <w:lang w:val="en-GB"/>
        </w:rPr>
        <w:t xml:space="preserve"> 1–11. </w:t>
      </w:r>
      <w:hyperlink r:id="rId10" w:history="1">
        <w:r w:rsidRPr="00FB22AA">
          <w:rPr>
            <w:rStyle w:val="Hyperlink"/>
            <w:rFonts w:ascii="Arial" w:hAnsi="Arial" w:cs="Arial"/>
            <w:sz w:val="22"/>
            <w:szCs w:val="20"/>
            <w:shd w:val="clear" w:color="auto" w:fill="FFFFFF"/>
            <w:lang w:val="en-GB"/>
          </w:rPr>
          <w:t>https://doi.org/10.1017/S0033291721002609</w:t>
        </w:r>
      </w:hyperlink>
      <w:r w:rsidRPr="00FB22AA">
        <w:rPr>
          <w:rFonts w:ascii="Arial" w:hAnsi="Arial" w:cs="Arial"/>
          <w:color w:val="000000" w:themeColor="text1"/>
          <w:sz w:val="22"/>
          <w:szCs w:val="20"/>
          <w:shd w:val="clear" w:color="auto" w:fill="FFFFFF"/>
          <w:lang w:val="en-GB"/>
        </w:rPr>
        <w:t xml:space="preserve"> </w:t>
      </w:r>
    </w:p>
    <w:p w14:paraId="42BFB8A2" w14:textId="3D9E3D78" w:rsidR="0066566A" w:rsidRDefault="0066566A"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Freeman, D.</w:t>
      </w:r>
      <w:r w:rsidR="000D51BA">
        <w:rPr>
          <w:rFonts w:ascii="Arial" w:hAnsi="Arial" w:cs="Arial"/>
          <w:color w:val="000000" w:themeColor="text1"/>
          <w:sz w:val="22"/>
          <w:szCs w:val="20"/>
          <w:shd w:val="clear" w:color="auto" w:fill="FFFFFF"/>
        </w:rPr>
        <w:t xml:space="preserve"> et al., (</w:t>
      </w:r>
      <w:r w:rsidRPr="00FB22AA">
        <w:rPr>
          <w:rFonts w:ascii="Arial" w:hAnsi="Arial" w:cs="Arial"/>
          <w:color w:val="000000" w:themeColor="text1"/>
          <w:sz w:val="22"/>
          <w:szCs w:val="20"/>
          <w:shd w:val="clear" w:color="auto" w:fill="FFFFFF"/>
        </w:rPr>
        <w:t>2020</w:t>
      </w:r>
      <w:r w:rsidR="000D51BA">
        <w:rPr>
          <w:rFonts w:ascii="Arial" w:hAnsi="Arial" w:cs="Arial"/>
          <w:color w:val="000000" w:themeColor="text1"/>
          <w:sz w:val="22"/>
          <w:szCs w:val="20"/>
          <w:shd w:val="clear" w:color="auto" w:fill="FFFFFF"/>
        </w:rPr>
        <w:t>)</w:t>
      </w:r>
      <w:r w:rsidRPr="00FB22AA">
        <w:rPr>
          <w:rFonts w:ascii="Arial" w:hAnsi="Arial" w:cs="Arial"/>
          <w:color w:val="000000" w:themeColor="text1"/>
          <w:sz w:val="22"/>
          <w:szCs w:val="20"/>
          <w:shd w:val="clear" w:color="auto" w:fill="FFFFFF"/>
        </w:rPr>
        <w:t xml:space="preserve"> </w:t>
      </w:r>
      <w:r w:rsidR="000D51BA">
        <w:rPr>
          <w:rFonts w:ascii="Arial" w:hAnsi="Arial" w:cs="Arial"/>
          <w:color w:val="000000" w:themeColor="text1"/>
          <w:sz w:val="22"/>
          <w:szCs w:val="20"/>
          <w:shd w:val="clear" w:color="auto" w:fill="FFFFFF"/>
        </w:rPr>
        <w:t>‘</w:t>
      </w:r>
      <w:r w:rsidRPr="00FB22AA">
        <w:rPr>
          <w:rFonts w:ascii="Arial" w:hAnsi="Arial" w:cs="Arial"/>
          <w:color w:val="000000" w:themeColor="text1"/>
          <w:sz w:val="22"/>
          <w:szCs w:val="20"/>
          <w:shd w:val="clear" w:color="auto" w:fill="FFFFFF"/>
        </w:rPr>
        <w:t>COVID-19 vaccine hesitancy in the UK: the Oxford coronavirus explanations, attitudes, and narratives survey (Oceans) II.</w:t>
      </w:r>
      <w:r w:rsidR="000D51BA">
        <w:rPr>
          <w:rFonts w:ascii="Arial" w:hAnsi="Arial" w:cs="Arial"/>
          <w:color w:val="000000" w:themeColor="text1"/>
          <w:sz w:val="22"/>
          <w:szCs w:val="20"/>
          <w:shd w:val="clear" w:color="auto" w:fill="FFFFFF"/>
        </w:rPr>
        <w:t>’</w:t>
      </w:r>
      <w:r w:rsidRPr="00FB22AA">
        <w:rPr>
          <w:rFonts w:ascii="Arial" w:hAnsi="Arial" w:cs="Arial"/>
          <w:color w:val="000000" w:themeColor="text1"/>
          <w:sz w:val="22"/>
          <w:szCs w:val="20"/>
          <w:shd w:val="clear" w:color="auto" w:fill="FFFFFF"/>
        </w:rPr>
        <w:t> </w:t>
      </w:r>
      <w:r w:rsidRPr="00FB22AA">
        <w:rPr>
          <w:rFonts w:ascii="Arial" w:hAnsi="Arial" w:cs="Arial"/>
          <w:i/>
          <w:iCs/>
          <w:color w:val="000000" w:themeColor="text1"/>
          <w:sz w:val="22"/>
          <w:szCs w:val="20"/>
          <w:shd w:val="clear" w:color="auto" w:fill="FFFFFF"/>
        </w:rPr>
        <w:t>Psychological medicine</w:t>
      </w:r>
      <w:r w:rsidRPr="00FB22AA">
        <w:rPr>
          <w:rFonts w:ascii="Arial" w:hAnsi="Arial" w:cs="Arial"/>
          <w:color w:val="000000" w:themeColor="text1"/>
          <w:sz w:val="22"/>
          <w:szCs w:val="20"/>
          <w:shd w:val="clear" w:color="auto" w:fill="FFFFFF"/>
        </w:rPr>
        <w:t>, pp.1-15.</w:t>
      </w:r>
    </w:p>
    <w:p w14:paraId="2F69B64A" w14:textId="786B61A8" w:rsidR="00FA5BA1" w:rsidRPr="00FB22AA" w:rsidRDefault="00FA5BA1" w:rsidP="00FB22AA">
      <w:pPr>
        <w:spacing w:line="360" w:lineRule="auto"/>
        <w:ind w:left="720" w:hanging="720"/>
        <w:jc w:val="both"/>
        <w:rPr>
          <w:rFonts w:ascii="Arial" w:hAnsi="Arial" w:cs="Arial"/>
          <w:color w:val="000000" w:themeColor="text1"/>
          <w:sz w:val="22"/>
          <w:szCs w:val="20"/>
          <w:shd w:val="clear" w:color="auto" w:fill="FFFFFF"/>
        </w:rPr>
      </w:pPr>
      <w:r w:rsidRPr="00FA5BA1">
        <w:rPr>
          <w:rFonts w:ascii="Arial" w:hAnsi="Arial" w:cs="Arial"/>
          <w:color w:val="000000" w:themeColor="text1"/>
          <w:sz w:val="22"/>
          <w:szCs w:val="20"/>
          <w:shd w:val="clear" w:color="auto" w:fill="FFFFFF"/>
        </w:rPr>
        <w:t>Frugoli, A. G., Prado, R. S., Silva, T., Matozinhos, F. P., Trapé, C. A., &amp; Lachtim, S. (2021)</w:t>
      </w:r>
      <w:r>
        <w:rPr>
          <w:rFonts w:ascii="Arial" w:hAnsi="Arial" w:cs="Arial"/>
          <w:color w:val="000000" w:themeColor="text1"/>
          <w:sz w:val="22"/>
          <w:szCs w:val="20"/>
          <w:shd w:val="clear" w:color="auto" w:fill="FFFFFF"/>
        </w:rPr>
        <w:t xml:space="preserve"> ‘</w:t>
      </w:r>
      <w:r w:rsidRPr="00FA5BA1">
        <w:rPr>
          <w:rFonts w:ascii="Arial" w:hAnsi="Arial" w:cs="Arial"/>
          <w:color w:val="000000" w:themeColor="text1"/>
          <w:sz w:val="22"/>
          <w:szCs w:val="20"/>
          <w:shd w:val="clear" w:color="auto" w:fill="FFFFFF"/>
        </w:rPr>
        <w:t>Vaccine fake news: an analysis under the World Health Organization's 3Cs model.</w:t>
      </w:r>
      <w:r w:rsidR="00151DA0">
        <w:rPr>
          <w:rFonts w:ascii="Arial" w:hAnsi="Arial" w:cs="Arial"/>
          <w:color w:val="000000" w:themeColor="text1"/>
          <w:sz w:val="22"/>
          <w:szCs w:val="20"/>
          <w:shd w:val="clear" w:color="auto" w:fill="FFFFFF"/>
        </w:rPr>
        <w:t>’</w:t>
      </w:r>
      <w:r w:rsidRPr="00FA5BA1">
        <w:rPr>
          <w:rFonts w:ascii="Arial" w:hAnsi="Arial" w:cs="Arial"/>
          <w:color w:val="000000" w:themeColor="text1"/>
          <w:sz w:val="22"/>
          <w:szCs w:val="20"/>
          <w:shd w:val="clear" w:color="auto" w:fill="FFFFFF"/>
        </w:rPr>
        <w:t xml:space="preserve"> </w:t>
      </w:r>
      <w:r w:rsidRPr="008D1FBA">
        <w:rPr>
          <w:rFonts w:ascii="Arial" w:hAnsi="Arial" w:cs="Arial"/>
          <w:i/>
          <w:iCs/>
          <w:color w:val="000000" w:themeColor="text1"/>
          <w:sz w:val="22"/>
          <w:szCs w:val="20"/>
          <w:shd w:val="clear" w:color="auto" w:fill="FFFFFF"/>
        </w:rPr>
        <w:t>Revista da Escola de Enfermagem da U S P,</w:t>
      </w:r>
      <w:r w:rsidRPr="00FA5BA1">
        <w:rPr>
          <w:rFonts w:ascii="Arial" w:hAnsi="Arial" w:cs="Arial"/>
          <w:color w:val="000000" w:themeColor="text1"/>
          <w:sz w:val="22"/>
          <w:szCs w:val="20"/>
          <w:shd w:val="clear" w:color="auto" w:fill="FFFFFF"/>
        </w:rPr>
        <w:t xml:space="preserve"> 55, e03736. </w:t>
      </w:r>
      <w:hyperlink r:id="rId11" w:history="1">
        <w:r w:rsidR="008D1FBA" w:rsidRPr="00B10EC2">
          <w:rPr>
            <w:rStyle w:val="Hyperlink"/>
            <w:rFonts w:ascii="Arial" w:hAnsi="Arial" w:cs="Arial"/>
            <w:sz w:val="22"/>
            <w:szCs w:val="20"/>
            <w:shd w:val="clear" w:color="auto" w:fill="FFFFFF"/>
          </w:rPr>
          <w:t>https://doi.org/10.1590/S1980-220X2020028303736</w:t>
        </w:r>
      </w:hyperlink>
      <w:r w:rsidR="008D1FBA">
        <w:rPr>
          <w:rFonts w:ascii="Arial" w:hAnsi="Arial" w:cs="Arial"/>
          <w:color w:val="000000" w:themeColor="text1"/>
          <w:sz w:val="22"/>
          <w:szCs w:val="20"/>
          <w:shd w:val="clear" w:color="auto" w:fill="FFFFFF"/>
        </w:rPr>
        <w:t xml:space="preserve"> </w:t>
      </w:r>
    </w:p>
    <w:p w14:paraId="17566CCB" w14:textId="77777777" w:rsidR="005B6957" w:rsidRPr="00FB22AA" w:rsidRDefault="005B6957" w:rsidP="00FB22AA">
      <w:pPr>
        <w:spacing w:line="360" w:lineRule="auto"/>
        <w:ind w:left="720" w:hanging="720"/>
        <w:jc w:val="both"/>
        <w:rPr>
          <w:rFonts w:ascii="Arial" w:hAnsi="Arial" w:cs="Arial"/>
          <w:color w:val="000000" w:themeColor="text1"/>
          <w:sz w:val="22"/>
          <w:szCs w:val="20"/>
          <w:shd w:val="clear" w:color="auto" w:fill="FFFFFF"/>
          <w:lang w:val="en-GB"/>
        </w:rPr>
      </w:pPr>
      <w:r w:rsidRPr="00FB22AA">
        <w:rPr>
          <w:rFonts w:ascii="Arial" w:hAnsi="Arial" w:cs="Arial"/>
          <w:color w:val="000000" w:themeColor="text1"/>
          <w:sz w:val="22"/>
          <w:szCs w:val="20"/>
          <w:shd w:val="clear" w:color="auto" w:fill="FFFFFF"/>
          <w:lang w:val="en-GB"/>
        </w:rPr>
        <w:t>Hudson, A. and Montelpare, W.J., (2021) ‘Predictors of vaccine hesitancy: Implications for COVID-19 public health messaging.’ </w:t>
      </w:r>
      <w:r w:rsidRPr="00FB22AA">
        <w:rPr>
          <w:rFonts w:ascii="Arial" w:hAnsi="Arial" w:cs="Arial"/>
          <w:i/>
          <w:iCs/>
          <w:color w:val="000000" w:themeColor="text1"/>
          <w:sz w:val="22"/>
          <w:szCs w:val="20"/>
          <w:shd w:val="clear" w:color="auto" w:fill="FFFFFF"/>
          <w:lang w:val="en-GB"/>
        </w:rPr>
        <w:t>International Journal of Environmental Research and Public Health,</w:t>
      </w:r>
      <w:r w:rsidRPr="00FB22AA">
        <w:rPr>
          <w:rFonts w:ascii="Arial" w:hAnsi="Arial" w:cs="Arial"/>
          <w:color w:val="000000" w:themeColor="text1"/>
          <w:sz w:val="22"/>
          <w:szCs w:val="20"/>
          <w:shd w:val="clear" w:color="auto" w:fill="FFFFFF"/>
          <w:lang w:val="en-GB"/>
        </w:rPr>
        <w:t> 18(15), p.8054.</w:t>
      </w:r>
    </w:p>
    <w:p w14:paraId="553B76E3" w14:textId="2091FEB1" w:rsidR="00BB17D2" w:rsidRPr="00FB22AA" w:rsidRDefault="00BB17D2" w:rsidP="00FB22AA">
      <w:pPr>
        <w:spacing w:line="360" w:lineRule="auto"/>
        <w:ind w:left="720" w:hanging="720"/>
        <w:jc w:val="both"/>
        <w:rPr>
          <w:rFonts w:ascii="Arial" w:hAnsi="Arial" w:cs="Arial"/>
          <w:color w:val="000000" w:themeColor="text1"/>
          <w:sz w:val="22"/>
          <w:szCs w:val="20"/>
        </w:rPr>
      </w:pPr>
      <w:r w:rsidRPr="00BB17D2">
        <w:rPr>
          <w:rFonts w:ascii="Arial" w:hAnsi="Arial" w:cs="Arial"/>
          <w:color w:val="000000" w:themeColor="text1"/>
          <w:sz w:val="22"/>
          <w:szCs w:val="20"/>
        </w:rPr>
        <w:t xml:space="preserve">Kerrigan AR, Aitnouri I, Mar J, Altman W. </w:t>
      </w:r>
      <w:r>
        <w:rPr>
          <w:rFonts w:ascii="Arial" w:hAnsi="Arial" w:cs="Arial"/>
          <w:color w:val="000000" w:themeColor="text1"/>
          <w:sz w:val="22"/>
          <w:szCs w:val="20"/>
        </w:rPr>
        <w:t>(</w:t>
      </w:r>
      <w:r w:rsidR="00D9154A">
        <w:rPr>
          <w:rFonts w:ascii="Arial" w:hAnsi="Arial" w:cs="Arial"/>
          <w:color w:val="000000" w:themeColor="text1"/>
          <w:sz w:val="22"/>
          <w:szCs w:val="20"/>
        </w:rPr>
        <w:t>2020) ‘</w:t>
      </w:r>
      <w:r w:rsidRPr="00BB17D2">
        <w:rPr>
          <w:rFonts w:ascii="Arial" w:hAnsi="Arial" w:cs="Arial"/>
          <w:color w:val="000000" w:themeColor="text1"/>
          <w:sz w:val="22"/>
          <w:szCs w:val="20"/>
        </w:rPr>
        <w:t>What Barriers Exist in the Minds of Vaccine-Hesitant Parents, and How Can We Address Them?</w:t>
      </w:r>
      <w:r w:rsidR="00D9154A">
        <w:rPr>
          <w:rFonts w:ascii="Arial" w:hAnsi="Arial" w:cs="Arial"/>
          <w:color w:val="000000" w:themeColor="text1"/>
          <w:sz w:val="22"/>
          <w:szCs w:val="20"/>
        </w:rPr>
        <w:t>’</w:t>
      </w:r>
      <w:r w:rsidRPr="00BB17D2">
        <w:rPr>
          <w:rFonts w:ascii="Arial" w:hAnsi="Arial" w:cs="Arial"/>
          <w:color w:val="000000" w:themeColor="text1"/>
          <w:sz w:val="22"/>
          <w:szCs w:val="20"/>
        </w:rPr>
        <w:t xml:space="preserve"> </w:t>
      </w:r>
      <w:r w:rsidRPr="00D9154A">
        <w:rPr>
          <w:rFonts w:ascii="Arial" w:hAnsi="Arial" w:cs="Arial"/>
          <w:i/>
          <w:iCs/>
          <w:color w:val="000000" w:themeColor="text1"/>
          <w:sz w:val="22"/>
          <w:szCs w:val="20"/>
        </w:rPr>
        <w:t>Fam Med</w:t>
      </w:r>
      <w:r w:rsidR="00D9154A">
        <w:rPr>
          <w:rFonts w:ascii="Arial" w:hAnsi="Arial" w:cs="Arial"/>
          <w:i/>
          <w:iCs/>
          <w:color w:val="000000" w:themeColor="text1"/>
          <w:sz w:val="22"/>
          <w:szCs w:val="20"/>
        </w:rPr>
        <w:t xml:space="preserve">, </w:t>
      </w:r>
      <w:r w:rsidRPr="00BB17D2">
        <w:rPr>
          <w:rFonts w:ascii="Arial" w:hAnsi="Arial" w:cs="Arial"/>
          <w:color w:val="000000" w:themeColor="text1"/>
          <w:sz w:val="22"/>
          <w:szCs w:val="20"/>
        </w:rPr>
        <w:t xml:space="preserve">52(9):626-630. </w:t>
      </w:r>
      <w:hyperlink r:id="rId12" w:history="1">
        <w:r w:rsidR="00D9154A" w:rsidRPr="00B10EC2">
          <w:rPr>
            <w:rStyle w:val="Hyperlink"/>
            <w:rFonts w:ascii="Arial" w:hAnsi="Arial" w:cs="Arial"/>
            <w:sz w:val="22"/>
            <w:szCs w:val="20"/>
          </w:rPr>
          <w:t>https://doi.org/10.22454/FamMed.2020.432940</w:t>
        </w:r>
      </w:hyperlink>
      <w:r w:rsidRPr="00BB17D2">
        <w:rPr>
          <w:rFonts w:ascii="Arial" w:hAnsi="Arial" w:cs="Arial"/>
          <w:color w:val="000000" w:themeColor="text1"/>
          <w:sz w:val="22"/>
          <w:szCs w:val="20"/>
        </w:rPr>
        <w:t>.</w:t>
      </w:r>
      <w:r w:rsidR="00D9154A">
        <w:rPr>
          <w:rFonts w:ascii="Arial" w:hAnsi="Arial" w:cs="Arial"/>
          <w:color w:val="000000" w:themeColor="text1"/>
          <w:sz w:val="22"/>
          <w:szCs w:val="20"/>
        </w:rPr>
        <w:t xml:space="preserve"> </w:t>
      </w:r>
    </w:p>
    <w:p w14:paraId="533EA120" w14:textId="34A1CD27" w:rsidR="00792BF9" w:rsidRPr="00FB22AA" w:rsidRDefault="00792BF9" w:rsidP="00FB22AA">
      <w:pPr>
        <w:spacing w:line="360" w:lineRule="auto"/>
        <w:ind w:left="720" w:hanging="720"/>
        <w:jc w:val="both"/>
        <w:rPr>
          <w:rFonts w:ascii="Arial" w:hAnsi="Arial" w:cs="Arial"/>
          <w:color w:val="000000" w:themeColor="text1"/>
          <w:sz w:val="22"/>
          <w:szCs w:val="20"/>
        </w:rPr>
      </w:pPr>
      <w:r w:rsidRPr="00FB22AA">
        <w:rPr>
          <w:rFonts w:ascii="Arial" w:hAnsi="Arial" w:cs="Arial"/>
          <w:color w:val="000000" w:themeColor="text1"/>
          <w:sz w:val="22"/>
          <w:szCs w:val="20"/>
          <w:lang w:val="en-GB"/>
        </w:rPr>
        <w:t xml:space="preserve">Lockyer, B., et al., (2021) ‘Understanding COVID-19 misinformation and vaccine hesitancy in context: Findings from a qualitative study involving citizens in Bradford, UK.’ </w:t>
      </w:r>
      <w:r w:rsidRPr="00FB22AA">
        <w:rPr>
          <w:rFonts w:ascii="Arial" w:hAnsi="Arial" w:cs="Arial"/>
          <w:i/>
          <w:iCs/>
          <w:color w:val="000000" w:themeColor="text1"/>
          <w:sz w:val="22"/>
          <w:szCs w:val="20"/>
          <w:lang w:val="en-GB"/>
        </w:rPr>
        <w:t xml:space="preserve">Health expectations, </w:t>
      </w:r>
      <w:r w:rsidRPr="00FB22AA">
        <w:rPr>
          <w:rFonts w:ascii="Arial" w:hAnsi="Arial" w:cs="Arial"/>
          <w:color w:val="000000" w:themeColor="text1"/>
          <w:sz w:val="22"/>
          <w:szCs w:val="20"/>
          <w:lang w:val="en-GB"/>
        </w:rPr>
        <w:t xml:space="preserve">24(4), 1158–1167. </w:t>
      </w:r>
      <w:hyperlink r:id="rId13" w:history="1">
        <w:r w:rsidRPr="00FB22AA">
          <w:rPr>
            <w:rStyle w:val="Hyperlink"/>
            <w:rFonts w:ascii="Arial" w:hAnsi="Arial" w:cs="Arial"/>
            <w:sz w:val="22"/>
            <w:szCs w:val="20"/>
            <w:lang w:val="en-GB"/>
          </w:rPr>
          <w:t>https://doi.org/10.1111/hex.13240</w:t>
        </w:r>
      </w:hyperlink>
      <w:r w:rsidRPr="00FB22AA">
        <w:rPr>
          <w:rFonts w:ascii="Arial" w:hAnsi="Arial" w:cs="Arial"/>
          <w:color w:val="000000" w:themeColor="text1"/>
          <w:sz w:val="22"/>
          <w:szCs w:val="20"/>
          <w:lang w:val="en-GB"/>
        </w:rPr>
        <w:t xml:space="preserve"> </w:t>
      </w:r>
    </w:p>
    <w:p w14:paraId="37899B8A" w14:textId="77777777" w:rsidR="0066566A" w:rsidRDefault="0066566A"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MacDonald, N.E., 2015. Vaccine hesitancy: Definition, scope and determinants. </w:t>
      </w:r>
      <w:r w:rsidRPr="00FB22AA">
        <w:rPr>
          <w:rFonts w:ascii="Arial" w:hAnsi="Arial" w:cs="Arial"/>
          <w:i/>
          <w:iCs/>
          <w:color w:val="000000" w:themeColor="text1"/>
          <w:sz w:val="22"/>
          <w:szCs w:val="20"/>
          <w:shd w:val="clear" w:color="auto" w:fill="FFFFFF"/>
        </w:rPr>
        <w:t>Vaccine</w:t>
      </w:r>
      <w:r w:rsidRPr="00FB22AA">
        <w:rPr>
          <w:rFonts w:ascii="Arial" w:hAnsi="Arial" w:cs="Arial"/>
          <w:color w:val="000000" w:themeColor="text1"/>
          <w:sz w:val="22"/>
          <w:szCs w:val="20"/>
          <w:shd w:val="clear" w:color="auto" w:fill="FFFFFF"/>
        </w:rPr>
        <w:t>, </w:t>
      </w:r>
      <w:r w:rsidRPr="00FB22AA">
        <w:rPr>
          <w:rFonts w:ascii="Arial" w:hAnsi="Arial" w:cs="Arial"/>
          <w:i/>
          <w:iCs/>
          <w:color w:val="000000" w:themeColor="text1"/>
          <w:sz w:val="22"/>
          <w:szCs w:val="20"/>
          <w:shd w:val="clear" w:color="auto" w:fill="FFFFFF"/>
        </w:rPr>
        <w:t>33</w:t>
      </w:r>
      <w:r w:rsidRPr="00FB22AA">
        <w:rPr>
          <w:rFonts w:ascii="Arial" w:hAnsi="Arial" w:cs="Arial"/>
          <w:color w:val="000000" w:themeColor="text1"/>
          <w:sz w:val="22"/>
          <w:szCs w:val="20"/>
          <w:shd w:val="clear" w:color="auto" w:fill="FFFFFF"/>
        </w:rPr>
        <w:t>(34), pp.4161-4164.</w:t>
      </w:r>
    </w:p>
    <w:p w14:paraId="20B48E92" w14:textId="7B9A2267" w:rsidR="00AC37DA" w:rsidRPr="00FB22AA" w:rsidRDefault="00AC37DA" w:rsidP="00FB22AA">
      <w:pPr>
        <w:spacing w:line="360" w:lineRule="auto"/>
        <w:ind w:left="720" w:hanging="720"/>
        <w:jc w:val="both"/>
        <w:rPr>
          <w:rFonts w:ascii="Arial" w:hAnsi="Arial" w:cs="Arial"/>
          <w:color w:val="000000" w:themeColor="text1"/>
          <w:sz w:val="22"/>
          <w:szCs w:val="20"/>
          <w:shd w:val="clear" w:color="auto" w:fill="FFFFFF"/>
        </w:rPr>
      </w:pPr>
      <w:r w:rsidRPr="00AC37DA">
        <w:rPr>
          <w:rFonts w:ascii="Arial" w:hAnsi="Arial" w:cs="Arial"/>
          <w:color w:val="000000" w:themeColor="text1"/>
          <w:sz w:val="22"/>
          <w:szCs w:val="20"/>
          <w:shd w:val="clear" w:color="auto" w:fill="FFFFFF"/>
        </w:rPr>
        <w:t xml:space="preserve">Morris, N., </w:t>
      </w:r>
      <w:r>
        <w:rPr>
          <w:rFonts w:ascii="Arial" w:hAnsi="Arial" w:cs="Arial"/>
          <w:color w:val="000000" w:themeColor="text1"/>
          <w:sz w:val="22"/>
          <w:szCs w:val="20"/>
          <w:shd w:val="clear" w:color="auto" w:fill="FFFFFF"/>
        </w:rPr>
        <w:t>(</w:t>
      </w:r>
      <w:r w:rsidRPr="00AC37DA">
        <w:rPr>
          <w:rFonts w:ascii="Arial" w:hAnsi="Arial" w:cs="Arial"/>
          <w:color w:val="000000" w:themeColor="text1"/>
          <w:sz w:val="22"/>
          <w:szCs w:val="20"/>
          <w:shd w:val="clear" w:color="auto" w:fill="FFFFFF"/>
        </w:rPr>
        <w:t>2015</w:t>
      </w:r>
      <w:r>
        <w:rPr>
          <w:rFonts w:ascii="Arial" w:hAnsi="Arial" w:cs="Arial"/>
          <w:color w:val="000000" w:themeColor="text1"/>
          <w:sz w:val="22"/>
          <w:szCs w:val="20"/>
          <w:shd w:val="clear" w:color="auto" w:fill="FFFFFF"/>
        </w:rPr>
        <w:t>)</w:t>
      </w:r>
      <w:r w:rsidRPr="00AC37DA">
        <w:rPr>
          <w:rFonts w:ascii="Arial" w:hAnsi="Arial" w:cs="Arial"/>
          <w:color w:val="000000" w:themeColor="text1"/>
          <w:sz w:val="22"/>
          <w:szCs w:val="20"/>
          <w:shd w:val="clear" w:color="auto" w:fill="FFFFFF"/>
        </w:rPr>
        <w:t xml:space="preserve"> </w:t>
      </w:r>
      <w:r>
        <w:rPr>
          <w:rFonts w:ascii="Arial" w:hAnsi="Arial" w:cs="Arial"/>
          <w:color w:val="000000" w:themeColor="text1"/>
          <w:sz w:val="22"/>
          <w:szCs w:val="20"/>
          <w:shd w:val="clear" w:color="auto" w:fill="FFFFFF"/>
        </w:rPr>
        <w:t>‘</w:t>
      </w:r>
      <w:r w:rsidRPr="00AC37DA">
        <w:rPr>
          <w:rFonts w:ascii="Arial" w:hAnsi="Arial" w:cs="Arial"/>
          <w:color w:val="000000" w:themeColor="text1"/>
          <w:sz w:val="22"/>
          <w:szCs w:val="20"/>
          <w:shd w:val="clear" w:color="auto" w:fill="FFFFFF"/>
        </w:rPr>
        <w:t>Providing ethical guidance for collaborative research in developing countries.</w:t>
      </w:r>
      <w:r>
        <w:rPr>
          <w:rFonts w:ascii="Arial" w:hAnsi="Arial" w:cs="Arial"/>
          <w:color w:val="000000" w:themeColor="text1"/>
          <w:sz w:val="22"/>
          <w:szCs w:val="20"/>
          <w:shd w:val="clear" w:color="auto" w:fill="FFFFFF"/>
        </w:rPr>
        <w:t>’</w:t>
      </w:r>
      <w:r w:rsidRPr="00AC37DA">
        <w:rPr>
          <w:rFonts w:ascii="Arial" w:hAnsi="Arial" w:cs="Arial"/>
          <w:color w:val="000000" w:themeColor="text1"/>
          <w:sz w:val="22"/>
          <w:szCs w:val="20"/>
          <w:shd w:val="clear" w:color="auto" w:fill="FFFFFF"/>
        </w:rPr>
        <w:t xml:space="preserve"> </w:t>
      </w:r>
      <w:r w:rsidRPr="00AC37DA">
        <w:rPr>
          <w:rFonts w:ascii="Arial" w:hAnsi="Arial" w:cs="Arial"/>
          <w:i/>
          <w:iCs/>
          <w:color w:val="000000" w:themeColor="text1"/>
          <w:sz w:val="22"/>
          <w:szCs w:val="20"/>
          <w:shd w:val="clear" w:color="auto" w:fill="FFFFFF"/>
        </w:rPr>
        <w:t>Research ethics,</w:t>
      </w:r>
      <w:r w:rsidRPr="00AC37DA">
        <w:rPr>
          <w:rFonts w:ascii="Arial" w:hAnsi="Arial" w:cs="Arial"/>
          <w:color w:val="000000" w:themeColor="text1"/>
          <w:sz w:val="22"/>
          <w:szCs w:val="20"/>
          <w:shd w:val="clear" w:color="auto" w:fill="FFFFFF"/>
        </w:rPr>
        <w:t xml:space="preserve"> 11(4), pp.211-235.</w:t>
      </w:r>
    </w:p>
    <w:p w14:paraId="3520D792" w14:textId="717C1C62" w:rsidR="0066566A" w:rsidRPr="00FB22AA" w:rsidRDefault="0066566A"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 xml:space="preserve">Murphy, J., Vallières, F., Bentall, R.P., Shevlin, M., McBride, O., Hartman, T.K., McKay, R., Bennett, K., Mason, L., Gibson-Miller, J. and Levita, L., </w:t>
      </w:r>
      <w:r w:rsidR="001E2F68">
        <w:rPr>
          <w:rFonts w:ascii="Arial" w:hAnsi="Arial" w:cs="Arial"/>
          <w:color w:val="000000" w:themeColor="text1"/>
          <w:sz w:val="22"/>
          <w:szCs w:val="20"/>
          <w:shd w:val="clear" w:color="auto" w:fill="FFFFFF"/>
        </w:rPr>
        <w:t>(</w:t>
      </w:r>
      <w:r w:rsidRPr="00FB22AA">
        <w:rPr>
          <w:rFonts w:ascii="Arial" w:hAnsi="Arial" w:cs="Arial"/>
          <w:color w:val="000000" w:themeColor="text1"/>
          <w:sz w:val="22"/>
          <w:szCs w:val="20"/>
          <w:shd w:val="clear" w:color="auto" w:fill="FFFFFF"/>
        </w:rPr>
        <w:t>2021</w:t>
      </w:r>
      <w:r w:rsidR="001E2F68">
        <w:rPr>
          <w:rFonts w:ascii="Arial" w:hAnsi="Arial" w:cs="Arial"/>
          <w:color w:val="000000" w:themeColor="text1"/>
          <w:sz w:val="22"/>
          <w:szCs w:val="20"/>
          <w:shd w:val="clear" w:color="auto" w:fill="FFFFFF"/>
        </w:rPr>
        <w:t>)</w:t>
      </w:r>
      <w:r w:rsidRPr="00FB22AA">
        <w:rPr>
          <w:rFonts w:ascii="Arial" w:hAnsi="Arial" w:cs="Arial"/>
          <w:color w:val="000000" w:themeColor="text1"/>
          <w:sz w:val="22"/>
          <w:szCs w:val="20"/>
          <w:shd w:val="clear" w:color="auto" w:fill="FFFFFF"/>
        </w:rPr>
        <w:t xml:space="preserve"> </w:t>
      </w:r>
      <w:r w:rsidR="001E2F68">
        <w:rPr>
          <w:rFonts w:ascii="Arial" w:hAnsi="Arial" w:cs="Arial"/>
          <w:color w:val="000000" w:themeColor="text1"/>
          <w:sz w:val="22"/>
          <w:szCs w:val="20"/>
          <w:shd w:val="clear" w:color="auto" w:fill="FFFFFF"/>
        </w:rPr>
        <w:t>‘</w:t>
      </w:r>
      <w:r w:rsidRPr="00FB22AA">
        <w:rPr>
          <w:rFonts w:ascii="Arial" w:hAnsi="Arial" w:cs="Arial"/>
          <w:color w:val="000000" w:themeColor="text1"/>
          <w:sz w:val="22"/>
          <w:szCs w:val="20"/>
          <w:shd w:val="clear" w:color="auto" w:fill="FFFFFF"/>
        </w:rPr>
        <w:t>Psychological characteristics associated with COVID-19 vaccine hesitancy and resistance in Ireland and the United Kingdom.</w:t>
      </w:r>
      <w:r w:rsidR="0061334B">
        <w:rPr>
          <w:rFonts w:ascii="Arial" w:hAnsi="Arial" w:cs="Arial"/>
          <w:color w:val="000000" w:themeColor="text1"/>
          <w:sz w:val="22"/>
          <w:szCs w:val="20"/>
          <w:shd w:val="clear" w:color="auto" w:fill="FFFFFF"/>
        </w:rPr>
        <w:t>’</w:t>
      </w:r>
      <w:r w:rsidRPr="00FB22AA">
        <w:rPr>
          <w:rFonts w:ascii="Arial" w:hAnsi="Arial" w:cs="Arial"/>
          <w:color w:val="000000" w:themeColor="text1"/>
          <w:sz w:val="22"/>
          <w:szCs w:val="20"/>
          <w:shd w:val="clear" w:color="auto" w:fill="FFFFFF"/>
        </w:rPr>
        <w:t> </w:t>
      </w:r>
      <w:r w:rsidRPr="0061334B">
        <w:rPr>
          <w:rFonts w:ascii="Arial" w:hAnsi="Arial" w:cs="Arial"/>
          <w:i/>
          <w:iCs/>
          <w:color w:val="000000" w:themeColor="text1"/>
          <w:sz w:val="22"/>
          <w:szCs w:val="20"/>
          <w:shd w:val="clear" w:color="auto" w:fill="FFFFFF"/>
        </w:rPr>
        <w:t>Nature communications,</w:t>
      </w:r>
      <w:r w:rsidRPr="00FB22AA">
        <w:rPr>
          <w:rFonts w:ascii="Arial" w:hAnsi="Arial" w:cs="Arial"/>
          <w:color w:val="000000" w:themeColor="text1"/>
          <w:sz w:val="22"/>
          <w:szCs w:val="20"/>
          <w:shd w:val="clear" w:color="auto" w:fill="FFFFFF"/>
        </w:rPr>
        <w:t> </w:t>
      </w:r>
      <w:r w:rsidRPr="00FB22AA">
        <w:rPr>
          <w:rFonts w:ascii="Arial" w:hAnsi="Arial" w:cs="Arial"/>
          <w:i/>
          <w:iCs/>
          <w:color w:val="000000" w:themeColor="text1"/>
          <w:sz w:val="22"/>
          <w:szCs w:val="20"/>
          <w:shd w:val="clear" w:color="auto" w:fill="FFFFFF"/>
        </w:rPr>
        <w:t>12</w:t>
      </w:r>
      <w:r w:rsidRPr="00FB22AA">
        <w:rPr>
          <w:rFonts w:ascii="Arial" w:hAnsi="Arial" w:cs="Arial"/>
          <w:color w:val="000000" w:themeColor="text1"/>
          <w:sz w:val="22"/>
          <w:szCs w:val="20"/>
          <w:shd w:val="clear" w:color="auto" w:fill="FFFFFF"/>
        </w:rPr>
        <w:t>(1), pp.1-15.</w:t>
      </w:r>
    </w:p>
    <w:p w14:paraId="567C3BAA" w14:textId="2852E9C9" w:rsidR="00A709E6" w:rsidRPr="00FB22AA" w:rsidRDefault="00A709E6"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NCIRS, (2013) Vaccine Comp</w:t>
      </w:r>
      <w:r w:rsidR="00595B50" w:rsidRPr="00FB22AA">
        <w:rPr>
          <w:rFonts w:ascii="Arial" w:hAnsi="Arial" w:cs="Arial"/>
          <w:color w:val="000000" w:themeColor="text1"/>
          <w:sz w:val="22"/>
          <w:szCs w:val="20"/>
          <w:shd w:val="clear" w:color="auto" w:fill="FFFFFF"/>
        </w:rPr>
        <w:t>onents Fact Sheet</w:t>
      </w:r>
      <w:r w:rsidR="00C553E3" w:rsidRPr="00FB22AA">
        <w:rPr>
          <w:rFonts w:ascii="Arial" w:hAnsi="Arial" w:cs="Arial"/>
          <w:color w:val="000000" w:themeColor="text1"/>
          <w:sz w:val="22"/>
          <w:szCs w:val="20"/>
          <w:shd w:val="clear" w:color="auto" w:fill="FFFFFF"/>
        </w:rPr>
        <w:t xml:space="preserve">. Available at: </w:t>
      </w:r>
      <w:hyperlink r:id="rId14" w:history="1">
        <w:r w:rsidR="00C553E3" w:rsidRPr="00FB22AA">
          <w:rPr>
            <w:rStyle w:val="Hyperlink"/>
            <w:rFonts w:ascii="Arial" w:hAnsi="Arial" w:cs="Arial"/>
            <w:sz w:val="22"/>
            <w:szCs w:val="20"/>
            <w:shd w:val="clear" w:color="auto" w:fill="FFFFFF"/>
          </w:rPr>
          <w:t>https://ncirs.org.au/sites/default/files/2018-12/vaccine-components-fact-sheet.pdf</w:t>
        </w:r>
      </w:hyperlink>
      <w:r w:rsidR="00C553E3" w:rsidRPr="00FB22AA">
        <w:rPr>
          <w:rFonts w:ascii="Arial" w:hAnsi="Arial" w:cs="Arial"/>
          <w:color w:val="000000" w:themeColor="text1"/>
          <w:sz w:val="22"/>
          <w:szCs w:val="20"/>
          <w:shd w:val="clear" w:color="auto" w:fill="FFFFFF"/>
        </w:rPr>
        <w:t xml:space="preserve"> (Accessed: 08.01.2022)</w:t>
      </w:r>
    </w:p>
    <w:p w14:paraId="7E4D7A80" w14:textId="77777777" w:rsidR="0066566A" w:rsidRPr="00FB22AA" w:rsidRDefault="0066566A"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Palamenghi, L., Barello, S., Boccia, S. and Graffigna, G., 2020. Mistrust in biomedical research and vaccine hesitancy: the forefront challenge in the battle against COVID-19 in Italy. </w:t>
      </w:r>
      <w:r w:rsidRPr="00FB22AA">
        <w:rPr>
          <w:rFonts w:ascii="Arial" w:hAnsi="Arial" w:cs="Arial"/>
          <w:i/>
          <w:iCs/>
          <w:color w:val="000000" w:themeColor="text1"/>
          <w:sz w:val="22"/>
          <w:szCs w:val="20"/>
          <w:shd w:val="clear" w:color="auto" w:fill="FFFFFF"/>
        </w:rPr>
        <w:t>European journal of epidemiology</w:t>
      </w:r>
      <w:r w:rsidRPr="00FB22AA">
        <w:rPr>
          <w:rFonts w:ascii="Arial" w:hAnsi="Arial" w:cs="Arial"/>
          <w:color w:val="000000" w:themeColor="text1"/>
          <w:sz w:val="22"/>
          <w:szCs w:val="20"/>
          <w:shd w:val="clear" w:color="auto" w:fill="FFFFFF"/>
        </w:rPr>
        <w:t>, </w:t>
      </w:r>
      <w:r w:rsidRPr="00FB22AA">
        <w:rPr>
          <w:rFonts w:ascii="Arial" w:hAnsi="Arial" w:cs="Arial"/>
          <w:i/>
          <w:iCs/>
          <w:color w:val="000000" w:themeColor="text1"/>
          <w:sz w:val="22"/>
          <w:szCs w:val="20"/>
          <w:shd w:val="clear" w:color="auto" w:fill="FFFFFF"/>
        </w:rPr>
        <w:t>35</w:t>
      </w:r>
      <w:r w:rsidRPr="00FB22AA">
        <w:rPr>
          <w:rFonts w:ascii="Arial" w:hAnsi="Arial" w:cs="Arial"/>
          <w:color w:val="000000" w:themeColor="text1"/>
          <w:sz w:val="22"/>
          <w:szCs w:val="20"/>
          <w:shd w:val="clear" w:color="auto" w:fill="FFFFFF"/>
        </w:rPr>
        <w:t>(8), pp.785-788.</w:t>
      </w:r>
    </w:p>
    <w:p w14:paraId="305EE6F4" w14:textId="20B7E041" w:rsidR="00EC1023" w:rsidRDefault="0066566A" w:rsidP="007F19C1">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Paul, E., Steptoe, A. and Fancourt, D., 2021. Attitudes towards vaccines and intention to vaccinate against COVID-19: Implications for public health communications. </w:t>
      </w:r>
      <w:r w:rsidRPr="00FB22AA">
        <w:rPr>
          <w:rFonts w:ascii="Arial" w:hAnsi="Arial" w:cs="Arial"/>
          <w:i/>
          <w:iCs/>
          <w:color w:val="000000" w:themeColor="text1"/>
          <w:sz w:val="22"/>
          <w:szCs w:val="20"/>
          <w:shd w:val="clear" w:color="auto" w:fill="FFFFFF"/>
        </w:rPr>
        <w:t>The Lancet Regional Health-Europe</w:t>
      </w:r>
      <w:r w:rsidRPr="00FB22AA">
        <w:rPr>
          <w:rFonts w:ascii="Arial" w:hAnsi="Arial" w:cs="Arial"/>
          <w:color w:val="000000" w:themeColor="text1"/>
          <w:sz w:val="22"/>
          <w:szCs w:val="20"/>
          <w:shd w:val="clear" w:color="auto" w:fill="FFFFFF"/>
        </w:rPr>
        <w:t>, </w:t>
      </w:r>
      <w:r w:rsidRPr="00FB22AA">
        <w:rPr>
          <w:rFonts w:ascii="Arial" w:hAnsi="Arial" w:cs="Arial"/>
          <w:i/>
          <w:iCs/>
          <w:color w:val="000000" w:themeColor="text1"/>
          <w:sz w:val="22"/>
          <w:szCs w:val="20"/>
          <w:shd w:val="clear" w:color="auto" w:fill="FFFFFF"/>
        </w:rPr>
        <w:t>1</w:t>
      </w:r>
      <w:r w:rsidRPr="00FB22AA">
        <w:rPr>
          <w:rFonts w:ascii="Arial" w:hAnsi="Arial" w:cs="Arial"/>
          <w:color w:val="000000" w:themeColor="text1"/>
          <w:sz w:val="22"/>
          <w:szCs w:val="20"/>
          <w:shd w:val="clear" w:color="auto" w:fill="FFFFFF"/>
        </w:rPr>
        <w:t>, p.100012.</w:t>
      </w:r>
    </w:p>
    <w:p w14:paraId="1C699507" w14:textId="1F63C38D" w:rsidR="008420CE" w:rsidRPr="00FB22AA" w:rsidRDefault="008420CE" w:rsidP="007F19C1">
      <w:pPr>
        <w:spacing w:line="360" w:lineRule="auto"/>
        <w:ind w:left="720" w:hanging="720"/>
        <w:jc w:val="both"/>
        <w:rPr>
          <w:rFonts w:ascii="Arial" w:hAnsi="Arial" w:cs="Arial"/>
          <w:color w:val="000000" w:themeColor="text1"/>
          <w:sz w:val="22"/>
          <w:szCs w:val="20"/>
          <w:shd w:val="clear" w:color="auto" w:fill="FFFFFF"/>
        </w:rPr>
      </w:pPr>
      <w:r w:rsidRPr="008420CE">
        <w:rPr>
          <w:rFonts w:ascii="Arial" w:hAnsi="Arial" w:cs="Arial"/>
          <w:color w:val="000000" w:themeColor="text1"/>
          <w:sz w:val="22"/>
          <w:szCs w:val="20"/>
          <w:shd w:val="clear" w:color="auto" w:fill="FFFFFF"/>
        </w:rPr>
        <w:t>Resnik, D</w:t>
      </w:r>
      <w:r w:rsidR="003071E9">
        <w:rPr>
          <w:rFonts w:ascii="Arial" w:hAnsi="Arial" w:cs="Arial"/>
          <w:color w:val="000000" w:themeColor="text1"/>
          <w:sz w:val="22"/>
          <w:szCs w:val="20"/>
          <w:shd w:val="clear" w:color="auto" w:fill="FFFFFF"/>
        </w:rPr>
        <w:t>.</w:t>
      </w:r>
      <w:r w:rsidRPr="008420CE">
        <w:rPr>
          <w:rFonts w:ascii="Arial" w:hAnsi="Arial" w:cs="Arial"/>
          <w:color w:val="000000" w:themeColor="text1"/>
          <w:sz w:val="22"/>
          <w:szCs w:val="20"/>
          <w:shd w:val="clear" w:color="auto" w:fill="FFFFFF"/>
        </w:rPr>
        <w:t>B</w:t>
      </w:r>
      <w:r w:rsidR="003071E9">
        <w:rPr>
          <w:rFonts w:ascii="Arial" w:hAnsi="Arial" w:cs="Arial"/>
          <w:color w:val="000000" w:themeColor="text1"/>
          <w:sz w:val="22"/>
          <w:szCs w:val="20"/>
          <w:shd w:val="clear" w:color="auto" w:fill="FFFFFF"/>
        </w:rPr>
        <w:t>.,</w:t>
      </w:r>
      <w:r w:rsidRPr="008420CE">
        <w:rPr>
          <w:rFonts w:ascii="Arial" w:hAnsi="Arial" w:cs="Arial"/>
          <w:color w:val="000000" w:themeColor="text1"/>
          <w:sz w:val="22"/>
          <w:szCs w:val="20"/>
          <w:shd w:val="clear" w:color="auto" w:fill="FFFFFF"/>
        </w:rPr>
        <w:t xml:space="preserve"> (2011) </w:t>
      </w:r>
      <w:r w:rsidR="003071E9">
        <w:rPr>
          <w:rFonts w:ascii="Arial" w:hAnsi="Arial" w:cs="Arial"/>
          <w:color w:val="000000" w:themeColor="text1"/>
          <w:sz w:val="22"/>
          <w:szCs w:val="20"/>
          <w:shd w:val="clear" w:color="auto" w:fill="FFFFFF"/>
        </w:rPr>
        <w:t>‘</w:t>
      </w:r>
      <w:r w:rsidRPr="008420CE">
        <w:rPr>
          <w:rFonts w:ascii="Arial" w:hAnsi="Arial" w:cs="Arial"/>
          <w:color w:val="000000" w:themeColor="text1"/>
          <w:sz w:val="22"/>
          <w:szCs w:val="20"/>
          <w:shd w:val="clear" w:color="auto" w:fill="FFFFFF"/>
        </w:rPr>
        <w:t>What is ethics in research and why is it important?</w:t>
      </w:r>
      <w:r w:rsidR="003071E9">
        <w:rPr>
          <w:rFonts w:ascii="Arial" w:hAnsi="Arial" w:cs="Arial"/>
          <w:color w:val="000000" w:themeColor="text1"/>
          <w:sz w:val="22"/>
          <w:szCs w:val="20"/>
          <w:shd w:val="clear" w:color="auto" w:fill="FFFFFF"/>
        </w:rPr>
        <w:t>’</w:t>
      </w:r>
      <w:r w:rsidRPr="008420CE">
        <w:rPr>
          <w:rFonts w:ascii="Arial" w:hAnsi="Arial" w:cs="Arial"/>
          <w:color w:val="000000" w:themeColor="text1"/>
          <w:sz w:val="22"/>
          <w:szCs w:val="20"/>
          <w:shd w:val="clear" w:color="auto" w:fill="FFFFFF"/>
        </w:rPr>
        <w:t xml:space="preserve"> </w:t>
      </w:r>
      <w:r w:rsidRPr="003071E9">
        <w:rPr>
          <w:rFonts w:ascii="Arial" w:hAnsi="Arial" w:cs="Arial"/>
          <w:i/>
          <w:iCs/>
          <w:color w:val="000000" w:themeColor="text1"/>
          <w:sz w:val="22"/>
          <w:szCs w:val="20"/>
          <w:shd w:val="clear" w:color="auto" w:fill="FFFFFF"/>
        </w:rPr>
        <w:t>National Institute of Environmental Health Sciences.</w:t>
      </w:r>
      <w:r w:rsidRPr="008420CE">
        <w:rPr>
          <w:rFonts w:ascii="Arial" w:hAnsi="Arial" w:cs="Arial"/>
          <w:color w:val="000000" w:themeColor="text1"/>
          <w:sz w:val="22"/>
          <w:szCs w:val="20"/>
          <w:shd w:val="clear" w:color="auto" w:fill="FFFFFF"/>
        </w:rPr>
        <w:t xml:space="preserve"> Available at: </w:t>
      </w:r>
      <w:hyperlink r:id="rId15" w:history="1">
        <w:r w:rsidR="003071E9" w:rsidRPr="00036A18">
          <w:rPr>
            <w:rStyle w:val="Hyperlink"/>
            <w:rFonts w:ascii="Arial" w:hAnsi="Arial" w:cs="Arial"/>
            <w:sz w:val="22"/>
            <w:szCs w:val="20"/>
            <w:shd w:val="clear" w:color="auto" w:fill="FFFFFF"/>
          </w:rPr>
          <w:t>http://www.niehs.nih.gov/research/resources/bioethics/whatis/</w:t>
        </w:r>
      </w:hyperlink>
      <w:r w:rsidR="003071E9">
        <w:rPr>
          <w:rFonts w:ascii="Arial" w:hAnsi="Arial" w:cs="Arial"/>
          <w:color w:val="000000" w:themeColor="text1"/>
          <w:sz w:val="22"/>
          <w:szCs w:val="20"/>
          <w:shd w:val="clear" w:color="auto" w:fill="FFFFFF"/>
        </w:rPr>
        <w:t xml:space="preserve"> </w:t>
      </w:r>
    </w:p>
    <w:p w14:paraId="7C276254" w14:textId="49CA6A3B" w:rsidR="00C407CA" w:rsidRPr="00FB22AA" w:rsidRDefault="00C407CA"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 xml:space="preserve">Robertson, E., Reeve, K. S., Niedzwiedz, C. L., Moore, J., Blake, M., Green, M., Katikireddi, S. V., &amp; Benzeval, M. J. (2021) ‘Predictors of COVID-19 vaccine hesitancy in the UK household longitudinal study.’ </w:t>
      </w:r>
      <w:r w:rsidRPr="00FB22AA">
        <w:rPr>
          <w:rFonts w:ascii="Arial" w:hAnsi="Arial" w:cs="Arial"/>
          <w:i/>
          <w:iCs/>
          <w:color w:val="000000" w:themeColor="text1"/>
          <w:sz w:val="22"/>
          <w:szCs w:val="20"/>
          <w:shd w:val="clear" w:color="auto" w:fill="FFFFFF"/>
        </w:rPr>
        <w:t>Brain, behavior, and immunity,</w:t>
      </w:r>
      <w:r w:rsidRPr="00FB22AA">
        <w:rPr>
          <w:rFonts w:ascii="Arial" w:hAnsi="Arial" w:cs="Arial"/>
          <w:color w:val="000000" w:themeColor="text1"/>
          <w:sz w:val="22"/>
          <w:szCs w:val="20"/>
          <w:shd w:val="clear" w:color="auto" w:fill="FFFFFF"/>
        </w:rPr>
        <w:t xml:space="preserve"> 94, 41–50. </w:t>
      </w:r>
      <w:hyperlink r:id="rId16" w:history="1">
        <w:r w:rsidRPr="00FB22AA">
          <w:rPr>
            <w:rStyle w:val="Hyperlink"/>
            <w:rFonts w:ascii="Arial" w:hAnsi="Arial" w:cs="Arial"/>
            <w:sz w:val="22"/>
            <w:szCs w:val="20"/>
            <w:shd w:val="clear" w:color="auto" w:fill="FFFFFF"/>
          </w:rPr>
          <w:t>https://doi.org/10.1016/j.bbi.2021.03.008</w:t>
        </w:r>
      </w:hyperlink>
      <w:r w:rsidRPr="00FB22AA">
        <w:rPr>
          <w:rFonts w:ascii="Arial" w:hAnsi="Arial" w:cs="Arial"/>
          <w:color w:val="000000" w:themeColor="text1"/>
          <w:sz w:val="22"/>
          <w:szCs w:val="20"/>
          <w:shd w:val="clear" w:color="auto" w:fill="FFFFFF"/>
        </w:rPr>
        <w:t xml:space="preserve"> </w:t>
      </w:r>
    </w:p>
    <w:p w14:paraId="1F48B9F0" w14:textId="77777777" w:rsidR="0066566A" w:rsidRPr="00FB22AA" w:rsidRDefault="0066566A"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Shen, A.K., 2020. Finding a way to address a wicked problem: vaccines, vaccination, and a shared understanding. </w:t>
      </w:r>
      <w:r w:rsidRPr="00FB22AA">
        <w:rPr>
          <w:rFonts w:ascii="Arial" w:hAnsi="Arial" w:cs="Arial"/>
          <w:i/>
          <w:iCs/>
          <w:color w:val="000000" w:themeColor="text1"/>
          <w:sz w:val="22"/>
          <w:szCs w:val="20"/>
          <w:shd w:val="clear" w:color="auto" w:fill="FFFFFF"/>
        </w:rPr>
        <w:t>Human vaccines &amp; immunotherapeutics</w:t>
      </w:r>
      <w:r w:rsidRPr="00FB22AA">
        <w:rPr>
          <w:rFonts w:ascii="Arial" w:hAnsi="Arial" w:cs="Arial"/>
          <w:color w:val="000000" w:themeColor="text1"/>
          <w:sz w:val="22"/>
          <w:szCs w:val="20"/>
          <w:shd w:val="clear" w:color="auto" w:fill="FFFFFF"/>
        </w:rPr>
        <w:t>, </w:t>
      </w:r>
      <w:r w:rsidRPr="00FB22AA">
        <w:rPr>
          <w:rFonts w:ascii="Arial" w:hAnsi="Arial" w:cs="Arial"/>
          <w:i/>
          <w:iCs/>
          <w:color w:val="000000" w:themeColor="text1"/>
          <w:sz w:val="22"/>
          <w:szCs w:val="20"/>
          <w:shd w:val="clear" w:color="auto" w:fill="FFFFFF"/>
        </w:rPr>
        <w:t>16</w:t>
      </w:r>
      <w:r w:rsidRPr="00FB22AA">
        <w:rPr>
          <w:rFonts w:ascii="Arial" w:hAnsi="Arial" w:cs="Arial"/>
          <w:color w:val="000000" w:themeColor="text1"/>
          <w:sz w:val="22"/>
          <w:szCs w:val="20"/>
          <w:shd w:val="clear" w:color="auto" w:fill="FFFFFF"/>
        </w:rPr>
        <w:t>(5), pp.1030-1033.</w:t>
      </w:r>
    </w:p>
    <w:p w14:paraId="775414F1" w14:textId="673D756C" w:rsidR="00EB437C" w:rsidRPr="00FB22AA" w:rsidRDefault="00EB437C"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The Lancet</w:t>
      </w:r>
      <w:r w:rsidR="000A44DA" w:rsidRPr="00FB22AA">
        <w:rPr>
          <w:rFonts w:ascii="Arial" w:hAnsi="Arial" w:cs="Arial"/>
          <w:color w:val="000000" w:themeColor="text1"/>
          <w:sz w:val="22"/>
          <w:szCs w:val="20"/>
          <w:shd w:val="clear" w:color="auto" w:fill="FFFFFF"/>
        </w:rPr>
        <w:t>,</w:t>
      </w:r>
      <w:r w:rsidRPr="00FB22AA">
        <w:rPr>
          <w:rFonts w:ascii="Arial" w:hAnsi="Arial" w:cs="Arial"/>
          <w:color w:val="000000" w:themeColor="text1"/>
          <w:sz w:val="22"/>
          <w:szCs w:val="20"/>
          <w:shd w:val="clear" w:color="auto" w:fill="FFFFFF"/>
        </w:rPr>
        <w:t xml:space="preserve"> (2019) </w:t>
      </w:r>
      <w:r w:rsidR="00B85AF7" w:rsidRPr="00FB22AA">
        <w:rPr>
          <w:rFonts w:ascii="Arial" w:hAnsi="Arial" w:cs="Arial"/>
          <w:color w:val="000000" w:themeColor="text1"/>
          <w:sz w:val="22"/>
          <w:szCs w:val="20"/>
          <w:shd w:val="clear" w:color="auto" w:fill="FFFFFF"/>
        </w:rPr>
        <w:t>‘</w:t>
      </w:r>
      <w:r w:rsidR="000A44DA" w:rsidRPr="00FB22AA">
        <w:rPr>
          <w:rFonts w:ascii="Arial" w:hAnsi="Arial" w:cs="Arial"/>
          <w:color w:val="000000" w:themeColor="text1"/>
          <w:sz w:val="22"/>
          <w:szCs w:val="20"/>
          <w:shd w:val="clear" w:color="auto" w:fill="FFFFFF"/>
        </w:rPr>
        <w:t>Vaccine hesitancy: a generation at risk.</w:t>
      </w:r>
      <w:r w:rsidR="00B85AF7" w:rsidRPr="00FB22AA">
        <w:rPr>
          <w:rFonts w:ascii="Arial" w:hAnsi="Arial" w:cs="Arial"/>
          <w:color w:val="000000" w:themeColor="text1"/>
          <w:sz w:val="22"/>
          <w:szCs w:val="20"/>
          <w:shd w:val="clear" w:color="auto" w:fill="FFFFFF"/>
        </w:rPr>
        <w:t>’</w:t>
      </w:r>
      <w:r w:rsidR="000A44DA" w:rsidRPr="00FB22AA">
        <w:rPr>
          <w:rFonts w:ascii="Arial" w:hAnsi="Arial" w:cs="Arial"/>
          <w:i/>
          <w:iCs/>
          <w:color w:val="000000" w:themeColor="text1"/>
          <w:sz w:val="22"/>
          <w:szCs w:val="20"/>
          <w:shd w:val="clear" w:color="auto" w:fill="FFFFFF"/>
        </w:rPr>
        <w:t xml:space="preserve"> </w:t>
      </w:r>
      <w:r w:rsidR="00B85AF7" w:rsidRPr="00FB22AA">
        <w:rPr>
          <w:rFonts w:ascii="Arial" w:hAnsi="Arial" w:cs="Arial"/>
          <w:i/>
          <w:iCs/>
          <w:color w:val="000000" w:themeColor="text1"/>
          <w:sz w:val="22"/>
          <w:szCs w:val="20"/>
          <w:shd w:val="clear" w:color="auto" w:fill="FFFFFF"/>
        </w:rPr>
        <w:t xml:space="preserve">Editorial, </w:t>
      </w:r>
      <w:r w:rsidR="00B85AF7" w:rsidRPr="00FB22AA">
        <w:rPr>
          <w:rFonts w:ascii="Arial" w:hAnsi="Arial" w:cs="Arial"/>
          <w:color w:val="000000" w:themeColor="text1"/>
          <w:sz w:val="22"/>
          <w:szCs w:val="20"/>
          <w:shd w:val="clear" w:color="auto" w:fill="FFFFFF"/>
        </w:rPr>
        <w:t>vol 3 (5).</w:t>
      </w:r>
      <w:r w:rsidR="00B85AF7" w:rsidRPr="00FB22AA">
        <w:rPr>
          <w:rFonts w:ascii="Arial" w:hAnsi="Arial" w:cs="Arial"/>
          <w:i/>
          <w:iCs/>
          <w:color w:val="000000" w:themeColor="text1"/>
          <w:sz w:val="22"/>
          <w:szCs w:val="20"/>
          <w:shd w:val="clear" w:color="auto" w:fill="FFFFFF"/>
        </w:rPr>
        <w:t xml:space="preserve"> </w:t>
      </w:r>
      <w:r w:rsidR="00E2691B" w:rsidRPr="00FB22AA">
        <w:rPr>
          <w:rFonts w:ascii="Arial" w:hAnsi="Arial" w:cs="Arial"/>
          <w:color w:val="000000" w:themeColor="text1"/>
          <w:sz w:val="22"/>
          <w:szCs w:val="20"/>
          <w:shd w:val="clear" w:color="auto" w:fill="FFFFFF"/>
        </w:rPr>
        <w:t>DOI:https://doi.org/10.1016/S2352-4642(19)30092-6</w:t>
      </w:r>
      <w:r w:rsidR="00B85AF7" w:rsidRPr="00FB22AA">
        <w:rPr>
          <w:rFonts w:ascii="Arial" w:hAnsi="Arial" w:cs="Arial"/>
          <w:color w:val="000000" w:themeColor="text1"/>
          <w:sz w:val="22"/>
          <w:szCs w:val="20"/>
          <w:shd w:val="clear" w:color="auto" w:fill="FFFFFF"/>
        </w:rPr>
        <w:t xml:space="preserve"> Available at: </w:t>
      </w:r>
      <w:r w:rsidR="00B85AF7" w:rsidRPr="00FB22AA">
        <w:rPr>
          <w:rFonts w:ascii="Arial" w:hAnsi="Arial" w:cs="Arial"/>
          <w:i/>
          <w:iCs/>
          <w:color w:val="000000" w:themeColor="text1"/>
          <w:sz w:val="22"/>
          <w:szCs w:val="20"/>
          <w:shd w:val="clear" w:color="auto" w:fill="FFFFFF"/>
        </w:rPr>
        <w:t xml:space="preserve"> </w:t>
      </w:r>
      <w:hyperlink r:id="rId17" w:history="1">
        <w:r w:rsidR="002926BF" w:rsidRPr="00FB22AA">
          <w:rPr>
            <w:rStyle w:val="Hyperlink"/>
            <w:rFonts w:ascii="Arial" w:hAnsi="Arial" w:cs="Arial"/>
            <w:sz w:val="22"/>
            <w:szCs w:val="20"/>
            <w:shd w:val="clear" w:color="auto" w:fill="FFFFFF"/>
          </w:rPr>
          <w:t>https://www.thelancet.com/journals/lanchi/article/PIIS2352-4642(19)30092-6/fulltext</w:t>
        </w:r>
      </w:hyperlink>
      <w:r w:rsidR="002926BF" w:rsidRPr="00FB22AA">
        <w:rPr>
          <w:rFonts w:ascii="Arial" w:hAnsi="Arial" w:cs="Arial"/>
          <w:i/>
          <w:iCs/>
          <w:color w:val="000000" w:themeColor="text1"/>
          <w:sz w:val="22"/>
          <w:szCs w:val="20"/>
          <w:shd w:val="clear" w:color="auto" w:fill="FFFFFF"/>
        </w:rPr>
        <w:t xml:space="preserve"> </w:t>
      </w:r>
      <w:r w:rsidR="002926BF" w:rsidRPr="00FB22AA">
        <w:rPr>
          <w:rFonts w:ascii="Arial" w:hAnsi="Arial" w:cs="Arial"/>
          <w:color w:val="000000" w:themeColor="text1"/>
          <w:sz w:val="22"/>
          <w:szCs w:val="20"/>
          <w:shd w:val="clear" w:color="auto" w:fill="FFFFFF"/>
        </w:rPr>
        <w:t>(Accessed: 08.01.2022)</w:t>
      </w:r>
    </w:p>
    <w:p w14:paraId="7C48BD63" w14:textId="77777777" w:rsidR="009F0F6E" w:rsidRPr="00FB22AA" w:rsidRDefault="009F0F6E" w:rsidP="00FB22AA">
      <w:pPr>
        <w:spacing w:line="360" w:lineRule="auto"/>
        <w:ind w:left="720" w:hanging="720"/>
        <w:jc w:val="both"/>
        <w:rPr>
          <w:rFonts w:ascii="Arial" w:hAnsi="Arial" w:cs="Arial"/>
          <w:color w:val="000000" w:themeColor="text1"/>
          <w:sz w:val="22"/>
          <w:szCs w:val="20"/>
          <w:shd w:val="clear" w:color="auto" w:fill="FFFFFF"/>
          <w:lang w:val="en-GB"/>
        </w:rPr>
      </w:pPr>
      <w:r w:rsidRPr="00FB22AA">
        <w:rPr>
          <w:rFonts w:ascii="Arial" w:hAnsi="Arial" w:cs="Arial"/>
          <w:color w:val="000000" w:themeColor="text1"/>
          <w:sz w:val="22"/>
          <w:szCs w:val="20"/>
          <w:shd w:val="clear" w:color="auto" w:fill="FFFFFF"/>
          <w:lang w:val="en-GB"/>
        </w:rPr>
        <w:t xml:space="preserve">Tull, K. (2019) </w:t>
      </w:r>
      <w:r w:rsidRPr="00FB22AA">
        <w:rPr>
          <w:rFonts w:ascii="Arial" w:hAnsi="Arial" w:cs="Arial"/>
          <w:i/>
          <w:iCs/>
          <w:color w:val="000000" w:themeColor="text1"/>
          <w:sz w:val="22"/>
          <w:szCs w:val="20"/>
          <w:shd w:val="clear" w:color="auto" w:fill="FFFFFF"/>
          <w:lang w:val="en-GB"/>
        </w:rPr>
        <w:t xml:space="preserve">Vaccine hesitancy: guidance and interventions. </w:t>
      </w:r>
      <w:r w:rsidRPr="00FB22AA">
        <w:rPr>
          <w:rFonts w:ascii="Arial" w:hAnsi="Arial" w:cs="Arial"/>
          <w:color w:val="000000" w:themeColor="text1"/>
          <w:sz w:val="22"/>
          <w:szCs w:val="20"/>
          <w:shd w:val="clear" w:color="auto" w:fill="FFFFFF"/>
          <w:lang w:val="en-GB"/>
        </w:rPr>
        <w:t xml:space="preserve">K4D Helpdesk Report 672. Brighton, UK: Institute of Development Studies. Available at: </w:t>
      </w:r>
      <w:hyperlink r:id="rId18" w:history="1">
        <w:r w:rsidRPr="00FB22AA">
          <w:rPr>
            <w:rStyle w:val="Hyperlink"/>
            <w:rFonts w:ascii="Arial" w:hAnsi="Arial" w:cs="Arial"/>
            <w:sz w:val="22"/>
            <w:szCs w:val="20"/>
            <w:shd w:val="clear" w:color="auto" w:fill="FFFFFF"/>
            <w:lang w:val="en-GB"/>
          </w:rPr>
          <w:t>https://www.gov.uk/research-for-development-outputs/vaccine-hesitancy-guidance-and-interventions</w:t>
        </w:r>
      </w:hyperlink>
      <w:r w:rsidRPr="00FB22AA">
        <w:rPr>
          <w:rFonts w:ascii="Arial" w:hAnsi="Arial" w:cs="Arial"/>
          <w:color w:val="000000" w:themeColor="text1"/>
          <w:sz w:val="22"/>
          <w:szCs w:val="20"/>
          <w:shd w:val="clear" w:color="auto" w:fill="FFFFFF"/>
          <w:lang w:val="en-GB"/>
        </w:rPr>
        <w:t xml:space="preserve"> (Accessed: 13.12.2021) </w:t>
      </w:r>
    </w:p>
    <w:p w14:paraId="16A808FF" w14:textId="6EBD7E1F" w:rsidR="00D55D88" w:rsidRPr="00FB22AA" w:rsidRDefault="00D55D88"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lang w:val="en-GB"/>
        </w:rPr>
        <w:t xml:space="preserve">Trogen, B., &amp; Pirofski, L. A. (2021) ‘Understanding vaccine hesitancy in COVID-19.’ </w:t>
      </w:r>
      <w:r w:rsidRPr="00FB22AA">
        <w:rPr>
          <w:rFonts w:ascii="Arial" w:hAnsi="Arial" w:cs="Arial"/>
          <w:i/>
          <w:iCs/>
          <w:color w:val="000000" w:themeColor="text1"/>
          <w:sz w:val="22"/>
          <w:szCs w:val="20"/>
          <w:shd w:val="clear" w:color="auto" w:fill="FFFFFF"/>
          <w:lang w:val="en-GB"/>
        </w:rPr>
        <w:t>Med</w:t>
      </w:r>
      <w:r w:rsidRPr="00FB22AA">
        <w:rPr>
          <w:rFonts w:ascii="Arial" w:hAnsi="Arial" w:cs="Arial"/>
          <w:color w:val="000000" w:themeColor="text1"/>
          <w:sz w:val="22"/>
          <w:szCs w:val="20"/>
          <w:shd w:val="clear" w:color="auto" w:fill="FFFFFF"/>
          <w:lang w:val="en-GB"/>
        </w:rPr>
        <w:t xml:space="preserve"> (New York, N.Y.), 2(5), 498–501. </w:t>
      </w:r>
      <w:hyperlink r:id="rId19" w:history="1">
        <w:r w:rsidR="002F752E" w:rsidRPr="00FB22AA">
          <w:rPr>
            <w:rStyle w:val="Hyperlink"/>
            <w:rFonts w:ascii="Arial" w:hAnsi="Arial" w:cs="Arial"/>
            <w:sz w:val="22"/>
            <w:szCs w:val="20"/>
            <w:shd w:val="clear" w:color="auto" w:fill="FFFFFF"/>
            <w:lang w:val="en-GB"/>
          </w:rPr>
          <w:t>https://doi.org/10.1016/j.medj.2021.04.002</w:t>
        </w:r>
      </w:hyperlink>
      <w:r w:rsidR="002F752E" w:rsidRPr="00FB22AA">
        <w:rPr>
          <w:rFonts w:ascii="Arial" w:hAnsi="Arial" w:cs="Arial"/>
          <w:color w:val="000000" w:themeColor="text1"/>
          <w:sz w:val="22"/>
          <w:szCs w:val="20"/>
          <w:shd w:val="clear" w:color="auto" w:fill="FFFFFF"/>
          <w:lang w:val="en-GB"/>
        </w:rPr>
        <w:t xml:space="preserve"> </w:t>
      </w:r>
    </w:p>
    <w:p w14:paraId="2D4160F5" w14:textId="29D6C679" w:rsidR="00084407" w:rsidRPr="00FB22AA" w:rsidRDefault="00084407" w:rsidP="00FB22AA">
      <w:pPr>
        <w:spacing w:line="360" w:lineRule="auto"/>
        <w:ind w:left="720" w:hanging="720"/>
        <w:jc w:val="both"/>
        <w:rPr>
          <w:rFonts w:ascii="Arial" w:hAnsi="Arial" w:cs="Arial"/>
          <w:color w:val="000000" w:themeColor="text1"/>
          <w:sz w:val="22"/>
          <w:szCs w:val="20"/>
        </w:rPr>
      </w:pPr>
      <w:r w:rsidRPr="00FB22AA">
        <w:rPr>
          <w:rFonts w:ascii="Arial" w:hAnsi="Arial" w:cs="Arial"/>
          <w:color w:val="000000" w:themeColor="text1"/>
          <w:sz w:val="22"/>
          <w:szCs w:val="20"/>
        </w:rPr>
        <w:t>W</w:t>
      </w:r>
      <w:r w:rsidR="0072432E" w:rsidRPr="00FB22AA">
        <w:rPr>
          <w:rFonts w:ascii="Arial" w:hAnsi="Arial" w:cs="Arial"/>
          <w:color w:val="000000" w:themeColor="text1"/>
          <w:sz w:val="22"/>
          <w:szCs w:val="20"/>
        </w:rPr>
        <w:t>HO</w:t>
      </w:r>
      <w:r w:rsidRPr="00FB22AA">
        <w:rPr>
          <w:rFonts w:ascii="Arial" w:hAnsi="Arial" w:cs="Arial"/>
          <w:color w:val="000000" w:themeColor="text1"/>
          <w:sz w:val="22"/>
          <w:szCs w:val="20"/>
        </w:rPr>
        <w:t xml:space="preserve">, (2019) </w:t>
      </w:r>
      <w:r w:rsidRPr="00FB22AA">
        <w:rPr>
          <w:rFonts w:ascii="Arial" w:hAnsi="Arial" w:cs="Arial"/>
          <w:i/>
          <w:iCs/>
          <w:color w:val="000000" w:themeColor="text1"/>
          <w:sz w:val="22"/>
          <w:szCs w:val="20"/>
        </w:rPr>
        <w:t>Ten Threats to Public Health in 2019</w:t>
      </w:r>
      <w:r w:rsidRPr="00FB22AA">
        <w:rPr>
          <w:rFonts w:ascii="Arial" w:hAnsi="Arial" w:cs="Arial"/>
          <w:color w:val="000000" w:themeColor="text1"/>
          <w:sz w:val="22"/>
          <w:szCs w:val="20"/>
        </w:rPr>
        <w:t xml:space="preserve">. Available at: online: </w:t>
      </w:r>
      <w:hyperlink r:id="rId20" w:history="1">
        <w:r w:rsidRPr="00FB22AA">
          <w:rPr>
            <w:rStyle w:val="Hyperlink"/>
            <w:rFonts w:ascii="Arial" w:hAnsi="Arial" w:cs="Arial"/>
            <w:sz w:val="22"/>
            <w:szCs w:val="20"/>
          </w:rPr>
          <w:t>https://www.who.int/news-room/spotlight/ten-threats-to-global-health-in-2019</w:t>
        </w:r>
      </w:hyperlink>
      <w:r w:rsidRPr="00FB22AA">
        <w:rPr>
          <w:rFonts w:ascii="Arial" w:hAnsi="Arial" w:cs="Arial"/>
          <w:color w:val="000000" w:themeColor="text1"/>
          <w:sz w:val="22"/>
          <w:szCs w:val="20"/>
        </w:rPr>
        <w:t xml:space="preserve"> (Accessed: 13.12.2021)</w:t>
      </w:r>
    </w:p>
    <w:p w14:paraId="079C228B" w14:textId="45DC98E9" w:rsidR="00855FE6" w:rsidRPr="00FB22AA" w:rsidRDefault="00855FE6" w:rsidP="00FB22AA">
      <w:pPr>
        <w:spacing w:line="360" w:lineRule="auto"/>
        <w:ind w:left="720" w:hanging="720"/>
        <w:jc w:val="both"/>
        <w:rPr>
          <w:rFonts w:ascii="Arial" w:hAnsi="Arial" w:cs="Arial"/>
          <w:color w:val="000000" w:themeColor="text1"/>
          <w:sz w:val="22"/>
          <w:szCs w:val="20"/>
        </w:rPr>
      </w:pPr>
      <w:r w:rsidRPr="00FB22AA">
        <w:rPr>
          <w:rFonts w:ascii="Arial" w:hAnsi="Arial" w:cs="Arial"/>
          <w:color w:val="000000" w:themeColor="text1"/>
          <w:sz w:val="22"/>
          <w:szCs w:val="20"/>
        </w:rPr>
        <w:t xml:space="preserve">WHO, (2022) </w:t>
      </w:r>
      <w:r w:rsidRPr="00FB22AA">
        <w:rPr>
          <w:rFonts w:ascii="Arial" w:hAnsi="Arial" w:cs="Arial"/>
          <w:i/>
          <w:iCs/>
          <w:color w:val="000000" w:themeColor="text1"/>
          <w:sz w:val="22"/>
          <w:szCs w:val="20"/>
        </w:rPr>
        <w:t xml:space="preserve">Vaccines in the Western Pacific. </w:t>
      </w:r>
      <w:r w:rsidRPr="00FB22AA">
        <w:rPr>
          <w:rFonts w:ascii="Arial" w:hAnsi="Arial" w:cs="Arial"/>
          <w:color w:val="000000" w:themeColor="text1"/>
          <w:sz w:val="22"/>
          <w:szCs w:val="20"/>
        </w:rPr>
        <w:t>Available at:</w:t>
      </w:r>
      <w:r w:rsidR="0072432E" w:rsidRPr="00FB22AA">
        <w:rPr>
          <w:rFonts w:ascii="Arial" w:hAnsi="Arial" w:cs="Arial"/>
          <w:color w:val="000000" w:themeColor="text1"/>
          <w:sz w:val="22"/>
          <w:szCs w:val="20"/>
        </w:rPr>
        <w:t xml:space="preserve"> </w:t>
      </w:r>
      <w:hyperlink r:id="rId21" w:history="1">
        <w:r w:rsidR="0072432E" w:rsidRPr="00FB22AA">
          <w:rPr>
            <w:rStyle w:val="Hyperlink"/>
            <w:rFonts w:ascii="Arial" w:hAnsi="Arial" w:cs="Arial"/>
            <w:sz w:val="22"/>
            <w:szCs w:val="20"/>
          </w:rPr>
          <w:t>https://www.who.int/westernpacific/health-topics/vaccines-and-immunization</w:t>
        </w:r>
      </w:hyperlink>
      <w:r w:rsidR="0072432E" w:rsidRPr="00FB22AA">
        <w:rPr>
          <w:rFonts w:ascii="Arial" w:hAnsi="Arial" w:cs="Arial"/>
          <w:color w:val="000000" w:themeColor="text1"/>
          <w:sz w:val="22"/>
          <w:szCs w:val="20"/>
        </w:rPr>
        <w:t xml:space="preserve"> (Accessed: 07.01.2022)</w:t>
      </w:r>
    </w:p>
    <w:p w14:paraId="7C3C781B" w14:textId="77777777" w:rsidR="0066566A" w:rsidRPr="00FB22AA" w:rsidRDefault="0066566A" w:rsidP="00FB22AA">
      <w:pPr>
        <w:spacing w:line="360" w:lineRule="auto"/>
        <w:ind w:left="720" w:hanging="720"/>
        <w:jc w:val="both"/>
        <w:rPr>
          <w:rFonts w:ascii="Arial" w:hAnsi="Arial" w:cs="Arial"/>
          <w:color w:val="000000" w:themeColor="text1"/>
          <w:sz w:val="22"/>
          <w:szCs w:val="20"/>
          <w:shd w:val="clear" w:color="auto" w:fill="FFFFFF"/>
        </w:rPr>
      </w:pPr>
      <w:r w:rsidRPr="00FB22AA">
        <w:rPr>
          <w:rFonts w:ascii="Arial" w:hAnsi="Arial" w:cs="Arial"/>
          <w:color w:val="000000" w:themeColor="text1"/>
          <w:sz w:val="22"/>
          <w:szCs w:val="20"/>
          <w:shd w:val="clear" w:color="auto" w:fill="FFFFFF"/>
        </w:rPr>
        <w:t>Woodall, J., White, J. and South, J., 2013. Improving health and well-being through community health champions: a thematic evaluation of a programme in Yorkshire and Humber. </w:t>
      </w:r>
      <w:r w:rsidRPr="00FB22AA">
        <w:rPr>
          <w:rFonts w:ascii="Arial" w:hAnsi="Arial" w:cs="Arial"/>
          <w:i/>
          <w:iCs/>
          <w:color w:val="000000" w:themeColor="text1"/>
          <w:sz w:val="22"/>
          <w:szCs w:val="20"/>
          <w:shd w:val="clear" w:color="auto" w:fill="FFFFFF"/>
        </w:rPr>
        <w:t>Perspectives in public health</w:t>
      </w:r>
      <w:r w:rsidRPr="00FB22AA">
        <w:rPr>
          <w:rFonts w:ascii="Arial" w:hAnsi="Arial" w:cs="Arial"/>
          <w:color w:val="000000" w:themeColor="text1"/>
          <w:sz w:val="22"/>
          <w:szCs w:val="20"/>
          <w:shd w:val="clear" w:color="auto" w:fill="FFFFFF"/>
        </w:rPr>
        <w:t>, </w:t>
      </w:r>
      <w:r w:rsidRPr="00FB22AA">
        <w:rPr>
          <w:rFonts w:ascii="Arial" w:hAnsi="Arial" w:cs="Arial"/>
          <w:i/>
          <w:iCs/>
          <w:color w:val="000000" w:themeColor="text1"/>
          <w:sz w:val="22"/>
          <w:szCs w:val="20"/>
          <w:shd w:val="clear" w:color="auto" w:fill="FFFFFF"/>
        </w:rPr>
        <w:t>133</w:t>
      </w:r>
      <w:r w:rsidRPr="00FB22AA">
        <w:rPr>
          <w:rFonts w:ascii="Arial" w:hAnsi="Arial" w:cs="Arial"/>
          <w:color w:val="000000" w:themeColor="text1"/>
          <w:sz w:val="22"/>
          <w:szCs w:val="20"/>
          <w:shd w:val="clear" w:color="auto" w:fill="FFFFFF"/>
        </w:rPr>
        <w:t>(2), pp.96-103.</w:t>
      </w:r>
    </w:p>
    <w:p w14:paraId="36D88DAF" w14:textId="77777777" w:rsidR="0066566A" w:rsidRPr="005C53F4" w:rsidRDefault="0066566A" w:rsidP="005C53F4">
      <w:pPr>
        <w:spacing w:line="360" w:lineRule="auto"/>
        <w:jc w:val="both"/>
        <w:rPr>
          <w:rFonts w:ascii="Arial" w:hAnsi="Arial" w:cs="Arial"/>
          <w:color w:val="000000" w:themeColor="text1"/>
        </w:rPr>
      </w:pPr>
    </w:p>
    <w:sectPr w:rsidR="0066566A" w:rsidRPr="005C53F4" w:rsidSect="00B113E3">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CF5C1" w14:textId="77777777" w:rsidR="0010160E" w:rsidRDefault="0010160E" w:rsidP="008F2E02">
      <w:pPr>
        <w:spacing w:after="0" w:line="240" w:lineRule="auto"/>
      </w:pPr>
      <w:r>
        <w:separator/>
      </w:r>
    </w:p>
  </w:endnote>
  <w:endnote w:type="continuationSeparator" w:id="0">
    <w:p w14:paraId="2CDCB6F7" w14:textId="77777777" w:rsidR="0010160E" w:rsidRDefault="0010160E" w:rsidP="008F2E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2C9F4" w14:textId="77777777" w:rsidR="00461CF9" w:rsidRDefault="00461C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430D7" w14:textId="77777777" w:rsidR="00461CF9" w:rsidRDefault="00461C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B330F8" w14:textId="77777777" w:rsidR="00461CF9" w:rsidRDefault="00461C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D5C48" w14:textId="77777777" w:rsidR="0010160E" w:rsidRDefault="0010160E" w:rsidP="008F2E02">
      <w:pPr>
        <w:spacing w:after="0" w:line="240" w:lineRule="auto"/>
      </w:pPr>
      <w:r>
        <w:separator/>
      </w:r>
    </w:p>
  </w:footnote>
  <w:footnote w:type="continuationSeparator" w:id="0">
    <w:p w14:paraId="5AEAD889" w14:textId="77777777" w:rsidR="0010160E" w:rsidRDefault="0010160E" w:rsidP="008F2E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6DCD0" w14:textId="77777777" w:rsidR="00461CF9" w:rsidRDefault="00461C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4604862"/>
      <w:docPartObj>
        <w:docPartGallery w:val="Page Numbers (Top of Page)"/>
        <w:docPartUnique/>
      </w:docPartObj>
    </w:sdtPr>
    <w:sdtEndPr>
      <w:rPr>
        <w:noProof/>
      </w:rPr>
    </w:sdtEndPr>
    <w:sdtContent>
      <w:p w14:paraId="6096584E" w14:textId="52AF7224" w:rsidR="00B113E3" w:rsidRDefault="00B113E3">
        <w:pPr>
          <w:pStyle w:val="Header"/>
          <w:jc w:val="right"/>
        </w:pPr>
        <w:r>
          <w:t xml:space="preserve">                                                                                                                             </w:t>
        </w:r>
        <w:r>
          <w:fldChar w:fldCharType="begin"/>
        </w:r>
        <w:r>
          <w:instrText xml:space="preserve"> PAGE   \* MERGEFORMAT </w:instrText>
        </w:r>
        <w:r>
          <w:fldChar w:fldCharType="separate"/>
        </w:r>
        <w:r w:rsidR="00350A0C">
          <w:rPr>
            <w:noProof/>
          </w:rPr>
          <w:t>14</w:t>
        </w:r>
        <w:r>
          <w:rPr>
            <w:noProof/>
          </w:rPr>
          <w:fldChar w:fldCharType="end"/>
        </w:r>
      </w:p>
    </w:sdtContent>
  </w:sdt>
  <w:p w14:paraId="02C68DB8" w14:textId="77777777" w:rsidR="00F54742" w:rsidRDefault="00F547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312DA" w14:textId="77777777" w:rsidR="00461CF9" w:rsidRDefault="00461C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16D8A"/>
    <w:multiLevelType w:val="hybridMultilevel"/>
    <w:tmpl w:val="6152E0BA"/>
    <w:lvl w:ilvl="0" w:tplc="AAEA5A4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6141476"/>
    <w:multiLevelType w:val="hybridMultilevel"/>
    <w:tmpl w:val="AA4A58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EC12D3"/>
    <w:multiLevelType w:val="multilevel"/>
    <w:tmpl w:val="D438009C"/>
    <w:lvl w:ilvl="0">
      <w:start w:val="1"/>
      <w:numFmt w:val="decimal"/>
      <w:lvlText w:val="%1."/>
      <w:lvlJc w:val="left"/>
      <w:pPr>
        <w:ind w:left="1080" w:hanging="360"/>
      </w:pPr>
      <w:rPr>
        <w:rFonts w:hint="default"/>
      </w:rPr>
    </w:lvl>
    <w:lvl w:ilvl="1">
      <w:start w:val="4"/>
      <w:numFmt w:val="decimal"/>
      <w:isLgl/>
      <w:lvlText w:val="%1.%2"/>
      <w:lvlJc w:val="left"/>
      <w:pPr>
        <w:ind w:left="1092" w:hanging="372"/>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2E02"/>
    <w:rsid w:val="000030F1"/>
    <w:rsid w:val="0001305D"/>
    <w:rsid w:val="00015E13"/>
    <w:rsid w:val="0002067A"/>
    <w:rsid w:val="00023E09"/>
    <w:rsid w:val="000272FD"/>
    <w:rsid w:val="00032B92"/>
    <w:rsid w:val="00035F45"/>
    <w:rsid w:val="000361AF"/>
    <w:rsid w:val="000400D7"/>
    <w:rsid w:val="00042530"/>
    <w:rsid w:val="00050F57"/>
    <w:rsid w:val="00051FF2"/>
    <w:rsid w:val="0005201B"/>
    <w:rsid w:val="00052E02"/>
    <w:rsid w:val="0005351A"/>
    <w:rsid w:val="00063357"/>
    <w:rsid w:val="0007261E"/>
    <w:rsid w:val="000742FC"/>
    <w:rsid w:val="00074C11"/>
    <w:rsid w:val="00075BAA"/>
    <w:rsid w:val="000824BB"/>
    <w:rsid w:val="0008386C"/>
    <w:rsid w:val="00084407"/>
    <w:rsid w:val="000850E1"/>
    <w:rsid w:val="000873BB"/>
    <w:rsid w:val="000918F6"/>
    <w:rsid w:val="000A361F"/>
    <w:rsid w:val="000A44DA"/>
    <w:rsid w:val="000A50EF"/>
    <w:rsid w:val="000A669A"/>
    <w:rsid w:val="000A6E47"/>
    <w:rsid w:val="000B1B7C"/>
    <w:rsid w:val="000B7E3F"/>
    <w:rsid w:val="000C3FDF"/>
    <w:rsid w:val="000C76EA"/>
    <w:rsid w:val="000D0424"/>
    <w:rsid w:val="000D51BA"/>
    <w:rsid w:val="000D79A6"/>
    <w:rsid w:val="000E1A0F"/>
    <w:rsid w:val="000F2BD9"/>
    <w:rsid w:val="000F48A9"/>
    <w:rsid w:val="000F728A"/>
    <w:rsid w:val="0010160E"/>
    <w:rsid w:val="001017C3"/>
    <w:rsid w:val="001019B1"/>
    <w:rsid w:val="00104971"/>
    <w:rsid w:val="00110EE5"/>
    <w:rsid w:val="00111107"/>
    <w:rsid w:val="00114CA3"/>
    <w:rsid w:val="0011708E"/>
    <w:rsid w:val="00130AE1"/>
    <w:rsid w:val="0013260C"/>
    <w:rsid w:val="00134031"/>
    <w:rsid w:val="00140A2A"/>
    <w:rsid w:val="00143433"/>
    <w:rsid w:val="00143F97"/>
    <w:rsid w:val="00144D1B"/>
    <w:rsid w:val="00151801"/>
    <w:rsid w:val="00151DA0"/>
    <w:rsid w:val="00154EDA"/>
    <w:rsid w:val="00155E51"/>
    <w:rsid w:val="0016183A"/>
    <w:rsid w:val="00165C33"/>
    <w:rsid w:val="0016625D"/>
    <w:rsid w:val="001704E8"/>
    <w:rsid w:val="00173751"/>
    <w:rsid w:val="00174080"/>
    <w:rsid w:val="00176489"/>
    <w:rsid w:val="001778A6"/>
    <w:rsid w:val="0018253E"/>
    <w:rsid w:val="0018357A"/>
    <w:rsid w:val="001868D8"/>
    <w:rsid w:val="00190D16"/>
    <w:rsid w:val="00191D54"/>
    <w:rsid w:val="00192529"/>
    <w:rsid w:val="00192D6C"/>
    <w:rsid w:val="00195556"/>
    <w:rsid w:val="001B25EB"/>
    <w:rsid w:val="001B2AA8"/>
    <w:rsid w:val="001B3EB2"/>
    <w:rsid w:val="001B5DC5"/>
    <w:rsid w:val="001B7FCE"/>
    <w:rsid w:val="001C2975"/>
    <w:rsid w:val="001C5D4E"/>
    <w:rsid w:val="001C704B"/>
    <w:rsid w:val="001D1BB9"/>
    <w:rsid w:val="001D50A6"/>
    <w:rsid w:val="001D5D83"/>
    <w:rsid w:val="001E010C"/>
    <w:rsid w:val="001E015A"/>
    <w:rsid w:val="001E2F68"/>
    <w:rsid w:val="001E50CC"/>
    <w:rsid w:val="001E5174"/>
    <w:rsid w:val="00201A6D"/>
    <w:rsid w:val="002057EE"/>
    <w:rsid w:val="00207358"/>
    <w:rsid w:val="00213F31"/>
    <w:rsid w:val="00214CF2"/>
    <w:rsid w:val="002204A9"/>
    <w:rsid w:val="00221D97"/>
    <w:rsid w:val="00223797"/>
    <w:rsid w:val="002254C6"/>
    <w:rsid w:val="00230D61"/>
    <w:rsid w:val="0023112E"/>
    <w:rsid w:val="00231F89"/>
    <w:rsid w:val="00235BDC"/>
    <w:rsid w:val="00235E66"/>
    <w:rsid w:val="0023659D"/>
    <w:rsid w:val="00236EB8"/>
    <w:rsid w:val="00242DBB"/>
    <w:rsid w:val="00256A14"/>
    <w:rsid w:val="002630D7"/>
    <w:rsid w:val="00265268"/>
    <w:rsid w:val="002667F3"/>
    <w:rsid w:val="002677C4"/>
    <w:rsid w:val="00274875"/>
    <w:rsid w:val="00283283"/>
    <w:rsid w:val="002926BF"/>
    <w:rsid w:val="00292A67"/>
    <w:rsid w:val="00292AA7"/>
    <w:rsid w:val="002A193E"/>
    <w:rsid w:val="002A3F74"/>
    <w:rsid w:val="002A430A"/>
    <w:rsid w:val="002A540E"/>
    <w:rsid w:val="002A73C1"/>
    <w:rsid w:val="002C498F"/>
    <w:rsid w:val="002D0A0E"/>
    <w:rsid w:val="002D5CAE"/>
    <w:rsid w:val="002D62C6"/>
    <w:rsid w:val="002E000A"/>
    <w:rsid w:val="002E2809"/>
    <w:rsid w:val="002E2A99"/>
    <w:rsid w:val="002E2AE9"/>
    <w:rsid w:val="002E335C"/>
    <w:rsid w:val="002F09C5"/>
    <w:rsid w:val="002F391E"/>
    <w:rsid w:val="002F4855"/>
    <w:rsid w:val="002F752E"/>
    <w:rsid w:val="002F763F"/>
    <w:rsid w:val="00305F81"/>
    <w:rsid w:val="003071E9"/>
    <w:rsid w:val="00307BCA"/>
    <w:rsid w:val="00307D49"/>
    <w:rsid w:val="00310D12"/>
    <w:rsid w:val="003115EC"/>
    <w:rsid w:val="00315D43"/>
    <w:rsid w:val="003324B2"/>
    <w:rsid w:val="003353DD"/>
    <w:rsid w:val="00337D58"/>
    <w:rsid w:val="00342387"/>
    <w:rsid w:val="00344124"/>
    <w:rsid w:val="00346EC9"/>
    <w:rsid w:val="00350A0C"/>
    <w:rsid w:val="00354BB7"/>
    <w:rsid w:val="00354EE5"/>
    <w:rsid w:val="003574DF"/>
    <w:rsid w:val="00365091"/>
    <w:rsid w:val="00367904"/>
    <w:rsid w:val="003706FA"/>
    <w:rsid w:val="00373E15"/>
    <w:rsid w:val="0038264A"/>
    <w:rsid w:val="003830A0"/>
    <w:rsid w:val="00385BC6"/>
    <w:rsid w:val="0038653F"/>
    <w:rsid w:val="00391DC1"/>
    <w:rsid w:val="003A32EE"/>
    <w:rsid w:val="003A41D2"/>
    <w:rsid w:val="003A590C"/>
    <w:rsid w:val="003B0AC5"/>
    <w:rsid w:val="003B40E9"/>
    <w:rsid w:val="003B6B40"/>
    <w:rsid w:val="003B7016"/>
    <w:rsid w:val="003C0CC1"/>
    <w:rsid w:val="003C1F41"/>
    <w:rsid w:val="003C5363"/>
    <w:rsid w:val="003C6B62"/>
    <w:rsid w:val="003D1232"/>
    <w:rsid w:val="003D3FE0"/>
    <w:rsid w:val="003D4731"/>
    <w:rsid w:val="003D5624"/>
    <w:rsid w:val="003D5ADB"/>
    <w:rsid w:val="003E0A66"/>
    <w:rsid w:val="003E188C"/>
    <w:rsid w:val="003E4927"/>
    <w:rsid w:val="003F07F6"/>
    <w:rsid w:val="003F35AB"/>
    <w:rsid w:val="0040347E"/>
    <w:rsid w:val="00403B9C"/>
    <w:rsid w:val="00412BD1"/>
    <w:rsid w:val="0041300B"/>
    <w:rsid w:val="00416784"/>
    <w:rsid w:val="004179BF"/>
    <w:rsid w:val="004218A0"/>
    <w:rsid w:val="00422A6C"/>
    <w:rsid w:val="00422EFC"/>
    <w:rsid w:val="00434637"/>
    <w:rsid w:val="00436ADE"/>
    <w:rsid w:val="00437608"/>
    <w:rsid w:val="00442AF2"/>
    <w:rsid w:val="0044431E"/>
    <w:rsid w:val="00450F8D"/>
    <w:rsid w:val="00455B05"/>
    <w:rsid w:val="00461CF9"/>
    <w:rsid w:val="00464574"/>
    <w:rsid w:val="00467CEB"/>
    <w:rsid w:val="00474B9B"/>
    <w:rsid w:val="00475F15"/>
    <w:rsid w:val="004800E0"/>
    <w:rsid w:val="00483845"/>
    <w:rsid w:val="0048478F"/>
    <w:rsid w:val="004918BE"/>
    <w:rsid w:val="004A58DC"/>
    <w:rsid w:val="004B487A"/>
    <w:rsid w:val="004B7094"/>
    <w:rsid w:val="004B75D9"/>
    <w:rsid w:val="004C3AB5"/>
    <w:rsid w:val="004D12DF"/>
    <w:rsid w:val="004D208F"/>
    <w:rsid w:val="004D2C49"/>
    <w:rsid w:val="004D5348"/>
    <w:rsid w:val="004D5872"/>
    <w:rsid w:val="004E71BB"/>
    <w:rsid w:val="004E7A09"/>
    <w:rsid w:val="004F13B1"/>
    <w:rsid w:val="004F73BB"/>
    <w:rsid w:val="00500CD0"/>
    <w:rsid w:val="00505694"/>
    <w:rsid w:val="00511BC5"/>
    <w:rsid w:val="0051413D"/>
    <w:rsid w:val="00520A1B"/>
    <w:rsid w:val="00521E16"/>
    <w:rsid w:val="0052449C"/>
    <w:rsid w:val="00530048"/>
    <w:rsid w:val="00543638"/>
    <w:rsid w:val="005447BF"/>
    <w:rsid w:val="00550405"/>
    <w:rsid w:val="005517C4"/>
    <w:rsid w:val="00551A2D"/>
    <w:rsid w:val="005529BD"/>
    <w:rsid w:val="005632D1"/>
    <w:rsid w:val="00564C26"/>
    <w:rsid w:val="00567744"/>
    <w:rsid w:val="00572718"/>
    <w:rsid w:val="0058061C"/>
    <w:rsid w:val="00580BDC"/>
    <w:rsid w:val="005839B7"/>
    <w:rsid w:val="00583F40"/>
    <w:rsid w:val="00586715"/>
    <w:rsid w:val="00592E6F"/>
    <w:rsid w:val="00595B50"/>
    <w:rsid w:val="0059657E"/>
    <w:rsid w:val="005974A7"/>
    <w:rsid w:val="005A07FE"/>
    <w:rsid w:val="005B32D6"/>
    <w:rsid w:val="005B52CD"/>
    <w:rsid w:val="005B6957"/>
    <w:rsid w:val="005C0EA7"/>
    <w:rsid w:val="005C293E"/>
    <w:rsid w:val="005C53F4"/>
    <w:rsid w:val="005D3828"/>
    <w:rsid w:val="005E5C1A"/>
    <w:rsid w:val="005E69EB"/>
    <w:rsid w:val="005E6F4D"/>
    <w:rsid w:val="005E7848"/>
    <w:rsid w:val="005F7174"/>
    <w:rsid w:val="006031C8"/>
    <w:rsid w:val="0061334B"/>
    <w:rsid w:val="00614445"/>
    <w:rsid w:val="0061522D"/>
    <w:rsid w:val="00615755"/>
    <w:rsid w:val="00624383"/>
    <w:rsid w:val="00625D0E"/>
    <w:rsid w:val="0063447B"/>
    <w:rsid w:val="00641EC2"/>
    <w:rsid w:val="006431D3"/>
    <w:rsid w:val="006432F0"/>
    <w:rsid w:val="006456F2"/>
    <w:rsid w:val="00660F6B"/>
    <w:rsid w:val="00662B02"/>
    <w:rsid w:val="006632F4"/>
    <w:rsid w:val="0066559E"/>
    <w:rsid w:val="0066566A"/>
    <w:rsid w:val="00672C13"/>
    <w:rsid w:val="00672C90"/>
    <w:rsid w:val="0067363E"/>
    <w:rsid w:val="00673F81"/>
    <w:rsid w:val="00674619"/>
    <w:rsid w:val="006750AC"/>
    <w:rsid w:val="00675513"/>
    <w:rsid w:val="00682420"/>
    <w:rsid w:val="00682848"/>
    <w:rsid w:val="00687905"/>
    <w:rsid w:val="00692F2B"/>
    <w:rsid w:val="00693220"/>
    <w:rsid w:val="006A0CEA"/>
    <w:rsid w:val="006A41C9"/>
    <w:rsid w:val="006A715E"/>
    <w:rsid w:val="006B1220"/>
    <w:rsid w:val="006B1E50"/>
    <w:rsid w:val="006B51F5"/>
    <w:rsid w:val="006B7FAB"/>
    <w:rsid w:val="006C31A4"/>
    <w:rsid w:val="006F36D0"/>
    <w:rsid w:val="006F3BC7"/>
    <w:rsid w:val="006F5BD9"/>
    <w:rsid w:val="006F626A"/>
    <w:rsid w:val="006F7364"/>
    <w:rsid w:val="006F79E9"/>
    <w:rsid w:val="006F7B84"/>
    <w:rsid w:val="007006C8"/>
    <w:rsid w:val="0070132F"/>
    <w:rsid w:val="00703260"/>
    <w:rsid w:val="0070731E"/>
    <w:rsid w:val="00710211"/>
    <w:rsid w:val="00710690"/>
    <w:rsid w:val="00720DEB"/>
    <w:rsid w:val="00721C85"/>
    <w:rsid w:val="00722E34"/>
    <w:rsid w:val="00724021"/>
    <w:rsid w:val="0072432E"/>
    <w:rsid w:val="007249AC"/>
    <w:rsid w:val="007254EF"/>
    <w:rsid w:val="00737B22"/>
    <w:rsid w:val="0074133E"/>
    <w:rsid w:val="00741FB7"/>
    <w:rsid w:val="00743011"/>
    <w:rsid w:val="00743549"/>
    <w:rsid w:val="00751E53"/>
    <w:rsid w:val="00755771"/>
    <w:rsid w:val="00764C31"/>
    <w:rsid w:val="00787035"/>
    <w:rsid w:val="00787A79"/>
    <w:rsid w:val="00787F06"/>
    <w:rsid w:val="00790689"/>
    <w:rsid w:val="00792BF9"/>
    <w:rsid w:val="00794403"/>
    <w:rsid w:val="007A1524"/>
    <w:rsid w:val="007A54FD"/>
    <w:rsid w:val="007A6544"/>
    <w:rsid w:val="007B1557"/>
    <w:rsid w:val="007B20A5"/>
    <w:rsid w:val="007B4D24"/>
    <w:rsid w:val="007B6827"/>
    <w:rsid w:val="007B7456"/>
    <w:rsid w:val="007C0661"/>
    <w:rsid w:val="007C33C3"/>
    <w:rsid w:val="007C50F9"/>
    <w:rsid w:val="007C7A9E"/>
    <w:rsid w:val="007D5EEE"/>
    <w:rsid w:val="007E4CEC"/>
    <w:rsid w:val="007F09D5"/>
    <w:rsid w:val="007F1644"/>
    <w:rsid w:val="007F19C1"/>
    <w:rsid w:val="007F36BF"/>
    <w:rsid w:val="007F3B7D"/>
    <w:rsid w:val="007F3F5C"/>
    <w:rsid w:val="007F4DCD"/>
    <w:rsid w:val="007F63E3"/>
    <w:rsid w:val="0080104B"/>
    <w:rsid w:val="00801B03"/>
    <w:rsid w:val="00801E57"/>
    <w:rsid w:val="00802A1C"/>
    <w:rsid w:val="008130AF"/>
    <w:rsid w:val="00817361"/>
    <w:rsid w:val="0082520A"/>
    <w:rsid w:val="0082599F"/>
    <w:rsid w:val="00833D0A"/>
    <w:rsid w:val="008420CE"/>
    <w:rsid w:val="008437AF"/>
    <w:rsid w:val="00843C21"/>
    <w:rsid w:val="008467D7"/>
    <w:rsid w:val="008544C6"/>
    <w:rsid w:val="00855FE6"/>
    <w:rsid w:val="008565DB"/>
    <w:rsid w:val="00856CA8"/>
    <w:rsid w:val="00857DDA"/>
    <w:rsid w:val="0086294A"/>
    <w:rsid w:val="00865DAD"/>
    <w:rsid w:val="0088063B"/>
    <w:rsid w:val="00880761"/>
    <w:rsid w:val="00881438"/>
    <w:rsid w:val="00882527"/>
    <w:rsid w:val="00893C36"/>
    <w:rsid w:val="00897C99"/>
    <w:rsid w:val="008A7A52"/>
    <w:rsid w:val="008B2544"/>
    <w:rsid w:val="008B278B"/>
    <w:rsid w:val="008B3649"/>
    <w:rsid w:val="008B6360"/>
    <w:rsid w:val="008C4EBE"/>
    <w:rsid w:val="008C5B9F"/>
    <w:rsid w:val="008C5EF2"/>
    <w:rsid w:val="008D1508"/>
    <w:rsid w:val="008D1FBA"/>
    <w:rsid w:val="008E21DD"/>
    <w:rsid w:val="008F2E02"/>
    <w:rsid w:val="008F35DD"/>
    <w:rsid w:val="00903223"/>
    <w:rsid w:val="00904698"/>
    <w:rsid w:val="00906533"/>
    <w:rsid w:val="00906A71"/>
    <w:rsid w:val="00907E13"/>
    <w:rsid w:val="00913F78"/>
    <w:rsid w:val="00916A1E"/>
    <w:rsid w:val="00920507"/>
    <w:rsid w:val="0092418D"/>
    <w:rsid w:val="00924939"/>
    <w:rsid w:val="00926328"/>
    <w:rsid w:val="00927110"/>
    <w:rsid w:val="00937EEE"/>
    <w:rsid w:val="00940E59"/>
    <w:rsid w:val="00942323"/>
    <w:rsid w:val="00943C73"/>
    <w:rsid w:val="009478F2"/>
    <w:rsid w:val="00954BC1"/>
    <w:rsid w:val="00976F96"/>
    <w:rsid w:val="009829AD"/>
    <w:rsid w:val="00986128"/>
    <w:rsid w:val="0099429F"/>
    <w:rsid w:val="00997DB8"/>
    <w:rsid w:val="009A2094"/>
    <w:rsid w:val="009A32F7"/>
    <w:rsid w:val="009A3836"/>
    <w:rsid w:val="009B1E14"/>
    <w:rsid w:val="009B5B83"/>
    <w:rsid w:val="009C177D"/>
    <w:rsid w:val="009C4000"/>
    <w:rsid w:val="009C6E2F"/>
    <w:rsid w:val="009D36F0"/>
    <w:rsid w:val="009D4C93"/>
    <w:rsid w:val="009D525B"/>
    <w:rsid w:val="009E073C"/>
    <w:rsid w:val="009E69BC"/>
    <w:rsid w:val="009E7DB8"/>
    <w:rsid w:val="009F0E27"/>
    <w:rsid w:val="009F0F6E"/>
    <w:rsid w:val="009F25F8"/>
    <w:rsid w:val="009F4DDA"/>
    <w:rsid w:val="00A004F7"/>
    <w:rsid w:val="00A01C0D"/>
    <w:rsid w:val="00A03E3A"/>
    <w:rsid w:val="00A04600"/>
    <w:rsid w:val="00A073AF"/>
    <w:rsid w:val="00A16FFB"/>
    <w:rsid w:val="00A20689"/>
    <w:rsid w:val="00A206A6"/>
    <w:rsid w:val="00A245BF"/>
    <w:rsid w:val="00A24C58"/>
    <w:rsid w:val="00A24E7F"/>
    <w:rsid w:val="00A3584A"/>
    <w:rsid w:val="00A368AC"/>
    <w:rsid w:val="00A4588F"/>
    <w:rsid w:val="00A47FAF"/>
    <w:rsid w:val="00A52B16"/>
    <w:rsid w:val="00A55C15"/>
    <w:rsid w:val="00A65678"/>
    <w:rsid w:val="00A709E6"/>
    <w:rsid w:val="00A71B2A"/>
    <w:rsid w:val="00A758FF"/>
    <w:rsid w:val="00A76EFD"/>
    <w:rsid w:val="00A80161"/>
    <w:rsid w:val="00A84FB2"/>
    <w:rsid w:val="00A877D7"/>
    <w:rsid w:val="00A95CEE"/>
    <w:rsid w:val="00AA469D"/>
    <w:rsid w:val="00AA4D0D"/>
    <w:rsid w:val="00AA5DB1"/>
    <w:rsid w:val="00AA79D3"/>
    <w:rsid w:val="00AB54A9"/>
    <w:rsid w:val="00AB7BE9"/>
    <w:rsid w:val="00AC0150"/>
    <w:rsid w:val="00AC287A"/>
    <w:rsid w:val="00AC37DA"/>
    <w:rsid w:val="00AC5430"/>
    <w:rsid w:val="00AC7764"/>
    <w:rsid w:val="00AD00D4"/>
    <w:rsid w:val="00AE0229"/>
    <w:rsid w:val="00AE16B5"/>
    <w:rsid w:val="00AE3058"/>
    <w:rsid w:val="00AE3585"/>
    <w:rsid w:val="00AE47C9"/>
    <w:rsid w:val="00B0008A"/>
    <w:rsid w:val="00B07A7E"/>
    <w:rsid w:val="00B113E3"/>
    <w:rsid w:val="00B14A88"/>
    <w:rsid w:val="00B153BF"/>
    <w:rsid w:val="00B1546F"/>
    <w:rsid w:val="00B20301"/>
    <w:rsid w:val="00B220EC"/>
    <w:rsid w:val="00B31B53"/>
    <w:rsid w:val="00B4059F"/>
    <w:rsid w:val="00B418DD"/>
    <w:rsid w:val="00B452C1"/>
    <w:rsid w:val="00B477C1"/>
    <w:rsid w:val="00B5346A"/>
    <w:rsid w:val="00B557CD"/>
    <w:rsid w:val="00B56D8B"/>
    <w:rsid w:val="00B661BA"/>
    <w:rsid w:val="00B72322"/>
    <w:rsid w:val="00B801C4"/>
    <w:rsid w:val="00B834B8"/>
    <w:rsid w:val="00B84213"/>
    <w:rsid w:val="00B844FD"/>
    <w:rsid w:val="00B85AF7"/>
    <w:rsid w:val="00B90746"/>
    <w:rsid w:val="00B955B3"/>
    <w:rsid w:val="00B95ED9"/>
    <w:rsid w:val="00BA08A1"/>
    <w:rsid w:val="00BA0982"/>
    <w:rsid w:val="00BA1415"/>
    <w:rsid w:val="00BA6B38"/>
    <w:rsid w:val="00BA7046"/>
    <w:rsid w:val="00BB17D2"/>
    <w:rsid w:val="00BB32B3"/>
    <w:rsid w:val="00BB3D68"/>
    <w:rsid w:val="00BB4181"/>
    <w:rsid w:val="00BB50E0"/>
    <w:rsid w:val="00BB57DF"/>
    <w:rsid w:val="00BB7949"/>
    <w:rsid w:val="00BC1709"/>
    <w:rsid w:val="00BC3288"/>
    <w:rsid w:val="00BC3FBA"/>
    <w:rsid w:val="00BD3840"/>
    <w:rsid w:val="00BF681A"/>
    <w:rsid w:val="00C0079E"/>
    <w:rsid w:val="00C029EE"/>
    <w:rsid w:val="00C02DFF"/>
    <w:rsid w:val="00C0389F"/>
    <w:rsid w:val="00C1288D"/>
    <w:rsid w:val="00C13F10"/>
    <w:rsid w:val="00C15A37"/>
    <w:rsid w:val="00C16ACB"/>
    <w:rsid w:val="00C2655C"/>
    <w:rsid w:val="00C27F8F"/>
    <w:rsid w:val="00C37B8D"/>
    <w:rsid w:val="00C407CA"/>
    <w:rsid w:val="00C40B6D"/>
    <w:rsid w:val="00C42E89"/>
    <w:rsid w:val="00C44176"/>
    <w:rsid w:val="00C51E71"/>
    <w:rsid w:val="00C521E8"/>
    <w:rsid w:val="00C533CF"/>
    <w:rsid w:val="00C553E3"/>
    <w:rsid w:val="00C564A0"/>
    <w:rsid w:val="00C663C0"/>
    <w:rsid w:val="00C66665"/>
    <w:rsid w:val="00C66AB0"/>
    <w:rsid w:val="00C67BC0"/>
    <w:rsid w:val="00C71BBB"/>
    <w:rsid w:val="00C74AE3"/>
    <w:rsid w:val="00C80631"/>
    <w:rsid w:val="00C93F83"/>
    <w:rsid w:val="00C97F69"/>
    <w:rsid w:val="00CA2103"/>
    <w:rsid w:val="00CA3CE5"/>
    <w:rsid w:val="00CA7310"/>
    <w:rsid w:val="00CB026A"/>
    <w:rsid w:val="00CC1213"/>
    <w:rsid w:val="00CD5BD1"/>
    <w:rsid w:val="00CE0349"/>
    <w:rsid w:val="00CE4BCD"/>
    <w:rsid w:val="00CE63DC"/>
    <w:rsid w:val="00CF1B56"/>
    <w:rsid w:val="00CF5578"/>
    <w:rsid w:val="00D028E7"/>
    <w:rsid w:val="00D06765"/>
    <w:rsid w:val="00D116BE"/>
    <w:rsid w:val="00D12C6B"/>
    <w:rsid w:val="00D147FB"/>
    <w:rsid w:val="00D20AE9"/>
    <w:rsid w:val="00D20B55"/>
    <w:rsid w:val="00D232D5"/>
    <w:rsid w:val="00D25FBB"/>
    <w:rsid w:val="00D26752"/>
    <w:rsid w:val="00D27967"/>
    <w:rsid w:val="00D333CC"/>
    <w:rsid w:val="00D349B5"/>
    <w:rsid w:val="00D35434"/>
    <w:rsid w:val="00D3746A"/>
    <w:rsid w:val="00D37FA8"/>
    <w:rsid w:val="00D47893"/>
    <w:rsid w:val="00D55D88"/>
    <w:rsid w:val="00D56F21"/>
    <w:rsid w:val="00D65324"/>
    <w:rsid w:val="00D6654C"/>
    <w:rsid w:val="00D702FF"/>
    <w:rsid w:val="00D74FBE"/>
    <w:rsid w:val="00D76BB9"/>
    <w:rsid w:val="00D80749"/>
    <w:rsid w:val="00D87673"/>
    <w:rsid w:val="00D9154A"/>
    <w:rsid w:val="00D959A1"/>
    <w:rsid w:val="00DA1F3D"/>
    <w:rsid w:val="00DB2F54"/>
    <w:rsid w:val="00DB562F"/>
    <w:rsid w:val="00DC0C6A"/>
    <w:rsid w:val="00DC0E93"/>
    <w:rsid w:val="00DD172D"/>
    <w:rsid w:val="00DD7629"/>
    <w:rsid w:val="00DE0DD8"/>
    <w:rsid w:val="00DE294B"/>
    <w:rsid w:val="00DE42EA"/>
    <w:rsid w:val="00DE5FBF"/>
    <w:rsid w:val="00DF04F4"/>
    <w:rsid w:val="00DF0E92"/>
    <w:rsid w:val="00DF2F32"/>
    <w:rsid w:val="00DF46B2"/>
    <w:rsid w:val="00E019E9"/>
    <w:rsid w:val="00E028EC"/>
    <w:rsid w:val="00E0542B"/>
    <w:rsid w:val="00E058CA"/>
    <w:rsid w:val="00E066F6"/>
    <w:rsid w:val="00E06DC8"/>
    <w:rsid w:val="00E07338"/>
    <w:rsid w:val="00E17AD3"/>
    <w:rsid w:val="00E25BA1"/>
    <w:rsid w:val="00E25D43"/>
    <w:rsid w:val="00E2691B"/>
    <w:rsid w:val="00E34958"/>
    <w:rsid w:val="00E371B5"/>
    <w:rsid w:val="00E4151C"/>
    <w:rsid w:val="00E42FB3"/>
    <w:rsid w:val="00E615E2"/>
    <w:rsid w:val="00E62E5F"/>
    <w:rsid w:val="00E62EA5"/>
    <w:rsid w:val="00E64B33"/>
    <w:rsid w:val="00E66A9B"/>
    <w:rsid w:val="00E748C1"/>
    <w:rsid w:val="00E756F4"/>
    <w:rsid w:val="00E76011"/>
    <w:rsid w:val="00E82833"/>
    <w:rsid w:val="00E87B26"/>
    <w:rsid w:val="00E931E7"/>
    <w:rsid w:val="00E93412"/>
    <w:rsid w:val="00E949CE"/>
    <w:rsid w:val="00E97DFB"/>
    <w:rsid w:val="00EA6D35"/>
    <w:rsid w:val="00EB15C8"/>
    <w:rsid w:val="00EB3819"/>
    <w:rsid w:val="00EB42B1"/>
    <w:rsid w:val="00EB437C"/>
    <w:rsid w:val="00EB7799"/>
    <w:rsid w:val="00EC1023"/>
    <w:rsid w:val="00EC2D18"/>
    <w:rsid w:val="00ED18F8"/>
    <w:rsid w:val="00ED57F7"/>
    <w:rsid w:val="00ED7318"/>
    <w:rsid w:val="00EE134F"/>
    <w:rsid w:val="00EE437F"/>
    <w:rsid w:val="00EE5ABF"/>
    <w:rsid w:val="00EE6714"/>
    <w:rsid w:val="00EF0FFD"/>
    <w:rsid w:val="00EF2097"/>
    <w:rsid w:val="00EF407B"/>
    <w:rsid w:val="00EF4483"/>
    <w:rsid w:val="00EF55D1"/>
    <w:rsid w:val="00F074ED"/>
    <w:rsid w:val="00F0766B"/>
    <w:rsid w:val="00F23DE4"/>
    <w:rsid w:val="00F30761"/>
    <w:rsid w:val="00F42473"/>
    <w:rsid w:val="00F4650F"/>
    <w:rsid w:val="00F51481"/>
    <w:rsid w:val="00F52CE2"/>
    <w:rsid w:val="00F54471"/>
    <w:rsid w:val="00F54742"/>
    <w:rsid w:val="00F552A7"/>
    <w:rsid w:val="00F571F1"/>
    <w:rsid w:val="00F6050F"/>
    <w:rsid w:val="00F61039"/>
    <w:rsid w:val="00F64BA3"/>
    <w:rsid w:val="00F66EC2"/>
    <w:rsid w:val="00F70AD4"/>
    <w:rsid w:val="00F73292"/>
    <w:rsid w:val="00F804D9"/>
    <w:rsid w:val="00F8067F"/>
    <w:rsid w:val="00F809C6"/>
    <w:rsid w:val="00F87DAE"/>
    <w:rsid w:val="00F93238"/>
    <w:rsid w:val="00F94436"/>
    <w:rsid w:val="00F96981"/>
    <w:rsid w:val="00FA5BA1"/>
    <w:rsid w:val="00FB18D2"/>
    <w:rsid w:val="00FB22AA"/>
    <w:rsid w:val="00FB51FC"/>
    <w:rsid w:val="00FB5F6F"/>
    <w:rsid w:val="00FB6599"/>
    <w:rsid w:val="00FC4DDD"/>
    <w:rsid w:val="00FC6B3D"/>
    <w:rsid w:val="00FC73AB"/>
    <w:rsid w:val="00FD04A0"/>
    <w:rsid w:val="00FD6EDC"/>
    <w:rsid w:val="00FD772C"/>
    <w:rsid w:val="00FE18D1"/>
    <w:rsid w:val="00FE360C"/>
    <w:rsid w:val="00FE440E"/>
    <w:rsid w:val="00FF0796"/>
    <w:rsid w:val="00FF2D24"/>
    <w:rsid w:val="00FF3600"/>
    <w:rsid w:val="00FF41EB"/>
    <w:rsid w:val="00FF63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5B14AD"/>
  <w15:chartTrackingRefBased/>
  <w15:docId w15:val="{C748486B-277D-4993-B0B7-2BC05CDC4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3E3"/>
    <w:pPr>
      <w:spacing w:line="480" w:lineRule="auto"/>
    </w:pPr>
    <w:rPr>
      <w:rFonts w:ascii="Times New Roman" w:hAnsi="Times New Roman"/>
      <w:sz w:val="24"/>
    </w:rPr>
  </w:style>
  <w:style w:type="paragraph" w:styleId="Heading1">
    <w:name w:val="heading 1"/>
    <w:basedOn w:val="NormalWeb"/>
    <w:next w:val="Normal"/>
    <w:link w:val="Heading1Char"/>
    <w:uiPriority w:val="9"/>
    <w:qFormat/>
    <w:rsid w:val="00E371B5"/>
    <w:pPr>
      <w:spacing w:before="100" w:beforeAutospacing="1" w:after="100" w:afterAutospacing="1"/>
      <w:ind w:firstLine="720"/>
      <w:jc w:val="both"/>
      <w:outlineLvl w:val="0"/>
    </w:pPr>
    <w:rPr>
      <w:rFonts w:eastAsia="Times New Roman"/>
      <w:b/>
      <w:color w:val="000000" w:themeColor="text1"/>
      <w:spacing w:val="2"/>
    </w:rPr>
  </w:style>
  <w:style w:type="paragraph" w:styleId="Heading2">
    <w:name w:val="heading 2"/>
    <w:basedOn w:val="Normal"/>
    <w:next w:val="Normal"/>
    <w:link w:val="Heading2Char"/>
    <w:uiPriority w:val="9"/>
    <w:unhideWhenUsed/>
    <w:qFormat/>
    <w:rsid w:val="00E371B5"/>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E371B5"/>
    <w:pPr>
      <w:keepNext/>
      <w:keepLines/>
      <w:spacing w:before="40" w:after="0"/>
      <w:jc w:val="both"/>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1B5"/>
    <w:rPr>
      <w:rFonts w:ascii="Times New Roman" w:eastAsia="Times New Roman" w:hAnsi="Times New Roman" w:cs="Times New Roman"/>
      <w:b/>
      <w:color w:val="000000" w:themeColor="text1"/>
      <w:spacing w:val="2"/>
      <w:sz w:val="24"/>
      <w:szCs w:val="24"/>
    </w:rPr>
  </w:style>
  <w:style w:type="paragraph" w:styleId="NormalWeb">
    <w:name w:val="Normal (Web)"/>
    <w:basedOn w:val="Normal"/>
    <w:uiPriority w:val="99"/>
    <w:unhideWhenUsed/>
    <w:rsid w:val="00E371B5"/>
    <w:rPr>
      <w:rFonts w:cs="Times New Roman"/>
      <w:szCs w:val="24"/>
    </w:rPr>
  </w:style>
  <w:style w:type="character" w:customStyle="1" w:styleId="Heading2Char">
    <w:name w:val="Heading 2 Char"/>
    <w:basedOn w:val="DefaultParagraphFont"/>
    <w:link w:val="Heading2"/>
    <w:uiPriority w:val="9"/>
    <w:rsid w:val="00E371B5"/>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E371B5"/>
    <w:rPr>
      <w:rFonts w:ascii="Times New Roman" w:eastAsiaTheme="majorEastAsia" w:hAnsi="Times New Roman" w:cstheme="majorBidi"/>
      <w:b/>
      <w:i/>
      <w:color w:val="000000" w:themeColor="text1"/>
      <w:sz w:val="24"/>
      <w:szCs w:val="24"/>
    </w:rPr>
  </w:style>
  <w:style w:type="paragraph" w:styleId="TOCHeading">
    <w:name w:val="TOC Heading"/>
    <w:basedOn w:val="Heading1"/>
    <w:next w:val="Normal"/>
    <w:uiPriority w:val="39"/>
    <w:unhideWhenUsed/>
    <w:qFormat/>
    <w:rsid w:val="008F2E02"/>
    <w:pPr>
      <w:keepNext/>
      <w:keepLines/>
      <w:spacing w:before="240" w:beforeAutospacing="0" w:after="0" w:afterAutospacing="0" w:line="259" w:lineRule="auto"/>
      <w:ind w:firstLine="0"/>
      <w:jc w:val="left"/>
      <w:outlineLvl w:val="9"/>
    </w:pPr>
    <w:rPr>
      <w:rFonts w:asciiTheme="majorHAnsi" w:eastAsiaTheme="majorEastAsia" w:hAnsiTheme="majorHAnsi" w:cstheme="majorBidi"/>
      <w:b w:val="0"/>
      <w:color w:val="2F5496" w:themeColor="accent1" w:themeShade="BF"/>
      <w:spacing w:val="0"/>
      <w:sz w:val="32"/>
      <w:szCs w:val="32"/>
    </w:rPr>
  </w:style>
  <w:style w:type="paragraph" w:styleId="TOC1">
    <w:name w:val="toc 1"/>
    <w:basedOn w:val="Normal"/>
    <w:next w:val="Normal"/>
    <w:autoRedefine/>
    <w:uiPriority w:val="39"/>
    <w:unhideWhenUsed/>
    <w:rsid w:val="008F2E02"/>
    <w:pPr>
      <w:spacing w:after="100"/>
    </w:pPr>
  </w:style>
  <w:style w:type="character" w:styleId="Hyperlink">
    <w:name w:val="Hyperlink"/>
    <w:basedOn w:val="DefaultParagraphFont"/>
    <w:uiPriority w:val="99"/>
    <w:unhideWhenUsed/>
    <w:rsid w:val="008F2E02"/>
    <w:rPr>
      <w:color w:val="0563C1" w:themeColor="hyperlink"/>
      <w:u w:val="single"/>
    </w:rPr>
  </w:style>
  <w:style w:type="paragraph" w:styleId="Header">
    <w:name w:val="header"/>
    <w:basedOn w:val="Normal"/>
    <w:link w:val="HeaderChar"/>
    <w:uiPriority w:val="99"/>
    <w:unhideWhenUsed/>
    <w:rsid w:val="008F2E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2E02"/>
  </w:style>
  <w:style w:type="paragraph" w:styleId="Footer">
    <w:name w:val="footer"/>
    <w:basedOn w:val="Normal"/>
    <w:link w:val="FooterChar"/>
    <w:uiPriority w:val="99"/>
    <w:unhideWhenUsed/>
    <w:rsid w:val="008F2E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2E02"/>
  </w:style>
  <w:style w:type="paragraph" w:styleId="ListParagraph">
    <w:name w:val="List Paragraph"/>
    <w:basedOn w:val="Normal"/>
    <w:uiPriority w:val="34"/>
    <w:qFormat/>
    <w:rsid w:val="00E949CE"/>
    <w:pPr>
      <w:ind w:left="720"/>
      <w:contextualSpacing/>
    </w:pPr>
  </w:style>
  <w:style w:type="character" w:styleId="Emphasis">
    <w:name w:val="Emphasis"/>
    <w:basedOn w:val="DefaultParagraphFont"/>
    <w:uiPriority w:val="20"/>
    <w:qFormat/>
    <w:rsid w:val="00CF5578"/>
    <w:rPr>
      <w:i/>
      <w:iCs/>
    </w:rPr>
  </w:style>
  <w:style w:type="paragraph" w:styleId="TOC2">
    <w:name w:val="toc 2"/>
    <w:basedOn w:val="Normal"/>
    <w:next w:val="Normal"/>
    <w:autoRedefine/>
    <w:uiPriority w:val="39"/>
    <w:unhideWhenUsed/>
    <w:rsid w:val="00DD7629"/>
    <w:pPr>
      <w:spacing w:after="100"/>
      <w:ind w:left="220"/>
    </w:pPr>
  </w:style>
  <w:style w:type="paragraph" w:styleId="TOC3">
    <w:name w:val="toc 3"/>
    <w:basedOn w:val="Normal"/>
    <w:next w:val="Normal"/>
    <w:autoRedefine/>
    <w:uiPriority w:val="39"/>
    <w:unhideWhenUsed/>
    <w:rsid w:val="00DD7629"/>
    <w:pPr>
      <w:spacing w:after="100"/>
      <w:ind w:left="440"/>
    </w:pPr>
  </w:style>
  <w:style w:type="paragraph" w:styleId="Caption">
    <w:name w:val="caption"/>
    <w:basedOn w:val="Normal"/>
    <w:next w:val="Normal"/>
    <w:uiPriority w:val="35"/>
    <w:unhideWhenUsed/>
    <w:qFormat/>
    <w:rsid w:val="0066566A"/>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0844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4166">
      <w:bodyDiv w:val="1"/>
      <w:marLeft w:val="0"/>
      <w:marRight w:val="0"/>
      <w:marTop w:val="0"/>
      <w:marBottom w:val="0"/>
      <w:divBdr>
        <w:top w:val="none" w:sz="0" w:space="0" w:color="auto"/>
        <w:left w:val="none" w:sz="0" w:space="0" w:color="auto"/>
        <w:bottom w:val="none" w:sz="0" w:space="0" w:color="auto"/>
        <w:right w:val="none" w:sz="0" w:space="0" w:color="auto"/>
      </w:divBdr>
    </w:div>
    <w:div w:id="114754359">
      <w:bodyDiv w:val="1"/>
      <w:marLeft w:val="0"/>
      <w:marRight w:val="0"/>
      <w:marTop w:val="0"/>
      <w:marBottom w:val="0"/>
      <w:divBdr>
        <w:top w:val="none" w:sz="0" w:space="0" w:color="auto"/>
        <w:left w:val="none" w:sz="0" w:space="0" w:color="auto"/>
        <w:bottom w:val="none" w:sz="0" w:space="0" w:color="auto"/>
        <w:right w:val="none" w:sz="0" w:space="0" w:color="auto"/>
      </w:divBdr>
    </w:div>
    <w:div w:id="323819510">
      <w:bodyDiv w:val="1"/>
      <w:marLeft w:val="0"/>
      <w:marRight w:val="0"/>
      <w:marTop w:val="0"/>
      <w:marBottom w:val="0"/>
      <w:divBdr>
        <w:top w:val="none" w:sz="0" w:space="0" w:color="auto"/>
        <w:left w:val="none" w:sz="0" w:space="0" w:color="auto"/>
        <w:bottom w:val="none" w:sz="0" w:space="0" w:color="auto"/>
        <w:right w:val="none" w:sz="0" w:space="0" w:color="auto"/>
      </w:divBdr>
    </w:div>
    <w:div w:id="415635759">
      <w:bodyDiv w:val="1"/>
      <w:marLeft w:val="0"/>
      <w:marRight w:val="0"/>
      <w:marTop w:val="0"/>
      <w:marBottom w:val="0"/>
      <w:divBdr>
        <w:top w:val="none" w:sz="0" w:space="0" w:color="auto"/>
        <w:left w:val="none" w:sz="0" w:space="0" w:color="auto"/>
        <w:bottom w:val="none" w:sz="0" w:space="0" w:color="auto"/>
        <w:right w:val="none" w:sz="0" w:space="0" w:color="auto"/>
      </w:divBdr>
    </w:div>
    <w:div w:id="691303084">
      <w:bodyDiv w:val="1"/>
      <w:marLeft w:val="0"/>
      <w:marRight w:val="0"/>
      <w:marTop w:val="0"/>
      <w:marBottom w:val="0"/>
      <w:divBdr>
        <w:top w:val="none" w:sz="0" w:space="0" w:color="auto"/>
        <w:left w:val="none" w:sz="0" w:space="0" w:color="auto"/>
        <w:bottom w:val="none" w:sz="0" w:space="0" w:color="auto"/>
        <w:right w:val="none" w:sz="0" w:space="0" w:color="auto"/>
      </w:divBdr>
      <w:divsChild>
        <w:div w:id="276760911">
          <w:marLeft w:val="0"/>
          <w:marRight w:val="0"/>
          <w:marTop w:val="0"/>
          <w:marBottom w:val="0"/>
          <w:divBdr>
            <w:top w:val="none" w:sz="0" w:space="0" w:color="auto"/>
            <w:left w:val="none" w:sz="0" w:space="0" w:color="auto"/>
            <w:bottom w:val="none" w:sz="0" w:space="0" w:color="auto"/>
            <w:right w:val="none" w:sz="0" w:space="0" w:color="auto"/>
          </w:divBdr>
        </w:div>
      </w:divsChild>
    </w:div>
    <w:div w:id="740638701">
      <w:bodyDiv w:val="1"/>
      <w:marLeft w:val="0"/>
      <w:marRight w:val="0"/>
      <w:marTop w:val="0"/>
      <w:marBottom w:val="0"/>
      <w:divBdr>
        <w:top w:val="none" w:sz="0" w:space="0" w:color="auto"/>
        <w:left w:val="none" w:sz="0" w:space="0" w:color="auto"/>
        <w:bottom w:val="none" w:sz="0" w:space="0" w:color="auto"/>
        <w:right w:val="none" w:sz="0" w:space="0" w:color="auto"/>
      </w:divBdr>
    </w:div>
    <w:div w:id="812256529">
      <w:bodyDiv w:val="1"/>
      <w:marLeft w:val="0"/>
      <w:marRight w:val="0"/>
      <w:marTop w:val="0"/>
      <w:marBottom w:val="0"/>
      <w:divBdr>
        <w:top w:val="none" w:sz="0" w:space="0" w:color="auto"/>
        <w:left w:val="none" w:sz="0" w:space="0" w:color="auto"/>
        <w:bottom w:val="none" w:sz="0" w:space="0" w:color="auto"/>
        <w:right w:val="none" w:sz="0" w:space="0" w:color="auto"/>
      </w:divBdr>
      <w:divsChild>
        <w:div w:id="350647138">
          <w:marLeft w:val="0"/>
          <w:marRight w:val="0"/>
          <w:marTop w:val="0"/>
          <w:marBottom w:val="0"/>
          <w:divBdr>
            <w:top w:val="none" w:sz="0" w:space="0" w:color="auto"/>
            <w:left w:val="none" w:sz="0" w:space="0" w:color="auto"/>
            <w:bottom w:val="none" w:sz="0" w:space="0" w:color="auto"/>
            <w:right w:val="none" w:sz="0" w:space="0" w:color="auto"/>
          </w:divBdr>
        </w:div>
      </w:divsChild>
    </w:div>
    <w:div w:id="819688143">
      <w:bodyDiv w:val="1"/>
      <w:marLeft w:val="0"/>
      <w:marRight w:val="0"/>
      <w:marTop w:val="0"/>
      <w:marBottom w:val="0"/>
      <w:divBdr>
        <w:top w:val="none" w:sz="0" w:space="0" w:color="auto"/>
        <w:left w:val="none" w:sz="0" w:space="0" w:color="auto"/>
        <w:bottom w:val="none" w:sz="0" w:space="0" w:color="auto"/>
        <w:right w:val="none" w:sz="0" w:space="0" w:color="auto"/>
      </w:divBdr>
    </w:div>
    <w:div w:id="879319214">
      <w:bodyDiv w:val="1"/>
      <w:marLeft w:val="0"/>
      <w:marRight w:val="0"/>
      <w:marTop w:val="0"/>
      <w:marBottom w:val="0"/>
      <w:divBdr>
        <w:top w:val="none" w:sz="0" w:space="0" w:color="auto"/>
        <w:left w:val="none" w:sz="0" w:space="0" w:color="auto"/>
        <w:bottom w:val="none" w:sz="0" w:space="0" w:color="auto"/>
        <w:right w:val="none" w:sz="0" w:space="0" w:color="auto"/>
      </w:divBdr>
    </w:div>
    <w:div w:id="1091849938">
      <w:bodyDiv w:val="1"/>
      <w:marLeft w:val="0"/>
      <w:marRight w:val="0"/>
      <w:marTop w:val="0"/>
      <w:marBottom w:val="0"/>
      <w:divBdr>
        <w:top w:val="none" w:sz="0" w:space="0" w:color="auto"/>
        <w:left w:val="none" w:sz="0" w:space="0" w:color="auto"/>
        <w:bottom w:val="none" w:sz="0" w:space="0" w:color="auto"/>
        <w:right w:val="none" w:sz="0" w:space="0" w:color="auto"/>
      </w:divBdr>
    </w:div>
    <w:div w:id="1247039038">
      <w:bodyDiv w:val="1"/>
      <w:marLeft w:val="0"/>
      <w:marRight w:val="0"/>
      <w:marTop w:val="0"/>
      <w:marBottom w:val="0"/>
      <w:divBdr>
        <w:top w:val="none" w:sz="0" w:space="0" w:color="auto"/>
        <w:left w:val="none" w:sz="0" w:space="0" w:color="auto"/>
        <w:bottom w:val="none" w:sz="0" w:space="0" w:color="auto"/>
        <w:right w:val="none" w:sz="0" w:space="0" w:color="auto"/>
      </w:divBdr>
    </w:div>
    <w:div w:id="1360623997">
      <w:bodyDiv w:val="1"/>
      <w:marLeft w:val="0"/>
      <w:marRight w:val="0"/>
      <w:marTop w:val="0"/>
      <w:marBottom w:val="0"/>
      <w:divBdr>
        <w:top w:val="none" w:sz="0" w:space="0" w:color="auto"/>
        <w:left w:val="none" w:sz="0" w:space="0" w:color="auto"/>
        <w:bottom w:val="none" w:sz="0" w:space="0" w:color="auto"/>
        <w:right w:val="none" w:sz="0" w:space="0" w:color="auto"/>
      </w:divBdr>
    </w:div>
    <w:div w:id="1412969848">
      <w:bodyDiv w:val="1"/>
      <w:marLeft w:val="0"/>
      <w:marRight w:val="0"/>
      <w:marTop w:val="0"/>
      <w:marBottom w:val="0"/>
      <w:divBdr>
        <w:top w:val="none" w:sz="0" w:space="0" w:color="auto"/>
        <w:left w:val="none" w:sz="0" w:space="0" w:color="auto"/>
        <w:bottom w:val="none" w:sz="0" w:space="0" w:color="auto"/>
        <w:right w:val="none" w:sz="0" w:space="0" w:color="auto"/>
      </w:divBdr>
    </w:div>
    <w:div w:id="1759935663">
      <w:bodyDiv w:val="1"/>
      <w:marLeft w:val="0"/>
      <w:marRight w:val="0"/>
      <w:marTop w:val="0"/>
      <w:marBottom w:val="0"/>
      <w:divBdr>
        <w:top w:val="none" w:sz="0" w:space="0" w:color="auto"/>
        <w:left w:val="none" w:sz="0" w:space="0" w:color="auto"/>
        <w:bottom w:val="none" w:sz="0" w:space="0" w:color="auto"/>
        <w:right w:val="none" w:sz="0" w:space="0" w:color="auto"/>
      </w:divBdr>
    </w:div>
    <w:div w:id="1805810066">
      <w:bodyDiv w:val="1"/>
      <w:marLeft w:val="0"/>
      <w:marRight w:val="0"/>
      <w:marTop w:val="0"/>
      <w:marBottom w:val="0"/>
      <w:divBdr>
        <w:top w:val="none" w:sz="0" w:space="0" w:color="auto"/>
        <w:left w:val="none" w:sz="0" w:space="0" w:color="auto"/>
        <w:bottom w:val="none" w:sz="0" w:space="0" w:color="auto"/>
        <w:right w:val="none" w:sz="0" w:space="0" w:color="auto"/>
      </w:divBdr>
      <w:divsChild>
        <w:div w:id="5586337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hex.13240" TargetMode="External"/><Relationship Id="rId18" Type="http://schemas.openxmlformats.org/officeDocument/2006/relationships/hyperlink" Target="https://www.gov.uk/research-for-development-outputs/vaccine-hesitancy-guidance-and-interventions"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who.int/westernpacific/health-topics/vaccines-and-immunization" TargetMode="External"/><Relationship Id="rId7" Type="http://schemas.openxmlformats.org/officeDocument/2006/relationships/endnotes" Target="endnotes.xml"/><Relationship Id="rId12" Type="http://schemas.openxmlformats.org/officeDocument/2006/relationships/hyperlink" Target="https://doi.org/10.22454/FamMed.2020.432940" TargetMode="External"/><Relationship Id="rId17" Type="http://schemas.openxmlformats.org/officeDocument/2006/relationships/hyperlink" Target="https://www.thelancet.com/journals/lanchi/article/PIIS2352-4642(19)30092-6/fulltext"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016/j.bbi.2021.03.008" TargetMode="External"/><Relationship Id="rId20" Type="http://schemas.openxmlformats.org/officeDocument/2006/relationships/hyperlink" Target="https://www.who.int/news-room/spotlight/ten-threats-to-global-health-in-201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590/S1980-220X2020028303736"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niehs.nih.gov/research/resources/bioethics/whatis/"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doi.org/10.1017/S0033291721002609" TargetMode="External"/><Relationship Id="rId19" Type="http://schemas.openxmlformats.org/officeDocument/2006/relationships/hyperlink" Target="https://doi.org/10.1016/j.medj.2021.04.002" TargetMode="External"/><Relationship Id="rId4" Type="http://schemas.openxmlformats.org/officeDocument/2006/relationships/settings" Target="settings.xml"/><Relationship Id="rId9" Type="http://schemas.openxmlformats.org/officeDocument/2006/relationships/hyperlink" Target="https://doi.org/10.1017/S0033291720005188" TargetMode="External"/><Relationship Id="rId14" Type="http://schemas.openxmlformats.org/officeDocument/2006/relationships/hyperlink" Target="https://ncirs.org.au/sites/default/files/2018-12/vaccine-components-fact-sheet.pdf"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BAB308-E599-4BCB-9EBB-01E237EDF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2654</TotalTime>
  <Pages>16</Pages>
  <Words>5095</Words>
  <Characters>29047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dc:creator>
  <cp:keywords/>
  <dc:description/>
  <cp:lastModifiedBy>justyna cichocka</cp:lastModifiedBy>
  <cp:revision>457</cp:revision>
  <dcterms:created xsi:type="dcterms:W3CDTF">2022-01-05T19:51:00Z</dcterms:created>
  <dcterms:modified xsi:type="dcterms:W3CDTF">2022-01-09T23:35:00Z</dcterms:modified>
</cp:coreProperties>
</file>