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7888F1" w14:textId="0D6D6E6A" w:rsidR="00777047" w:rsidRPr="00072CB4" w:rsidRDefault="00FE7B5B" w:rsidP="002071CC">
      <w:pPr>
        <w:spacing w:line="360" w:lineRule="auto"/>
        <w:jc w:val="center"/>
        <w:rPr>
          <w:rFonts w:ascii="Arial" w:hAnsi="Arial" w:cs="Arial"/>
          <w:sz w:val="50"/>
          <w:szCs w:val="50"/>
        </w:rPr>
      </w:pPr>
      <w:r w:rsidRPr="00072CB4">
        <w:rPr>
          <w:rFonts w:ascii="Arial" w:hAnsi="Arial" w:cs="Arial"/>
          <w:sz w:val="50"/>
          <w:szCs w:val="50"/>
        </w:rPr>
        <w:t>Creative Play and Learning Hub: Supporting Early Childhood Development Through Creative Play</w:t>
      </w:r>
      <w:r w:rsidR="00777047" w:rsidRPr="00072CB4">
        <w:rPr>
          <w:rFonts w:ascii="Arial" w:hAnsi="Arial" w:cs="Arial"/>
          <w:sz w:val="50"/>
          <w:szCs w:val="50"/>
        </w:rPr>
        <w:t xml:space="preserve"> </w:t>
      </w:r>
    </w:p>
    <w:p w14:paraId="1BF35BC7" w14:textId="77777777" w:rsidR="00777047" w:rsidRPr="00072CB4" w:rsidRDefault="00777047" w:rsidP="002071CC">
      <w:pPr>
        <w:spacing w:line="360" w:lineRule="auto"/>
        <w:jc w:val="center"/>
        <w:rPr>
          <w:rFonts w:ascii="Arial" w:hAnsi="Arial" w:cs="Arial"/>
          <w:sz w:val="50"/>
          <w:szCs w:val="50"/>
        </w:rPr>
      </w:pPr>
    </w:p>
    <w:p w14:paraId="0CAAD343" w14:textId="1F6DD25B" w:rsidR="00777047" w:rsidRPr="00072CB4" w:rsidRDefault="00777047" w:rsidP="002071CC">
      <w:pPr>
        <w:spacing w:line="360" w:lineRule="auto"/>
        <w:jc w:val="center"/>
        <w:rPr>
          <w:rFonts w:ascii="Arial" w:hAnsi="Arial" w:cs="Arial"/>
          <w:sz w:val="50"/>
          <w:szCs w:val="50"/>
        </w:rPr>
      </w:pPr>
      <w:r w:rsidRPr="00072CB4">
        <w:rPr>
          <w:rFonts w:ascii="Arial" w:hAnsi="Arial" w:cs="Arial"/>
          <w:sz w:val="50"/>
          <w:szCs w:val="50"/>
        </w:rPr>
        <w:t xml:space="preserve">Sehrish Chaudhry </w:t>
      </w:r>
    </w:p>
    <w:p w14:paraId="4C333402" w14:textId="0279B0F4" w:rsidR="00777047" w:rsidRPr="00072CB4" w:rsidRDefault="00777047" w:rsidP="002071CC">
      <w:pPr>
        <w:spacing w:line="360" w:lineRule="auto"/>
        <w:jc w:val="center"/>
        <w:rPr>
          <w:rFonts w:ascii="Arial" w:hAnsi="Arial" w:cs="Arial"/>
          <w:sz w:val="50"/>
          <w:szCs w:val="50"/>
        </w:rPr>
      </w:pPr>
    </w:p>
    <w:p w14:paraId="624E2E4F" w14:textId="127488DB" w:rsidR="002071CC" w:rsidRPr="00072CB4" w:rsidRDefault="002071CC" w:rsidP="002071CC">
      <w:pPr>
        <w:spacing w:line="360" w:lineRule="auto"/>
        <w:jc w:val="center"/>
        <w:rPr>
          <w:rFonts w:ascii="Arial" w:hAnsi="Arial" w:cs="Arial"/>
          <w:sz w:val="50"/>
          <w:szCs w:val="50"/>
        </w:rPr>
      </w:pPr>
      <w:r w:rsidRPr="00072CB4">
        <w:rPr>
          <w:rFonts w:ascii="Arial" w:hAnsi="Arial" w:cs="Arial"/>
          <w:sz w:val="50"/>
          <w:szCs w:val="50"/>
        </w:rPr>
        <w:t>1802789</w:t>
      </w:r>
    </w:p>
    <w:p w14:paraId="3B811554" w14:textId="77777777" w:rsidR="002071CC" w:rsidRPr="00072CB4" w:rsidRDefault="002071CC" w:rsidP="002071CC">
      <w:pPr>
        <w:spacing w:line="360" w:lineRule="auto"/>
        <w:jc w:val="center"/>
        <w:rPr>
          <w:rFonts w:ascii="Arial" w:hAnsi="Arial" w:cs="Arial"/>
          <w:sz w:val="50"/>
          <w:szCs w:val="50"/>
        </w:rPr>
      </w:pPr>
    </w:p>
    <w:p w14:paraId="68F54BB0" w14:textId="5B5BE8A8" w:rsidR="002071CC" w:rsidRPr="00072CB4" w:rsidRDefault="002071CC" w:rsidP="002071CC">
      <w:pPr>
        <w:spacing w:line="360" w:lineRule="auto"/>
        <w:jc w:val="center"/>
        <w:rPr>
          <w:rFonts w:ascii="Arial" w:hAnsi="Arial" w:cs="Arial"/>
          <w:sz w:val="50"/>
          <w:szCs w:val="50"/>
        </w:rPr>
      </w:pPr>
      <w:r w:rsidRPr="00072CB4">
        <w:rPr>
          <w:rFonts w:ascii="Arial" w:hAnsi="Arial" w:cs="Arial"/>
          <w:sz w:val="50"/>
          <w:szCs w:val="50"/>
        </w:rPr>
        <w:t>ECEY6012 – Leadership Skills in Entrepreneurship</w:t>
      </w:r>
    </w:p>
    <w:p w14:paraId="4BD1E17C" w14:textId="77777777" w:rsidR="002071CC" w:rsidRPr="00072CB4" w:rsidRDefault="002071CC" w:rsidP="002071CC">
      <w:pPr>
        <w:spacing w:line="360" w:lineRule="auto"/>
        <w:jc w:val="center"/>
        <w:rPr>
          <w:rFonts w:ascii="Arial" w:hAnsi="Arial" w:cs="Arial"/>
          <w:sz w:val="50"/>
          <w:szCs w:val="50"/>
        </w:rPr>
      </w:pPr>
    </w:p>
    <w:p w14:paraId="781F88CB" w14:textId="0D0BCD65" w:rsidR="002071CC" w:rsidRPr="00072CB4" w:rsidRDefault="002071CC" w:rsidP="002071CC">
      <w:pPr>
        <w:spacing w:line="360" w:lineRule="auto"/>
        <w:jc w:val="center"/>
        <w:rPr>
          <w:rFonts w:ascii="Arial" w:hAnsi="Arial" w:cs="Arial"/>
          <w:sz w:val="50"/>
          <w:szCs w:val="50"/>
        </w:rPr>
      </w:pPr>
      <w:r w:rsidRPr="00072CB4">
        <w:rPr>
          <w:rFonts w:ascii="Arial" w:hAnsi="Arial" w:cs="Arial"/>
          <w:sz w:val="50"/>
          <w:szCs w:val="50"/>
        </w:rPr>
        <w:t>Ken Dicks</w:t>
      </w:r>
    </w:p>
    <w:p w14:paraId="7E7CABAF" w14:textId="77777777" w:rsidR="002071CC" w:rsidRPr="00072CB4" w:rsidRDefault="002071CC" w:rsidP="002071CC">
      <w:pPr>
        <w:spacing w:line="360" w:lineRule="auto"/>
        <w:jc w:val="center"/>
        <w:rPr>
          <w:rFonts w:ascii="Arial" w:hAnsi="Arial" w:cs="Arial"/>
          <w:sz w:val="50"/>
          <w:szCs w:val="50"/>
        </w:rPr>
      </w:pPr>
    </w:p>
    <w:p w14:paraId="3B0A1024" w14:textId="4E428F4F" w:rsidR="002071CC" w:rsidRPr="00072CB4" w:rsidRDefault="002071CC" w:rsidP="002071CC">
      <w:pPr>
        <w:spacing w:line="360" w:lineRule="auto"/>
        <w:jc w:val="center"/>
        <w:rPr>
          <w:rFonts w:ascii="Arial" w:hAnsi="Arial" w:cs="Arial"/>
          <w:sz w:val="50"/>
          <w:szCs w:val="50"/>
        </w:rPr>
      </w:pPr>
      <w:r w:rsidRPr="00072CB4">
        <w:rPr>
          <w:rFonts w:ascii="Arial" w:hAnsi="Arial" w:cs="Arial"/>
          <w:sz w:val="50"/>
          <w:szCs w:val="50"/>
        </w:rPr>
        <w:t>15/03/2026</w:t>
      </w:r>
    </w:p>
    <w:p w14:paraId="4743E021" w14:textId="77777777" w:rsidR="00072CB4" w:rsidRPr="00072CB4" w:rsidRDefault="00072CB4" w:rsidP="002071CC">
      <w:pPr>
        <w:spacing w:line="360" w:lineRule="auto"/>
        <w:jc w:val="center"/>
        <w:rPr>
          <w:rFonts w:ascii="Arial" w:hAnsi="Arial" w:cs="Arial"/>
          <w:sz w:val="50"/>
          <w:szCs w:val="50"/>
        </w:rPr>
      </w:pPr>
    </w:p>
    <w:p w14:paraId="14AAC35B" w14:textId="5B758A34" w:rsidR="00072CB4" w:rsidRPr="00072CB4" w:rsidRDefault="00072CB4" w:rsidP="002071CC">
      <w:pPr>
        <w:spacing w:line="360" w:lineRule="auto"/>
        <w:jc w:val="center"/>
        <w:rPr>
          <w:rFonts w:ascii="Arial" w:hAnsi="Arial" w:cs="Arial"/>
          <w:sz w:val="50"/>
          <w:szCs w:val="50"/>
        </w:rPr>
      </w:pPr>
      <w:r w:rsidRPr="00072CB4">
        <w:rPr>
          <w:rFonts w:ascii="Arial" w:hAnsi="Arial" w:cs="Arial"/>
          <w:sz w:val="50"/>
          <w:szCs w:val="50"/>
        </w:rPr>
        <w:t>3,300 words</w:t>
      </w:r>
    </w:p>
    <w:p w14:paraId="285A1693" w14:textId="77777777" w:rsidR="00072CB4" w:rsidRDefault="00072CB4" w:rsidP="002071CC">
      <w:pPr>
        <w:spacing w:line="360" w:lineRule="auto"/>
        <w:jc w:val="center"/>
        <w:rPr>
          <w:rFonts w:ascii="Arial" w:hAnsi="Arial" w:cs="Arial"/>
          <w:sz w:val="54"/>
          <w:szCs w:val="54"/>
        </w:rPr>
      </w:pPr>
    </w:p>
    <w:p w14:paraId="3B0ACE45" w14:textId="6BD1FE00" w:rsidR="00072CB4" w:rsidRPr="002071CC" w:rsidRDefault="00072CB4" w:rsidP="002071CC">
      <w:pPr>
        <w:spacing w:line="360" w:lineRule="auto"/>
        <w:jc w:val="center"/>
        <w:rPr>
          <w:rFonts w:ascii="Arial" w:hAnsi="Arial" w:cs="Arial"/>
          <w:sz w:val="54"/>
          <w:szCs w:val="54"/>
        </w:rPr>
      </w:pPr>
    </w:p>
    <w:p w14:paraId="01756B45" w14:textId="77777777" w:rsidR="00B666D9" w:rsidRDefault="00B666D9" w:rsidP="002071CC">
      <w:pPr>
        <w:spacing w:line="360" w:lineRule="auto"/>
        <w:rPr>
          <w:rFonts w:ascii="Arial" w:hAnsi="Arial" w:cs="Arial"/>
          <w:sz w:val="72"/>
          <w:szCs w:val="72"/>
        </w:rPr>
      </w:pPr>
    </w:p>
    <w:p w14:paraId="33DAD43D" w14:textId="10A0E3ED" w:rsidR="00B666D9" w:rsidRDefault="002071CC" w:rsidP="002071CC">
      <w:pPr>
        <w:spacing w:line="360" w:lineRule="auto"/>
        <w:rPr>
          <w:rFonts w:ascii="Arial" w:hAnsi="Arial" w:cs="Arial"/>
          <w:b/>
          <w:bCs/>
          <w:sz w:val="28"/>
          <w:szCs w:val="28"/>
        </w:rPr>
      </w:pPr>
      <w:r w:rsidRPr="002071CC">
        <w:rPr>
          <w:rFonts w:ascii="Arial" w:hAnsi="Arial" w:cs="Arial"/>
          <w:b/>
          <w:bCs/>
          <w:sz w:val="28"/>
          <w:szCs w:val="28"/>
        </w:rPr>
        <w:t>AI Statement</w:t>
      </w:r>
    </w:p>
    <w:p w14:paraId="25C51AAD" w14:textId="77777777" w:rsidR="00B666D9" w:rsidRDefault="00B666D9" w:rsidP="002071CC">
      <w:pPr>
        <w:spacing w:line="360" w:lineRule="auto"/>
        <w:rPr>
          <w:rFonts w:ascii="Arial" w:hAnsi="Arial" w:cs="Arial"/>
          <w:b/>
          <w:bCs/>
          <w:sz w:val="28"/>
          <w:szCs w:val="28"/>
        </w:rPr>
      </w:pPr>
    </w:p>
    <w:p w14:paraId="291ACEAB" w14:textId="159D23B6" w:rsidR="002071CC" w:rsidRPr="00B666D9" w:rsidRDefault="002071CC" w:rsidP="002071CC">
      <w:pPr>
        <w:spacing w:line="360" w:lineRule="auto"/>
        <w:rPr>
          <w:rFonts w:ascii="Arial" w:hAnsi="Arial" w:cs="Arial"/>
          <w:b/>
          <w:bCs/>
          <w:sz w:val="28"/>
          <w:szCs w:val="28"/>
        </w:rPr>
      </w:pPr>
      <w:r w:rsidRPr="002071CC">
        <w:rPr>
          <w:rFonts w:ascii="Arial" w:hAnsi="Arial" w:cs="Arial"/>
        </w:rPr>
        <w:t xml:space="preserve">I confirm </w:t>
      </w:r>
      <w:r>
        <w:rPr>
          <w:rFonts w:ascii="Arial" w:hAnsi="Arial" w:cs="Arial"/>
        </w:rPr>
        <w:t>that I have not presented any AI generated text as my own work. I confirm I have copies of my drafts, notes, and other resources I used before, and after the use of AI tools which I may be asked to provide in evidence.</w:t>
      </w:r>
    </w:p>
    <w:p w14:paraId="2806F1FB" w14:textId="77777777" w:rsidR="002071CC" w:rsidRPr="002071CC" w:rsidRDefault="002071CC" w:rsidP="00777047">
      <w:pPr>
        <w:spacing w:line="360" w:lineRule="auto"/>
        <w:rPr>
          <w:rFonts w:ascii="Arial" w:hAnsi="Arial" w:cs="Arial"/>
        </w:rPr>
      </w:pPr>
    </w:p>
    <w:p w14:paraId="519083D9" w14:textId="77777777" w:rsidR="002071CC" w:rsidRDefault="002071CC" w:rsidP="00777047">
      <w:pPr>
        <w:spacing w:line="360" w:lineRule="auto"/>
        <w:rPr>
          <w:rFonts w:ascii="Arial" w:hAnsi="Arial" w:cs="Arial"/>
          <w:b/>
          <w:bCs/>
          <w:sz w:val="28"/>
          <w:szCs w:val="28"/>
        </w:rPr>
      </w:pPr>
    </w:p>
    <w:p w14:paraId="31A657EC" w14:textId="77777777" w:rsidR="002071CC" w:rsidRDefault="002071CC" w:rsidP="00777047">
      <w:pPr>
        <w:spacing w:line="360" w:lineRule="auto"/>
        <w:rPr>
          <w:rFonts w:ascii="Arial" w:hAnsi="Arial" w:cs="Arial"/>
          <w:b/>
          <w:bCs/>
          <w:sz w:val="28"/>
          <w:szCs w:val="28"/>
        </w:rPr>
      </w:pPr>
    </w:p>
    <w:p w14:paraId="5316EC12" w14:textId="77777777" w:rsidR="002071CC" w:rsidRDefault="002071CC" w:rsidP="00777047">
      <w:pPr>
        <w:spacing w:line="360" w:lineRule="auto"/>
        <w:rPr>
          <w:rFonts w:ascii="Arial" w:hAnsi="Arial" w:cs="Arial"/>
          <w:b/>
          <w:bCs/>
          <w:sz w:val="28"/>
          <w:szCs w:val="28"/>
        </w:rPr>
      </w:pPr>
    </w:p>
    <w:p w14:paraId="7C00E031" w14:textId="77777777" w:rsidR="002071CC" w:rsidRDefault="002071CC" w:rsidP="00777047">
      <w:pPr>
        <w:spacing w:line="360" w:lineRule="auto"/>
        <w:rPr>
          <w:rFonts w:ascii="Arial" w:hAnsi="Arial" w:cs="Arial"/>
          <w:b/>
          <w:bCs/>
          <w:sz w:val="28"/>
          <w:szCs w:val="28"/>
        </w:rPr>
      </w:pPr>
    </w:p>
    <w:p w14:paraId="170701E8" w14:textId="77777777" w:rsidR="002071CC" w:rsidRDefault="002071CC" w:rsidP="00777047">
      <w:pPr>
        <w:spacing w:line="360" w:lineRule="auto"/>
        <w:rPr>
          <w:rFonts w:ascii="Arial" w:hAnsi="Arial" w:cs="Arial"/>
          <w:b/>
          <w:bCs/>
          <w:sz w:val="28"/>
          <w:szCs w:val="28"/>
        </w:rPr>
      </w:pPr>
    </w:p>
    <w:p w14:paraId="06B383A0" w14:textId="77777777" w:rsidR="002071CC" w:rsidRDefault="002071CC" w:rsidP="00777047">
      <w:pPr>
        <w:spacing w:line="360" w:lineRule="auto"/>
        <w:rPr>
          <w:rFonts w:ascii="Arial" w:hAnsi="Arial" w:cs="Arial"/>
          <w:b/>
          <w:bCs/>
          <w:sz w:val="28"/>
          <w:szCs w:val="28"/>
        </w:rPr>
      </w:pPr>
    </w:p>
    <w:p w14:paraId="721E017A" w14:textId="77777777" w:rsidR="002071CC" w:rsidRDefault="002071CC" w:rsidP="00777047">
      <w:pPr>
        <w:spacing w:line="360" w:lineRule="auto"/>
        <w:rPr>
          <w:rFonts w:ascii="Arial" w:hAnsi="Arial" w:cs="Arial"/>
          <w:b/>
          <w:bCs/>
          <w:sz w:val="28"/>
          <w:szCs w:val="28"/>
        </w:rPr>
      </w:pPr>
    </w:p>
    <w:p w14:paraId="183F158E" w14:textId="77777777" w:rsidR="002071CC" w:rsidRDefault="002071CC" w:rsidP="00777047">
      <w:pPr>
        <w:spacing w:line="360" w:lineRule="auto"/>
        <w:rPr>
          <w:rFonts w:ascii="Arial" w:hAnsi="Arial" w:cs="Arial"/>
          <w:b/>
          <w:bCs/>
          <w:sz w:val="28"/>
          <w:szCs w:val="28"/>
        </w:rPr>
      </w:pPr>
    </w:p>
    <w:p w14:paraId="47C90DF6" w14:textId="77777777" w:rsidR="002071CC" w:rsidRDefault="002071CC" w:rsidP="00777047">
      <w:pPr>
        <w:spacing w:line="360" w:lineRule="auto"/>
        <w:rPr>
          <w:rFonts w:ascii="Arial" w:hAnsi="Arial" w:cs="Arial"/>
          <w:b/>
          <w:bCs/>
          <w:sz w:val="28"/>
          <w:szCs w:val="28"/>
        </w:rPr>
      </w:pPr>
    </w:p>
    <w:p w14:paraId="59F9677D" w14:textId="77777777" w:rsidR="002071CC" w:rsidRDefault="002071CC" w:rsidP="00777047">
      <w:pPr>
        <w:spacing w:line="360" w:lineRule="auto"/>
        <w:rPr>
          <w:rFonts w:ascii="Arial" w:hAnsi="Arial" w:cs="Arial"/>
          <w:b/>
          <w:bCs/>
          <w:sz w:val="28"/>
          <w:szCs w:val="28"/>
        </w:rPr>
      </w:pPr>
    </w:p>
    <w:p w14:paraId="44EF0465" w14:textId="77777777" w:rsidR="002071CC" w:rsidRDefault="002071CC" w:rsidP="00777047">
      <w:pPr>
        <w:spacing w:line="360" w:lineRule="auto"/>
        <w:rPr>
          <w:rFonts w:ascii="Arial" w:hAnsi="Arial" w:cs="Arial"/>
          <w:b/>
          <w:bCs/>
          <w:sz w:val="28"/>
          <w:szCs w:val="28"/>
        </w:rPr>
      </w:pPr>
    </w:p>
    <w:p w14:paraId="2EA233F3" w14:textId="77777777" w:rsidR="002071CC" w:rsidRDefault="002071CC" w:rsidP="00777047">
      <w:pPr>
        <w:spacing w:line="360" w:lineRule="auto"/>
        <w:rPr>
          <w:rFonts w:ascii="Arial" w:hAnsi="Arial" w:cs="Arial"/>
          <w:b/>
          <w:bCs/>
          <w:sz w:val="28"/>
          <w:szCs w:val="28"/>
        </w:rPr>
      </w:pPr>
    </w:p>
    <w:p w14:paraId="32BA55FB" w14:textId="77777777" w:rsidR="002071CC" w:rsidRDefault="002071CC" w:rsidP="00777047">
      <w:pPr>
        <w:spacing w:line="360" w:lineRule="auto"/>
        <w:rPr>
          <w:rFonts w:ascii="Arial" w:hAnsi="Arial" w:cs="Arial"/>
          <w:b/>
          <w:bCs/>
          <w:sz w:val="28"/>
          <w:szCs w:val="28"/>
        </w:rPr>
      </w:pPr>
    </w:p>
    <w:p w14:paraId="497C96F7" w14:textId="77777777" w:rsidR="002071CC" w:rsidRDefault="002071CC" w:rsidP="00777047">
      <w:pPr>
        <w:spacing w:line="360" w:lineRule="auto"/>
        <w:rPr>
          <w:rFonts w:ascii="Arial" w:hAnsi="Arial" w:cs="Arial"/>
          <w:b/>
          <w:bCs/>
          <w:sz w:val="28"/>
          <w:szCs w:val="28"/>
        </w:rPr>
      </w:pPr>
    </w:p>
    <w:p w14:paraId="7A056890" w14:textId="77777777" w:rsidR="002071CC" w:rsidRDefault="002071CC" w:rsidP="00777047">
      <w:pPr>
        <w:spacing w:line="360" w:lineRule="auto"/>
        <w:rPr>
          <w:rFonts w:ascii="Arial" w:hAnsi="Arial" w:cs="Arial"/>
          <w:b/>
          <w:bCs/>
          <w:sz w:val="28"/>
          <w:szCs w:val="28"/>
        </w:rPr>
      </w:pPr>
    </w:p>
    <w:p w14:paraId="7ADA7AB4" w14:textId="77777777" w:rsidR="002071CC" w:rsidRDefault="002071CC" w:rsidP="00777047">
      <w:pPr>
        <w:spacing w:line="360" w:lineRule="auto"/>
        <w:rPr>
          <w:rFonts w:ascii="Arial" w:hAnsi="Arial" w:cs="Arial"/>
          <w:b/>
          <w:bCs/>
          <w:sz w:val="28"/>
          <w:szCs w:val="28"/>
        </w:rPr>
      </w:pPr>
    </w:p>
    <w:p w14:paraId="7DA3EB1D" w14:textId="77777777" w:rsidR="00072CB4" w:rsidRDefault="00072CB4" w:rsidP="00F03B88">
      <w:pPr>
        <w:spacing w:line="360" w:lineRule="auto"/>
        <w:rPr>
          <w:rFonts w:ascii="Arial" w:hAnsi="Arial" w:cs="Arial"/>
          <w:b/>
          <w:bCs/>
          <w:sz w:val="28"/>
          <w:szCs w:val="28"/>
        </w:rPr>
      </w:pPr>
    </w:p>
    <w:p w14:paraId="40B97A69" w14:textId="147FA84E" w:rsidR="00943712" w:rsidRPr="00F03B88" w:rsidRDefault="005748EE" w:rsidP="00F03B88">
      <w:pPr>
        <w:spacing w:line="360" w:lineRule="auto"/>
        <w:rPr>
          <w:rFonts w:ascii="Arial" w:hAnsi="Arial" w:cs="Arial"/>
          <w:sz w:val="28"/>
          <w:szCs w:val="28"/>
          <w:u w:val="single"/>
        </w:rPr>
      </w:pPr>
      <w:r w:rsidRPr="00F03B88">
        <w:rPr>
          <w:rFonts w:ascii="Arial" w:hAnsi="Arial" w:cs="Arial"/>
          <w:sz w:val="28"/>
          <w:szCs w:val="28"/>
          <w:u w:val="single"/>
        </w:rPr>
        <w:lastRenderedPageBreak/>
        <w:t xml:space="preserve">Introduction to </w:t>
      </w:r>
      <w:r w:rsidR="00B256EE" w:rsidRPr="00F03B88">
        <w:rPr>
          <w:rFonts w:ascii="Arial" w:hAnsi="Arial" w:cs="Arial"/>
          <w:sz w:val="28"/>
          <w:szCs w:val="28"/>
          <w:u w:val="single"/>
        </w:rPr>
        <w:t>the Idea</w:t>
      </w:r>
    </w:p>
    <w:p w14:paraId="1806CA4D" w14:textId="77777777" w:rsidR="00943712" w:rsidRDefault="00943712" w:rsidP="00943712">
      <w:pPr>
        <w:spacing w:line="360" w:lineRule="auto"/>
        <w:rPr>
          <w:color w:val="000000"/>
        </w:rPr>
      </w:pPr>
    </w:p>
    <w:p w14:paraId="3689280B" w14:textId="236BA728" w:rsidR="00943712" w:rsidRPr="00943712" w:rsidRDefault="00943712" w:rsidP="00943712">
      <w:pPr>
        <w:spacing w:line="360" w:lineRule="auto"/>
        <w:rPr>
          <w:rFonts w:ascii="Arial" w:hAnsi="Arial" w:cs="Arial"/>
        </w:rPr>
      </w:pPr>
      <w:r w:rsidRPr="00943712">
        <w:rPr>
          <w:rFonts w:ascii="Arial" w:hAnsi="Arial" w:cs="Arial"/>
          <w:color w:val="000000"/>
        </w:rPr>
        <w:t>This section introduces the proposed</w:t>
      </w:r>
      <w:r w:rsidRPr="00943712">
        <w:rPr>
          <w:rStyle w:val="apple-converted-space"/>
          <w:rFonts w:ascii="Arial" w:eastAsiaTheme="majorEastAsia" w:hAnsi="Arial" w:cs="Arial"/>
          <w:color w:val="000000"/>
        </w:rPr>
        <w:t> </w:t>
      </w:r>
      <w:r w:rsidRPr="00943712">
        <w:rPr>
          <w:rStyle w:val="Strong"/>
          <w:rFonts w:ascii="Arial" w:eastAsiaTheme="majorEastAsia" w:hAnsi="Arial" w:cs="Arial"/>
          <w:b w:val="0"/>
          <w:bCs w:val="0"/>
          <w:color w:val="000000"/>
        </w:rPr>
        <w:t>Creative Play and Learning Hub</w:t>
      </w:r>
      <w:r w:rsidRPr="00943712">
        <w:rPr>
          <w:rFonts w:ascii="Arial" w:hAnsi="Arial" w:cs="Arial"/>
          <w:color w:val="000000"/>
        </w:rPr>
        <w:t>, a business idea designed to support early childhood development through creative and play-based learning opportunities. The hub aims to provide a stimulating environment for children aged three to five in Cardiff, where they can engage in activities such as sensory play, storytelling, imaginative play and creative arts.</w:t>
      </w:r>
    </w:p>
    <w:p w14:paraId="1C44D105" w14:textId="1B179BC3" w:rsidR="00B256EE" w:rsidRPr="00C913BD" w:rsidRDefault="00943712" w:rsidP="00C913BD">
      <w:pPr>
        <w:pStyle w:val="NormalWeb"/>
        <w:spacing w:line="360" w:lineRule="auto"/>
        <w:rPr>
          <w:rFonts w:ascii="Arial" w:hAnsi="Arial" w:cs="Arial"/>
          <w:color w:val="000000"/>
        </w:rPr>
      </w:pPr>
      <w:r w:rsidRPr="00943712">
        <w:rPr>
          <w:rFonts w:ascii="Arial" w:hAnsi="Arial" w:cs="Arial"/>
          <w:color w:val="000000"/>
        </w:rPr>
        <w:t>Research suggests that play allows children to explore ideas, develop problem-solving skills and interact with others in meaningful ways (Fleer, 2017; Moyles, 2017). Providing opportunities for creative play can therefore help children develop important developmental skills while also supporting their confidence and independence.</w:t>
      </w:r>
    </w:p>
    <w:p w14:paraId="101D4C93" w14:textId="77777777" w:rsidR="00C40DBC" w:rsidRDefault="00C40DBC" w:rsidP="00B256EE">
      <w:pPr>
        <w:spacing w:line="360" w:lineRule="auto"/>
        <w:rPr>
          <w:rFonts w:ascii="Arial" w:hAnsi="Arial" w:cs="Arial"/>
        </w:rPr>
      </w:pPr>
    </w:p>
    <w:p w14:paraId="1BDAD806" w14:textId="77777777" w:rsidR="00C40DBC" w:rsidRPr="00BA27AA" w:rsidRDefault="00C40DBC" w:rsidP="00B256EE">
      <w:pPr>
        <w:spacing w:line="360" w:lineRule="auto"/>
        <w:rPr>
          <w:rFonts w:ascii="Arial" w:hAnsi="Arial" w:cs="Arial"/>
          <w:u w:val="single"/>
        </w:rPr>
      </w:pPr>
    </w:p>
    <w:p w14:paraId="14A275B1" w14:textId="35EB34BF" w:rsidR="00C40DBC" w:rsidRPr="00BA27AA" w:rsidRDefault="00C40DBC" w:rsidP="00BA27AA">
      <w:pPr>
        <w:spacing w:line="360" w:lineRule="auto"/>
        <w:rPr>
          <w:rFonts w:ascii="Arial" w:hAnsi="Arial" w:cs="Arial"/>
          <w:sz w:val="28"/>
          <w:szCs w:val="28"/>
          <w:u w:val="single"/>
        </w:rPr>
      </w:pPr>
      <w:r w:rsidRPr="00BA27AA">
        <w:rPr>
          <w:rFonts w:ascii="Arial" w:hAnsi="Arial" w:cs="Arial"/>
          <w:sz w:val="28"/>
          <w:szCs w:val="28"/>
          <w:u w:val="single"/>
        </w:rPr>
        <w:t>Why I Am Best Placed to Deliver This Idea</w:t>
      </w:r>
    </w:p>
    <w:p w14:paraId="686B88E5" w14:textId="77777777" w:rsidR="00C40DBC" w:rsidRDefault="00C40DBC" w:rsidP="00C40DBC">
      <w:pPr>
        <w:spacing w:line="360" w:lineRule="auto"/>
        <w:rPr>
          <w:rFonts w:ascii="Arial" w:hAnsi="Arial" w:cs="Arial"/>
          <w:sz w:val="28"/>
          <w:szCs w:val="28"/>
        </w:rPr>
      </w:pPr>
    </w:p>
    <w:p w14:paraId="7665C0DC" w14:textId="38D932AF" w:rsidR="00C40DBC" w:rsidRPr="00C40DBC" w:rsidRDefault="00C40DBC" w:rsidP="00C40DBC">
      <w:pPr>
        <w:spacing w:line="360" w:lineRule="auto"/>
        <w:rPr>
          <w:rFonts w:ascii="Arial" w:hAnsi="Arial" w:cs="Arial"/>
        </w:rPr>
      </w:pPr>
      <w:r w:rsidRPr="00C40DBC">
        <w:rPr>
          <w:rFonts w:ascii="Arial" w:hAnsi="Arial" w:cs="Arial"/>
        </w:rPr>
        <w:t xml:space="preserve">Delivering a successful early </w:t>
      </w:r>
      <w:r w:rsidRPr="00C40DBC">
        <w:rPr>
          <w:rFonts w:ascii="Arial" w:hAnsi="Arial" w:cs="Arial"/>
        </w:rPr>
        <w:t xml:space="preserve">years’ </w:t>
      </w:r>
      <w:r w:rsidRPr="00C40DBC">
        <w:rPr>
          <w:rFonts w:ascii="Arial" w:hAnsi="Arial" w:cs="Arial"/>
        </w:rPr>
        <w:t>initiative requires a strong understanding of child development, professional values and a commitment to supporting children’s learning and wellbeing. Through my studies in early childhood education and leadership in entrepreneurship, I have developed knowledge of how young children learn and the importance of creating inclusive environments that support different learning styles and developmental needs (Nutbrown, 2019).</w:t>
      </w:r>
    </w:p>
    <w:p w14:paraId="2C44F585" w14:textId="77777777" w:rsidR="00C40DBC" w:rsidRPr="00C40DBC" w:rsidRDefault="00C40DBC" w:rsidP="00C40DBC">
      <w:pPr>
        <w:spacing w:line="360" w:lineRule="auto"/>
        <w:rPr>
          <w:rFonts w:ascii="Arial" w:hAnsi="Arial" w:cs="Arial"/>
        </w:rPr>
      </w:pPr>
    </w:p>
    <w:p w14:paraId="38A4BB7F" w14:textId="0A0E65F3" w:rsidR="00C40DBC" w:rsidRPr="00C40DBC" w:rsidRDefault="00C40DBC" w:rsidP="00C40DBC">
      <w:pPr>
        <w:spacing w:line="360" w:lineRule="auto"/>
        <w:rPr>
          <w:rFonts w:ascii="Arial" w:hAnsi="Arial" w:cs="Arial"/>
        </w:rPr>
      </w:pPr>
      <w:r w:rsidRPr="00C40DBC">
        <w:rPr>
          <w:rFonts w:ascii="Arial" w:hAnsi="Arial" w:cs="Arial"/>
        </w:rPr>
        <w:t>For example, Piaget’s theory emphasises that young children learn through active exploration and interaction with their environment, while Vygotsky highlights the importance of social interaction and guided learning in cognitive development (Piaget, 1972; Vygotsky, 1978). More recent research continues to support the importance of interactive and play-based environments in supporting children’s learning and development (</w:t>
      </w:r>
      <w:proofErr w:type="spellStart"/>
      <w:r w:rsidRPr="00C40DBC">
        <w:rPr>
          <w:rFonts w:ascii="Arial" w:hAnsi="Arial" w:cs="Arial"/>
        </w:rPr>
        <w:t>Zosh</w:t>
      </w:r>
      <w:proofErr w:type="spellEnd"/>
      <w:r w:rsidRPr="00C40DBC">
        <w:rPr>
          <w:rFonts w:ascii="Arial" w:hAnsi="Arial" w:cs="Arial"/>
        </w:rPr>
        <w:t xml:space="preserve"> et al., 2018; Hirsh-</w:t>
      </w:r>
      <w:proofErr w:type="spellStart"/>
      <w:r w:rsidRPr="00C40DBC">
        <w:rPr>
          <w:rFonts w:ascii="Arial" w:hAnsi="Arial" w:cs="Arial"/>
        </w:rPr>
        <w:t>Pasek</w:t>
      </w:r>
      <w:proofErr w:type="spellEnd"/>
      <w:r w:rsidRPr="00C40DBC">
        <w:rPr>
          <w:rFonts w:ascii="Arial" w:hAnsi="Arial" w:cs="Arial"/>
        </w:rPr>
        <w:t xml:space="preserve"> et al., 2020).</w:t>
      </w:r>
    </w:p>
    <w:p w14:paraId="22B9CF7B" w14:textId="0C2ACEE4" w:rsidR="00C40DBC" w:rsidRPr="00C40DBC" w:rsidRDefault="00C40DBC" w:rsidP="00C40DBC">
      <w:pPr>
        <w:spacing w:line="360" w:lineRule="auto"/>
        <w:rPr>
          <w:rFonts w:ascii="Arial" w:hAnsi="Arial" w:cs="Arial"/>
        </w:rPr>
      </w:pPr>
      <w:r w:rsidRPr="00C40DBC">
        <w:rPr>
          <w:rFonts w:ascii="Arial" w:hAnsi="Arial" w:cs="Arial"/>
        </w:rPr>
        <w:t xml:space="preserve"> I am passionate about supporting young children’s development and ensuring that children have access to enriching learning opportunities that encourage curiosity, creativity and confidence. Research suggests that early childhood experiences that </w:t>
      </w:r>
      <w:r w:rsidRPr="00C40DBC">
        <w:rPr>
          <w:rFonts w:ascii="Arial" w:hAnsi="Arial" w:cs="Arial"/>
        </w:rPr>
        <w:lastRenderedPageBreak/>
        <w:t>support creativity and self-expression can positively influence children’s emotional wellbeing and long-term engagement with learning (Craft, 2018; Bruce, 2019).</w:t>
      </w:r>
    </w:p>
    <w:p w14:paraId="4D044DD9" w14:textId="77777777" w:rsidR="00C40DBC" w:rsidRPr="00C40DBC" w:rsidRDefault="00C40DBC" w:rsidP="00C40DBC">
      <w:pPr>
        <w:spacing w:line="360" w:lineRule="auto"/>
        <w:rPr>
          <w:rFonts w:ascii="Arial" w:hAnsi="Arial" w:cs="Arial"/>
        </w:rPr>
      </w:pPr>
    </w:p>
    <w:p w14:paraId="4D595B14" w14:textId="614FC2B0" w:rsidR="00C40DBC" w:rsidRPr="00C40DBC" w:rsidRDefault="00C40DBC" w:rsidP="00C40DBC">
      <w:pPr>
        <w:spacing w:line="360" w:lineRule="auto"/>
        <w:rPr>
          <w:rFonts w:ascii="Arial" w:hAnsi="Arial" w:cs="Arial"/>
        </w:rPr>
      </w:pPr>
      <w:r w:rsidRPr="00C40DBC">
        <w:rPr>
          <w:rFonts w:ascii="Arial" w:hAnsi="Arial" w:cs="Arial"/>
        </w:rPr>
        <w:t>Cardiff is a diverse and growing city with increasing demand for high-quality early childhood services. Population growth and increasing childcare needs have highlighted the importance of innovative early years initiatives that complement existing services (Welsh Government, 2021). By focusing on the needs of the local community and drawing on professional knowledge of early childhood development, this business idea has the potential to provide meaningful benefits to children and families.</w:t>
      </w:r>
    </w:p>
    <w:p w14:paraId="345E41EB" w14:textId="77777777" w:rsidR="00C40DBC" w:rsidRPr="00C40DBC" w:rsidRDefault="00C40DBC" w:rsidP="00C40DBC">
      <w:pPr>
        <w:spacing w:line="360" w:lineRule="auto"/>
        <w:rPr>
          <w:rFonts w:ascii="Arial" w:hAnsi="Arial" w:cs="Arial"/>
        </w:rPr>
      </w:pPr>
    </w:p>
    <w:p w14:paraId="1637D9A9" w14:textId="77A5DB1E" w:rsidR="00C40DBC" w:rsidRDefault="00C40DBC" w:rsidP="00C40DBC">
      <w:pPr>
        <w:spacing w:line="360" w:lineRule="auto"/>
        <w:rPr>
          <w:rFonts w:ascii="Arial" w:hAnsi="Arial" w:cs="Arial"/>
        </w:rPr>
      </w:pPr>
      <w:r w:rsidRPr="00C40DBC">
        <w:rPr>
          <w:rFonts w:ascii="Arial" w:hAnsi="Arial" w:cs="Arial"/>
        </w:rPr>
        <w:t>Finally, strong leadership and organisational skills are essential when developing a new entrepreneurial initiative. Entrepreneurship within the education sector often requires innovation, adaptability and the ability to identify gaps in existing services (Neck et al., 2018). Through studying leadership in entrepreneurship, I have developed an understanding of how innovative ideas can be developed, managed and implemented successfully within real-world contexts.</w:t>
      </w:r>
    </w:p>
    <w:p w14:paraId="4CC5AC3D" w14:textId="77777777" w:rsidR="00C40DBC" w:rsidRDefault="00C40DBC" w:rsidP="00C40DBC">
      <w:pPr>
        <w:spacing w:line="360" w:lineRule="auto"/>
        <w:rPr>
          <w:rFonts w:ascii="Arial" w:hAnsi="Arial" w:cs="Arial"/>
        </w:rPr>
      </w:pPr>
    </w:p>
    <w:p w14:paraId="4363A759" w14:textId="77777777" w:rsidR="00C40DBC" w:rsidRDefault="00C40DBC" w:rsidP="00C40DBC">
      <w:pPr>
        <w:spacing w:line="360" w:lineRule="auto"/>
        <w:rPr>
          <w:rFonts w:ascii="Arial" w:hAnsi="Arial" w:cs="Arial"/>
        </w:rPr>
      </w:pPr>
    </w:p>
    <w:p w14:paraId="21C923AB" w14:textId="77777777" w:rsidR="00C40DBC" w:rsidRPr="00BA27AA" w:rsidRDefault="00C40DBC" w:rsidP="00C40DBC">
      <w:pPr>
        <w:spacing w:line="360" w:lineRule="auto"/>
        <w:rPr>
          <w:rFonts w:ascii="Arial" w:hAnsi="Arial" w:cs="Arial"/>
          <w:u w:val="single"/>
        </w:rPr>
      </w:pPr>
    </w:p>
    <w:p w14:paraId="043DAEFC" w14:textId="1F6FF2CC" w:rsidR="00C40DBC" w:rsidRPr="00BA27AA" w:rsidRDefault="00C40DBC" w:rsidP="00BA27AA">
      <w:pPr>
        <w:spacing w:line="360" w:lineRule="auto"/>
        <w:rPr>
          <w:rFonts w:ascii="Arial" w:hAnsi="Arial" w:cs="Arial"/>
          <w:sz w:val="28"/>
          <w:szCs w:val="28"/>
          <w:u w:val="single"/>
        </w:rPr>
      </w:pPr>
      <w:r w:rsidRPr="00BA27AA">
        <w:rPr>
          <w:rFonts w:ascii="Arial" w:hAnsi="Arial" w:cs="Arial"/>
          <w:sz w:val="28"/>
          <w:szCs w:val="28"/>
          <w:u w:val="single"/>
        </w:rPr>
        <w:t>Why My Idea is Innovative</w:t>
      </w:r>
    </w:p>
    <w:p w14:paraId="070031F4" w14:textId="77777777" w:rsidR="00C40DBC" w:rsidRDefault="00C40DBC" w:rsidP="00C40DBC">
      <w:pPr>
        <w:spacing w:line="360" w:lineRule="auto"/>
        <w:rPr>
          <w:rFonts w:ascii="Arial" w:hAnsi="Arial" w:cs="Arial"/>
          <w:sz w:val="28"/>
          <w:szCs w:val="28"/>
        </w:rPr>
      </w:pPr>
    </w:p>
    <w:p w14:paraId="4E8BDFEA" w14:textId="77777777" w:rsidR="00C40DBC" w:rsidRPr="00C40DBC" w:rsidRDefault="00C40DBC" w:rsidP="00C40DBC">
      <w:pPr>
        <w:spacing w:line="360" w:lineRule="auto"/>
        <w:rPr>
          <w:rFonts w:ascii="Arial" w:hAnsi="Arial" w:cs="Arial"/>
        </w:rPr>
      </w:pPr>
      <w:r w:rsidRPr="00C40DBC">
        <w:rPr>
          <w:rFonts w:ascii="Arial" w:hAnsi="Arial" w:cs="Arial"/>
        </w:rPr>
        <w:t>The Creative Play and Learning Hub is innovative because it focuses specifically on creative, play-based developmental experiences for children aged three to five, rather than traditional childcare provision. While many nurseries provide early education and supervision for young children, fewer services focus specifically on structured creative play environments designed to stimulate imagination, collaboration and exploration. Research highlights that creative environments allow children to experiment, solve problems and develop independence in ways that traditional classroom-based approaches may not always achieve (Craft, 2018; Bruce, 2019).</w:t>
      </w:r>
    </w:p>
    <w:p w14:paraId="4FA1055F" w14:textId="77777777" w:rsidR="00C40DBC" w:rsidRDefault="00C40DBC" w:rsidP="00C40DBC">
      <w:pPr>
        <w:spacing w:line="360" w:lineRule="auto"/>
        <w:rPr>
          <w:rFonts w:ascii="Arial" w:hAnsi="Arial" w:cs="Arial"/>
        </w:rPr>
      </w:pPr>
    </w:p>
    <w:p w14:paraId="6719E561" w14:textId="25B4744D" w:rsidR="00C40DBC" w:rsidRPr="00C40DBC" w:rsidRDefault="00C40DBC" w:rsidP="00C40DBC">
      <w:pPr>
        <w:spacing w:line="360" w:lineRule="auto"/>
        <w:rPr>
          <w:rFonts w:ascii="Arial" w:hAnsi="Arial" w:cs="Arial"/>
        </w:rPr>
      </w:pPr>
      <w:r w:rsidRPr="00C40DBC">
        <w:rPr>
          <w:rFonts w:ascii="Arial" w:hAnsi="Arial" w:cs="Arial"/>
        </w:rPr>
        <w:lastRenderedPageBreak/>
        <w:t>In recent years, concerns have been raised regarding the reduction of unstructured play opportunities for children due to increased screen time, busy family schedules and limited access to safe play environments (OECD, 2021).</w:t>
      </w:r>
    </w:p>
    <w:p w14:paraId="623E7C45" w14:textId="77777777" w:rsidR="007126AE" w:rsidRDefault="007126AE" w:rsidP="00C40DBC">
      <w:pPr>
        <w:spacing w:line="360" w:lineRule="auto"/>
        <w:rPr>
          <w:rFonts w:ascii="Arial" w:hAnsi="Arial" w:cs="Arial"/>
        </w:rPr>
      </w:pPr>
    </w:p>
    <w:p w14:paraId="67819E1E" w14:textId="139BFCD0" w:rsidR="00C40DBC" w:rsidRPr="00C40DBC" w:rsidRDefault="00C40DBC" w:rsidP="00C40DBC">
      <w:pPr>
        <w:spacing w:line="360" w:lineRule="auto"/>
        <w:rPr>
          <w:rFonts w:ascii="Arial" w:hAnsi="Arial" w:cs="Arial"/>
        </w:rPr>
      </w:pPr>
      <w:r w:rsidRPr="00C40DBC">
        <w:rPr>
          <w:rFonts w:ascii="Arial" w:hAnsi="Arial" w:cs="Arial"/>
        </w:rPr>
        <w:t>Another innovative aspect of the hub is the combination of creative arts, sensory play and early STEM learning within one environment. STEM-based learning activities such as simple building challenges, problem-solving tasks and interactive experiments can encourage children to develop critical thinking skills from an early age (</w:t>
      </w:r>
      <w:proofErr w:type="spellStart"/>
      <w:r w:rsidRPr="00C40DBC">
        <w:rPr>
          <w:rFonts w:ascii="Arial" w:hAnsi="Arial" w:cs="Arial"/>
        </w:rPr>
        <w:t>Zosh</w:t>
      </w:r>
      <w:proofErr w:type="spellEnd"/>
      <w:r w:rsidRPr="00C40DBC">
        <w:rPr>
          <w:rFonts w:ascii="Arial" w:hAnsi="Arial" w:cs="Arial"/>
        </w:rPr>
        <w:t xml:space="preserve"> et al., 2018). At the same time, creative activities such as storytelling, role play and art can strengthen communication skills and emotional expression (Hirsh-</w:t>
      </w:r>
      <w:proofErr w:type="spellStart"/>
      <w:r w:rsidRPr="00C40DBC">
        <w:rPr>
          <w:rFonts w:ascii="Arial" w:hAnsi="Arial" w:cs="Arial"/>
        </w:rPr>
        <w:t>Pasek</w:t>
      </w:r>
      <w:proofErr w:type="spellEnd"/>
      <w:r w:rsidRPr="00C40DBC">
        <w:rPr>
          <w:rFonts w:ascii="Arial" w:hAnsi="Arial" w:cs="Arial"/>
        </w:rPr>
        <w:t xml:space="preserve"> et al., 2020).</w:t>
      </w:r>
    </w:p>
    <w:p w14:paraId="1A53395F" w14:textId="77777777" w:rsidR="00C40DBC" w:rsidRDefault="00C40DBC" w:rsidP="00C40DBC">
      <w:pPr>
        <w:spacing w:line="360" w:lineRule="auto"/>
        <w:rPr>
          <w:rFonts w:ascii="Arial" w:hAnsi="Arial" w:cs="Arial"/>
        </w:rPr>
      </w:pPr>
    </w:p>
    <w:p w14:paraId="729BC39B" w14:textId="40F29379" w:rsidR="00C40DBC" w:rsidRPr="00C40DBC" w:rsidRDefault="00C40DBC" w:rsidP="00C40DBC">
      <w:pPr>
        <w:spacing w:line="360" w:lineRule="auto"/>
        <w:rPr>
          <w:rFonts w:ascii="Arial" w:hAnsi="Arial" w:cs="Arial"/>
        </w:rPr>
      </w:pPr>
      <w:r w:rsidRPr="00C40DBC">
        <w:rPr>
          <w:rFonts w:ascii="Arial" w:hAnsi="Arial" w:cs="Arial"/>
        </w:rPr>
        <w:t>The idea aligns with current educational developments in Wales, particularly the Curriculum for Wales, which emphasises creativity, problem-solving and collaborative learning as essential skills for the future (Welsh Government, 2022). By providing an environment that encourages exploration and imagination, the Creative Play and Learning Hub supports the broader goal of developing confident, capable and creative learners.</w:t>
      </w:r>
    </w:p>
    <w:p w14:paraId="16D6D01A" w14:textId="77777777" w:rsidR="00C40DBC" w:rsidRDefault="00C40DBC" w:rsidP="00C40DBC">
      <w:pPr>
        <w:spacing w:line="360" w:lineRule="auto"/>
        <w:rPr>
          <w:rFonts w:ascii="Arial" w:hAnsi="Arial" w:cs="Arial"/>
        </w:rPr>
      </w:pPr>
    </w:p>
    <w:p w14:paraId="4BD8BA6F" w14:textId="25E2D45B" w:rsidR="00C40DBC" w:rsidRDefault="00C40DBC" w:rsidP="00C40DBC">
      <w:pPr>
        <w:spacing w:line="360" w:lineRule="auto"/>
        <w:rPr>
          <w:rFonts w:ascii="Arial" w:hAnsi="Arial" w:cs="Arial"/>
        </w:rPr>
      </w:pPr>
      <w:r w:rsidRPr="00C40DBC">
        <w:rPr>
          <w:rFonts w:ascii="Arial" w:hAnsi="Arial" w:cs="Arial"/>
        </w:rPr>
        <w:t>Furthermore, the hub would operate as a community-focused initiative, allowing parents, carers and local early years practitioners to engage with the activities offered. Community engagement is increasingly recognised as an important factor in supporting children’s development and strengthening local support networks for families (Siraj and Mayo, 2019). This approach helps ensure that the service is responsive to local needs while promoting inclusive learning opportunities for young children.</w:t>
      </w:r>
    </w:p>
    <w:p w14:paraId="432EF099" w14:textId="77777777" w:rsidR="00EE4273" w:rsidRDefault="00EE4273" w:rsidP="00C40DBC">
      <w:pPr>
        <w:spacing w:line="360" w:lineRule="auto"/>
        <w:rPr>
          <w:rFonts w:ascii="Arial" w:hAnsi="Arial" w:cs="Arial"/>
        </w:rPr>
      </w:pPr>
    </w:p>
    <w:p w14:paraId="3E549489" w14:textId="77777777" w:rsidR="00EE4273" w:rsidRDefault="00EE4273" w:rsidP="00C40DBC">
      <w:pPr>
        <w:spacing w:line="360" w:lineRule="auto"/>
        <w:rPr>
          <w:rFonts w:ascii="Arial" w:hAnsi="Arial" w:cs="Arial"/>
        </w:rPr>
      </w:pPr>
    </w:p>
    <w:p w14:paraId="37932C24" w14:textId="77777777" w:rsidR="00EE4273" w:rsidRDefault="00EE4273" w:rsidP="00C40DBC">
      <w:pPr>
        <w:spacing w:line="360" w:lineRule="auto"/>
        <w:rPr>
          <w:rFonts w:ascii="Arial" w:hAnsi="Arial" w:cs="Arial"/>
        </w:rPr>
      </w:pPr>
    </w:p>
    <w:p w14:paraId="4128E317" w14:textId="77777777" w:rsidR="00BA27AA" w:rsidRDefault="00BA27AA" w:rsidP="00BA27AA">
      <w:pPr>
        <w:spacing w:line="360" w:lineRule="auto"/>
        <w:rPr>
          <w:rFonts w:ascii="Arial" w:hAnsi="Arial" w:cs="Arial"/>
          <w:sz w:val="28"/>
          <w:szCs w:val="28"/>
          <w:u w:val="single"/>
        </w:rPr>
      </w:pPr>
    </w:p>
    <w:p w14:paraId="0DBA6C37" w14:textId="77777777" w:rsidR="00BA27AA" w:rsidRDefault="00BA27AA" w:rsidP="00BA27AA">
      <w:pPr>
        <w:spacing w:line="360" w:lineRule="auto"/>
        <w:rPr>
          <w:rFonts w:ascii="Arial" w:hAnsi="Arial" w:cs="Arial"/>
          <w:sz w:val="28"/>
          <w:szCs w:val="28"/>
          <w:u w:val="single"/>
        </w:rPr>
      </w:pPr>
    </w:p>
    <w:p w14:paraId="0ACB90FB" w14:textId="77777777" w:rsidR="00BA27AA" w:rsidRDefault="00BA27AA" w:rsidP="00BA27AA">
      <w:pPr>
        <w:spacing w:line="360" w:lineRule="auto"/>
        <w:rPr>
          <w:rFonts w:ascii="Arial" w:hAnsi="Arial" w:cs="Arial"/>
          <w:sz w:val="28"/>
          <w:szCs w:val="28"/>
          <w:u w:val="single"/>
        </w:rPr>
      </w:pPr>
    </w:p>
    <w:p w14:paraId="285FDA56" w14:textId="77777777" w:rsidR="00BA27AA" w:rsidRDefault="00BA27AA" w:rsidP="00BA27AA">
      <w:pPr>
        <w:spacing w:line="360" w:lineRule="auto"/>
        <w:rPr>
          <w:rFonts w:ascii="Arial" w:hAnsi="Arial" w:cs="Arial"/>
          <w:sz w:val="28"/>
          <w:szCs w:val="28"/>
          <w:u w:val="single"/>
        </w:rPr>
      </w:pPr>
    </w:p>
    <w:p w14:paraId="3FFD89DC" w14:textId="3E85A6E1" w:rsidR="00EE4273" w:rsidRPr="00BA27AA" w:rsidRDefault="00EE4273" w:rsidP="00BA27AA">
      <w:pPr>
        <w:spacing w:line="360" w:lineRule="auto"/>
        <w:rPr>
          <w:rFonts w:ascii="Arial" w:hAnsi="Arial" w:cs="Arial"/>
          <w:sz w:val="28"/>
          <w:szCs w:val="28"/>
          <w:u w:val="single"/>
        </w:rPr>
      </w:pPr>
      <w:r w:rsidRPr="00BA27AA">
        <w:rPr>
          <w:rFonts w:ascii="Arial" w:hAnsi="Arial" w:cs="Arial"/>
          <w:sz w:val="28"/>
          <w:szCs w:val="28"/>
          <w:u w:val="single"/>
        </w:rPr>
        <w:lastRenderedPageBreak/>
        <w:t>Benefits for Early Years Development</w:t>
      </w:r>
    </w:p>
    <w:p w14:paraId="3DCA3F01" w14:textId="77777777" w:rsidR="00EE4273" w:rsidRDefault="00EE4273" w:rsidP="00EE4273">
      <w:pPr>
        <w:spacing w:line="360" w:lineRule="auto"/>
        <w:rPr>
          <w:rFonts w:ascii="Arial" w:hAnsi="Arial" w:cs="Arial"/>
          <w:sz w:val="28"/>
          <w:szCs w:val="28"/>
        </w:rPr>
      </w:pPr>
    </w:p>
    <w:p w14:paraId="20253986" w14:textId="37B2FD53" w:rsidR="00EE4273" w:rsidRPr="00EE4273" w:rsidRDefault="00EE4273" w:rsidP="00EE4273">
      <w:pPr>
        <w:spacing w:line="360" w:lineRule="auto"/>
        <w:rPr>
          <w:rFonts w:ascii="Arial" w:hAnsi="Arial" w:cs="Arial"/>
        </w:rPr>
      </w:pPr>
      <w:r w:rsidRPr="00EE4273">
        <w:rPr>
          <w:rFonts w:ascii="Arial" w:hAnsi="Arial" w:cs="Arial"/>
        </w:rPr>
        <w:t>The Creative Play and Learning Hub aims to support several key areas of early childhood development, including cognitive development, social and emotional development, language development and physical development.</w:t>
      </w:r>
    </w:p>
    <w:p w14:paraId="5F3882BB" w14:textId="77777777" w:rsidR="00536AD8" w:rsidRDefault="00536AD8" w:rsidP="00EE4273">
      <w:pPr>
        <w:spacing w:line="360" w:lineRule="auto"/>
        <w:rPr>
          <w:rFonts w:ascii="Arial" w:hAnsi="Arial" w:cs="Arial"/>
        </w:rPr>
      </w:pPr>
    </w:p>
    <w:p w14:paraId="4F1C93A2" w14:textId="5A112801" w:rsidR="00EE4273" w:rsidRPr="00EE4273" w:rsidRDefault="00EE4273" w:rsidP="00EE4273">
      <w:pPr>
        <w:spacing w:line="360" w:lineRule="auto"/>
        <w:rPr>
          <w:rFonts w:ascii="Arial" w:hAnsi="Arial" w:cs="Arial"/>
        </w:rPr>
      </w:pPr>
      <w:r w:rsidRPr="00EE4273">
        <w:rPr>
          <w:rFonts w:ascii="Arial" w:hAnsi="Arial" w:cs="Arial"/>
        </w:rPr>
        <w:t>One of the primary benefits of the hub is the promotion of cognitive development through play-based learning. Play allows children to explore ideas, experiment with materials and develop problem-solving abilities. According to Hirsh-</w:t>
      </w:r>
      <w:proofErr w:type="spellStart"/>
      <w:r w:rsidRPr="00EE4273">
        <w:rPr>
          <w:rFonts w:ascii="Arial" w:hAnsi="Arial" w:cs="Arial"/>
        </w:rPr>
        <w:t>Pasek</w:t>
      </w:r>
      <w:proofErr w:type="spellEnd"/>
      <w:r w:rsidRPr="00EE4273">
        <w:rPr>
          <w:rFonts w:ascii="Arial" w:hAnsi="Arial" w:cs="Arial"/>
        </w:rPr>
        <w:t xml:space="preserve"> et al. (2020), play-based learning encourages curiosity and supports the development of critical thinking skills, which are essential for later academic learning. Activities such as building structures, sorting materials and experimenting with sensory objects can help children develop early mathematical and scientific thinking.</w:t>
      </w:r>
    </w:p>
    <w:p w14:paraId="47292A06" w14:textId="77777777" w:rsidR="00EE4273" w:rsidRDefault="00EE4273" w:rsidP="00EE4273">
      <w:pPr>
        <w:spacing w:line="360" w:lineRule="auto"/>
        <w:rPr>
          <w:rFonts w:ascii="Arial" w:hAnsi="Arial" w:cs="Arial"/>
        </w:rPr>
      </w:pPr>
    </w:p>
    <w:p w14:paraId="16589268" w14:textId="79EE15AD" w:rsidR="00EE4273" w:rsidRPr="00EE4273" w:rsidRDefault="00EE4273" w:rsidP="00EE4273">
      <w:pPr>
        <w:spacing w:line="360" w:lineRule="auto"/>
        <w:rPr>
          <w:rFonts w:ascii="Arial" w:hAnsi="Arial" w:cs="Arial"/>
        </w:rPr>
      </w:pPr>
      <w:r w:rsidRPr="00EE4273">
        <w:rPr>
          <w:rFonts w:ascii="Arial" w:hAnsi="Arial" w:cs="Arial"/>
        </w:rPr>
        <w:t>The hub would support social and emotional development, which is an essential aspect of early childhood learning. When children engage in group play activities, they learn how to cooperate, share and communicate with others. These interactions help children develop empathy, emotional regulation and self-confidence (Denham et al., 2020). Collaborative play environments can help children build friendships and develop a sense of belonging within their community.</w:t>
      </w:r>
    </w:p>
    <w:p w14:paraId="118D1AC0" w14:textId="77777777" w:rsidR="00EE4273" w:rsidRDefault="00EE4273" w:rsidP="00EE4273">
      <w:pPr>
        <w:spacing w:line="360" w:lineRule="auto"/>
        <w:rPr>
          <w:rFonts w:ascii="Arial" w:hAnsi="Arial" w:cs="Arial"/>
        </w:rPr>
      </w:pPr>
    </w:p>
    <w:p w14:paraId="5EF5707A" w14:textId="113DF92E" w:rsidR="00EE4273" w:rsidRPr="00EE4273" w:rsidRDefault="00EE4273" w:rsidP="00EE4273">
      <w:pPr>
        <w:spacing w:line="360" w:lineRule="auto"/>
        <w:rPr>
          <w:rFonts w:ascii="Arial" w:hAnsi="Arial" w:cs="Arial"/>
        </w:rPr>
      </w:pPr>
      <w:r w:rsidRPr="00EE4273">
        <w:rPr>
          <w:rFonts w:ascii="Arial" w:hAnsi="Arial" w:cs="Arial"/>
        </w:rPr>
        <w:t>Another important benefit relates to language and communication development. Activities such as storytelling, role-play and group discussions encourage children to express ideas, ask questions and develop vocabulary. Research suggests that rich language environments during early childhood can significantly influence children’s communication skills and later literacy development (Rowe and Snow, 2020). By providing interactive learning experiences, the Creative Play and Learning Hub can help strengthen children’s communication abilities.</w:t>
      </w:r>
    </w:p>
    <w:p w14:paraId="7EE935C5" w14:textId="77777777" w:rsidR="00EE4273" w:rsidRDefault="00EE4273" w:rsidP="00EE4273">
      <w:pPr>
        <w:spacing w:line="360" w:lineRule="auto"/>
        <w:rPr>
          <w:rFonts w:ascii="Arial" w:hAnsi="Arial" w:cs="Arial"/>
        </w:rPr>
      </w:pPr>
    </w:p>
    <w:p w14:paraId="08E8EA37" w14:textId="17CF601B" w:rsidR="00EE4273" w:rsidRPr="00EE4273" w:rsidRDefault="00EE4273" w:rsidP="00EE4273">
      <w:pPr>
        <w:spacing w:line="360" w:lineRule="auto"/>
        <w:rPr>
          <w:rFonts w:ascii="Arial" w:hAnsi="Arial" w:cs="Arial"/>
        </w:rPr>
      </w:pPr>
      <w:r w:rsidRPr="00EE4273">
        <w:rPr>
          <w:rFonts w:ascii="Arial" w:hAnsi="Arial" w:cs="Arial"/>
        </w:rPr>
        <w:t xml:space="preserve">The hub would support physical development through activities that encourage movement and coordination. Sensory play, climbing structures and interactive games help children develop both fine and gross motor skills. These skills are </w:t>
      </w:r>
      <w:r w:rsidRPr="00EE4273">
        <w:rPr>
          <w:rFonts w:ascii="Arial" w:hAnsi="Arial" w:cs="Arial"/>
        </w:rPr>
        <w:lastRenderedPageBreak/>
        <w:t>essential for everyday tasks such as writing, drawing and participating in physical activities (Ginsburg, 2017).</w:t>
      </w:r>
    </w:p>
    <w:p w14:paraId="2288687E" w14:textId="77777777" w:rsidR="00EE4273" w:rsidRDefault="00EE4273" w:rsidP="00EE4273">
      <w:pPr>
        <w:spacing w:line="360" w:lineRule="auto"/>
        <w:rPr>
          <w:rFonts w:ascii="Arial" w:hAnsi="Arial" w:cs="Arial"/>
        </w:rPr>
      </w:pPr>
    </w:p>
    <w:p w14:paraId="6B6C2DF6" w14:textId="79B6FA88" w:rsidR="008D4BF9" w:rsidRDefault="00EE4273" w:rsidP="008D4BF9">
      <w:pPr>
        <w:spacing w:line="360" w:lineRule="auto"/>
        <w:rPr>
          <w:rFonts w:ascii="Arial" w:hAnsi="Arial" w:cs="Arial"/>
        </w:rPr>
      </w:pPr>
      <w:r w:rsidRPr="00EE4273">
        <w:rPr>
          <w:rFonts w:ascii="Arial" w:hAnsi="Arial" w:cs="Arial"/>
        </w:rPr>
        <w:t>Importantly, the hub reflects the principles of the Foundation Phase in Wales, which emphasises learning through play, exploration and hands-on experiences (Welsh Government, 2022). By creating an environment that encourages creativity and discovery, the Creative Play and Learning Hub supports the holistic development of young children while complementing existing early years education services.</w:t>
      </w:r>
    </w:p>
    <w:p w14:paraId="14322419" w14:textId="77777777" w:rsidR="008D4BF9" w:rsidRDefault="008D4BF9" w:rsidP="008D4BF9">
      <w:pPr>
        <w:spacing w:line="360" w:lineRule="auto"/>
        <w:rPr>
          <w:rFonts w:ascii="Arial" w:hAnsi="Arial" w:cs="Arial"/>
        </w:rPr>
      </w:pPr>
    </w:p>
    <w:p w14:paraId="208C047F" w14:textId="77777777" w:rsidR="008D4BF9" w:rsidRDefault="008D4BF9" w:rsidP="008D4BF9">
      <w:pPr>
        <w:spacing w:line="360" w:lineRule="auto"/>
        <w:rPr>
          <w:rFonts w:ascii="Arial" w:hAnsi="Arial" w:cs="Arial"/>
        </w:rPr>
      </w:pPr>
    </w:p>
    <w:p w14:paraId="0515A7A5" w14:textId="77777777" w:rsidR="008D4BF9" w:rsidRPr="00BA27AA" w:rsidRDefault="008D4BF9" w:rsidP="008D4BF9">
      <w:pPr>
        <w:spacing w:line="360" w:lineRule="auto"/>
        <w:rPr>
          <w:rFonts w:ascii="Arial" w:hAnsi="Arial" w:cs="Arial"/>
          <w:u w:val="single"/>
        </w:rPr>
      </w:pPr>
    </w:p>
    <w:p w14:paraId="200DEBC5" w14:textId="3DA984DE" w:rsidR="00EE4273" w:rsidRPr="00BA27AA" w:rsidRDefault="00EE4273" w:rsidP="00BA27AA">
      <w:pPr>
        <w:spacing w:line="360" w:lineRule="auto"/>
        <w:rPr>
          <w:rFonts w:ascii="Arial" w:hAnsi="Arial" w:cs="Arial"/>
          <w:b/>
          <w:bCs/>
          <w:sz w:val="28"/>
          <w:szCs w:val="28"/>
          <w:u w:val="single"/>
        </w:rPr>
      </w:pPr>
      <w:r w:rsidRPr="00BA27AA">
        <w:rPr>
          <w:rFonts w:ascii="Arial" w:hAnsi="Arial" w:cs="Arial"/>
          <w:sz w:val="28"/>
          <w:szCs w:val="28"/>
          <w:u w:val="single"/>
        </w:rPr>
        <w:t>Challenges and Barriers</w:t>
      </w:r>
    </w:p>
    <w:p w14:paraId="144E17EE" w14:textId="09A6AA87" w:rsidR="00EE4273" w:rsidRPr="00EE4273" w:rsidRDefault="00EE4273" w:rsidP="00EE4273">
      <w:pPr>
        <w:pStyle w:val="NormalWeb"/>
        <w:spacing w:line="360" w:lineRule="auto"/>
        <w:rPr>
          <w:rFonts w:ascii="Arial" w:hAnsi="Arial" w:cs="Arial"/>
          <w:color w:val="000000"/>
        </w:rPr>
      </w:pPr>
      <w:r w:rsidRPr="00EE4273">
        <w:rPr>
          <w:rFonts w:ascii="Arial" w:hAnsi="Arial" w:cs="Arial"/>
          <w:color w:val="000000"/>
        </w:rPr>
        <w:t>While the Creative Play and Learning Hub offers many potential benefits, it is important to recognise that developing a new entrepreneurial initiative within the early years sector may involve several challenges and barriers. Identifying these potential difficulties is an important part of business planning because it allows strategies to be developed to manage risks effectively (Burns, 2020).</w:t>
      </w:r>
    </w:p>
    <w:p w14:paraId="12F8B831" w14:textId="4EF98DCA" w:rsidR="00EE4273" w:rsidRPr="000C0152" w:rsidRDefault="00EE4273" w:rsidP="00EE4273">
      <w:pPr>
        <w:pStyle w:val="NormalWeb"/>
        <w:spacing w:line="360" w:lineRule="auto"/>
        <w:rPr>
          <w:rFonts w:ascii="Arial" w:hAnsi="Arial" w:cs="Arial"/>
          <w:b/>
          <w:bCs/>
          <w:color w:val="000000"/>
        </w:rPr>
      </w:pPr>
      <w:r w:rsidRPr="00EE4273">
        <w:rPr>
          <w:rFonts w:ascii="Arial" w:hAnsi="Arial" w:cs="Arial"/>
          <w:color w:val="000000"/>
        </w:rPr>
        <w:t>One of the most significant challenges relates to</w:t>
      </w:r>
      <w:r w:rsidRPr="00EE4273">
        <w:rPr>
          <w:rStyle w:val="apple-converted-space"/>
          <w:rFonts w:ascii="Arial" w:eastAsiaTheme="majorEastAsia" w:hAnsi="Arial" w:cs="Arial"/>
          <w:color w:val="000000"/>
        </w:rPr>
        <w:t> </w:t>
      </w:r>
      <w:r w:rsidRPr="000C0152">
        <w:rPr>
          <w:rStyle w:val="Strong"/>
          <w:rFonts w:ascii="Arial" w:eastAsiaTheme="majorEastAsia" w:hAnsi="Arial" w:cs="Arial"/>
          <w:b w:val="0"/>
          <w:bCs w:val="0"/>
          <w:color w:val="000000"/>
        </w:rPr>
        <w:t>financial investment and start-up costs</w:t>
      </w:r>
      <w:r w:rsidRPr="000C0152">
        <w:rPr>
          <w:rFonts w:ascii="Arial" w:hAnsi="Arial" w:cs="Arial"/>
          <w:b/>
          <w:bCs/>
          <w:color w:val="000000"/>
        </w:rPr>
        <w:t>.</w:t>
      </w:r>
      <w:r w:rsidRPr="00EE4273">
        <w:rPr>
          <w:rFonts w:ascii="Arial" w:hAnsi="Arial" w:cs="Arial"/>
          <w:color w:val="000000"/>
        </w:rPr>
        <w:t xml:space="preserve"> Establishing a creative learning hub would require funding for premises, equipment, play materials, staff salaries and marketing activities. Early years environments must meet specific safety and regulatory standards, which may increase costs during the start-up phase (Neck et al., 2018). Securing sufficient funding may therefore be a key challenge, particularly during the initial stages of establishing the business.</w:t>
      </w:r>
    </w:p>
    <w:p w14:paraId="6ABEE226" w14:textId="55A14300" w:rsidR="00EE4273" w:rsidRPr="00EE4273" w:rsidRDefault="00EE4273" w:rsidP="00EE4273">
      <w:pPr>
        <w:pStyle w:val="NormalWeb"/>
        <w:spacing w:line="360" w:lineRule="auto"/>
        <w:rPr>
          <w:rFonts w:ascii="Arial" w:hAnsi="Arial" w:cs="Arial"/>
          <w:color w:val="000000"/>
        </w:rPr>
      </w:pPr>
      <w:r w:rsidRPr="000C0152">
        <w:rPr>
          <w:rFonts w:ascii="Arial" w:hAnsi="Arial" w:cs="Arial"/>
          <w:color w:val="000000"/>
        </w:rPr>
        <w:t>Another potential barrier is</w:t>
      </w:r>
      <w:r w:rsidRPr="000C0152">
        <w:rPr>
          <w:rStyle w:val="apple-converted-space"/>
          <w:rFonts w:ascii="Arial" w:eastAsiaTheme="majorEastAsia" w:hAnsi="Arial" w:cs="Arial"/>
          <w:b/>
          <w:bCs/>
          <w:color w:val="000000"/>
        </w:rPr>
        <w:t> </w:t>
      </w:r>
      <w:r w:rsidRPr="000C0152">
        <w:rPr>
          <w:rStyle w:val="Strong"/>
          <w:rFonts w:ascii="Arial" w:eastAsiaTheme="majorEastAsia" w:hAnsi="Arial" w:cs="Arial"/>
          <w:b w:val="0"/>
          <w:bCs w:val="0"/>
          <w:color w:val="000000"/>
        </w:rPr>
        <w:t>competition from existing early years services</w:t>
      </w:r>
      <w:r w:rsidRPr="000C0152">
        <w:rPr>
          <w:rFonts w:ascii="Arial" w:hAnsi="Arial" w:cs="Arial"/>
          <w:b/>
          <w:bCs/>
          <w:color w:val="000000"/>
        </w:rPr>
        <w:t>.</w:t>
      </w:r>
      <w:r w:rsidRPr="00EE4273">
        <w:rPr>
          <w:rFonts w:ascii="Arial" w:hAnsi="Arial" w:cs="Arial"/>
          <w:color w:val="000000"/>
        </w:rPr>
        <w:t xml:space="preserve"> Cardiff already has a range of nurseries, childcare providers and play centres that support young children and families. </w:t>
      </w:r>
      <w:r w:rsidRPr="00EE4273">
        <w:rPr>
          <w:rFonts w:ascii="Arial" w:hAnsi="Arial" w:cs="Arial"/>
          <w:color w:val="000000"/>
        </w:rPr>
        <w:t>To</w:t>
      </w:r>
      <w:r w:rsidRPr="00EE4273">
        <w:rPr>
          <w:rFonts w:ascii="Arial" w:hAnsi="Arial" w:cs="Arial"/>
          <w:color w:val="000000"/>
        </w:rPr>
        <w:t xml:space="preserve"> succeed, the Creative Play and Learning Hub would need to clearly demonstrate its unique value by focusing on creative learning experiences and developmental play opportunities that may not be widely available in other settings (Burns, 2020).</w:t>
      </w:r>
    </w:p>
    <w:p w14:paraId="37F6CE68" w14:textId="1902D97F" w:rsidR="00EE4273" w:rsidRPr="00EE4273" w:rsidRDefault="00EE4273" w:rsidP="00EE4273">
      <w:pPr>
        <w:pStyle w:val="NormalWeb"/>
        <w:spacing w:line="360" w:lineRule="auto"/>
        <w:rPr>
          <w:rFonts w:ascii="Arial" w:hAnsi="Arial" w:cs="Arial"/>
          <w:color w:val="000000"/>
        </w:rPr>
      </w:pPr>
      <w:r w:rsidRPr="00EE4273">
        <w:rPr>
          <w:rFonts w:ascii="Arial" w:hAnsi="Arial" w:cs="Arial"/>
          <w:color w:val="000000"/>
        </w:rPr>
        <w:lastRenderedPageBreak/>
        <w:t>There may</w:t>
      </w:r>
      <w:r w:rsidR="00072CB4">
        <w:rPr>
          <w:rFonts w:ascii="Arial" w:hAnsi="Arial" w:cs="Arial"/>
          <w:color w:val="000000"/>
        </w:rPr>
        <w:t xml:space="preserve"> </w:t>
      </w:r>
      <w:r w:rsidRPr="00EE4273">
        <w:rPr>
          <w:rFonts w:ascii="Arial" w:hAnsi="Arial" w:cs="Arial"/>
          <w:color w:val="000000"/>
        </w:rPr>
        <w:t>be challenges related to</w:t>
      </w:r>
      <w:r w:rsidRPr="00EE4273">
        <w:rPr>
          <w:rStyle w:val="apple-converted-space"/>
          <w:rFonts w:ascii="Arial" w:eastAsiaTheme="majorEastAsia" w:hAnsi="Arial" w:cs="Arial"/>
          <w:color w:val="000000"/>
        </w:rPr>
        <w:t> </w:t>
      </w:r>
      <w:r w:rsidRPr="000C0152">
        <w:rPr>
          <w:rStyle w:val="Strong"/>
          <w:rFonts w:ascii="Arial" w:eastAsiaTheme="majorEastAsia" w:hAnsi="Arial" w:cs="Arial"/>
          <w:b w:val="0"/>
          <w:bCs w:val="0"/>
          <w:color w:val="000000"/>
        </w:rPr>
        <w:t>staff recruitment and training</w:t>
      </w:r>
      <w:r w:rsidRPr="000C0152">
        <w:rPr>
          <w:rFonts w:ascii="Arial" w:hAnsi="Arial" w:cs="Arial"/>
          <w:b/>
          <w:bCs/>
          <w:color w:val="000000"/>
        </w:rPr>
        <w:t>.</w:t>
      </w:r>
      <w:r w:rsidRPr="00EE4273">
        <w:rPr>
          <w:rFonts w:ascii="Arial" w:hAnsi="Arial" w:cs="Arial"/>
          <w:color w:val="000000"/>
        </w:rPr>
        <w:t xml:space="preserve"> Staff working within the hub would require appropriate early years qualifications and an understanding of play-based learning approaches. Recruiting experienced practitioners who </w:t>
      </w:r>
      <w:r w:rsidRPr="00EE4273">
        <w:rPr>
          <w:rFonts w:ascii="Arial" w:hAnsi="Arial" w:cs="Arial"/>
          <w:color w:val="000000"/>
        </w:rPr>
        <w:t>can</w:t>
      </w:r>
      <w:r w:rsidRPr="00EE4273">
        <w:rPr>
          <w:rFonts w:ascii="Arial" w:hAnsi="Arial" w:cs="Arial"/>
          <w:color w:val="000000"/>
        </w:rPr>
        <w:t xml:space="preserve"> facilitate creative learning activities and support children’s development may require additional training and professional development (Nutbrown, 2019).</w:t>
      </w:r>
    </w:p>
    <w:p w14:paraId="12593643" w14:textId="77777777" w:rsidR="00EE4273" w:rsidRPr="00EE4273" w:rsidRDefault="00EE4273" w:rsidP="00EE4273">
      <w:pPr>
        <w:pStyle w:val="NormalWeb"/>
        <w:spacing w:line="360" w:lineRule="auto"/>
        <w:rPr>
          <w:rFonts w:ascii="Arial" w:hAnsi="Arial" w:cs="Arial"/>
          <w:color w:val="000000"/>
        </w:rPr>
      </w:pPr>
      <w:r w:rsidRPr="00EE4273">
        <w:rPr>
          <w:rFonts w:ascii="Arial" w:hAnsi="Arial" w:cs="Arial"/>
          <w:color w:val="000000"/>
        </w:rPr>
        <w:t>In addition, regulatory requirements must be considered. Early years services in Wales are monitored by organisations such as</w:t>
      </w:r>
      <w:r w:rsidRPr="00EE4273">
        <w:rPr>
          <w:rStyle w:val="apple-converted-space"/>
          <w:rFonts w:ascii="Arial" w:eastAsiaTheme="majorEastAsia" w:hAnsi="Arial" w:cs="Arial"/>
          <w:color w:val="000000"/>
        </w:rPr>
        <w:t> </w:t>
      </w:r>
      <w:r w:rsidRPr="000C0152">
        <w:rPr>
          <w:rStyle w:val="Strong"/>
          <w:rFonts w:ascii="Arial" w:eastAsiaTheme="majorEastAsia" w:hAnsi="Arial" w:cs="Arial"/>
          <w:b w:val="0"/>
          <w:bCs w:val="0"/>
          <w:color w:val="000000"/>
        </w:rPr>
        <w:t>Care Inspectorate Wales (CIW)</w:t>
      </w:r>
      <w:r w:rsidRPr="00EE4273">
        <w:rPr>
          <w:rStyle w:val="apple-converted-space"/>
          <w:rFonts w:ascii="Arial" w:eastAsiaTheme="majorEastAsia" w:hAnsi="Arial" w:cs="Arial"/>
          <w:color w:val="000000"/>
        </w:rPr>
        <w:t> </w:t>
      </w:r>
      <w:r w:rsidRPr="00EE4273">
        <w:rPr>
          <w:rFonts w:ascii="Arial" w:hAnsi="Arial" w:cs="Arial"/>
          <w:color w:val="000000"/>
        </w:rPr>
        <w:t>to ensure that settings provide safe and high-quality care for children. Meeting these standards requires careful planning, documentation and adherence to safeguarding policies (Welsh Government, 2021).</w:t>
      </w:r>
    </w:p>
    <w:p w14:paraId="47DE6A47" w14:textId="3AA005ED" w:rsidR="000C0152" w:rsidRDefault="00EE4273" w:rsidP="00EE4273">
      <w:pPr>
        <w:pStyle w:val="NormalWeb"/>
        <w:spacing w:line="360" w:lineRule="auto"/>
        <w:rPr>
          <w:rFonts w:ascii="Arial" w:hAnsi="Arial" w:cs="Arial"/>
          <w:color w:val="000000"/>
        </w:rPr>
      </w:pPr>
      <w:r w:rsidRPr="00EE4273">
        <w:rPr>
          <w:rFonts w:ascii="Arial" w:hAnsi="Arial" w:cs="Arial"/>
          <w:color w:val="000000"/>
        </w:rPr>
        <w:t>Despite these challenges, many entrepreneurial initiatives in the education sector have demonstrated that innovative ideas can succeed when careful planning, research and community engagement are involved. By identifying potential barriers early, strategies can be developed to ensure the long-term sustainability of the Creative Play and Learning Hub.</w:t>
      </w:r>
    </w:p>
    <w:p w14:paraId="4837AD68" w14:textId="77777777" w:rsidR="000C0152" w:rsidRPr="00BA27AA" w:rsidRDefault="000C0152" w:rsidP="00EE4273">
      <w:pPr>
        <w:pStyle w:val="NormalWeb"/>
        <w:spacing w:line="360" w:lineRule="auto"/>
        <w:rPr>
          <w:rFonts w:ascii="Arial" w:hAnsi="Arial" w:cs="Arial"/>
          <w:color w:val="000000"/>
          <w:u w:val="single"/>
        </w:rPr>
      </w:pPr>
    </w:p>
    <w:p w14:paraId="5FCA0367" w14:textId="77777777" w:rsidR="000C0152" w:rsidRPr="00BA27AA" w:rsidRDefault="000C0152" w:rsidP="00BA27AA">
      <w:pPr>
        <w:pStyle w:val="NormalWeb"/>
        <w:spacing w:line="360" w:lineRule="auto"/>
        <w:rPr>
          <w:rFonts w:ascii="Arial" w:hAnsi="Arial" w:cs="Arial"/>
          <w:color w:val="000000"/>
          <w:sz w:val="28"/>
          <w:szCs w:val="28"/>
          <w:u w:val="single"/>
        </w:rPr>
      </w:pPr>
      <w:r w:rsidRPr="00BA27AA">
        <w:rPr>
          <w:rFonts w:ascii="Arial" w:hAnsi="Arial" w:cs="Arial"/>
          <w:color w:val="000000"/>
          <w:sz w:val="28"/>
          <w:szCs w:val="28"/>
          <w:u w:val="single"/>
        </w:rPr>
        <w:t>Identifying the Audience and Stakeholders</w:t>
      </w:r>
    </w:p>
    <w:p w14:paraId="77DF59CB" w14:textId="0A1A35C3" w:rsidR="000C0152" w:rsidRPr="000C0152" w:rsidRDefault="000C0152" w:rsidP="000C0152">
      <w:pPr>
        <w:pStyle w:val="NormalWeb"/>
        <w:spacing w:line="360" w:lineRule="auto"/>
        <w:rPr>
          <w:rFonts w:ascii="Arial" w:hAnsi="Arial" w:cs="Arial"/>
          <w:color w:val="000000"/>
          <w:sz w:val="28"/>
          <w:szCs w:val="28"/>
        </w:rPr>
      </w:pPr>
      <w:r w:rsidRPr="000C0152">
        <w:rPr>
          <w:rFonts w:ascii="Arial" w:hAnsi="Arial" w:cs="Arial"/>
          <w:color w:val="000000"/>
        </w:rPr>
        <w:t>Identifying the target audience and key stakeholders is an essential aspect of developing a successful business idea. The primary audience for the Creative Play and Learning Hub would be</w:t>
      </w:r>
      <w:r w:rsidRPr="000C0152">
        <w:rPr>
          <w:rStyle w:val="apple-converted-space"/>
          <w:rFonts w:ascii="Arial" w:eastAsiaTheme="majorEastAsia" w:hAnsi="Arial" w:cs="Arial"/>
          <w:color w:val="000000"/>
        </w:rPr>
        <w:t> </w:t>
      </w:r>
      <w:r w:rsidRPr="000C0152">
        <w:rPr>
          <w:rStyle w:val="Strong"/>
          <w:rFonts w:ascii="Arial" w:eastAsiaTheme="majorEastAsia" w:hAnsi="Arial" w:cs="Arial"/>
          <w:b w:val="0"/>
          <w:bCs w:val="0"/>
          <w:color w:val="000000"/>
        </w:rPr>
        <w:t>children aged three to five years old living in Cardiff and the surrounding areas</w:t>
      </w:r>
      <w:r w:rsidRPr="000C0152">
        <w:rPr>
          <w:rFonts w:ascii="Arial" w:hAnsi="Arial" w:cs="Arial"/>
          <w:b/>
          <w:bCs/>
          <w:color w:val="000000"/>
        </w:rPr>
        <w:t xml:space="preserve">. </w:t>
      </w:r>
      <w:r w:rsidRPr="000C0152">
        <w:rPr>
          <w:rFonts w:ascii="Arial" w:hAnsi="Arial" w:cs="Arial"/>
          <w:color w:val="000000"/>
        </w:rPr>
        <w:t>At this stage of development, children benefit greatly from environments that encourage exploration, creativity and social interaction (Hirsh-</w:t>
      </w:r>
      <w:proofErr w:type="spellStart"/>
      <w:r w:rsidRPr="000C0152">
        <w:rPr>
          <w:rFonts w:ascii="Arial" w:hAnsi="Arial" w:cs="Arial"/>
          <w:color w:val="000000"/>
        </w:rPr>
        <w:t>Pasek</w:t>
      </w:r>
      <w:proofErr w:type="spellEnd"/>
      <w:r w:rsidRPr="000C0152">
        <w:rPr>
          <w:rFonts w:ascii="Arial" w:hAnsi="Arial" w:cs="Arial"/>
          <w:color w:val="000000"/>
        </w:rPr>
        <w:t xml:space="preserve"> et al., 2020).</w:t>
      </w:r>
    </w:p>
    <w:p w14:paraId="4E84B9FB" w14:textId="77777777" w:rsidR="000C0152" w:rsidRPr="000C0152" w:rsidRDefault="000C0152" w:rsidP="000C0152">
      <w:pPr>
        <w:pStyle w:val="NormalWeb"/>
        <w:spacing w:line="360" w:lineRule="auto"/>
        <w:rPr>
          <w:rFonts w:ascii="Arial" w:hAnsi="Arial" w:cs="Arial"/>
          <w:color w:val="000000"/>
        </w:rPr>
      </w:pPr>
      <w:r w:rsidRPr="000C0152">
        <w:rPr>
          <w:rFonts w:ascii="Arial" w:hAnsi="Arial" w:cs="Arial"/>
          <w:color w:val="000000"/>
        </w:rPr>
        <w:t>However, while children are the primary beneficiaries of the service, the</w:t>
      </w:r>
      <w:r w:rsidRPr="000C0152">
        <w:rPr>
          <w:rStyle w:val="apple-converted-space"/>
          <w:rFonts w:ascii="Arial" w:eastAsiaTheme="majorEastAsia" w:hAnsi="Arial" w:cs="Arial"/>
          <w:color w:val="000000"/>
        </w:rPr>
        <w:t> </w:t>
      </w:r>
      <w:r w:rsidRPr="000C0152">
        <w:rPr>
          <w:rStyle w:val="Strong"/>
          <w:rFonts w:ascii="Arial" w:eastAsiaTheme="majorEastAsia" w:hAnsi="Arial" w:cs="Arial"/>
          <w:b w:val="0"/>
          <w:bCs w:val="0"/>
          <w:color w:val="000000"/>
        </w:rPr>
        <w:t>main decision-makers are parents and carers</w:t>
      </w:r>
      <w:r w:rsidRPr="000C0152">
        <w:rPr>
          <w:rFonts w:ascii="Arial" w:hAnsi="Arial" w:cs="Arial"/>
          <w:b/>
          <w:bCs/>
          <w:color w:val="000000"/>
        </w:rPr>
        <w:t xml:space="preserve">. </w:t>
      </w:r>
      <w:r w:rsidRPr="000C0152">
        <w:rPr>
          <w:rFonts w:ascii="Arial" w:hAnsi="Arial" w:cs="Arial"/>
          <w:color w:val="000000"/>
        </w:rPr>
        <w:t xml:space="preserve">Parents who are seeking high-quality developmental opportunities for their children may be interested in services that support creativity, learning and social development outside of traditional childcare hours. Research suggests that parents increasingly value educational play </w:t>
      </w:r>
      <w:r w:rsidRPr="000C0152">
        <w:rPr>
          <w:rFonts w:ascii="Arial" w:hAnsi="Arial" w:cs="Arial"/>
          <w:color w:val="000000"/>
        </w:rPr>
        <w:lastRenderedPageBreak/>
        <w:t>environments that contribute positively to their children’s development (OECD, 2021).</w:t>
      </w:r>
    </w:p>
    <w:p w14:paraId="54DFA820" w14:textId="77777777" w:rsidR="000C0152" w:rsidRPr="000C0152" w:rsidRDefault="000C0152" w:rsidP="000C0152">
      <w:pPr>
        <w:pStyle w:val="NormalWeb"/>
        <w:spacing w:line="360" w:lineRule="auto"/>
        <w:rPr>
          <w:rFonts w:ascii="Arial" w:hAnsi="Arial" w:cs="Arial"/>
          <w:color w:val="000000"/>
        </w:rPr>
      </w:pPr>
      <w:r w:rsidRPr="000C0152">
        <w:rPr>
          <w:rFonts w:ascii="Arial" w:hAnsi="Arial" w:cs="Arial"/>
          <w:color w:val="000000"/>
        </w:rPr>
        <w:t>Another important group of stakeholders includes</w:t>
      </w:r>
      <w:r w:rsidRPr="000C0152">
        <w:rPr>
          <w:rStyle w:val="apple-converted-space"/>
          <w:rFonts w:ascii="Arial" w:eastAsiaTheme="majorEastAsia" w:hAnsi="Arial" w:cs="Arial"/>
          <w:color w:val="000000"/>
        </w:rPr>
        <w:t> </w:t>
      </w:r>
      <w:r w:rsidRPr="000C0152">
        <w:rPr>
          <w:rStyle w:val="Strong"/>
          <w:rFonts w:ascii="Arial" w:eastAsiaTheme="majorEastAsia" w:hAnsi="Arial" w:cs="Arial"/>
          <w:b w:val="0"/>
          <w:bCs w:val="0"/>
          <w:color w:val="000000"/>
        </w:rPr>
        <w:t>early years practitioners and nursery settings</w:t>
      </w:r>
      <w:r w:rsidRPr="000C0152">
        <w:rPr>
          <w:rFonts w:ascii="Arial" w:hAnsi="Arial" w:cs="Arial"/>
          <w:b/>
          <w:bCs/>
          <w:color w:val="000000"/>
        </w:rPr>
        <w:t>.</w:t>
      </w:r>
      <w:r w:rsidRPr="000C0152">
        <w:rPr>
          <w:rFonts w:ascii="Arial" w:hAnsi="Arial" w:cs="Arial"/>
          <w:color w:val="000000"/>
        </w:rPr>
        <w:t xml:space="preserve"> Local nurseries may collaborate with the hub by arranging visits or recommending the service to families. Partnerships between early childhood organisations can help strengthen community learning opportunities and provide additional developmental experiences for children (Siraj and Mayo, 2019).</w:t>
      </w:r>
    </w:p>
    <w:p w14:paraId="2341BA94" w14:textId="0AEC4A19" w:rsidR="000C0152" w:rsidRPr="000C0152" w:rsidRDefault="000C0152" w:rsidP="000C0152">
      <w:pPr>
        <w:pStyle w:val="NormalWeb"/>
        <w:spacing w:line="360" w:lineRule="auto"/>
        <w:rPr>
          <w:rFonts w:ascii="Arial" w:hAnsi="Arial" w:cs="Arial"/>
          <w:color w:val="000000"/>
        </w:rPr>
      </w:pPr>
      <w:r w:rsidRPr="000C0152">
        <w:rPr>
          <w:rFonts w:ascii="Arial" w:hAnsi="Arial" w:cs="Arial"/>
          <w:color w:val="000000"/>
        </w:rPr>
        <w:t>Local authorities and government organisations are</w:t>
      </w:r>
      <w:r w:rsidR="00072CB4">
        <w:rPr>
          <w:rFonts w:ascii="Arial" w:hAnsi="Arial" w:cs="Arial"/>
          <w:color w:val="000000"/>
        </w:rPr>
        <w:t xml:space="preserve"> </w:t>
      </w:r>
      <w:r w:rsidRPr="000C0152">
        <w:rPr>
          <w:rFonts w:ascii="Arial" w:hAnsi="Arial" w:cs="Arial"/>
          <w:color w:val="000000"/>
        </w:rPr>
        <w:t>relevant stakeholders. In Wales, early childhood services are influenced by policies developed by the</w:t>
      </w:r>
      <w:r w:rsidRPr="000C0152">
        <w:rPr>
          <w:rStyle w:val="apple-converted-space"/>
          <w:rFonts w:ascii="Arial" w:eastAsiaTheme="majorEastAsia" w:hAnsi="Arial" w:cs="Arial"/>
          <w:color w:val="000000"/>
        </w:rPr>
        <w:t> </w:t>
      </w:r>
      <w:r w:rsidRPr="000C0152">
        <w:rPr>
          <w:rStyle w:val="Strong"/>
          <w:rFonts w:ascii="Arial" w:eastAsiaTheme="majorEastAsia" w:hAnsi="Arial" w:cs="Arial"/>
          <w:b w:val="0"/>
          <w:bCs w:val="0"/>
          <w:color w:val="000000"/>
        </w:rPr>
        <w:t>Welsh Government</w:t>
      </w:r>
      <w:r w:rsidRPr="000C0152">
        <w:rPr>
          <w:rFonts w:ascii="Arial" w:hAnsi="Arial" w:cs="Arial"/>
          <w:b/>
          <w:bCs/>
          <w:color w:val="000000"/>
        </w:rPr>
        <w:t>,</w:t>
      </w:r>
      <w:r w:rsidRPr="000C0152">
        <w:rPr>
          <w:rFonts w:ascii="Arial" w:hAnsi="Arial" w:cs="Arial"/>
          <w:color w:val="000000"/>
        </w:rPr>
        <w:t xml:space="preserve"> which emphasise the importance of supporting children’s development through play-based learning environments (Welsh Government, 2022). Ensuring that the Creative Play and Learning Hub aligns with these policy priorities would help strengthen its credibility and community impact.</w:t>
      </w:r>
    </w:p>
    <w:p w14:paraId="71B8110B" w14:textId="3D9F3C75" w:rsidR="000C0152" w:rsidRDefault="000C0152" w:rsidP="000C0152">
      <w:pPr>
        <w:pStyle w:val="NormalWeb"/>
        <w:spacing w:line="360" w:lineRule="auto"/>
        <w:rPr>
          <w:rFonts w:ascii="Arial" w:hAnsi="Arial" w:cs="Arial"/>
          <w:color w:val="000000"/>
        </w:rPr>
      </w:pPr>
      <w:r w:rsidRPr="000C0152">
        <w:rPr>
          <w:rFonts w:ascii="Arial" w:hAnsi="Arial" w:cs="Arial"/>
          <w:color w:val="000000"/>
        </w:rPr>
        <w:t>Finally, the wider community represents an important stakeholder group. Community-based learning initiatives can contribute to stronger social connections and provide families with opportunities to engage in shared learning experiences. By creating an inclusive and welcoming environment, the hub could support not only children’s development but community engagement and wellbeing</w:t>
      </w:r>
      <w:r>
        <w:rPr>
          <w:rFonts w:ascii="Arial" w:hAnsi="Arial" w:cs="Arial"/>
          <w:color w:val="000000"/>
        </w:rPr>
        <w:t>.</w:t>
      </w:r>
    </w:p>
    <w:p w14:paraId="5F30DA60" w14:textId="77777777" w:rsidR="000C0152" w:rsidRDefault="000C0152" w:rsidP="000C0152">
      <w:pPr>
        <w:pStyle w:val="NormalWeb"/>
        <w:spacing w:line="360" w:lineRule="auto"/>
        <w:rPr>
          <w:rFonts w:ascii="Arial" w:hAnsi="Arial" w:cs="Arial"/>
          <w:color w:val="000000"/>
        </w:rPr>
      </w:pPr>
    </w:p>
    <w:p w14:paraId="627BCBB6" w14:textId="5CBA657A" w:rsidR="000C49A5" w:rsidRPr="00F03B88" w:rsidRDefault="000C49A5" w:rsidP="00F03B88">
      <w:pPr>
        <w:pStyle w:val="NormalWeb"/>
        <w:spacing w:line="360" w:lineRule="auto"/>
        <w:rPr>
          <w:rFonts w:ascii="Arial" w:hAnsi="Arial" w:cs="Arial"/>
          <w:color w:val="000000"/>
          <w:sz w:val="28"/>
          <w:szCs w:val="28"/>
          <w:u w:val="single"/>
        </w:rPr>
      </w:pPr>
      <w:r w:rsidRPr="00F03B88">
        <w:rPr>
          <w:rFonts w:ascii="Arial" w:hAnsi="Arial" w:cs="Arial"/>
          <w:color w:val="000000"/>
          <w:sz w:val="28"/>
          <w:szCs w:val="28"/>
          <w:u w:val="single"/>
        </w:rPr>
        <w:t>Financial Overview</w:t>
      </w:r>
    </w:p>
    <w:p w14:paraId="3353A5A7" w14:textId="77777777" w:rsidR="000C49A5" w:rsidRPr="000C49A5" w:rsidRDefault="000C49A5" w:rsidP="000C49A5">
      <w:pPr>
        <w:pStyle w:val="NormalWeb"/>
        <w:spacing w:line="360" w:lineRule="auto"/>
        <w:rPr>
          <w:rFonts w:ascii="Arial" w:hAnsi="Arial" w:cs="Arial"/>
          <w:color w:val="000000"/>
        </w:rPr>
      </w:pPr>
      <w:r w:rsidRPr="000C49A5">
        <w:rPr>
          <w:rFonts w:ascii="Arial" w:hAnsi="Arial" w:cs="Arial"/>
          <w:color w:val="000000"/>
        </w:rPr>
        <w:t>Financial planning is an important consideration when developing any new business idea. Although this proposal does not require a detailed financial plan, it is necessary to provide an overview of potential costs and income sources associated with establishing the Creative Play and Learning Hub.</w:t>
      </w:r>
    </w:p>
    <w:p w14:paraId="3549FFB6" w14:textId="48425214" w:rsidR="000C49A5" w:rsidRPr="000C49A5" w:rsidRDefault="000C49A5" w:rsidP="000C49A5">
      <w:pPr>
        <w:pStyle w:val="NormalWeb"/>
        <w:spacing w:line="360" w:lineRule="auto"/>
        <w:rPr>
          <w:rFonts w:ascii="Arial" w:hAnsi="Arial" w:cs="Arial"/>
          <w:color w:val="000000"/>
        </w:rPr>
      </w:pPr>
      <w:r w:rsidRPr="000C49A5">
        <w:rPr>
          <w:rFonts w:ascii="Arial" w:hAnsi="Arial" w:cs="Arial"/>
          <w:color w:val="000000"/>
        </w:rPr>
        <w:t>Initial start-up costs may include</w:t>
      </w:r>
      <w:r w:rsidRPr="000C49A5">
        <w:rPr>
          <w:rStyle w:val="apple-converted-space"/>
          <w:rFonts w:ascii="Arial" w:eastAsiaTheme="majorEastAsia" w:hAnsi="Arial" w:cs="Arial"/>
          <w:color w:val="000000"/>
        </w:rPr>
        <w:t> </w:t>
      </w:r>
      <w:r w:rsidRPr="000C49A5">
        <w:rPr>
          <w:rStyle w:val="Strong"/>
          <w:rFonts w:ascii="Arial" w:eastAsiaTheme="majorEastAsia" w:hAnsi="Arial" w:cs="Arial"/>
          <w:b w:val="0"/>
          <w:bCs w:val="0"/>
          <w:color w:val="000000"/>
        </w:rPr>
        <w:t>renting or purchasing premises, purchasing play equipment and materials, marketing the service, and hiring qualified staff</w:t>
      </w:r>
      <w:r w:rsidRPr="000C49A5">
        <w:rPr>
          <w:rFonts w:ascii="Arial" w:hAnsi="Arial" w:cs="Arial"/>
          <w:b/>
          <w:bCs/>
          <w:color w:val="000000"/>
        </w:rPr>
        <w:t>.</w:t>
      </w:r>
      <w:r w:rsidRPr="000C49A5">
        <w:rPr>
          <w:rFonts w:ascii="Arial" w:hAnsi="Arial" w:cs="Arial"/>
          <w:color w:val="000000"/>
        </w:rPr>
        <w:t xml:space="preserve"> Creative learning environments often require specialised resources such as sensory materials, art supplies, educational toys and safe play equipment. These resources </w:t>
      </w:r>
      <w:r w:rsidRPr="000C49A5">
        <w:rPr>
          <w:rFonts w:ascii="Arial" w:hAnsi="Arial" w:cs="Arial"/>
          <w:color w:val="000000"/>
        </w:rPr>
        <w:lastRenderedPageBreak/>
        <w:t>help ensure that the hub provides engaging and developmentally appropriate learning experiences for children (Bruce, 2019).</w:t>
      </w:r>
    </w:p>
    <w:p w14:paraId="72E3BE28" w14:textId="77777777" w:rsidR="000C49A5" w:rsidRPr="000C49A5" w:rsidRDefault="000C49A5" w:rsidP="000C49A5">
      <w:pPr>
        <w:pStyle w:val="NormalWeb"/>
        <w:spacing w:line="360" w:lineRule="auto"/>
        <w:rPr>
          <w:rFonts w:ascii="Arial" w:hAnsi="Arial" w:cs="Arial"/>
          <w:color w:val="000000"/>
        </w:rPr>
      </w:pPr>
      <w:r w:rsidRPr="000C49A5">
        <w:rPr>
          <w:rFonts w:ascii="Arial" w:hAnsi="Arial" w:cs="Arial"/>
          <w:color w:val="000000"/>
        </w:rPr>
        <w:t>Funding for the business could potentially come from several sources. These may include</w:t>
      </w:r>
      <w:r w:rsidRPr="000C49A5">
        <w:rPr>
          <w:rStyle w:val="apple-converted-space"/>
          <w:rFonts w:ascii="Arial" w:eastAsiaTheme="majorEastAsia" w:hAnsi="Arial" w:cs="Arial"/>
          <w:color w:val="000000"/>
        </w:rPr>
        <w:t> </w:t>
      </w:r>
      <w:r w:rsidRPr="000C49A5">
        <w:rPr>
          <w:rStyle w:val="Strong"/>
          <w:rFonts w:ascii="Arial" w:eastAsiaTheme="majorEastAsia" w:hAnsi="Arial" w:cs="Arial"/>
          <w:b w:val="0"/>
          <w:bCs w:val="0"/>
          <w:color w:val="000000"/>
        </w:rPr>
        <w:t>small business loans, government grants, community funding initiatives or private investment</w:t>
      </w:r>
      <w:r w:rsidRPr="000C49A5">
        <w:rPr>
          <w:rFonts w:ascii="Arial" w:hAnsi="Arial" w:cs="Arial"/>
          <w:b/>
          <w:bCs/>
          <w:color w:val="000000"/>
        </w:rPr>
        <w:t>.</w:t>
      </w:r>
      <w:r w:rsidRPr="000C49A5">
        <w:rPr>
          <w:rFonts w:ascii="Arial" w:hAnsi="Arial" w:cs="Arial"/>
          <w:color w:val="000000"/>
        </w:rPr>
        <w:t xml:space="preserve"> In the United Kingdom, there are various funding opportunities available to support entrepreneurial initiatives within education and community services (Burns, 2020).</w:t>
      </w:r>
    </w:p>
    <w:p w14:paraId="26030AF4" w14:textId="20DF3670" w:rsidR="000C49A5" w:rsidRPr="000C49A5" w:rsidRDefault="000C49A5" w:rsidP="000C49A5">
      <w:pPr>
        <w:pStyle w:val="NormalWeb"/>
        <w:spacing w:line="360" w:lineRule="auto"/>
        <w:rPr>
          <w:rFonts w:ascii="Arial" w:hAnsi="Arial" w:cs="Arial"/>
          <w:color w:val="000000"/>
        </w:rPr>
      </w:pPr>
      <w:r w:rsidRPr="000C49A5">
        <w:rPr>
          <w:rFonts w:ascii="Arial" w:hAnsi="Arial" w:cs="Arial"/>
          <w:color w:val="000000"/>
        </w:rPr>
        <w:t>Income for the Creative Play and Learning Hub could be generated through</w:t>
      </w:r>
      <w:r w:rsidRPr="000C49A5">
        <w:rPr>
          <w:rStyle w:val="apple-converted-space"/>
          <w:rFonts w:ascii="Arial" w:eastAsiaTheme="majorEastAsia" w:hAnsi="Arial" w:cs="Arial"/>
          <w:color w:val="000000"/>
        </w:rPr>
        <w:t> </w:t>
      </w:r>
      <w:r w:rsidRPr="000C49A5">
        <w:rPr>
          <w:rStyle w:val="Strong"/>
          <w:rFonts w:ascii="Arial" w:eastAsiaTheme="majorEastAsia" w:hAnsi="Arial" w:cs="Arial"/>
          <w:b w:val="0"/>
          <w:bCs w:val="0"/>
          <w:color w:val="000000"/>
        </w:rPr>
        <w:t>session fees, memberships, workshops and special events</w:t>
      </w:r>
      <w:r w:rsidRPr="000C49A5">
        <w:rPr>
          <w:rFonts w:ascii="Arial" w:hAnsi="Arial" w:cs="Arial"/>
          <w:b/>
          <w:bCs/>
          <w:color w:val="000000"/>
        </w:rPr>
        <w:t>.</w:t>
      </w:r>
      <w:r w:rsidRPr="000C49A5">
        <w:rPr>
          <w:rFonts w:ascii="Arial" w:hAnsi="Arial" w:cs="Arial"/>
          <w:color w:val="000000"/>
        </w:rPr>
        <w:t xml:space="preserve"> For example, families could pay for individual play sessions or register for weekly creative learning programmes. Additional income may be generated through partnerships with local nurseries, schools or community organisations.</w:t>
      </w:r>
    </w:p>
    <w:p w14:paraId="177C4501" w14:textId="7A201CC7" w:rsidR="000C49A5" w:rsidRDefault="000C49A5" w:rsidP="000C49A5">
      <w:pPr>
        <w:pStyle w:val="NormalWeb"/>
        <w:spacing w:line="360" w:lineRule="auto"/>
        <w:rPr>
          <w:rFonts w:ascii="Arial" w:hAnsi="Arial" w:cs="Arial"/>
          <w:color w:val="000000"/>
        </w:rPr>
      </w:pPr>
      <w:r w:rsidRPr="000C49A5">
        <w:rPr>
          <w:rFonts w:ascii="Arial" w:hAnsi="Arial" w:cs="Arial"/>
          <w:color w:val="000000"/>
        </w:rPr>
        <w:t>While financial sustainability is an important consideration, the primary goal of the hub would be to provide high-quality learning opportunities that support children’s development. By carefully balancing financial planning with educational objectives, the Creative Play and Learning Hub could operate as both a sustainable business and a valuable community resource.</w:t>
      </w:r>
    </w:p>
    <w:p w14:paraId="4E85E4D3" w14:textId="77777777" w:rsidR="000C49A5" w:rsidRDefault="000C49A5" w:rsidP="000C49A5">
      <w:pPr>
        <w:pStyle w:val="NormalWeb"/>
        <w:spacing w:line="360" w:lineRule="auto"/>
        <w:rPr>
          <w:rFonts w:ascii="Arial" w:hAnsi="Arial" w:cs="Arial"/>
          <w:color w:val="000000"/>
        </w:rPr>
      </w:pPr>
    </w:p>
    <w:p w14:paraId="3244EA37" w14:textId="77777777" w:rsidR="001662F7" w:rsidRDefault="001662F7" w:rsidP="000C49A5">
      <w:pPr>
        <w:pStyle w:val="NormalWeb"/>
        <w:spacing w:line="360" w:lineRule="auto"/>
        <w:rPr>
          <w:rFonts w:ascii="Arial" w:hAnsi="Arial" w:cs="Arial"/>
          <w:color w:val="000000"/>
        </w:rPr>
      </w:pPr>
    </w:p>
    <w:p w14:paraId="300C106F" w14:textId="77777777" w:rsidR="0045443E" w:rsidRDefault="0045443E" w:rsidP="0045443E">
      <w:pPr>
        <w:pStyle w:val="NormalWeb"/>
        <w:spacing w:line="360" w:lineRule="auto"/>
        <w:rPr>
          <w:rFonts w:ascii="Arial" w:hAnsi="Arial" w:cs="Arial"/>
          <w:color w:val="000000"/>
          <w:sz w:val="28"/>
          <w:szCs w:val="28"/>
        </w:rPr>
      </w:pPr>
    </w:p>
    <w:p w14:paraId="593B61AD" w14:textId="77777777" w:rsidR="0045443E" w:rsidRDefault="0045443E" w:rsidP="0045443E">
      <w:pPr>
        <w:pStyle w:val="NormalWeb"/>
        <w:spacing w:line="360" w:lineRule="auto"/>
        <w:rPr>
          <w:rFonts w:ascii="Arial" w:hAnsi="Arial" w:cs="Arial"/>
          <w:color w:val="000000"/>
        </w:rPr>
      </w:pPr>
    </w:p>
    <w:p w14:paraId="051ACF4B" w14:textId="77777777" w:rsidR="0045443E" w:rsidRDefault="0045443E" w:rsidP="0045443E">
      <w:pPr>
        <w:pStyle w:val="NormalWeb"/>
        <w:spacing w:line="360" w:lineRule="auto"/>
        <w:rPr>
          <w:rFonts w:ascii="Arial" w:hAnsi="Arial" w:cs="Arial"/>
          <w:color w:val="000000"/>
          <w:sz w:val="28"/>
          <w:szCs w:val="28"/>
        </w:rPr>
      </w:pPr>
    </w:p>
    <w:p w14:paraId="67010567" w14:textId="77777777" w:rsidR="008D4BF9" w:rsidRDefault="008D4BF9" w:rsidP="008D4BF9">
      <w:pPr>
        <w:pStyle w:val="NormalWeb"/>
        <w:spacing w:line="360" w:lineRule="auto"/>
        <w:rPr>
          <w:rFonts w:ascii="Arial" w:hAnsi="Arial" w:cs="Arial"/>
          <w:color w:val="000000"/>
          <w:sz w:val="28"/>
          <w:szCs w:val="28"/>
        </w:rPr>
      </w:pPr>
    </w:p>
    <w:p w14:paraId="41F20DB3" w14:textId="77777777" w:rsidR="008D4BF9" w:rsidRDefault="008D4BF9" w:rsidP="008D4BF9">
      <w:pPr>
        <w:pStyle w:val="NormalWeb"/>
        <w:spacing w:line="360" w:lineRule="auto"/>
        <w:rPr>
          <w:rFonts w:ascii="Arial" w:hAnsi="Arial" w:cs="Arial"/>
          <w:color w:val="000000"/>
          <w:sz w:val="28"/>
          <w:szCs w:val="28"/>
        </w:rPr>
      </w:pPr>
    </w:p>
    <w:p w14:paraId="27DEFDE5" w14:textId="77777777" w:rsidR="00BA27AA" w:rsidRDefault="00BA27AA" w:rsidP="00F03B88">
      <w:pPr>
        <w:pStyle w:val="NormalWeb"/>
        <w:spacing w:line="360" w:lineRule="auto"/>
        <w:rPr>
          <w:rFonts w:ascii="Arial" w:hAnsi="Arial" w:cs="Arial"/>
          <w:color w:val="000000"/>
          <w:sz w:val="28"/>
          <w:szCs w:val="28"/>
        </w:rPr>
      </w:pPr>
    </w:p>
    <w:p w14:paraId="561F04E2" w14:textId="431F03AA" w:rsidR="0045443E" w:rsidRPr="00F03B88" w:rsidRDefault="0045443E" w:rsidP="00F03B88">
      <w:pPr>
        <w:pStyle w:val="NormalWeb"/>
        <w:spacing w:line="360" w:lineRule="auto"/>
        <w:rPr>
          <w:rFonts w:ascii="Arial" w:hAnsi="Arial" w:cs="Arial"/>
          <w:color w:val="000000"/>
          <w:sz w:val="28"/>
          <w:szCs w:val="28"/>
          <w:u w:val="single"/>
        </w:rPr>
      </w:pPr>
      <w:r w:rsidRPr="00F03B88">
        <w:rPr>
          <w:rFonts w:ascii="Arial" w:hAnsi="Arial" w:cs="Arial"/>
          <w:color w:val="000000"/>
          <w:sz w:val="28"/>
          <w:szCs w:val="28"/>
          <w:u w:val="single"/>
        </w:rPr>
        <w:lastRenderedPageBreak/>
        <w:t>Part B – Academic Research</w:t>
      </w:r>
    </w:p>
    <w:p w14:paraId="682F5103" w14:textId="64431480" w:rsidR="0045443E" w:rsidRPr="00F03B88" w:rsidRDefault="0045443E" w:rsidP="00F03B88">
      <w:pPr>
        <w:pStyle w:val="NormalWeb"/>
        <w:spacing w:line="360" w:lineRule="auto"/>
        <w:rPr>
          <w:rFonts w:ascii="Arial" w:hAnsi="Arial" w:cs="Arial"/>
          <w:color w:val="000000"/>
          <w:sz w:val="28"/>
          <w:szCs w:val="28"/>
          <w:u w:val="single"/>
        </w:rPr>
      </w:pPr>
      <w:r w:rsidRPr="00F03B88">
        <w:rPr>
          <w:rFonts w:ascii="Arial" w:hAnsi="Arial" w:cs="Arial"/>
          <w:color w:val="000000"/>
          <w:sz w:val="28"/>
          <w:szCs w:val="28"/>
          <w:u w:val="single"/>
        </w:rPr>
        <w:t>Introduction</w:t>
      </w:r>
    </w:p>
    <w:p w14:paraId="2D9DE68D" w14:textId="1FC32CE5" w:rsidR="00EB5B7B" w:rsidRDefault="00362282" w:rsidP="00362282">
      <w:pPr>
        <w:pStyle w:val="NormalWeb"/>
        <w:spacing w:line="360" w:lineRule="auto"/>
        <w:rPr>
          <w:rFonts w:ascii="Arial" w:hAnsi="Arial" w:cs="Arial"/>
          <w:color w:val="000000"/>
        </w:rPr>
      </w:pPr>
      <w:r w:rsidRPr="00362282">
        <w:rPr>
          <w:rFonts w:ascii="Arial" w:hAnsi="Arial" w:cs="Arial"/>
          <w:color w:val="000000"/>
        </w:rPr>
        <w:t xml:space="preserve">This section critically examines the role of play-based learning in supporting children’s development during the early years. Research widely recognises that play provides important opportunities for children to develop cognitive, social and emotional skills through exploration and interaction with their environment (Fleer, 2017; </w:t>
      </w:r>
      <w:proofErr w:type="spellStart"/>
      <w:r w:rsidRPr="00362282">
        <w:rPr>
          <w:rFonts w:ascii="Arial" w:hAnsi="Arial" w:cs="Arial"/>
          <w:color w:val="000000"/>
        </w:rPr>
        <w:t>Zosh</w:t>
      </w:r>
      <w:proofErr w:type="spellEnd"/>
      <w:r w:rsidRPr="00362282">
        <w:rPr>
          <w:rFonts w:ascii="Arial" w:hAnsi="Arial" w:cs="Arial"/>
          <w:color w:val="000000"/>
        </w:rPr>
        <w:t xml:space="preserve"> et al., 2018). This section therefore explores the importance of play in early childhood development by discussing relevant theories, research and policy frameworks that highlight the value of play-based learning in early years education.</w:t>
      </w:r>
    </w:p>
    <w:p w14:paraId="70471C47" w14:textId="77777777" w:rsidR="00EB5B7B" w:rsidRPr="00F03B88" w:rsidRDefault="00EB5B7B" w:rsidP="00362282">
      <w:pPr>
        <w:pStyle w:val="NormalWeb"/>
        <w:spacing w:line="360" w:lineRule="auto"/>
        <w:rPr>
          <w:rFonts w:ascii="Arial" w:hAnsi="Arial" w:cs="Arial"/>
          <w:color w:val="000000"/>
          <w:sz w:val="28"/>
          <w:szCs w:val="28"/>
          <w:u w:val="single"/>
        </w:rPr>
      </w:pPr>
    </w:p>
    <w:p w14:paraId="7F3A49DD" w14:textId="689BB654" w:rsidR="00EB5B7B" w:rsidRPr="00F03B88" w:rsidRDefault="00DE0F2F" w:rsidP="00F03B88">
      <w:pPr>
        <w:pStyle w:val="NormalWeb"/>
        <w:spacing w:line="360" w:lineRule="auto"/>
        <w:rPr>
          <w:rFonts w:ascii="Arial" w:hAnsi="Arial" w:cs="Arial"/>
          <w:color w:val="000000"/>
          <w:sz w:val="28"/>
          <w:szCs w:val="28"/>
          <w:u w:val="single"/>
        </w:rPr>
      </w:pPr>
      <w:r w:rsidRPr="00F03B88">
        <w:rPr>
          <w:rFonts w:ascii="Arial" w:hAnsi="Arial" w:cs="Arial"/>
          <w:color w:val="000000"/>
          <w:sz w:val="28"/>
          <w:szCs w:val="28"/>
          <w:u w:val="single"/>
        </w:rPr>
        <w:t>The Importance of Play in Early Childhood Development</w:t>
      </w:r>
    </w:p>
    <w:p w14:paraId="1FB8DE63" w14:textId="3C5FA3D5" w:rsidR="00DE0F2F" w:rsidRPr="00DE0F2F" w:rsidRDefault="00DE0F2F" w:rsidP="00DE0F2F">
      <w:pPr>
        <w:pStyle w:val="NormalWeb"/>
        <w:spacing w:line="360" w:lineRule="auto"/>
        <w:rPr>
          <w:rFonts w:ascii="Arial" w:hAnsi="Arial" w:cs="Arial"/>
          <w:color w:val="000000"/>
        </w:rPr>
      </w:pPr>
      <w:r w:rsidRPr="00DE0F2F">
        <w:rPr>
          <w:rFonts w:ascii="Arial" w:hAnsi="Arial" w:cs="Arial"/>
          <w:color w:val="000000"/>
        </w:rPr>
        <w:t>Play is widely recognised as a fundamental component of children’s learning and development</w:t>
      </w:r>
      <w:r w:rsidR="00C02A8F">
        <w:rPr>
          <w:rFonts w:asciiTheme="minorHAnsi" w:eastAsiaTheme="minorHAnsi" w:hAnsiTheme="minorHAnsi" w:cstheme="minorBidi"/>
          <w:b/>
          <w:bCs/>
          <w:color w:val="000000"/>
          <w:lang w:eastAsia="en-US"/>
        </w:rPr>
        <w:t xml:space="preserve"> </w:t>
      </w:r>
      <w:r w:rsidR="00C02A8F" w:rsidRPr="00C02A8F">
        <w:rPr>
          <w:rFonts w:ascii="Arial" w:hAnsi="Arial" w:cs="Arial"/>
          <w:color w:val="000000"/>
        </w:rPr>
        <w:t xml:space="preserve">(Fleer, 2017; Moyles, 2017; </w:t>
      </w:r>
      <w:proofErr w:type="spellStart"/>
      <w:r w:rsidR="00C02A8F" w:rsidRPr="00C02A8F">
        <w:rPr>
          <w:rFonts w:ascii="Arial" w:hAnsi="Arial" w:cs="Arial"/>
          <w:color w:val="000000"/>
        </w:rPr>
        <w:t>Whitebread</w:t>
      </w:r>
      <w:proofErr w:type="spellEnd"/>
      <w:r w:rsidR="00C02A8F" w:rsidRPr="00C02A8F">
        <w:rPr>
          <w:rFonts w:ascii="Arial" w:hAnsi="Arial" w:cs="Arial"/>
          <w:color w:val="000000"/>
        </w:rPr>
        <w:t xml:space="preserve"> et al., 2017; Wood, 2018; </w:t>
      </w:r>
      <w:proofErr w:type="spellStart"/>
      <w:r w:rsidR="00C02A8F" w:rsidRPr="00C02A8F">
        <w:rPr>
          <w:rFonts w:ascii="Arial" w:hAnsi="Arial" w:cs="Arial"/>
          <w:color w:val="000000"/>
        </w:rPr>
        <w:t>Palaiologou</w:t>
      </w:r>
      <w:proofErr w:type="spellEnd"/>
      <w:r w:rsidR="00C02A8F">
        <w:rPr>
          <w:rFonts w:ascii="Arial" w:hAnsi="Arial" w:cs="Arial"/>
          <w:color w:val="000000"/>
        </w:rPr>
        <w:t xml:space="preserve">, </w:t>
      </w:r>
      <w:r w:rsidR="00C02A8F" w:rsidRPr="00C02A8F">
        <w:rPr>
          <w:rFonts w:ascii="Arial" w:hAnsi="Arial" w:cs="Arial"/>
          <w:color w:val="000000"/>
        </w:rPr>
        <w:t>2016)</w:t>
      </w:r>
      <w:r w:rsidR="00C02A8F">
        <w:rPr>
          <w:rFonts w:ascii="Arial" w:hAnsi="Arial" w:cs="Arial"/>
          <w:color w:val="000000"/>
        </w:rPr>
        <w:t xml:space="preserve">. </w:t>
      </w:r>
      <w:r w:rsidRPr="00DE0F2F">
        <w:rPr>
          <w:rFonts w:ascii="Arial" w:hAnsi="Arial" w:cs="Arial"/>
          <w:color w:val="000000"/>
        </w:rPr>
        <w:t>Piaget’s theory of cognitive development suggests that children actively construct knowledge through interaction with their surroundings, particularly during the early years when learning is strongly influenced by hands-on experiences (Piaget, 1972</w:t>
      </w:r>
      <w:r w:rsidR="00EF6212" w:rsidRPr="00EF6212">
        <w:rPr>
          <w:rFonts w:ascii="Arial" w:hAnsi="Arial" w:cs="Arial"/>
          <w:color w:val="000000"/>
        </w:rPr>
        <w:t xml:space="preserve">; </w:t>
      </w:r>
      <w:proofErr w:type="spellStart"/>
      <w:r w:rsidR="00EF6212" w:rsidRPr="00EF6212">
        <w:rPr>
          <w:rFonts w:ascii="Arial" w:hAnsi="Arial" w:cs="Arial"/>
          <w:color w:val="000000"/>
        </w:rPr>
        <w:t>Bodrova</w:t>
      </w:r>
      <w:proofErr w:type="spellEnd"/>
      <w:r w:rsidR="00EF6212" w:rsidRPr="00EF6212">
        <w:rPr>
          <w:rFonts w:ascii="Arial" w:hAnsi="Arial" w:cs="Arial"/>
          <w:color w:val="000000"/>
        </w:rPr>
        <w:t xml:space="preserve"> and Leong, 2019; Bronfenbrenner</w:t>
      </w:r>
      <w:r w:rsidR="00EF6212">
        <w:rPr>
          <w:rFonts w:ascii="Arial" w:hAnsi="Arial" w:cs="Arial"/>
          <w:color w:val="000000"/>
        </w:rPr>
        <w:t xml:space="preserve">, </w:t>
      </w:r>
      <w:r w:rsidR="00EF6212" w:rsidRPr="00EF6212">
        <w:rPr>
          <w:rFonts w:ascii="Arial" w:hAnsi="Arial" w:cs="Arial"/>
          <w:color w:val="000000"/>
        </w:rPr>
        <w:t>1979</w:t>
      </w:r>
      <w:r w:rsidR="00EF6212">
        <w:rPr>
          <w:rFonts w:ascii="Arial" w:hAnsi="Arial" w:cs="Arial"/>
          <w:color w:val="000000"/>
        </w:rPr>
        <w:t>).</w:t>
      </w:r>
    </w:p>
    <w:p w14:paraId="12383A88" w14:textId="77777777" w:rsidR="00DE0F2F" w:rsidRPr="00DE0F2F" w:rsidRDefault="00DE0F2F" w:rsidP="00DE0F2F">
      <w:pPr>
        <w:pStyle w:val="NormalWeb"/>
        <w:spacing w:line="360" w:lineRule="auto"/>
        <w:rPr>
          <w:rFonts w:ascii="Arial" w:hAnsi="Arial" w:cs="Arial"/>
          <w:color w:val="000000"/>
        </w:rPr>
      </w:pPr>
      <w:r w:rsidRPr="00DE0F2F">
        <w:rPr>
          <w:rFonts w:ascii="Arial" w:hAnsi="Arial" w:cs="Arial"/>
          <w:color w:val="000000"/>
        </w:rPr>
        <w:t>Similarly, Vygotsky’s sociocultural theory highlights the importance of social interaction and collaborative learning in children’s development. According to Vygotsky (1978), children learn most effectively when they engage in activities with others that extend their understanding beyond what they could achieve independently. Play-based learning environments provide opportunities for such interactions, allowing children to develop communication skills, problem-solving abilities and social competence.</w:t>
      </w:r>
    </w:p>
    <w:p w14:paraId="122A4096" w14:textId="2E3829AD" w:rsidR="00DE0F2F" w:rsidRPr="00DE0F2F" w:rsidRDefault="00DE0F2F" w:rsidP="00DE0F2F">
      <w:pPr>
        <w:pStyle w:val="NormalWeb"/>
        <w:spacing w:line="360" w:lineRule="auto"/>
        <w:rPr>
          <w:rFonts w:ascii="Arial" w:hAnsi="Arial" w:cs="Arial"/>
          <w:color w:val="000000"/>
        </w:rPr>
      </w:pPr>
      <w:r w:rsidRPr="00DE0F2F">
        <w:rPr>
          <w:rFonts w:ascii="Arial" w:hAnsi="Arial" w:cs="Arial"/>
          <w:color w:val="000000"/>
        </w:rPr>
        <w:t xml:space="preserve">Contemporary research continues to emphasise the importance of play in early childhood education. </w:t>
      </w:r>
      <w:proofErr w:type="spellStart"/>
      <w:r w:rsidRPr="00DE0F2F">
        <w:rPr>
          <w:rFonts w:ascii="Arial" w:hAnsi="Arial" w:cs="Arial"/>
          <w:color w:val="000000"/>
        </w:rPr>
        <w:t>Zosh</w:t>
      </w:r>
      <w:proofErr w:type="spellEnd"/>
      <w:r w:rsidRPr="00DE0F2F">
        <w:rPr>
          <w:rFonts w:ascii="Arial" w:hAnsi="Arial" w:cs="Arial"/>
          <w:color w:val="000000"/>
        </w:rPr>
        <w:t xml:space="preserve"> et al. (2018) argue that play supports deeper learning by encouraging curiosity, creativity and active engagement. Through imaginative play, children can experiment with ideas, test solutions and develop critical thinking skills. </w:t>
      </w:r>
      <w:r w:rsidRPr="00DE0F2F">
        <w:rPr>
          <w:rFonts w:ascii="Arial" w:hAnsi="Arial" w:cs="Arial"/>
          <w:color w:val="000000"/>
        </w:rPr>
        <w:lastRenderedPageBreak/>
        <w:t>Hirsh-</w:t>
      </w:r>
      <w:proofErr w:type="spellStart"/>
      <w:r w:rsidRPr="00DE0F2F">
        <w:rPr>
          <w:rFonts w:ascii="Arial" w:hAnsi="Arial" w:cs="Arial"/>
          <w:color w:val="000000"/>
        </w:rPr>
        <w:t>Pasek</w:t>
      </w:r>
      <w:proofErr w:type="spellEnd"/>
      <w:r w:rsidRPr="00DE0F2F">
        <w:rPr>
          <w:rFonts w:ascii="Arial" w:hAnsi="Arial" w:cs="Arial"/>
          <w:color w:val="000000"/>
        </w:rPr>
        <w:t xml:space="preserve"> et al. (2020) highlight that playful learning environments allow children to explore concepts in ways that feel meaningful and enjoyable, which can increase motivation and engagement.</w:t>
      </w:r>
    </w:p>
    <w:p w14:paraId="649C2C97" w14:textId="504F0FE7" w:rsidR="00DE0F2F" w:rsidRDefault="00DE0F2F" w:rsidP="00DE0F2F">
      <w:pPr>
        <w:pStyle w:val="NormalWeb"/>
        <w:spacing w:line="360" w:lineRule="auto"/>
        <w:rPr>
          <w:rFonts w:ascii="Arial" w:hAnsi="Arial" w:cs="Arial"/>
          <w:color w:val="000000"/>
        </w:rPr>
      </w:pPr>
      <w:r w:rsidRPr="00DE0F2F">
        <w:rPr>
          <w:rFonts w:ascii="Arial" w:hAnsi="Arial" w:cs="Arial"/>
          <w:color w:val="000000"/>
        </w:rPr>
        <w:t>The Creative Play and Learning Hub would aim to create an environment where play-based learning is central to the experience of young children.</w:t>
      </w:r>
    </w:p>
    <w:p w14:paraId="1435EC14" w14:textId="77777777" w:rsidR="00DE0F2F" w:rsidRPr="00DE0F2F" w:rsidRDefault="00DE0F2F" w:rsidP="00DE0F2F">
      <w:pPr>
        <w:pStyle w:val="NormalWeb"/>
        <w:spacing w:line="360" w:lineRule="auto"/>
        <w:rPr>
          <w:rFonts w:ascii="Arial" w:hAnsi="Arial" w:cs="Arial"/>
          <w:b/>
          <w:bCs/>
          <w:color w:val="000000"/>
          <w:sz w:val="28"/>
          <w:szCs w:val="28"/>
        </w:rPr>
      </w:pPr>
    </w:p>
    <w:p w14:paraId="08EBFD65" w14:textId="284D69D1" w:rsidR="00DE0F2F" w:rsidRPr="00F03B88" w:rsidRDefault="000E3AB7" w:rsidP="00F03B88">
      <w:pPr>
        <w:pStyle w:val="NormalWeb"/>
        <w:spacing w:line="360" w:lineRule="auto"/>
        <w:rPr>
          <w:rFonts w:ascii="Arial" w:hAnsi="Arial" w:cs="Arial"/>
          <w:color w:val="000000"/>
          <w:sz w:val="28"/>
          <w:szCs w:val="28"/>
          <w:u w:val="single"/>
        </w:rPr>
      </w:pPr>
      <w:r w:rsidRPr="00F03B88">
        <w:rPr>
          <w:rFonts w:ascii="Arial" w:hAnsi="Arial" w:cs="Arial"/>
          <w:color w:val="000000"/>
          <w:sz w:val="28"/>
          <w:szCs w:val="28"/>
          <w:u w:val="single"/>
        </w:rPr>
        <w:t>Cognitive Development</w:t>
      </w:r>
    </w:p>
    <w:p w14:paraId="681B20D9" w14:textId="7E82DC70" w:rsidR="000E3AB7" w:rsidRPr="000E3AB7" w:rsidRDefault="000E3AB7" w:rsidP="000E3AB7">
      <w:pPr>
        <w:pStyle w:val="NormalWeb"/>
        <w:spacing w:line="360" w:lineRule="auto"/>
        <w:rPr>
          <w:rFonts w:ascii="Arial" w:hAnsi="Arial" w:cs="Arial"/>
          <w:color w:val="000000"/>
        </w:rPr>
      </w:pPr>
      <w:r w:rsidRPr="000E3AB7">
        <w:rPr>
          <w:rFonts w:ascii="Arial" w:hAnsi="Arial" w:cs="Arial"/>
          <w:color w:val="000000"/>
        </w:rPr>
        <w:t>Cognitive development refers to the processes through which children acquire knowledge, develop thinking skills and learn to understand the world around them. Research suggests that stimulating learning environments can significantly influence children’s cognitive development and readiness for school (Shonkoff and Phillips, 2021</w:t>
      </w:r>
      <w:r w:rsidR="00F03B88" w:rsidRPr="00F03B88">
        <w:rPr>
          <w:rFonts w:ascii="Arial" w:hAnsi="Arial" w:cs="Arial"/>
          <w:color w:val="000000"/>
        </w:rPr>
        <w:t>; Sylva et al., 2017)</w:t>
      </w:r>
      <w:r w:rsidR="00F03B88">
        <w:rPr>
          <w:rFonts w:ascii="Arial" w:hAnsi="Arial" w:cs="Arial"/>
          <w:color w:val="000000"/>
        </w:rPr>
        <w:t>.</w:t>
      </w:r>
    </w:p>
    <w:p w14:paraId="73C81226" w14:textId="77777777" w:rsidR="000E3AB7" w:rsidRPr="000E3AB7" w:rsidRDefault="000E3AB7" w:rsidP="000E3AB7">
      <w:pPr>
        <w:pStyle w:val="NormalWeb"/>
        <w:spacing w:line="360" w:lineRule="auto"/>
        <w:rPr>
          <w:rFonts w:ascii="Arial" w:hAnsi="Arial" w:cs="Arial"/>
          <w:color w:val="000000"/>
        </w:rPr>
      </w:pPr>
      <w:r w:rsidRPr="000E3AB7">
        <w:rPr>
          <w:rFonts w:ascii="Arial" w:hAnsi="Arial" w:cs="Arial"/>
          <w:color w:val="000000"/>
        </w:rPr>
        <w:t>Creative learning environments can support cognitive development by encouraging children to explore new ideas and engage in problem-solving activities. For example, building structures with blocks or experimenting with materials during sensory play can help children develop early mathematical and scientific thinking skills. These activities encourage children to make predictions, test ideas and reflect on their experiences, which are important components of cognitive development (Hirsh-</w:t>
      </w:r>
      <w:proofErr w:type="spellStart"/>
      <w:r w:rsidRPr="000E3AB7">
        <w:rPr>
          <w:rFonts w:ascii="Arial" w:hAnsi="Arial" w:cs="Arial"/>
          <w:color w:val="000000"/>
        </w:rPr>
        <w:t>Pasek</w:t>
      </w:r>
      <w:proofErr w:type="spellEnd"/>
      <w:r w:rsidRPr="000E3AB7">
        <w:rPr>
          <w:rFonts w:ascii="Arial" w:hAnsi="Arial" w:cs="Arial"/>
          <w:color w:val="000000"/>
        </w:rPr>
        <w:t xml:space="preserve"> et al., 2020).</w:t>
      </w:r>
    </w:p>
    <w:p w14:paraId="5D6D3C88" w14:textId="6FC097FE" w:rsidR="000E3AB7" w:rsidRPr="000E3AB7" w:rsidRDefault="000E3AB7" w:rsidP="000E3AB7">
      <w:pPr>
        <w:pStyle w:val="NormalWeb"/>
        <w:spacing w:line="360" w:lineRule="auto"/>
        <w:rPr>
          <w:rFonts w:ascii="Arial" w:hAnsi="Arial" w:cs="Arial"/>
          <w:color w:val="000000"/>
        </w:rPr>
      </w:pPr>
      <w:r w:rsidRPr="000E3AB7">
        <w:rPr>
          <w:rFonts w:ascii="Arial" w:hAnsi="Arial" w:cs="Arial"/>
          <w:color w:val="000000"/>
        </w:rPr>
        <w:t>In addition, creative play activities such as storytelling and imaginative role-play can support the development of abstract thinking and creativity. Craft (2018) emphasises that creativity in early childhood allows children to generate new ideas and approach challenges in innovative ways.</w:t>
      </w:r>
    </w:p>
    <w:p w14:paraId="07C35D17" w14:textId="6CD6EA2F" w:rsidR="000E3AB7" w:rsidRDefault="000E3AB7" w:rsidP="000E3AB7">
      <w:pPr>
        <w:pStyle w:val="NormalWeb"/>
        <w:spacing w:line="360" w:lineRule="auto"/>
        <w:rPr>
          <w:rFonts w:ascii="Arial" w:hAnsi="Arial" w:cs="Arial"/>
          <w:color w:val="000000"/>
        </w:rPr>
      </w:pPr>
      <w:r w:rsidRPr="000E3AB7">
        <w:rPr>
          <w:rFonts w:ascii="Arial" w:hAnsi="Arial" w:cs="Arial"/>
          <w:color w:val="000000"/>
        </w:rPr>
        <w:t>Furthermore, playful learning environments can support the development of executive functioning skills, including attention control, working memory and self-regulation. These skills are essential for later academic success and social interaction (</w:t>
      </w:r>
      <w:proofErr w:type="spellStart"/>
      <w:r w:rsidRPr="000E3AB7">
        <w:rPr>
          <w:rFonts w:ascii="Arial" w:hAnsi="Arial" w:cs="Arial"/>
          <w:color w:val="000000"/>
        </w:rPr>
        <w:t>Zosh</w:t>
      </w:r>
      <w:proofErr w:type="spellEnd"/>
      <w:r w:rsidRPr="000E3AB7">
        <w:rPr>
          <w:rFonts w:ascii="Arial" w:hAnsi="Arial" w:cs="Arial"/>
          <w:color w:val="000000"/>
        </w:rPr>
        <w:t xml:space="preserve"> et al., 2018). By engaging children in activities that require </w:t>
      </w:r>
      <w:r w:rsidRPr="000E3AB7">
        <w:rPr>
          <w:rFonts w:ascii="Arial" w:hAnsi="Arial" w:cs="Arial"/>
          <w:color w:val="000000"/>
        </w:rPr>
        <w:lastRenderedPageBreak/>
        <w:t>planning, cooperation and persistence, the hub could contribute positively to children’s cognitive growth.</w:t>
      </w:r>
    </w:p>
    <w:p w14:paraId="1DC6ADE5" w14:textId="77777777" w:rsidR="000E3AB7" w:rsidRPr="00F03B88" w:rsidRDefault="000E3AB7" w:rsidP="000E3AB7">
      <w:pPr>
        <w:pStyle w:val="NormalWeb"/>
        <w:spacing w:line="360" w:lineRule="auto"/>
        <w:rPr>
          <w:rFonts w:ascii="Arial" w:hAnsi="Arial" w:cs="Arial"/>
          <w:color w:val="000000"/>
          <w:u w:val="single"/>
        </w:rPr>
      </w:pPr>
    </w:p>
    <w:p w14:paraId="1810D4B8" w14:textId="457BC2A9" w:rsidR="000E3AB7" w:rsidRPr="00F03B88" w:rsidRDefault="000E3AB7" w:rsidP="00F03B88">
      <w:pPr>
        <w:pStyle w:val="NormalWeb"/>
        <w:spacing w:line="360" w:lineRule="auto"/>
        <w:rPr>
          <w:rFonts w:ascii="Arial" w:hAnsi="Arial" w:cs="Arial"/>
          <w:color w:val="000000"/>
          <w:sz w:val="28"/>
          <w:szCs w:val="28"/>
          <w:u w:val="single"/>
        </w:rPr>
      </w:pPr>
      <w:r w:rsidRPr="00F03B88">
        <w:rPr>
          <w:rFonts w:ascii="Arial" w:hAnsi="Arial" w:cs="Arial"/>
          <w:color w:val="000000"/>
          <w:sz w:val="28"/>
          <w:szCs w:val="28"/>
          <w:u w:val="single"/>
        </w:rPr>
        <w:t>Social and Emotional Development</w:t>
      </w:r>
    </w:p>
    <w:p w14:paraId="4B5D6B12" w14:textId="4A93ED93" w:rsidR="000E3AB7" w:rsidRPr="000E3AB7" w:rsidRDefault="000E3AB7" w:rsidP="000E3AB7">
      <w:pPr>
        <w:pStyle w:val="NormalWeb"/>
        <w:spacing w:line="360" w:lineRule="auto"/>
        <w:rPr>
          <w:rFonts w:ascii="Arial" w:hAnsi="Arial" w:cs="Arial"/>
          <w:color w:val="000000"/>
        </w:rPr>
      </w:pPr>
      <w:r w:rsidRPr="000E3AB7">
        <w:rPr>
          <w:rFonts w:ascii="Arial" w:hAnsi="Arial" w:cs="Arial"/>
          <w:color w:val="000000"/>
        </w:rPr>
        <w:t xml:space="preserve">In addition to cognitive development, early childhood environments play an important role in shaping children’s social and emotional wellbeing. </w:t>
      </w:r>
    </w:p>
    <w:p w14:paraId="59E17FFB" w14:textId="6E5FE810" w:rsidR="000E3AB7" w:rsidRPr="000E3AB7" w:rsidRDefault="000E3AB7" w:rsidP="000E3AB7">
      <w:pPr>
        <w:pStyle w:val="NormalWeb"/>
        <w:spacing w:line="360" w:lineRule="auto"/>
        <w:rPr>
          <w:rFonts w:ascii="Arial" w:hAnsi="Arial" w:cs="Arial"/>
          <w:color w:val="000000"/>
        </w:rPr>
      </w:pPr>
      <w:r w:rsidRPr="000E3AB7">
        <w:rPr>
          <w:rFonts w:ascii="Arial" w:hAnsi="Arial" w:cs="Arial"/>
          <w:color w:val="000000"/>
        </w:rPr>
        <w:t>Play-based environments can provide opportunities for children to practise these skills through interaction with peers and adults. When children participate in group activities, they learn to share resources, negotiate roles and resolve conflicts. These experiences help children develop empathy and cooperation, which are important aspects of social competence (Denham et al., 2020</w:t>
      </w:r>
      <w:r w:rsidR="00EF6212" w:rsidRPr="00EF6212">
        <w:rPr>
          <w:rFonts w:ascii="Arial" w:hAnsi="Arial" w:cs="Arial"/>
          <w:color w:val="000000"/>
        </w:rPr>
        <w:t>; Leggett and Ford, 2019)</w:t>
      </w:r>
      <w:r w:rsidR="00EF6212">
        <w:rPr>
          <w:rFonts w:ascii="Arial" w:hAnsi="Arial" w:cs="Arial"/>
          <w:color w:val="000000"/>
        </w:rPr>
        <w:t>.</w:t>
      </w:r>
    </w:p>
    <w:p w14:paraId="3AF7B659" w14:textId="45096865" w:rsidR="000E3AB7" w:rsidRPr="000E3AB7" w:rsidRDefault="000E3AB7" w:rsidP="000E3AB7">
      <w:pPr>
        <w:pStyle w:val="NormalWeb"/>
        <w:spacing w:line="360" w:lineRule="auto"/>
        <w:rPr>
          <w:rFonts w:ascii="Arial" w:hAnsi="Arial" w:cs="Arial"/>
          <w:color w:val="000000"/>
        </w:rPr>
      </w:pPr>
      <w:r w:rsidRPr="000E3AB7">
        <w:rPr>
          <w:rFonts w:ascii="Arial" w:hAnsi="Arial" w:cs="Arial"/>
          <w:color w:val="000000"/>
        </w:rPr>
        <w:t>Research suggests that environments which encourage collaborative play can</w:t>
      </w:r>
      <w:r w:rsidR="00072CB4">
        <w:rPr>
          <w:rFonts w:ascii="Arial" w:hAnsi="Arial" w:cs="Arial"/>
          <w:color w:val="000000"/>
        </w:rPr>
        <w:t xml:space="preserve"> </w:t>
      </w:r>
      <w:r w:rsidRPr="000E3AB7">
        <w:rPr>
          <w:rFonts w:ascii="Arial" w:hAnsi="Arial" w:cs="Arial"/>
          <w:color w:val="000000"/>
        </w:rPr>
        <w:t xml:space="preserve">support children’s emotional development. For example, role-play activities allow children to express feelings and explore different perspectives, helping them develop emotional awareness and understanding (Bruce, 2019). </w:t>
      </w:r>
    </w:p>
    <w:p w14:paraId="4C1B38F7" w14:textId="77777777" w:rsidR="000E3AB7" w:rsidRDefault="000E3AB7" w:rsidP="000E3AB7">
      <w:pPr>
        <w:pStyle w:val="NormalWeb"/>
        <w:spacing w:line="360" w:lineRule="auto"/>
        <w:rPr>
          <w:rFonts w:ascii="Arial" w:hAnsi="Arial" w:cs="Arial"/>
          <w:color w:val="000000"/>
        </w:rPr>
      </w:pPr>
      <w:r w:rsidRPr="000E3AB7">
        <w:rPr>
          <w:rFonts w:ascii="Arial" w:hAnsi="Arial" w:cs="Arial"/>
          <w:color w:val="000000"/>
        </w:rPr>
        <w:t>The Creative Play and Learning Hub would aim to create an inclusive environment where children feel safe and supported while exploring social interactions. By encouraging cooperative play and providing opportunities for children to express themselves creatively, the hub could contribute to the development of positive social relationships and emotional wellbeing.</w:t>
      </w:r>
    </w:p>
    <w:p w14:paraId="4F0EAE09" w14:textId="77777777" w:rsidR="007B02ED" w:rsidRDefault="007B02ED" w:rsidP="000E3AB7">
      <w:pPr>
        <w:pStyle w:val="NormalWeb"/>
        <w:spacing w:line="360" w:lineRule="auto"/>
        <w:rPr>
          <w:rFonts w:ascii="Arial" w:hAnsi="Arial" w:cs="Arial"/>
          <w:color w:val="000000"/>
        </w:rPr>
      </w:pPr>
    </w:p>
    <w:p w14:paraId="49320187" w14:textId="6C267F13" w:rsidR="007B02ED" w:rsidRPr="00F03B88" w:rsidRDefault="007B02ED" w:rsidP="00F03B88">
      <w:pPr>
        <w:pStyle w:val="NormalWeb"/>
        <w:spacing w:line="360" w:lineRule="auto"/>
        <w:rPr>
          <w:rFonts w:ascii="Arial" w:hAnsi="Arial" w:cs="Arial"/>
          <w:color w:val="000000"/>
          <w:sz w:val="28"/>
          <w:szCs w:val="28"/>
          <w:u w:val="single"/>
        </w:rPr>
      </w:pPr>
      <w:r w:rsidRPr="00F03B88">
        <w:rPr>
          <w:rFonts w:ascii="Arial" w:hAnsi="Arial" w:cs="Arial"/>
          <w:color w:val="000000"/>
          <w:sz w:val="28"/>
          <w:szCs w:val="28"/>
          <w:u w:val="single"/>
        </w:rPr>
        <w:t>Policy Context in Wales</w:t>
      </w:r>
    </w:p>
    <w:p w14:paraId="4AE437C5" w14:textId="3A8DF679" w:rsidR="007B02ED" w:rsidRPr="007B02ED" w:rsidRDefault="007B02ED" w:rsidP="007B02ED">
      <w:pPr>
        <w:pStyle w:val="NormalWeb"/>
        <w:spacing w:line="360" w:lineRule="auto"/>
        <w:rPr>
          <w:rFonts w:ascii="Arial" w:hAnsi="Arial" w:cs="Arial"/>
          <w:color w:val="000000"/>
        </w:rPr>
      </w:pPr>
      <w:r w:rsidRPr="007B02ED">
        <w:rPr>
          <w:rFonts w:ascii="Arial" w:hAnsi="Arial" w:cs="Arial"/>
          <w:color w:val="000000"/>
        </w:rPr>
        <w:t>In Wales, early years provision is strongly influenced by the</w:t>
      </w:r>
      <w:r w:rsidRPr="007B02ED">
        <w:rPr>
          <w:rStyle w:val="apple-converted-space"/>
          <w:rFonts w:ascii="Arial" w:eastAsiaTheme="majorEastAsia" w:hAnsi="Arial" w:cs="Arial"/>
          <w:color w:val="000000"/>
        </w:rPr>
        <w:t> </w:t>
      </w:r>
      <w:r w:rsidRPr="007B02ED">
        <w:rPr>
          <w:rStyle w:val="Strong"/>
          <w:rFonts w:ascii="Arial" w:eastAsiaTheme="majorEastAsia" w:hAnsi="Arial" w:cs="Arial"/>
          <w:b w:val="0"/>
          <w:bCs w:val="0"/>
          <w:color w:val="000000"/>
        </w:rPr>
        <w:t>Foundation Phase framework and the Curriculum for Wales</w:t>
      </w:r>
      <w:r w:rsidRPr="007B02ED">
        <w:rPr>
          <w:rFonts w:ascii="Arial" w:hAnsi="Arial" w:cs="Arial"/>
          <w:b/>
          <w:bCs/>
          <w:color w:val="000000"/>
        </w:rPr>
        <w:t>,</w:t>
      </w:r>
      <w:r w:rsidRPr="007B02ED">
        <w:rPr>
          <w:rFonts w:ascii="Arial" w:hAnsi="Arial" w:cs="Arial"/>
          <w:color w:val="000000"/>
        </w:rPr>
        <w:t xml:space="preserve"> both of which emphasise the importance of play-based learning and child-centred education (Welsh Government, 2022).</w:t>
      </w:r>
    </w:p>
    <w:p w14:paraId="303C5383" w14:textId="77777777" w:rsidR="007B02ED" w:rsidRPr="007B02ED" w:rsidRDefault="007B02ED" w:rsidP="007B02ED">
      <w:pPr>
        <w:pStyle w:val="NormalWeb"/>
        <w:spacing w:line="360" w:lineRule="auto"/>
        <w:rPr>
          <w:rFonts w:ascii="Arial" w:hAnsi="Arial" w:cs="Arial"/>
          <w:color w:val="000000"/>
        </w:rPr>
      </w:pPr>
      <w:r w:rsidRPr="007B02ED">
        <w:rPr>
          <w:rFonts w:ascii="Arial" w:hAnsi="Arial" w:cs="Arial"/>
          <w:color w:val="000000"/>
        </w:rPr>
        <w:lastRenderedPageBreak/>
        <w:t>The Foundation Phase was developed to support children aged three to seven through experiential learning opportunities that encourage exploration, creativity and independence. This approach recognises that young children learn most effectively when they actively engage with their environment rather than relying solely on formal instruction (Siraj and Mayo, 2019). As a result, play-based activities are considered central to supporting children’s development during the early years.</w:t>
      </w:r>
    </w:p>
    <w:p w14:paraId="155CA55B" w14:textId="14A013FD" w:rsidR="007B02ED" w:rsidRPr="007B02ED" w:rsidRDefault="007B02ED" w:rsidP="007B02ED">
      <w:pPr>
        <w:pStyle w:val="NormalWeb"/>
        <w:spacing w:line="360" w:lineRule="auto"/>
        <w:rPr>
          <w:rFonts w:ascii="Arial" w:hAnsi="Arial" w:cs="Arial"/>
          <w:color w:val="000000"/>
        </w:rPr>
      </w:pPr>
      <w:r w:rsidRPr="007B02ED">
        <w:rPr>
          <w:rFonts w:ascii="Arial" w:hAnsi="Arial" w:cs="Arial"/>
          <w:color w:val="000000"/>
        </w:rPr>
        <w:t>The introduction of the</w:t>
      </w:r>
      <w:r w:rsidRPr="007B02ED">
        <w:rPr>
          <w:rStyle w:val="apple-converted-space"/>
          <w:rFonts w:ascii="Arial" w:eastAsiaTheme="majorEastAsia" w:hAnsi="Arial" w:cs="Arial"/>
          <w:color w:val="000000"/>
        </w:rPr>
        <w:t> </w:t>
      </w:r>
      <w:r w:rsidRPr="007B02ED">
        <w:rPr>
          <w:rStyle w:val="Strong"/>
          <w:rFonts w:ascii="Arial" w:eastAsiaTheme="majorEastAsia" w:hAnsi="Arial" w:cs="Arial"/>
          <w:b w:val="0"/>
          <w:bCs w:val="0"/>
          <w:color w:val="000000"/>
        </w:rPr>
        <w:t>Curriculum for Wales</w:t>
      </w:r>
      <w:r w:rsidRPr="007B02ED">
        <w:rPr>
          <w:rStyle w:val="apple-converted-space"/>
          <w:rFonts w:ascii="Arial" w:eastAsiaTheme="majorEastAsia" w:hAnsi="Arial" w:cs="Arial"/>
          <w:color w:val="000000"/>
        </w:rPr>
        <w:t> </w:t>
      </w:r>
      <w:r w:rsidRPr="007B02ED">
        <w:rPr>
          <w:rFonts w:ascii="Arial" w:hAnsi="Arial" w:cs="Arial"/>
          <w:color w:val="000000"/>
        </w:rPr>
        <w:t>has further reinforced the importance of creativity and problem-solving within education. The curriculum emphasises four core purposes, including supporting children to become</w:t>
      </w:r>
      <w:r w:rsidRPr="007B02ED">
        <w:rPr>
          <w:rStyle w:val="apple-converted-space"/>
          <w:rFonts w:ascii="Arial" w:eastAsiaTheme="majorEastAsia" w:hAnsi="Arial" w:cs="Arial"/>
          <w:color w:val="000000"/>
        </w:rPr>
        <w:t> </w:t>
      </w:r>
      <w:r w:rsidRPr="007B02ED">
        <w:rPr>
          <w:rStyle w:val="Strong"/>
          <w:rFonts w:ascii="Arial" w:eastAsiaTheme="majorEastAsia" w:hAnsi="Arial" w:cs="Arial"/>
          <w:b w:val="0"/>
          <w:bCs w:val="0"/>
          <w:color w:val="000000"/>
        </w:rPr>
        <w:t>ambitious, capable learners and creative contributors</w:t>
      </w:r>
      <w:r w:rsidRPr="007B02ED">
        <w:rPr>
          <w:rStyle w:val="apple-converted-space"/>
          <w:rFonts w:ascii="Arial" w:eastAsiaTheme="majorEastAsia" w:hAnsi="Arial" w:cs="Arial"/>
          <w:b/>
          <w:bCs/>
          <w:color w:val="000000"/>
        </w:rPr>
        <w:t> </w:t>
      </w:r>
      <w:r w:rsidRPr="007B02ED">
        <w:rPr>
          <w:rFonts w:ascii="Arial" w:hAnsi="Arial" w:cs="Arial"/>
          <w:color w:val="000000"/>
        </w:rPr>
        <w:t>to</w:t>
      </w:r>
      <w:r w:rsidRPr="007B02ED">
        <w:rPr>
          <w:rFonts w:ascii="Arial" w:hAnsi="Arial" w:cs="Arial"/>
          <w:b/>
          <w:bCs/>
          <w:color w:val="000000"/>
        </w:rPr>
        <w:t xml:space="preserve"> </w:t>
      </w:r>
      <w:r w:rsidRPr="007B02ED">
        <w:rPr>
          <w:rFonts w:ascii="Arial" w:hAnsi="Arial" w:cs="Arial"/>
          <w:color w:val="000000"/>
        </w:rPr>
        <w:t>society (Welsh Government, 2022</w:t>
      </w:r>
      <w:r w:rsidR="00603606" w:rsidRPr="00603606">
        <w:rPr>
          <w:rFonts w:ascii="Arial" w:hAnsi="Arial" w:cs="Arial"/>
          <w:color w:val="000000"/>
        </w:rPr>
        <w:t>; OECD, 2017; UNESCO, 2020)</w:t>
      </w:r>
      <w:r w:rsidR="00603606">
        <w:rPr>
          <w:rFonts w:ascii="Arial" w:hAnsi="Arial" w:cs="Arial"/>
          <w:color w:val="000000"/>
        </w:rPr>
        <w:t>.</w:t>
      </w:r>
    </w:p>
    <w:p w14:paraId="1E404297" w14:textId="6B35CC52" w:rsidR="007B02ED" w:rsidRPr="007B02ED" w:rsidRDefault="007B02ED" w:rsidP="007B02ED">
      <w:pPr>
        <w:pStyle w:val="NormalWeb"/>
        <w:spacing w:line="360" w:lineRule="auto"/>
        <w:rPr>
          <w:rFonts w:ascii="Arial" w:hAnsi="Arial" w:cs="Arial"/>
          <w:color w:val="000000"/>
        </w:rPr>
      </w:pPr>
      <w:r w:rsidRPr="007B02ED">
        <w:rPr>
          <w:rFonts w:ascii="Arial" w:hAnsi="Arial" w:cs="Arial"/>
          <w:color w:val="000000"/>
        </w:rPr>
        <w:t>I</w:t>
      </w:r>
      <w:r w:rsidRPr="007B02ED">
        <w:rPr>
          <w:rFonts w:ascii="Arial" w:hAnsi="Arial" w:cs="Arial"/>
          <w:color w:val="000000"/>
        </w:rPr>
        <w:t>n addition to curriculum policies, organisations such as</w:t>
      </w:r>
      <w:r w:rsidRPr="007B02ED">
        <w:rPr>
          <w:rStyle w:val="apple-converted-space"/>
          <w:rFonts w:ascii="Arial" w:eastAsiaTheme="majorEastAsia" w:hAnsi="Arial" w:cs="Arial"/>
          <w:color w:val="000000"/>
        </w:rPr>
        <w:t> </w:t>
      </w:r>
      <w:r w:rsidRPr="007B02ED">
        <w:rPr>
          <w:rStyle w:val="Strong"/>
          <w:rFonts w:ascii="Arial" w:eastAsiaTheme="majorEastAsia" w:hAnsi="Arial" w:cs="Arial"/>
          <w:b w:val="0"/>
          <w:bCs w:val="0"/>
          <w:color w:val="000000"/>
        </w:rPr>
        <w:t>Care Inspectorate Wales (CIW)</w:t>
      </w:r>
      <w:r w:rsidRPr="007B02ED">
        <w:rPr>
          <w:rStyle w:val="apple-converted-space"/>
          <w:rFonts w:ascii="Arial" w:eastAsiaTheme="majorEastAsia" w:hAnsi="Arial" w:cs="Arial"/>
          <w:b/>
          <w:bCs/>
          <w:color w:val="000000"/>
        </w:rPr>
        <w:t> </w:t>
      </w:r>
      <w:r w:rsidRPr="007B02ED">
        <w:rPr>
          <w:rFonts w:ascii="Arial" w:hAnsi="Arial" w:cs="Arial"/>
          <w:b/>
          <w:bCs/>
          <w:color w:val="000000"/>
        </w:rPr>
        <w:t>a</w:t>
      </w:r>
      <w:r w:rsidRPr="007B02ED">
        <w:rPr>
          <w:rFonts w:ascii="Arial" w:hAnsi="Arial" w:cs="Arial"/>
          <w:color w:val="000000"/>
        </w:rPr>
        <w:t>nd</w:t>
      </w:r>
      <w:r w:rsidRPr="007B02ED">
        <w:rPr>
          <w:rStyle w:val="apple-converted-space"/>
          <w:rFonts w:ascii="Arial" w:eastAsiaTheme="majorEastAsia" w:hAnsi="Arial" w:cs="Arial"/>
          <w:b/>
          <w:bCs/>
          <w:color w:val="000000"/>
        </w:rPr>
        <w:t> </w:t>
      </w:r>
      <w:r w:rsidRPr="007B02ED">
        <w:rPr>
          <w:rStyle w:val="Strong"/>
          <w:rFonts w:ascii="Arial" w:eastAsiaTheme="majorEastAsia" w:hAnsi="Arial" w:cs="Arial"/>
          <w:b w:val="0"/>
          <w:bCs w:val="0"/>
          <w:color w:val="000000"/>
        </w:rPr>
        <w:t>Estyn</w:t>
      </w:r>
      <w:r w:rsidRPr="007B02ED">
        <w:rPr>
          <w:rStyle w:val="apple-converted-space"/>
          <w:rFonts w:ascii="Arial" w:eastAsiaTheme="majorEastAsia" w:hAnsi="Arial" w:cs="Arial"/>
          <w:color w:val="000000"/>
        </w:rPr>
        <w:t> </w:t>
      </w:r>
      <w:r w:rsidRPr="007B02ED">
        <w:rPr>
          <w:rFonts w:ascii="Arial" w:hAnsi="Arial" w:cs="Arial"/>
          <w:color w:val="000000"/>
        </w:rPr>
        <w:t>play an important role in monitoring the quality of early years provision. These organisations ensure that early childhood services provide safe and effective environments that support children’s wellbeing and learning. Any new early years</w:t>
      </w:r>
      <w:r>
        <w:rPr>
          <w:rFonts w:ascii="Arial" w:hAnsi="Arial" w:cs="Arial"/>
          <w:color w:val="000000"/>
        </w:rPr>
        <w:t>’</w:t>
      </w:r>
      <w:r w:rsidRPr="007B02ED">
        <w:rPr>
          <w:rFonts w:ascii="Arial" w:hAnsi="Arial" w:cs="Arial"/>
          <w:color w:val="000000"/>
        </w:rPr>
        <w:t xml:space="preserve"> initiative must therefore ensure that it meets regulatory standards related to safeguarding, health and safety, and staff qualifications (Welsh Government, 2021).</w:t>
      </w:r>
    </w:p>
    <w:p w14:paraId="22476CFB" w14:textId="77777777" w:rsidR="007B02ED" w:rsidRDefault="007B02ED" w:rsidP="007B02ED">
      <w:pPr>
        <w:pStyle w:val="NormalWeb"/>
        <w:spacing w:line="360" w:lineRule="auto"/>
        <w:rPr>
          <w:rFonts w:ascii="Arial" w:hAnsi="Arial" w:cs="Arial"/>
          <w:color w:val="000000"/>
        </w:rPr>
      </w:pPr>
      <w:r w:rsidRPr="007B02ED">
        <w:rPr>
          <w:rFonts w:ascii="Arial" w:hAnsi="Arial" w:cs="Arial"/>
          <w:color w:val="000000"/>
        </w:rPr>
        <w:t>By aligning with these policy frameworks, the Creative Play and Learning Hub could contribute to broader national goals aimed at improving early childhood learning experiences and supporting children’s holistic development.</w:t>
      </w:r>
    </w:p>
    <w:p w14:paraId="6DC03BAE" w14:textId="77777777" w:rsidR="008078E3" w:rsidRDefault="008078E3" w:rsidP="008078E3">
      <w:pPr>
        <w:pStyle w:val="NormalWeb"/>
        <w:spacing w:line="360" w:lineRule="auto"/>
        <w:rPr>
          <w:rFonts w:ascii="Arial" w:hAnsi="Arial" w:cs="Arial"/>
          <w:color w:val="000000"/>
          <w:sz w:val="28"/>
          <w:szCs w:val="28"/>
        </w:rPr>
      </w:pPr>
    </w:p>
    <w:p w14:paraId="318FDB16" w14:textId="462DFFEF" w:rsidR="007126AE" w:rsidRPr="00F03B88" w:rsidRDefault="008078E3" w:rsidP="00F03B88">
      <w:pPr>
        <w:pStyle w:val="NormalWeb"/>
        <w:spacing w:line="360" w:lineRule="auto"/>
        <w:rPr>
          <w:rFonts w:ascii="Arial" w:hAnsi="Arial" w:cs="Arial"/>
          <w:color w:val="000000"/>
          <w:sz w:val="28"/>
          <w:szCs w:val="28"/>
          <w:u w:val="single"/>
        </w:rPr>
      </w:pPr>
      <w:r w:rsidRPr="00F03B88">
        <w:rPr>
          <w:rFonts w:ascii="Arial" w:hAnsi="Arial" w:cs="Arial"/>
          <w:color w:val="000000"/>
          <w:sz w:val="28"/>
          <w:szCs w:val="28"/>
          <w:u w:val="single"/>
        </w:rPr>
        <w:t>Challenges and Limitations</w:t>
      </w:r>
    </w:p>
    <w:p w14:paraId="34DDD126" w14:textId="77777777" w:rsidR="008078E3" w:rsidRPr="008078E3" w:rsidRDefault="008078E3" w:rsidP="008078E3">
      <w:pPr>
        <w:pStyle w:val="NormalWeb"/>
        <w:spacing w:line="360" w:lineRule="auto"/>
        <w:rPr>
          <w:rFonts w:ascii="Arial" w:hAnsi="Arial" w:cs="Arial"/>
          <w:color w:val="000000"/>
        </w:rPr>
      </w:pPr>
      <w:r w:rsidRPr="008078E3">
        <w:rPr>
          <w:rFonts w:ascii="Arial" w:hAnsi="Arial" w:cs="Arial"/>
          <w:color w:val="000000"/>
        </w:rPr>
        <w:t>Although the Creative Play and Learning Hub has the potential to support children’s development, it is important to critically consider the challenges that may arise when implementing such an initiative. Critical analysis allows potential limitations to be identified so that strategies can be developed to address them.</w:t>
      </w:r>
    </w:p>
    <w:p w14:paraId="3CAD6E88" w14:textId="77777777" w:rsidR="008078E3" w:rsidRPr="008078E3" w:rsidRDefault="008078E3" w:rsidP="008078E3">
      <w:pPr>
        <w:pStyle w:val="NormalWeb"/>
        <w:spacing w:line="360" w:lineRule="auto"/>
        <w:rPr>
          <w:rFonts w:ascii="Arial" w:hAnsi="Arial" w:cs="Arial"/>
          <w:color w:val="000000"/>
        </w:rPr>
      </w:pPr>
      <w:r w:rsidRPr="008078E3">
        <w:rPr>
          <w:rFonts w:ascii="Arial" w:hAnsi="Arial" w:cs="Arial"/>
          <w:color w:val="000000"/>
        </w:rPr>
        <w:t>One key challenge relates to</w:t>
      </w:r>
      <w:r w:rsidRPr="008078E3">
        <w:rPr>
          <w:rStyle w:val="apple-converted-space"/>
          <w:rFonts w:ascii="Arial" w:eastAsiaTheme="majorEastAsia" w:hAnsi="Arial" w:cs="Arial"/>
          <w:color w:val="000000"/>
        </w:rPr>
        <w:t> </w:t>
      </w:r>
      <w:r w:rsidRPr="008078E3">
        <w:rPr>
          <w:rStyle w:val="Strong"/>
          <w:rFonts w:ascii="Arial" w:eastAsiaTheme="majorEastAsia" w:hAnsi="Arial" w:cs="Arial"/>
          <w:b w:val="0"/>
          <w:bCs w:val="0"/>
          <w:color w:val="000000"/>
        </w:rPr>
        <w:t>financial sustainability</w:t>
      </w:r>
      <w:r w:rsidRPr="008078E3">
        <w:rPr>
          <w:rFonts w:ascii="Arial" w:hAnsi="Arial" w:cs="Arial"/>
          <w:b/>
          <w:bCs/>
          <w:color w:val="000000"/>
        </w:rPr>
        <w:t>.</w:t>
      </w:r>
      <w:r w:rsidRPr="008078E3">
        <w:rPr>
          <w:rFonts w:ascii="Arial" w:hAnsi="Arial" w:cs="Arial"/>
          <w:color w:val="000000"/>
        </w:rPr>
        <w:t xml:space="preserve"> Establishing and maintaining a high-quality learning environment requires significant financial resources. Costs may </w:t>
      </w:r>
      <w:r w:rsidRPr="008078E3">
        <w:rPr>
          <w:rFonts w:ascii="Arial" w:hAnsi="Arial" w:cs="Arial"/>
          <w:color w:val="000000"/>
        </w:rPr>
        <w:lastRenderedPageBreak/>
        <w:t>include premises, equipment, staffing and ongoing operational expenses. Research suggests that many early childhood initiatives face financial pressures due to limited funding and rising operational costs (Burns, 2020). Ensuring that the hub remains financially sustainable while maintaining high-quality services may therefore require careful planning and potential partnerships with local organisations.</w:t>
      </w:r>
    </w:p>
    <w:p w14:paraId="64762092" w14:textId="77777777" w:rsidR="008078E3" w:rsidRPr="008078E3" w:rsidRDefault="008078E3" w:rsidP="008078E3">
      <w:pPr>
        <w:pStyle w:val="NormalWeb"/>
        <w:spacing w:line="360" w:lineRule="auto"/>
        <w:rPr>
          <w:rFonts w:ascii="Arial" w:hAnsi="Arial" w:cs="Arial"/>
          <w:color w:val="000000"/>
        </w:rPr>
      </w:pPr>
      <w:r w:rsidRPr="008078E3">
        <w:rPr>
          <w:rFonts w:ascii="Arial" w:hAnsi="Arial" w:cs="Arial"/>
          <w:color w:val="000000"/>
        </w:rPr>
        <w:t>Another limitation may involve</w:t>
      </w:r>
      <w:r w:rsidRPr="008078E3">
        <w:rPr>
          <w:rStyle w:val="apple-converted-space"/>
          <w:rFonts w:ascii="Arial" w:eastAsiaTheme="majorEastAsia" w:hAnsi="Arial" w:cs="Arial"/>
          <w:color w:val="000000"/>
        </w:rPr>
        <w:t> </w:t>
      </w:r>
      <w:r w:rsidRPr="008078E3">
        <w:rPr>
          <w:rStyle w:val="Strong"/>
          <w:rFonts w:ascii="Arial" w:eastAsiaTheme="majorEastAsia" w:hAnsi="Arial" w:cs="Arial"/>
          <w:b w:val="0"/>
          <w:bCs w:val="0"/>
          <w:color w:val="000000"/>
        </w:rPr>
        <w:t>accessibility and affordability</w:t>
      </w:r>
      <w:r w:rsidRPr="008078E3">
        <w:rPr>
          <w:rFonts w:ascii="Arial" w:hAnsi="Arial" w:cs="Arial"/>
          <w:b/>
          <w:bCs/>
          <w:color w:val="000000"/>
        </w:rPr>
        <w:t>.</w:t>
      </w:r>
      <w:r w:rsidRPr="008078E3">
        <w:rPr>
          <w:rFonts w:ascii="Arial" w:hAnsi="Arial" w:cs="Arial"/>
          <w:color w:val="000000"/>
        </w:rPr>
        <w:t xml:space="preserve"> While the hub aims to benefit children within the local community, some families may face financial barriers that limit their ability to access paid services. Early childhood researchers emphasise the importance of ensuring that learning opportunities are accessible to families from diverse socioeconomic backgrounds (OECD, 2021). To address this issue, the hub may need to explore options such as community funding, subsidised sessions or partnerships with local authorities.</w:t>
      </w:r>
    </w:p>
    <w:p w14:paraId="22CC7C60" w14:textId="14F6B65F" w:rsidR="008078E3" w:rsidRPr="008078E3" w:rsidRDefault="008078E3" w:rsidP="008078E3">
      <w:pPr>
        <w:pStyle w:val="NormalWeb"/>
        <w:spacing w:line="360" w:lineRule="auto"/>
        <w:rPr>
          <w:rFonts w:ascii="Arial" w:hAnsi="Arial" w:cs="Arial"/>
          <w:color w:val="000000"/>
        </w:rPr>
      </w:pPr>
      <w:r w:rsidRPr="008078E3">
        <w:rPr>
          <w:rFonts w:ascii="Arial" w:hAnsi="Arial" w:cs="Arial"/>
          <w:color w:val="000000"/>
        </w:rPr>
        <w:t>There may be challenges related to</w:t>
      </w:r>
      <w:r w:rsidRPr="008078E3">
        <w:rPr>
          <w:rStyle w:val="apple-converted-space"/>
          <w:rFonts w:ascii="Arial" w:eastAsiaTheme="majorEastAsia" w:hAnsi="Arial" w:cs="Arial"/>
          <w:color w:val="000000"/>
        </w:rPr>
        <w:t> </w:t>
      </w:r>
      <w:r w:rsidRPr="008078E3">
        <w:rPr>
          <w:rStyle w:val="Strong"/>
          <w:rFonts w:ascii="Arial" w:eastAsiaTheme="majorEastAsia" w:hAnsi="Arial" w:cs="Arial"/>
          <w:b w:val="0"/>
          <w:bCs w:val="0"/>
          <w:color w:val="000000"/>
        </w:rPr>
        <w:t>staff training and professional development</w:t>
      </w:r>
      <w:r w:rsidRPr="008078E3">
        <w:rPr>
          <w:rFonts w:ascii="Arial" w:hAnsi="Arial" w:cs="Arial"/>
          <w:b/>
          <w:bCs/>
          <w:color w:val="000000"/>
        </w:rPr>
        <w:t>.</w:t>
      </w:r>
      <w:r w:rsidRPr="008078E3">
        <w:rPr>
          <w:rFonts w:ascii="Arial" w:hAnsi="Arial" w:cs="Arial"/>
          <w:color w:val="000000"/>
        </w:rPr>
        <w:t xml:space="preserve"> Facilitating creative play experiences requires practitioners who understand child development and </w:t>
      </w:r>
      <w:r w:rsidRPr="008078E3">
        <w:rPr>
          <w:rFonts w:ascii="Arial" w:hAnsi="Arial" w:cs="Arial"/>
          <w:color w:val="000000"/>
        </w:rPr>
        <w:t>can</w:t>
      </w:r>
      <w:r w:rsidRPr="008078E3">
        <w:rPr>
          <w:rFonts w:ascii="Arial" w:hAnsi="Arial" w:cs="Arial"/>
          <w:color w:val="000000"/>
        </w:rPr>
        <w:t xml:space="preserve"> support children’s learning through play-based approaches. Nutbrown (2019) highlights that early years</w:t>
      </w:r>
      <w:r w:rsidRPr="008078E3">
        <w:rPr>
          <w:rFonts w:ascii="Arial" w:hAnsi="Arial" w:cs="Arial"/>
          <w:color w:val="000000"/>
        </w:rPr>
        <w:t>’</w:t>
      </w:r>
      <w:r w:rsidRPr="008078E3">
        <w:rPr>
          <w:rFonts w:ascii="Arial" w:hAnsi="Arial" w:cs="Arial"/>
          <w:color w:val="000000"/>
        </w:rPr>
        <w:t xml:space="preserve"> practitioners require ongoing professional development to maintain high standards of practice. Ensuring that staff possess the necessary skills and knowledge may therefore require investment in training and professional support.</w:t>
      </w:r>
    </w:p>
    <w:p w14:paraId="19CC219B" w14:textId="77777777" w:rsidR="008078E3" w:rsidRDefault="008078E3" w:rsidP="008078E3">
      <w:pPr>
        <w:pStyle w:val="NormalWeb"/>
        <w:spacing w:line="360" w:lineRule="auto"/>
        <w:rPr>
          <w:rFonts w:ascii="Arial" w:hAnsi="Arial" w:cs="Arial"/>
          <w:color w:val="000000"/>
        </w:rPr>
      </w:pPr>
      <w:r w:rsidRPr="008078E3">
        <w:rPr>
          <w:rFonts w:ascii="Arial" w:hAnsi="Arial" w:cs="Arial"/>
          <w:color w:val="000000"/>
        </w:rPr>
        <w:t>Finally, implementing a new initiative may involve challenges related to</w:t>
      </w:r>
      <w:r w:rsidRPr="008078E3">
        <w:rPr>
          <w:rStyle w:val="apple-converted-space"/>
          <w:rFonts w:ascii="Arial" w:eastAsiaTheme="majorEastAsia" w:hAnsi="Arial" w:cs="Arial"/>
          <w:color w:val="000000"/>
        </w:rPr>
        <w:t> </w:t>
      </w:r>
      <w:r w:rsidRPr="008078E3">
        <w:rPr>
          <w:rStyle w:val="Strong"/>
          <w:rFonts w:ascii="Arial" w:eastAsiaTheme="majorEastAsia" w:hAnsi="Arial" w:cs="Arial"/>
          <w:b w:val="0"/>
          <w:bCs w:val="0"/>
          <w:color w:val="000000"/>
        </w:rPr>
        <w:t>community awareness and engagement</w:t>
      </w:r>
      <w:r w:rsidRPr="008078E3">
        <w:rPr>
          <w:rFonts w:ascii="Arial" w:hAnsi="Arial" w:cs="Arial"/>
          <w:b/>
          <w:bCs/>
          <w:color w:val="000000"/>
        </w:rPr>
        <w:t>.</w:t>
      </w:r>
      <w:r w:rsidRPr="008078E3">
        <w:rPr>
          <w:rFonts w:ascii="Arial" w:hAnsi="Arial" w:cs="Arial"/>
          <w:color w:val="000000"/>
        </w:rPr>
        <w:t xml:space="preserve"> For the hub to succeed, families must understand the value of creative play and recognise the benefits it can provide for children’s development. Marketing strategies and community outreach may therefore be necessary to build awareness and encourage participation.</w:t>
      </w:r>
    </w:p>
    <w:p w14:paraId="214A6528" w14:textId="77777777" w:rsidR="008078E3" w:rsidRDefault="008078E3" w:rsidP="008078E3">
      <w:pPr>
        <w:pStyle w:val="NormalWeb"/>
        <w:spacing w:line="360" w:lineRule="auto"/>
        <w:rPr>
          <w:rFonts w:ascii="Arial" w:hAnsi="Arial" w:cs="Arial"/>
          <w:color w:val="000000"/>
        </w:rPr>
      </w:pPr>
    </w:p>
    <w:p w14:paraId="222CD62D" w14:textId="1C379477" w:rsidR="008078E3" w:rsidRPr="00F03B88" w:rsidRDefault="008078E3" w:rsidP="00F03B88">
      <w:pPr>
        <w:pStyle w:val="NormalWeb"/>
        <w:spacing w:line="360" w:lineRule="auto"/>
        <w:rPr>
          <w:rFonts w:ascii="Arial" w:hAnsi="Arial" w:cs="Arial"/>
          <w:color w:val="000000"/>
          <w:sz w:val="28"/>
          <w:szCs w:val="28"/>
          <w:u w:val="single"/>
        </w:rPr>
      </w:pPr>
      <w:r w:rsidRPr="00F03B88">
        <w:rPr>
          <w:rFonts w:ascii="Arial" w:hAnsi="Arial" w:cs="Arial"/>
          <w:color w:val="000000"/>
          <w:sz w:val="28"/>
          <w:szCs w:val="28"/>
          <w:u w:val="single"/>
        </w:rPr>
        <w:t>Further Opportunities</w:t>
      </w:r>
    </w:p>
    <w:p w14:paraId="7B63D4AE" w14:textId="57BF1F85" w:rsidR="008078E3" w:rsidRPr="008078E3" w:rsidRDefault="008078E3" w:rsidP="008078E3">
      <w:pPr>
        <w:pStyle w:val="NormalWeb"/>
        <w:spacing w:line="360" w:lineRule="auto"/>
        <w:rPr>
          <w:rFonts w:ascii="Arial" w:hAnsi="Arial" w:cs="Arial"/>
          <w:color w:val="000000"/>
        </w:rPr>
      </w:pPr>
      <w:r w:rsidRPr="008078E3">
        <w:rPr>
          <w:rFonts w:ascii="Arial" w:hAnsi="Arial" w:cs="Arial"/>
          <w:color w:val="000000"/>
        </w:rPr>
        <w:t>Despite the</w:t>
      </w:r>
      <w:r w:rsidR="00E15E99">
        <w:rPr>
          <w:rFonts w:ascii="Arial" w:hAnsi="Arial" w:cs="Arial"/>
          <w:color w:val="000000"/>
        </w:rPr>
        <w:t>se</w:t>
      </w:r>
      <w:r w:rsidRPr="008078E3">
        <w:rPr>
          <w:rFonts w:ascii="Arial" w:hAnsi="Arial" w:cs="Arial"/>
          <w:color w:val="000000"/>
        </w:rPr>
        <w:t xml:space="preserve"> challenges,</w:t>
      </w:r>
      <w:r w:rsidR="00E15E99">
        <w:rPr>
          <w:rFonts w:ascii="Arial" w:hAnsi="Arial" w:cs="Arial"/>
          <w:color w:val="000000"/>
        </w:rPr>
        <w:t xml:space="preserve"> </w:t>
      </w:r>
      <w:r w:rsidR="00E15E99" w:rsidRPr="00E15E99">
        <w:rPr>
          <w:rFonts w:ascii="Arial" w:hAnsi="Arial" w:cs="Arial"/>
          <w:color w:val="000000"/>
        </w:rPr>
        <w:t>the Creative Play and Learning Hub presents several opportunities for growth and development</w:t>
      </w:r>
      <w:r w:rsidR="00E15E99">
        <w:rPr>
          <w:rFonts w:ascii="Arial" w:hAnsi="Arial" w:cs="Arial"/>
          <w:color w:val="000000"/>
        </w:rPr>
        <w:t>.</w:t>
      </w:r>
      <w:r w:rsidRPr="008078E3">
        <w:rPr>
          <w:rFonts w:ascii="Arial" w:hAnsi="Arial" w:cs="Arial"/>
          <w:color w:val="000000"/>
        </w:rPr>
        <w:t xml:space="preserve"> As awareness of</w:t>
      </w:r>
      <w:r w:rsidR="00704E99">
        <w:rPr>
          <w:rFonts w:ascii="Arial" w:hAnsi="Arial" w:cs="Arial"/>
          <w:color w:val="000000"/>
        </w:rPr>
        <w:t xml:space="preserve"> early childhood </w:t>
      </w:r>
      <w:r w:rsidR="00704E99">
        <w:rPr>
          <w:rFonts w:ascii="Arial" w:hAnsi="Arial" w:cs="Arial"/>
          <w:color w:val="000000"/>
        </w:rPr>
        <w:lastRenderedPageBreak/>
        <w:t>education increases</w:t>
      </w:r>
      <w:r w:rsidRPr="008078E3">
        <w:rPr>
          <w:rFonts w:ascii="Arial" w:hAnsi="Arial" w:cs="Arial"/>
          <w:color w:val="000000"/>
        </w:rPr>
        <w:t xml:space="preserve">, there may be growing demand for services that provide high-quality play-based learning environments (Heckman and </w:t>
      </w:r>
      <w:proofErr w:type="spellStart"/>
      <w:r w:rsidRPr="008078E3">
        <w:rPr>
          <w:rFonts w:ascii="Arial" w:hAnsi="Arial" w:cs="Arial"/>
          <w:color w:val="000000"/>
        </w:rPr>
        <w:t>Karapakula</w:t>
      </w:r>
      <w:proofErr w:type="spellEnd"/>
      <w:r w:rsidRPr="008078E3">
        <w:rPr>
          <w:rFonts w:ascii="Arial" w:hAnsi="Arial" w:cs="Arial"/>
          <w:color w:val="000000"/>
        </w:rPr>
        <w:t>, 2019).</w:t>
      </w:r>
    </w:p>
    <w:p w14:paraId="3FE30EB9" w14:textId="2070BB27" w:rsidR="008078E3" w:rsidRPr="008078E3" w:rsidRDefault="008078E3" w:rsidP="008078E3">
      <w:pPr>
        <w:pStyle w:val="NormalWeb"/>
        <w:spacing w:line="360" w:lineRule="auto"/>
        <w:rPr>
          <w:rFonts w:ascii="Arial" w:hAnsi="Arial" w:cs="Arial"/>
          <w:color w:val="000000"/>
        </w:rPr>
      </w:pPr>
      <w:r w:rsidRPr="008078E3">
        <w:rPr>
          <w:rFonts w:ascii="Arial" w:hAnsi="Arial" w:cs="Arial"/>
          <w:color w:val="000000"/>
        </w:rPr>
        <w:t>One potential opportunity involves</w:t>
      </w:r>
      <w:r w:rsidRPr="008078E3">
        <w:rPr>
          <w:rStyle w:val="apple-converted-space"/>
          <w:rFonts w:ascii="Arial" w:eastAsiaTheme="majorEastAsia" w:hAnsi="Arial" w:cs="Arial"/>
          <w:color w:val="000000"/>
        </w:rPr>
        <w:t> </w:t>
      </w:r>
      <w:r w:rsidRPr="008078E3">
        <w:rPr>
          <w:rStyle w:val="Strong"/>
          <w:rFonts w:ascii="Arial" w:eastAsiaTheme="majorEastAsia" w:hAnsi="Arial" w:cs="Arial"/>
          <w:b w:val="0"/>
          <w:bCs w:val="0"/>
          <w:color w:val="000000"/>
        </w:rPr>
        <w:t>expanding the service through partnerships with local nurseries and schools</w:t>
      </w:r>
      <w:r w:rsidRPr="008078E3">
        <w:rPr>
          <w:rFonts w:ascii="Arial" w:hAnsi="Arial" w:cs="Arial"/>
          <w:b/>
          <w:bCs/>
          <w:color w:val="000000"/>
        </w:rPr>
        <w:t xml:space="preserve">. </w:t>
      </w:r>
      <w:r w:rsidRPr="008078E3">
        <w:rPr>
          <w:rFonts w:ascii="Arial" w:hAnsi="Arial" w:cs="Arial"/>
          <w:color w:val="000000"/>
        </w:rPr>
        <w:t>Collaborative initiatives could allow children from different settings to participate in creative learning sessions while enabling practitioners to share knowledge. Partnerships of this nature can strengthen community-based learning opportunities and support professional collaboration within the early years sector (Siraj and Mayo, 2019).</w:t>
      </w:r>
    </w:p>
    <w:p w14:paraId="399C15A8" w14:textId="53F69C13" w:rsidR="008078E3" w:rsidRPr="008078E3" w:rsidRDefault="008078E3" w:rsidP="008078E3">
      <w:pPr>
        <w:pStyle w:val="NormalWeb"/>
        <w:spacing w:line="360" w:lineRule="auto"/>
        <w:rPr>
          <w:rFonts w:ascii="Arial" w:hAnsi="Arial" w:cs="Arial"/>
          <w:color w:val="000000"/>
        </w:rPr>
      </w:pPr>
      <w:r w:rsidRPr="008078E3">
        <w:rPr>
          <w:rFonts w:ascii="Arial" w:hAnsi="Arial" w:cs="Arial"/>
          <w:color w:val="000000"/>
        </w:rPr>
        <w:t>There is potential for</w:t>
      </w:r>
      <w:r w:rsidRPr="008078E3">
        <w:rPr>
          <w:rStyle w:val="apple-converted-space"/>
          <w:rFonts w:ascii="Arial" w:eastAsiaTheme="majorEastAsia" w:hAnsi="Arial" w:cs="Arial"/>
          <w:color w:val="000000"/>
        </w:rPr>
        <w:t> </w:t>
      </w:r>
      <w:r w:rsidRPr="008078E3">
        <w:rPr>
          <w:rStyle w:val="Strong"/>
          <w:rFonts w:ascii="Arial" w:eastAsiaTheme="majorEastAsia" w:hAnsi="Arial" w:cs="Arial"/>
          <w:b w:val="0"/>
          <w:bCs w:val="0"/>
          <w:color w:val="000000"/>
        </w:rPr>
        <w:t>long-term expansion</w:t>
      </w:r>
      <w:r w:rsidRPr="008078E3">
        <w:rPr>
          <w:rFonts w:ascii="Arial" w:hAnsi="Arial" w:cs="Arial"/>
          <w:color w:val="000000"/>
        </w:rPr>
        <w:t>,</w:t>
      </w:r>
      <w:r w:rsidR="00704E99">
        <w:rPr>
          <w:rFonts w:ascii="Arial" w:hAnsi="Arial" w:cs="Arial"/>
          <w:color w:val="000000"/>
        </w:rPr>
        <w:t xml:space="preserve"> </w:t>
      </w:r>
      <w:r w:rsidRPr="008078E3">
        <w:rPr>
          <w:rFonts w:ascii="Arial" w:hAnsi="Arial" w:cs="Arial"/>
          <w:color w:val="000000"/>
        </w:rPr>
        <w:t>establishing additional hubs in other areas of Wales.</w:t>
      </w:r>
    </w:p>
    <w:p w14:paraId="5DC651A8" w14:textId="77777777" w:rsidR="008078E3" w:rsidRPr="008078E3" w:rsidRDefault="008078E3" w:rsidP="008078E3">
      <w:pPr>
        <w:pStyle w:val="NormalWeb"/>
        <w:spacing w:line="360" w:lineRule="auto"/>
        <w:rPr>
          <w:rFonts w:ascii="Arial" w:hAnsi="Arial" w:cs="Arial"/>
          <w:color w:val="000000"/>
        </w:rPr>
      </w:pPr>
    </w:p>
    <w:p w14:paraId="42C80D29" w14:textId="77777777" w:rsidR="008078E3" w:rsidRPr="008078E3" w:rsidRDefault="008078E3" w:rsidP="008078E3">
      <w:pPr>
        <w:pStyle w:val="NormalWeb"/>
        <w:spacing w:line="360" w:lineRule="auto"/>
        <w:rPr>
          <w:rFonts w:ascii="Arial" w:hAnsi="Arial" w:cs="Arial"/>
          <w:b/>
          <w:bCs/>
          <w:color w:val="000000"/>
        </w:rPr>
      </w:pPr>
    </w:p>
    <w:p w14:paraId="2F961C94" w14:textId="77777777" w:rsidR="007126AE" w:rsidRDefault="007126AE" w:rsidP="007B02ED">
      <w:pPr>
        <w:pStyle w:val="NormalWeb"/>
        <w:spacing w:line="360" w:lineRule="auto"/>
        <w:rPr>
          <w:rFonts w:ascii="Arial" w:hAnsi="Arial" w:cs="Arial"/>
          <w:color w:val="000000"/>
        </w:rPr>
      </w:pPr>
    </w:p>
    <w:p w14:paraId="3D1C36BB" w14:textId="77777777" w:rsidR="007126AE" w:rsidRPr="007B02ED" w:rsidRDefault="007126AE" w:rsidP="007B02ED">
      <w:pPr>
        <w:pStyle w:val="NormalWeb"/>
        <w:spacing w:line="360" w:lineRule="auto"/>
        <w:rPr>
          <w:rFonts w:ascii="Arial" w:hAnsi="Arial" w:cs="Arial"/>
          <w:color w:val="000000"/>
        </w:rPr>
      </w:pPr>
    </w:p>
    <w:p w14:paraId="0D4A0821" w14:textId="77777777" w:rsidR="007B02ED" w:rsidRPr="007B02ED" w:rsidRDefault="007B02ED" w:rsidP="007B02ED">
      <w:pPr>
        <w:pStyle w:val="NormalWeb"/>
        <w:spacing w:line="360" w:lineRule="auto"/>
        <w:rPr>
          <w:rFonts w:ascii="Arial" w:hAnsi="Arial" w:cs="Arial"/>
          <w:b/>
          <w:bCs/>
          <w:color w:val="000000"/>
          <w:sz w:val="28"/>
          <w:szCs w:val="28"/>
        </w:rPr>
      </w:pPr>
    </w:p>
    <w:p w14:paraId="390665CA" w14:textId="77777777" w:rsidR="000E3AB7" w:rsidRPr="000E3AB7" w:rsidRDefault="000E3AB7" w:rsidP="000E3AB7">
      <w:pPr>
        <w:pStyle w:val="NormalWeb"/>
        <w:spacing w:line="360" w:lineRule="auto"/>
        <w:rPr>
          <w:rFonts w:ascii="Arial" w:hAnsi="Arial" w:cs="Arial"/>
          <w:color w:val="000000"/>
          <w:sz w:val="28"/>
          <w:szCs w:val="28"/>
        </w:rPr>
      </w:pPr>
    </w:p>
    <w:p w14:paraId="50A2CCC5" w14:textId="77777777" w:rsidR="000E3AB7" w:rsidRPr="00DE0F2F" w:rsidRDefault="000E3AB7" w:rsidP="000E3AB7">
      <w:pPr>
        <w:pStyle w:val="NormalWeb"/>
        <w:spacing w:line="360" w:lineRule="auto"/>
        <w:rPr>
          <w:rFonts w:ascii="Arial" w:hAnsi="Arial" w:cs="Arial"/>
          <w:b/>
          <w:bCs/>
          <w:color w:val="000000"/>
          <w:sz w:val="28"/>
          <w:szCs w:val="28"/>
        </w:rPr>
      </w:pPr>
    </w:p>
    <w:p w14:paraId="1C3EC33B" w14:textId="77777777" w:rsidR="00DE0F2F" w:rsidRDefault="00DE0F2F" w:rsidP="00DE0F2F">
      <w:pPr>
        <w:pStyle w:val="NormalWeb"/>
        <w:spacing w:line="360" w:lineRule="auto"/>
        <w:rPr>
          <w:rFonts w:ascii="Arial" w:hAnsi="Arial" w:cs="Arial"/>
          <w:color w:val="000000"/>
        </w:rPr>
      </w:pPr>
    </w:p>
    <w:p w14:paraId="1003BBBF" w14:textId="77777777" w:rsidR="00DE0F2F" w:rsidRPr="00EB5B7B" w:rsidRDefault="00DE0F2F" w:rsidP="00DE0F2F">
      <w:pPr>
        <w:pStyle w:val="NormalWeb"/>
        <w:spacing w:line="360" w:lineRule="auto"/>
        <w:rPr>
          <w:rFonts w:ascii="Arial" w:hAnsi="Arial" w:cs="Arial"/>
          <w:b/>
          <w:bCs/>
          <w:color w:val="000000"/>
        </w:rPr>
      </w:pPr>
    </w:p>
    <w:p w14:paraId="476946D5" w14:textId="77777777" w:rsidR="008D4BF9" w:rsidRDefault="008D4BF9" w:rsidP="00362282">
      <w:pPr>
        <w:pStyle w:val="NormalWeb"/>
        <w:spacing w:line="360" w:lineRule="auto"/>
        <w:rPr>
          <w:rFonts w:ascii="Arial" w:hAnsi="Arial" w:cs="Arial"/>
          <w:color w:val="000000"/>
        </w:rPr>
      </w:pPr>
    </w:p>
    <w:p w14:paraId="21FE5343" w14:textId="77777777" w:rsidR="008D4BF9" w:rsidRPr="00362282" w:rsidRDefault="008D4BF9" w:rsidP="00362282">
      <w:pPr>
        <w:pStyle w:val="NormalWeb"/>
        <w:spacing w:line="360" w:lineRule="auto"/>
        <w:rPr>
          <w:rFonts w:ascii="Arial" w:hAnsi="Arial" w:cs="Arial"/>
          <w:color w:val="000000"/>
        </w:rPr>
      </w:pPr>
    </w:p>
    <w:p w14:paraId="51C0918F" w14:textId="77777777" w:rsidR="0045443E" w:rsidRPr="0045443E" w:rsidRDefault="0045443E" w:rsidP="0045443E">
      <w:pPr>
        <w:pStyle w:val="NormalWeb"/>
        <w:spacing w:line="360" w:lineRule="auto"/>
        <w:rPr>
          <w:rFonts w:ascii="Arial" w:hAnsi="Arial" w:cs="Arial"/>
          <w:color w:val="000000"/>
          <w:sz w:val="28"/>
          <w:szCs w:val="28"/>
        </w:rPr>
      </w:pPr>
    </w:p>
    <w:p w14:paraId="650F8939" w14:textId="77777777" w:rsidR="0045443E" w:rsidRDefault="0045443E" w:rsidP="0045443E">
      <w:pPr>
        <w:pStyle w:val="NormalWeb"/>
        <w:spacing w:line="360" w:lineRule="auto"/>
        <w:rPr>
          <w:rFonts w:ascii="Arial" w:hAnsi="Arial" w:cs="Arial"/>
          <w:color w:val="000000"/>
          <w:sz w:val="28"/>
          <w:szCs w:val="28"/>
        </w:rPr>
      </w:pPr>
    </w:p>
    <w:p w14:paraId="52F68C2A" w14:textId="7F6E1F2A" w:rsidR="0045443E" w:rsidRDefault="0048113D" w:rsidP="0045443E">
      <w:pPr>
        <w:pStyle w:val="NormalWeb"/>
        <w:spacing w:line="360" w:lineRule="auto"/>
        <w:rPr>
          <w:rFonts w:ascii="Arial" w:hAnsi="Arial" w:cs="Arial"/>
          <w:color w:val="000000"/>
          <w:sz w:val="28"/>
          <w:szCs w:val="28"/>
          <w:u w:val="single"/>
        </w:rPr>
      </w:pPr>
      <w:r w:rsidRPr="0048113D">
        <w:rPr>
          <w:rFonts w:ascii="Arial" w:hAnsi="Arial" w:cs="Arial"/>
          <w:color w:val="000000"/>
          <w:sz w:val="28"/>
          <w:szCs w:val="28"/>
          <w:u w:val="single"/>
        </w:rPr>
        <w:lastRenderedPageBreak/>
        <w:t>References</w:t>
      </w:r>
    </w:p>
    <w:p w14:paraId="5B3D4F7E" w14:textId="77777777" w:rsidR="0048113D" w:rsidRDefault="0048113D" w:rsidP="0048113D">
      <w:pPr>
        <w:pStyle w:val="NormalWeb"/>
        <w:spacing w:line="360" w:lineRule="auto"/>
        <w:rPr>
          <w:rFonts w:ascii="Arial" w:hAnsi="Arial" w:cs="Arial"/>
          <w:color w:val="000000"/>
          <w:sz w:val="28"/>
          <w:szCs w:val="28"/>
          <w:u w:val="single"/>
        </w:rPr>
      </w:pPr>
    </w:p>
    <w:p w14:paraId="6D38E97E" w14:textId="612B753B" w:rsidR="0048113D" w:rsidRPr="0048113D" w:rsidRDefault="0048113D" w:rsidP="0048113D">
      <w:pPr>
        <w:pStyle w:val="NormalWeb"/>
        <w:spacing w:line="360" w:lineRule="auto"/>
        <w:rPr>
          <w:rFonts w:ascii="Arial" w:hAnsi="Arial" w:cs="Arial"/>
          <w:color w:val="000000"/>
        </w:rPr>
      </w:pPr>
      <w:proofErr w:type="spellStart"/>
      <w:r w:rsidRPr="0048113D">
        <w:rPr>
          <w:rFonts w:ascii="Arial" w:hAnsi="Arial" w:cs="Arial"/>
          <w:color w:val="000000"/>
        </w:rPr>
        <w:t>Bodrova</w:t>
      </w:r>
      <w:proofErr w:type="spellEnd"/>
      <w:r w:rsidRPr="0048113D">
        <w:rPr>
          <w:rFonts w:ascii="Arial" w:hAnsi="Arial" w:cs="Arial"/>
          <w:color w:val="000000"/>
        </w:rPr>
        <w:t>, E. and Leong, D. (2019) </w:t>
      </w:r>
      <w:r w:rsidRPr="0048113D">
        <w:rPr>
          <w:rFonts w:ascii="Arial" w:hAnsi="Arial" w:cs="Arial"/>
          <w:i/>
          <w:iCs/>
          <w:color w:val="000000"/>
        </w:rPr>
        <w:t>Tools of the Mind: The Vygotskian Approach to Early Childhood Education</w:t>
      </w:r>
      <w:r w:rsidRPr="0048113D">
        <w:rPr>
          <w:rFonts w:ascii="Arial" w:hAnsi="Arial" w:cs="Arial"/>
          <w:color w:val="000000"/>
        </w:rPr>
        <w:t xml:space="preserve">. 3rd </w:t>
      </w:r>
      <w:proofErr w:type="spellStart"/>
      <w:r w:rsidRPr="0048113D">
        <w:rPr>
          <w:rFonts w:ascii="Arial" w:hAnsi="Arial" w:cs="Arial"/>
          <w:color w:val="000000"/>
        </w:rPr>
        <w:t>edn</w:t>
      </w:r>
      <w:proofErr w:type="spellEnd"/>
      <w:r w:rsidRPr="0048113D">
        <w:rPr>
          <w:rFonts w:ascii="Arial" w:hAnsi="Arial" w:cs="Arial"/>
          <w:color w:val="000000"/>
        </w:rPr>
        <w:t>. Upper Saddle River: Pearson.</w:t>
      </w:r>
    </w:p>
    <w:p w14:paraId="3B628ACC"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Bronfenbrenner, U. (1979) </w:t>
      </w:r>
      <w:r w:rsidRPr="0048113D">
        <w:rPr>
          <w:rFonts w:ascii="Arial" w:hAnsi="Arial" w:cs="Arial"/>
          <w:i/>
          <w:iCs/>
          <w:color w:val="000000"/>
        </w:rPr>
        <w:t>The Ecology of Human Development: Experiments by Nature and Design</w:t>
      </w:r>
      <w:r w:rsidRPr="0048113D">
        <w:rPr>
          <w:rFonts w:ascii="Arial" w:hAnsi="Arial" w:cs="Arial"/>
          <w:color w:val="000000"/>
        </w:rPr>
        <w:t>. Cambridge, MA: Harvard University Press.</w:t>
      </w:r>
    </w:p>
    <w:p w14:paraId="4E73900C"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Bruce, T. (2019) </w:t>
      </w:r>
      <w:r w:rsidRPr="0048113D">
        <w:rPr>
          <w:rFonts w:ascii="Arial" w:hAnsi="Arial" w:cs="Arial"/>
          <w:i/>
          <w:iCs/>
          <w:color w:val="000000"/>
        </w:rPr>
        <w:t>Early Childhood Education</w:t>
      </w:r>
      <w:r w:rsidRPr="0048113D">
        <w:rPr>
          <w:rFonts w:ascii="Arial" w:hAnsi="Arial" w:cs="Arial"/>
          <w:color w:val="000000"/>
        </w:rPr>
        <w:t xml:space="preserve">. 6th </w:t>
      </w:r>
      <w:proofErr w:type="spellStart"/>
      <w:r w:rsidRPr="0048113D">
        <w:rPr>
          <w:rFonts w:ascii="Arial" w:hAnsi="Arial" w:cs="Arial"/>
          <w:color w:val="000000"/>
        </w:rPr>
        <w:t>edn</w:t>
      </w:r>
      <w:proofErr w:type="spellEnd"/>
      <w:r w:rsidRPr="0048113D">
        <w:rPr>
          <w:rFonts w:ascii="Arial" w:hAnsi="Arial" w:cs="Arial"/>
          <w:color w:val="000000"/>
        </w:rPr>
        <w:t>. London: Hodder Education.</w:t>
      </w:r>
    </w:p>
    <w:p w14:paraId="4269F154"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Burns, P. (2020) </w:t>
      </w:r>
      <w:r w:rsidRPr="0048113D">
        <w:rPr>
          <w:rFonts w:ascii="Arial" w:hAnsi="Arial" w:cs="Arial"/>
          <w:i/>
          <w:iCs/>
          <w:color w:val="000000"/>
        </w:rPr>
        <w:t>Entrepreneurship and Small Business</w:t>
      </w:r>
      <w:r w:rsidRPr="0048113D">
        <w:rPr>
          <w:rFonts w:ascii="Arial" w:hAnsi="Arial" w:cs="Arial"/>
          <w:color w:val="000000"/>
        </w:rPr>
        <w:t xml:space="preserve">. 5th </w:t>
      </w:r>
      <w:proofErr w:type="spellStart"/>
      <w:r w:rsidRPr="0048113D">
        <w:rPr>
          <w:rFonts w:ascii="Arial" w:hAnsi="Arial" w:cs="Arial"/>
          <w:color w:val="000000"/>
        </w:rPr>
        <w:t>edn</w:t>
      </w:r>
      <w:proofErr w:type="spellEnd"/>
      <w:r w:rsidRPr="0048113D">
        <w:rPr>
          <w:rFonts w:ascii="Arial" w:hAnsi="Arial" w:cs="Arial"/>
          <w:color w:val="000000"/>
        </w:rPr>
        <w:t>. London: Palgrave Macmillan.</w:t>
      </w:r>
    </w:p>
    <w:p w14:paraId="755BFC9A"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Craft, A. (2018) </w:t>
      </w:r>
      <w:r w:rsidRPr="0048113D">
        <w:rPr>
          <w:rFonts w:ascii="Arial" w:hAnsi="Arial" w:cs="Arial"/>
          <w:i/>
          <w:iCs/>
          <w:color w:val="000000"/>
        </w:rPr>
        <w:t>Creativity and Education Futures</w:t>
      </w:r>
      <w:r w:rsidRPr="0048113D">
        <w:rPr>
          <w:rFonts w:ascii="Arial" w:hAnsi="Arial" w:cs="Arial"/>
          <w:color w:val="000000"/>
        </w:rPr>
        <w:t>. London: Trentham Books.</w:t>
      </w:r>
    </w:p>
    <w:p w14:paraId="64F69F06"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Denham, S., Bassett, H. and Zinsser, K. (2020) ‘Early childhood teachers as socialisers of young children’s emotional competence’, </w:t>
      </w:r>
      <w:r w:rsidRPr="0048113D">
        <w:rPr>
          <w:rFonts w:ascii="Arial" w:hAnsi="Arial" w:cs="Arial"/>
          <w:i/>
          <w:iCs/>
          <w:color w:val="000000"/>
        </w:rPr>
        <w:t>Early Childhood Education Journal</w:t>
      </w:r>
      <w:r w:rsidRPr="0048113D">
        <w:rPr>
          <w:rFonts w:ascii="Arial" w:hAnsi="Arial" w:cs="Arial"/>
          <w:color w:val="000000"/>
        </w:rPr>
        <w:t>, 48(1), pp. 1–12.</w:t>
      </w:r>
    </w:p>
    <w:p w14:paraId="643F856A"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Fleer, M. (2017) </w:t>
      </w:r>
      <w:r w:rsidRPr="0048113D">
        <w:rPr>
          <w:rFonts w:ascii="Arial" w:hAnsi="Arial" w:cs="Arial"/>
          <w:i/>
          <w:iCs/>
          <w:color w:val="000000"/>
        </w:rPr>
        <w:t>Play in the Early Years</w:t>
      </w:r>
      <w:r w:rsidRPr="0048113D">
        <w:rPr>
          <w:rFonts w:ascii="Arial" w:hAnsi="Arial" w:cs="Arial"/>
          <w:color w:val="000000"/>
        </w:rPr>
        <w:t xml:space="preserve">. 2nd </w:t>
      </w:r>
      <w:proofErr w:type="spellStart"/>
      <w:r w:rsidRPr="0048113D">
        <w:rPr>
          <w:rFonts w:ascii="Arial" w:hAnsi="Arial" w:cs="Arial"/>
          <w:color w:val="000000"/>
        </w:rPr>
        <w:t>edn</w:t>
      </w:r>
      <w:proofErr w:type="spellEnd"/>
      <w:r w:rsidRPr="0048113D">
        <w:rPr>
          <w:rFonts w:ascii="Arial" w:hAnsi="Arial" w:cs="Arial"/>
          <w:color w:val="000000"/>
        </w:rPr>
        <w:t>. Cambridge: Cambridge University Press.</w:t>
      </w:r>
    </w:p>
    <w:p w14:paraId="73EE2459"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Ginsburg, K. (2017) ‘The importance of play in promoting healthy child development’, </w:t>
      </w:r>
      <w:proofErr w:type="spellStart"/>
      <w:r w:rsidRPr="0048113D">
        <w:rPr>
          <w:rFonts w:ascii="Arial" w:hAnsi="Arial" w:cs="Arial"/>
          <w:i/>
          <w:iCs/>
          <w:color w:val="000000"/>
        </w:rPr>
        <w:t>Pediatrics</w:t>
      </w:r>
      <w:proofErr w:type="spellEnd"/>
      <w:r w:rsidRPr="0048113D">
        <w:rPr>
          <w:rFonts w:ascii="Arial" w:hAnsi="Arial" w:cs="Arial"/>
          <w:color w:val="000000"/>
        </w:rPr>
        <w:t>, 119(1), pp. 182–191.</w:t>
      </w:r>
    </w:p>
    <w:p w14:paraId="11F5594E"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 xml:space="preserve">Heckman, J. and </w:t>
      </w:r>
      <w:proofErr w:type="spellStart"/>
      <w:r w:rsidRPr="0048113D">
        <w:rPr>
          <w:rFonts w:ascii="Arial" w:hAnsi="Arial" w:cs="Arial"/>
          <w:color w:val="000000"/>
        </w:rPr>
        <w:t>Karapakula</w:t>
      </w:r>
      <w:proofErr w:type="spellEnd"/>
      <w:r w:rsidRPr="0048113D">
        <w:rPr>
          <w:rFonts w:ascii="Arial" w:hAnsi="Arial" w:cs="Arial"/>
          <w:color w:val="000000"/>
        </w:rPr>
        <w:t>, G. (2019) </w:t>
      </w:r>
      <w:r w:rsidRPr="0048113D">
        <w:rPr>
          <w:rFonts w:ascii="Arial" w:hAnsi="Arial" w:cs="Arial"/>
          <w:i/>
          <w:iCs/>
          <w:color w:val="000000"/>
        </w:rPr>
        <w:t>The Perry Preschoolers at Late Midlife: A Study in Design-Specific Inference</w:t>
      </w:r>
      <w:r w:rsidRPr="0048113D">
        <w:rPr>
          <w:rFonts w:ascii="Arial" w:hAnsi="Arial" w:cs="Arial"/>
          <w:color w:val="000000"/>
        </w:rPr>
        <w:t>. Chicago: University of Chicago.</w:t>
      </w:r>
    </w:p>
    <w:p w14:paraId="0C6FB944"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Hirsh-</w:t>
      </w:r>
      <w:proofErr w:type="spellStart"/>
      <w:r w:rsidRPr="0048113D">
        <w:rPr>
          <w:rFonts w:ascii="Arial" w:hAnsi="Arial" w:cs="Arial"/>
          <w:color w:val="000000"/>
        </w:rPr>
        <w:t>Pasek</w:t>
      </w:r>
      <w:proofErr w:type="spellEnd"/>
      <w:r w:rsidRPr="0048113D">
        <w:rPr>
          <w:rFonts w:ascii="Arial" w:hAnsi="Arial" w:cs="Arial"/>
          <w:color w:val="000000"/>
        </w:rPr>
        <w:t xml:space="preserve">, K., </w:t>
      </w:r>
      <w:proofErr w:type="spellStart"/>
      <w:r w:rsidRPr="0048113D">
        <w:rPr>
          <w:rFonts w:ascii="Arial" w:hAnsi="Arial" w:cs="Arial"/>
          <w:color w:val="000000"/>
        </w:rPr>
        <w:t>Zosh</w:t>
      </w:r>
      <w:proofErr w:type="spellEnd"/>
      <w:r w:rsidRPr="0048113D">
        <w:rPr>
          <w:rFonts w:ascii="Arial" w:hAnsi="Arial" w:cs="Arial"/>
          <w:color w:val="000000"/>
        </w:rPr>
        <w:t xml:space="preserve">, J., </w:t>
      </w:r>
      <w:proofErr w:type="spellStart"/>
      <w:r w:rsidRPr="0048113D">
        <w:rPr>
          <w:rFonts w:ascii="Arial" w:hAnsi="Arial" w:cs="Arial"/>
          <w:color w:val="000000"/>
        </w:rPr>
        <w:t>Golinkoff</w:t>
      </w:r>
      <w:proofErr w:type="spellEnd"/>
      <w:r w:rsidRPr="0048113D">
        <w:rPr>
          <w:rFonts w:ascii="Arial" w:hAnsi="Arial" w:cs="Arial"/>
          <w:color w:val="000000"/>
        </w:rPr>
        <w:t>, R., Gray, J., Robb, M. and Kaufman, J. (2020) ‘A new path to education reform: playful learning promotes 21st-century skills’, </w:t>
      </w:r>
      <w:r w:rsidRPr="0048113D">
        <w:rPr>
          <w:rFonts w:ascii="Arial" w:hAnsi="Arial" w:cs="Arial"/>
          <w:i/>
          <w:iCs/>
          <w:color w:val="000000"/>
        </w:rPr>
        <w:t>Brookings Institution Report</w:t>
      </w:r>
      <w:r w:rsidRPr="0048113D">
        <w:rPr>
          <w:rFonts w:ascii="Arial" w:hAnsi="Arial" w:cs="Arial"/>
          <w:color w:val="000000"/>
        </w:rPr>
        <w:t>.</w:t>
      </w:r>
    </w:p>
    <w:p w14:paraId="35231476"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Leggett, N. and Ford, M. (2019) ‘A fine balance: Understanding the roles educators and children play as intentional teachers and learners’, </w:t>
      </w:r>
      <w:r w:rsidRPr="0048113D">
        <w:rPr>
          <w:rFonts w:ascii="Arial" w:hAnsi="Arial" w:cs="Arial"/>
          <w:i/>
          <w:iCs/>
          <w:color w:val="000000"/>
        </w:rPr>
        <w:t>Australasian Journal of Early Childhood</w:t>
      </w:r>
      <w:r w:rsidRPr="0048113D">
        <w:rPr>
          <w:rFonts w:ascii="Arial" w:hAnsi="Arial" w:cs="Arial"/>
          <w:color w:val="000000"/>
        </w:rPr>
        <w:t>, 44(3), pp. 215–226.</w:t>
      </w:r>
    </w:p>
    <w:p w14:paraId="1DD4B388"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lastRenderedPageBreak/>
        <w:t>Moyles, J. (2017) </w:t>
      </w:r>
      <w:r w:rsidRPr="0048113D">
        <w:rPr>
          <w:rFonts w:ascii="Arial" w:hAnsi="Arial" w:cs="Arial"/>
          <w:i/>
          <w:iCs/>
          <w:color w:val="000000"/>
        </w:rPr>
        <w:t>The Excellence of Play</w:t>
      </w:r>
      <w:r w:rsidRPr="0048113D">
        <w:rPr>
          <w:rFonts w:ascii="Arial" w:hAnsi="Arial" w:cs="Arial"/>
          <w:color w:val="000000"/>
        </w:rPr>
        <w:t xml:space="preserve">. 4th </w:t>
      </w:r>
      <w:proofErr w:type="spellStart"/>
      <w:r w:rsidRPr="0048113D">
        <w:rPr>
          <w:rFonts w:ascii="Arial" w:hAnsi="Arial" w:cs="Arial"/>
          <w:color w:val="000000"/>
        </w:rPr>
        <w:t>edn</w:t>
      </w:r>
      <w:proofErr w:type="spellEnd"/>
      <w:r w:rsidRPr="0048113D">
        <w:rPr>
          <w:rFonts w:ascii="Arial" w:hAnsi="Arial" w:cs="Arial"/>
          <w:color w:val="000000"/>
        </w:rPr>
        <w:t>. Maidenhead: Open University Press.</w:t>
      </w:r>
    </w:p>
    <w:p w14:paraId="03F838E2"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Neck, H., Neck, C. and Murray, E. (2018) </w:t>
      </w:r>
      <w:r w:rsidRPr="0048113D">
        <w:rPr>
          <w:rFonts w:ascii="Arial" w:hAnsi="Arial" w:cs="Arial"/>
          <w:i/>
          <w:iCs/>
          <w:color w:val="000000"/>
        </w:rPr>
        <w:t>Entrepreneurship: The Practice and Mindset</w:t>
      </w:r>
      <w:r w:rsidRPr="0048113D">
        <w:rPr>
          <w:rFonts w:ascii="Arial" w:hAnsi="Arial" w:cs="Arial"/>
          <w:color w:val="000000"/>
        </w:rPr>
        <w:t>. London: Sage.</w:t>
      </w:r>
    </w:p>
    <w:p w14:paraId="64AAECB9"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Nutbrown, C. (2019) </w:t>
      </w:r>
      <w:r w:rsidRPr="0048113D">
        <w:rPr>
          <w:rFonts w:ascii="Arial" w:hAnsi="Arial" w:cs="Arial"/>
          <w:i/>
          <w:iCs/>
          <w:color w:val="000000"/>
        </w:rPr>
        <w:t>Early Childhood Education: History, Philosophy and Experience</w:t>
      </w:r>
      <w:r w:rsidRPr="0048113D">
        <w:rPr>
          <w:rFonts w:ascii="Arial" w:hAnsi="Arial" w:cs="Arial"/>
          <w:color w:val="000000"/>
        </w:rPr>
        <w:t xml:space="preserve">. 3rd </w:t>
      </w:r>
      <w:proofErr w:type="spellStart"/>
      <w:r w:rsidRPr="0048113D">
        <w:rPr>
          <w:rFonts w:ascii="Arial" w:hAnsi="Arial" w:cs="Arial"/>
          <w:color w:val="000000"/>
        </w:rPr>
        <w:t>edn</w:t>
      </w:r>
      <w:proofErr w:type="spellEnd"/>
      <w:r w:rsidRPr="0048113D">
        <w:rPr>
          <w:rFonts w:ascii="Arial" w:hAnsi="Arial" w:cs="Arial"/>
          <w:color w:val="000000"/>
        </w:rPr>
        <w:t>. London: Sage.</w:t>
      </w:r>
    </w:p>
    <w:p w14:paraId="0C485F02"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OECD (2017) </w:t>
      </w:r>
      <w:r w:rsidRPr="0048113D">
        <w:rPr>
          <w:rFonts w:ascii="Arial" w:hAnsi="Arial" w:cs="Arial"/>
          <w:i/>
          <w:iCs/>
          <w:color w:val="000000"/>
        </w:rPr>
        <w:t>Starting Strong 2017: Key OECD Indicators on Early Childhood Education and Care</w:t>
      </w:r>
      <w:r w:rsidRPr="0048113D">
        <w:rPr>
          <w:rFonts w:ascii="Arial" w:hAnsi="Arial" w:cs="Arial"/>
          <w:color w:val="000000"/>
        </w:rPr>
        <w:t>. Paris: OECD Publishing.</w:t>
      </w:r>
    </w:p>
    <w:p w14:paraId="4F71957C"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OECD (2021) </w:t>
      </w:r>
      <w:r w:rsidRPr="0048113D">
        <w:rPr>
          <w:rFonts w:ascii="Arial" w:hAnsi="Arial" w:cs="Arial"/>
          <w:i/>
          <w:iCs/>
          <w:color w:val="000000"/>
        </w:rPr>
        <w:t>Early Childhood Education and Care Policy Review</w:t>
      </w:r>
      <w:r w:rsidRPr="0048113D">
        <w:rPr>
          <w:rFonts w:ascii="Arial" w:hAnsi="Arial" w:cs="Arial"/>
          <w:color w:val="000000"/>
        </w:rPr>
        <w:t>. Available at: </w:t>
      </w:r>
      <w:hyperlink r:id="rId8" w:tgtFrame="_new" w:history="1">
        <w:r w:rsidRPr="0048113D">
          <w:rPr>
            <w:rStyle w:val="Hyperlink"/>
            <w:rFonts w:ascii="Arial" w:hAnsi="Arial" w:cs="Arial"/>
            <w:u w:val="none"/>
          </w:rPr>
          <w:t>https://www.oec</w:t>
        </w:r>
        <w:r w:rsidRPr="0048113D">
          <w:rPr>
            <w:rStyle w:val="Hyperlink"/>
            <w:rFonts w:ascii="Arial" w:hAnsi="Arial" w:cs="Arial"/>
            <w:u w:val="none"/>
          </w:rPr>
          <w:t>d</w:t>
        </w:r>
        <w:r w:rsidRPr="0048113D">
          <w:rPr>
            <w:rStyle w:val="Hyperlink"/>
            <w:rFonts w:ascii="Arial" w:hAnsi="Arial" w:cs="Arial"/>
            <w:u w:val="none"/>
          </w:rPr>
          <w:t>.org</w:t>
        </w:r>
      </w:hyperlink>
      <w:r w:rsidRPr="0048113D">
        <w:rPr>
          <w:rFonts w:ascii="Arial" w:hAnsi="Arial" w:cs="Arial"/>
          <w:color w:val="000000"/>
        </w:rPr>
        <w:t> (Accessed: 20 February 2026).</w:t>
      </w:r>
    </w:p>
    <w:p w14:paraId="53809402" w14:textId="77777777" w:rsidR="0048113D" w:rsidRPr="0048113D" w:rsidRDefault="0048113D" w:rsidP="0048113D">
      <w:pPr>
        <w:pStyle w:val="NormalWeb"/>
        <w:spacing w:line="360" w:lineRule="auto"/>
        <w:rPr>
          <w:rFonts w:ascii="Arial" w:hAnsi="Arial" w:cs="Arial"/>
          <w:color w:val="000000"/>
        </w:rPr>
      </w:pPr>
      <w:proofErr w:type="spellStart"/>
      <w:r w:rsidRPr="0048113D">
        <w:rPr>
          <w:rFonts w:ascii="Arial" w:hAnsi="Arial" w:cs="Arial"/>
          <w:color w:val="000000"/>
        </w:rPr>
        <w:t>Palaiologou</w:t>
      </w:r>
      <w:proofErr w:type="spellEnd"/>
      <w:r w:rsidRPr="0048113D">
        <w:rPr>
          <w:rFonts w:ascii="Arial" w:hAnsi="Arial" w:cs="Arial"/>
          <w:color w:val="000000"/>
        </w:rPr>
        <w:t>, I. (2016) </w:t>
      </w:r>
      <w:r w:rsidRPr="0048113D">
        <w:rPr>
          <w:rFonts w:ascii="Arial" w:hAnsi="Arial" w:cs="Arial"/>
          <w:i/>
          <w:iCs/>
          <w:color w:val="000000"/>
        </w:rPr>
        <w:t>Child Observation: A Guide for Students of Early Childhood</w:t>
      </w:r>
      <w:r w:rsidRPr="0048113D">
        <w:rPr>
          <w:rFonts w:ascii="Arial" w:hAnsi="Arial" w:cs="Arial"/>
          <w:color w:val="000000"/>
        </w:rPr>
        <w:t>. London: Sage.</w:t>
      </w:r>
    </w:p>
    <w:p w14:paraId="06BAE207"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Piaget, J. (1972) </w:t>
      </w:r>
      <w:r w:rsidRPr="0048113D">
        <w:rPr>
          <w:rFonts w:ascii="Arial" w:hAnsi="Arial" w:cs="Arial"/>
          <w:i/>
          <w:iCs/>
          <w:color w:val="000000"/>
        </w:rPr>
        <w:t>The Psychology of the Child</w:t>
      </w:r>
      <w:r w:rsidRPr="0048113D">
        <w:rPr>
          <w:rFonts w:ascii="Arial" w:hAnsi="Arial" w:cs="Arial"/>
          <w:color w:val="000000"/>
        </w:rPr>
        <w:t>. New York: Basic Books.</w:t>
      </w:r>
    </w:p>
    <w:p w14:paraId="4A7DDD17"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Rowe, M. and Snow, C. (2020) ‘</w:t>
      </w:r>
      <w:proofErr w:type="spellStart"/>
      <w:r w:rsidRPr="0048113D">
        <w:rPr>
          <w:rFonts w:ascii="Arial" w:hAnsi="Arial" w:cs="Arial"/>
          <w:color w:val="000000"/>
        </w:rPr>
        <w:t>Analyzing</w:t>
      </w:r>
      <w:proofErr w:type="spellEnd"/>
      <w:r w:rsidRPr="0048113D">
        <w:rPr>
          <w:rFonts w:ascii="Arial" w:hAnsi="Arial" w:cs="Arial"/>
          <w:color w:val="000000"/>
        </w:rPr>
        <w:t xml:space="preserve"> input quality along three dimensions: interactive, linguistic and conceptual’, </w:t>
      </w:r>
      <w:r w:rsidRPr="0048113D">
        <w:rPr>
          <w:rFonts w:ascii="Arial" w:hAnsi="Arial" w:cs="Arial"/>
          <w:i/>
          <w:iCs/>
          <w:color w:val="000000"/>
        </w:rPr>
        <w:t>Journal of Child Language</w:t>
      </w:r>
      <w:r w:rsidRPr="0048113D">
        <w:rPr>
          <w:rFonts w:ascii="Arial" w:hAnsi="Arial" w:cs="Arial"/>
          <w:color w:val="000000"/>
        </w:rPr>
        <w:t>, 47(1), pp. 5–21.</w:t>
      </w:r>
    </w:p>
    <w:p w14:paraId="59979E2F"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Shonkoff, J. and Phillips, D. (2021) </w:t>
      </w:r>
      <w:r w:rsidRPr="0048113D">
        <w:rPr>
          <w:rFonts w:ascii="Arial" w:hAnsi="Arial" w:cs="Arial"/>
          <w:i/>
          <w:iCs/>
          <w:color w:val="000000"/>
        </w:rPr>
        <w:t xml:space="preserve">From Neurons to </w:t>
      </w:r>
      <w:proofErr w:type="spellStart"/>
      <w:r w:rsidRPr="0048113D">
        <w:rPr>
          <w:rFonts w:ascii="Arial" w:hAnsi="Arial" w:cs="Arial"/>
          <w:i/>
          <w:iCs/>
          <w:color w:val="000000"/>
        </w:rPr>
        <w:t>Neighborhoods</w:t>
      </w:r>
      <w:proofErr w:type="spellEnd"/>
      <w:r w:rsidRPr="0048113D">
        <w:rPr>
          <w:rFonts w:ascii="Arial" w:hAnsi="Arial" w:cs="Arial"/>
          <w:i/>
          <w:iCs/>
          <w:color w:val="000000"/>
        </w:rPr>
        <w:t>: The Science of Early Childhood Development</w:t>
      </w:r>
      <w:r w:rsidRPr="0048113D">
        <w:rPr>
          <w:rFonts w:ascii="Arial" w:hAnsi="Arial" w:cs="Arial"/>
          <w:color w:val="000000"/>
        </w:rPr>
        <w:t>. Washington DC: National Academy Press.</w:t>
      </w:r>
    </w:p>
    <w:p w14:paraId="289C6152"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Siraj, I. and Mayo, A. (2019) </w:t>
      </w:r>
      <w:r w:rsidRPr="0048113D">
        <w:rPr>
          <w:rFonts w:ascii="Arial" w:hAnsi="Arial" w:cs="Arial"/>
          <w:i/>
          <w:iCs/>
          <w:color w:val="000000"/>
        </w:rPr>
        <w:t>Social Class and Educational Inequality</w:t>
      </w:r>
      <w:r w:rsidRPr="0048113D">
        <w:rPr>
          <w:rFonts w:ascii="Arial" w:hAnsi="Arial" w:cs="Arial"/>
          <w:color w:val="000000"/>
        </w:rPr>
        <w:t>. Cambridge: Cambridge University Press.</w:t>
      </w:r>
    </w:p>
    <w:p w14:paraId="124E3E04"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 xml:space="preserve">Sylva, K., </w:t>
      </w:r>
      <w:proofErr w:type="spellStart"/>
      <w:r w:rsidRPr="0048113D">
        <w:rPr>
          <w:rFonts w:ascii="Arial" w:hAnsi="Arial" w:cs="Arial"/>
          <w:color w:val="000000"/>
        </w:rPr>
        <w:t>Melhuish</w:t>
      </w:r>
      <w:proofErr w:type="spellEnd"/>
      <w:r w:rsidRPr="0048113D">
        <w:rPr>
          <w:rFonts w:ascii="Arial" w:hAnsi="Arial" w:cs="Arial"/>
          <w:color w:val="000000"/>
        </w:rPr>
        <w:t>, E., Sammons, P., Siraj, I. and Taggart, B. (2017) </w:t>
      </w:r>
      <w:r w:rsidRPr="0048113D">
        <w:rPr>
          <w:rFonts w:ascii="Arial" w:hAnsi="Arial" w:cs="Arial"/>
          <w:i/>
          <w:iCs/>
          <w:color w:val="000000"/>
        </w:rPr>
        <w:t>Effective Pre-School, Primary and Secondary Education Project</w:t>
      </w:r>
      <w:r w:rsidRPr="0048113D">
        <w:rPr>
          <w:rFonts w:ascii="Arial" w:hAnsi="Arial" w:cs="Arial"/>
          <w:color w:val="000000"/>
        </w:rPr>
        <w:t>. London: Institute of Education.</w:t>
      </w:r>
    </w:p>
    <w:p w14:paraId="5EADCDE8"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UNESCO (2020) </w:t>
      </w:r>
      <w:r w:rsidRPr="0048113D">
        <w:rPr>
          <w:rFonts w:ascii="Arial" w:hAnsi="Arial" w:cs="Arial"/>
          <w:i/>
          <w:iCs/>
          <w:color w:val="000000"/>
        </w:rPr>
        <w:t>Global Education Monitoring Report</w:t>
      </w:r>
      <w:r w:rsidRPr="0048113D">
        <w:rPr>
          <w:rFonts w:ascii="Arial" w:hAnsi="Arial" w:cs="Arial"/>
          <w:color w:val="000000"/>
        </w:rPr>
        <w:t>. Paris: UNESCO.</w:t>
      </w:r>
    </w:p>
    <w:p w14:paraId="4CC12ECC"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Welsh Government (2021) </w:t>
      </w:r>
      <w:r w:rsidRPr="0048113D">
        <w:rPr>
          <w:rFonts w:ascii="Arial" w:hAnsi="Arial" w:cs="Arial"/>
          <w:i/>
          <w:iCs/>
          <w:color w:val="000000"/>
        </w:rPr>
        <w:t>National Minimum Standards for Regulated Childcare</w:t>
      </w:r>
      <w:r w:rsidRPr="0048113D">
        <w:rPr>
          <w:rFonts w:ascii="Arial" w:hAnsi="Arial" w:cs="Arial"/>
          <w:color w:val="000000"/>
        </w:rPr>
        <w:t>. Available at: </w:t>
      </w:r>
      <w:hyperlink r:id="rId9" w:tgtFrame="_new" w:history="1">
        <w:r w:rsidRPr="0048113D">
          <w:rPr>
            <w:rStyle w:val="Hyperlink"/>
            <w:rFonts w:ascii="Arial" w:hAnsi="Arial" w:cs="Arial"/>
            <w:u w:val="none"/>
          </w:rPr>
          <w:t>https://www.gov.wales</w:t>
        </w:r>
      </w:hyperlink>
      <w:r w:rsidRPr="0048113D">
        <w:rPr>
          <w:rFonts w:ascii="Arial" w:hAnsi="Arial" w:cs="Arial"/>
          <w:color w:val="000000"/>
        </w:rPr>
        <w:t> (Accessed: 20 February 2026).</w:t>
      </w:r>
    </w:p>
    <w:p w14:paraId="2A2D2911"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lastRenderedPageBreak/>
        <w:t>Welsh Government (2022) </w:t>
      </w:r>
      <w:r w:rsidRPr="0048113D">
        <w:rPr>
          <w:rFonts w:ascii="Arial" w:hAnsi="Arial" w:cs="Arial"/>
          <w:i/>
          <w:iCs/>
          <w:color w:val="000000"/>
        </w:rPr>
        <w:t>Curriculum for Wales Framework</w:t>
      </w:r>
      <w:r w:rsidRPr="0048113D">
        <w:rPr>
          <w:rFonts w:ascii="Arial" w:hAnsi="Arial" w:cs="Arial"/>
          <w:color w:val="000000"/>
        </w:rPr>
        <w:t>. Available at: </w:t>
      </w:r>
      <w:hyperlink r:id="rId10" w:tgtFrame="_new" w:history="1">
        <w:r w:rsidRPr="0048113D">
          <w:rPr>
            <w:rStyle w:val="Hyperlink"/>
            <w:rFonts w:ascii="Arial" w:hAnsi="Arial" w:cs="Arial"/>
            <w:u w:val="none"/>
          </w:rPr>
          <w:t>https://www.gov.wales</w:t>
        </w:r>
      </w:hyperlink>
      <w:r w:rsidRPr="0048113D">
        <w:rPr>
          <w:rFonts w:ascii="Arial" w:hAnsi="Arial" w:cs="Arial"/>
          <w:color w:val="000000"/>
        </w:rPr>
        <w:t> (Accessed: 20 February 2026).</w:t>
      </w:r>
    </w:p>
    <w:p w14:paraId="218D4CAA" w14:textId="77777777" w:rsidR="0048113D" w:rsidRPr="0048113D" w:rsidRDefault="0048113D" w:rsidP="0048113D">
      <w:pPr>
        <w:pStyle w:val="NormalWeb"/>
        <w:spacing w:line="360" w:lineRule="auto"/>
        <w:rPr>
          <w:rFonts w:ascii="Arial" w:hAnsi="Arial" w:cs="Arial"/>
          <w:color w:val="000000"/>
        </w:rPr>
      </w:pPr>
      <w:proofErr w:type="spellStart"/>
      <w:r w:rsidRPr="0048113D">
        <w:rPr>
          <w:rFonts w:ascii="Arial" w:hAnsi="Arial" w:cs="Arial"/>
          <w:color w:val="000000"/>
        </w:rPr>
        <w:t>Whitebread</w:t>
      </w:r>
      <w:proofErr w:type="spellEnd"/>
      <w:r w:rsidRPr="0048113D">
        <w:rPr>
          <w:rFonts w:ascii="Arial" w:hAnsi="Arial" w:cs="Arial"/>
          <w:color w:val="000000"/>
        </w:rPr>
        <w:t>, D. (2017) </w:t>
      </w:r>
      <w:r w:rsidRPr="0048113D">
        <w:rPr>
          <w:rFonts w:ascii="Arial" w:hAnsi="Arial" w:cs="Arial"/>
          <w:i/>
          <w:iCs/>
          <w:color w:val="000000"/>
        </w:rPr>
        <w:t>The Importance of Play</w:t>
      </w:r>
      <w:r w:rsidRPr="0048113D">
        <w:rPr>
          <w:rFonts w:ascii="Arial" w:hAnsi="Arial" w:cs="Arial"/>
          <w:color w:val="000000"/>
        </w:rPr>
        <w:t>. Cambridge: University of Cambridge.</w:t>
      </w:r>
    </w:p>
    <w:p w14:paraId="44C2E748"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Wood, E. (2018) </w:t>
      </w:r>
      <w:r w:rsidRPr="0048113D">
        <w:rPr>
          <w:rFonts w:ascii="Arial" w:hAnsi="Arial" w:cs="Arial"/>
          <w:i/>
          <w:iCs/>
          <w:color w:val="000000"/>
        </w:rPr>
        <w:t>Play, Learning and the Early Childhood Curriculum</w:t>
      </w:r>
      <w:r w:rsidRPr="0048113D">
        <w:rPr>
          <w:rFonts w:ascii="Arial" w:hAnsi="Arial" w:cs="Arial"/>
          <w:color w:val="000000"/>
        </w:rPr>
        <w:t>. London: Sage.</w:t>
      </w:r>
    </w:p>
    <w:p w14:paraId="042F809D" w14:textId="77777777" w:rsidR="0048113D" w:rsidRPr="0048113D" w:rsidRDefault="0048113D" w:rsidP="0048113D">
      <w:pPr>
        <w:pStyle w:val="NormalWeb"/>
        <w:spacing w:line="360" w:lineRule="auto"/>
        <w:rPr>
          <w:rFonts w:ascii="Arial" w:hAnsi="Arial" w:cs="Arial"/>
          <w:color w:val="000000"/>
        </w:rPr>
      </w:pPr>
      <w:proofErr w:type="spellStart"/>
      <w:r w:rsidRPr="0048113D">
        <w:rPr>
          <w:rFonts w:ascii="Arial" w:hAnsi="Arial" w:cs="Arial"/>
          <w:color w:val="000000"/>
        </w:rPr>
        <w:t>Zosh</w:t>
      </w:r>
      <w:proofErr w:type="spellEnd"/>
      <w:r w:rsidRPr="0048113D">
        <w:rPr>
          <w:rFonts w:ascii="Arial" w:hAnsi="Arial" w:cs="Arial"/>
          <w:color w:val="000000"/>
        </w:rPr>
        <w:t>, J., Hopkins, E., Jensen, H., Liu, C., Neale, D. and Hirsh-</w:t>
      </w:r>
      <w:proofErr w:type="spellStart"/>
      <w:r w:rsidRPr="0048113D">
        <w:rPr>
          <w:rFonts w:ascii="Arial" w:hAnsi="Arial" w:cs="Arial"/>
          <w:color w:val="000000"/>
        </w:rPr>
        <w:t>Pasek</w:t>
      </w:r>
      <w:proofErr w:type="spellEnd"/>
      <w:r w:rsidRPr="0048113D">
        <w:rPr>
          <w:rFonts w:ascii="Arial" w:hAnsi="Arial" w:cs="Arial"/>
          <w:color w:val="000000"/>
        </w:rPr>
        <w:t>, K. (2018) </w:t>
      </w:r>
      <w:r w:rsidRPr="0048113D">
        <w:rPr>
          <w:rFonts w:ascii="Arial" w:hAnsi="Arial" w:cs="Arial"/>
          <w:i/>
          <w:iCs/>
          <w:color w:val="000000"/>
        </w:rPr>
        <w:t>Learning Through Play: A Review of the Evidence</w:t>
      </w:r>
      <w:r w:rsidRPr="0048113D">
        <w:rPr>
          <w:rFonts w:ascii="Arial" w:hAnsi="Arial" w:cs="Arial"/>
          <w:color w:val="000000"/>
        </w:rPr>
        <w:t>. LEGO Foundation.</w:t>
      </w:r>
    </w:p>
    <w:p w14:paraId="44A9702F" w14:textId="77777777" w:rsidR="0048113D" w:rsidRPr="0048113D" w:rsidRDefault="0048113D" w:rsidP="0045443E">
      <w:pPr>
        <w:pStyle w:val="NormalWeb"/>
        <w:spacing w:line="360" w:lineRule="auto"/>
        <w:rPr>
          <w:rFonts w:ascii="Arial" w:hAnsi="Arial" w:cs="Arial"/>
          <w:color w:val="000000"/>
          <w:sz w:val="28"/>
          <w:szCs w:val="28"/>
          <w:u w:val="single"/>
        </w:rPr>
      </w:pPr>
    </w:p>
    <w:p w14:paraId="692D42D1" w14:textId="77777777" w:rsidR="0045443E" w:rsidRDefault="0045443E" w:rsidP="0045443E">
      <w:pPr>
        <w:pStyle w:val="NormalWeb"/>
        <w:spacing w:line="360" w:lineRule="auto"/>
        <w:rPr>
          <w:rFonts w:ascii="Arial" w:hAnsi="Arial" w:cs="Arial"/>
          <w:color w:val="000000"/>
          <w:sz w:val="28"/>
          <w:szCs w:val="28"/>
        </w:rPr>
      </w:pPr>
    </w:p>
    <w:p w14:paraId="3D07B6CD" w14:textId="77777777" w:rsidR="0045443E" w:rsidRDefault="0045443E" w:rsidP="0045443E">
      <w:pPr>
        <w:pStyle w:val="NormalWeb"/>
        <w:spacing w:line="360" w:lineRule="auto"/>
        <w:rPr>
          <w:rFonts w:ascii="Arial" w:hAnsi="Arial" w:cs="Arial"/>
          <w:color w:val="000000"/>
          <w:sz w:val="28"/>
          <w:szCs w:val="28"/>
        </w:rPr>
      </w:pPr>
    </w:p>
    <w:p w14:paraId="554FFDE7" w14:textId="77777777" w:rsidR="0045443E" w:rsidRDefault="0045443E" w:rsidP="0045443E">
      <w:pPr>
        <w:pStyle w:val="NormalWeb"/>
        <w:spacing w:line="360" w:lineRule="auto"/>
        <w:rPr>
          <w:rFonts w:ascii="Arial" w:hAnsi="Arial" w:cs="Arial"/>
          <w:color w:val="000000"/>
          <w:sz w:val="28"/>
          <w:szCs w:val="28"/>
        </w:rPr>
      </w:pPr>
    </w:p>
    <w:p w14:paraId="53C7417D" w14:textId="77777777" w:rsidR="001662F7" w:rsidRPr="001662F7" w:rsidRDefault="001662F7" w:rsidP="001662F7">
      <w:pPr>
        <w:pStyle w:val="NormalWeb"/>
        <w:spacing w:line="360" w:lineRule="auto"/>
        <w:ind w:left="720"/>
        <w:rPr>
          <w:rFonts w:ascii="Arial" w:hAnsi="Arial" w:cs="Arial"/>
          <w:color w:val="000000"/>
          <w:sz w:val="28"/>
          <w:szCs w:val="28"/>
        </w:rPr>
      </w:pPr>
    </w:p>
    <w:p w14:paraId="38E05D30" w14:textId="77777777" w:rsidR="001662F7" w:rsidRPr="001662F7" w:rsidRDefault="001662F7" w:rsidP="001662F7">
      <w:pPr>
        <w:pStyle w:val="NormalWeb"/>
        <w:spacing w:line="360" w:lineRule="auto"/>
        <w:rPr>
          <w:rFonts w:ascii="Arial" w:hAnsi="Arial" w:cs="Arial"/>
          <w:color w:val="000000"/>
          <w:sz w:val="28"/>
          <w:szCs w:val="28"/>
        </w:rPr>
      </w:pPr>
    </w:p>
    <w:p w14:paraId="7C15E3DD" w14:textId="77777777" w:rsidR="001662F7" w:rsidRPr="001662F7" w:rsidRDefault="001662F7" w:rsidP="001662F7">
      <w:pPr>
        <w:pStyle w:val="NormalWeb"/>
        <w:spacing w:line="360" w:lineRule="auto"/>
        <w:rPr>
          <w:rFonts w:ascii="Arial" w:hAnsi="Arial" w:cs="Arial"/>
          <w:color w:val="000000"/>
          <w:sz w:val="28"/>
          <w:szCs w:val="28"/>
        </w:rPr>
      </w:pPr>
    </w:p>
    <w:p w14:paraId="48EAD345" w14:textId="77777777" w:rsidR="000C49A5" w:rsidRDefault="000C49A5" w:rsidP="000C49A5">
      <w:pPr>
        <w:pStyle w:val="NormalWeb"/>
        <w:spacing w:line="360" w:lineRule="auto"/>
        <w:rPr>
          <w:rFonts w:ascii="Arial" w:hAnsi="Arial" w:cs="Arial"/>
          <w:color w:val="000000"/>
          <w:sz w:val="28"/>
          <w:szCs w:val="28"/>
        </w:rPr>
      </w:pPr>
    </w:p>
    <w:p w14:paraId="742E84C6" w14:textId="77777777" w:rsidR="000C49A5" w:rsidRPr="000C49A5" w:rsidRDefault="000C49A5" w:rsidP="000C49A5">
      <w:pPr>
        <w:pStyle w:val="NormalWeb"/>
        <w:spacing w:line="360" w:lineRule="auto"/>
        <w:rPr>
          <w:rFonts w:ascii="Arial" w:hAnsi="Arial" w:cs="Arial"/>
          <w:b/>
          <w:bCs/>
          <w:color w:val="000000"/>
          <w:sz w:val="28"/>
          <w:szCs w:val="28"/>
        </w:rPr>
      </w:pPr>
    </w:p>
    <w:p w14:paraId="47B14BBD" w14:textId="77777777" w:rsidR="000C49A5" w:rsidRPr="000C49A5" w:rsidRDefault="000C49A5" w:rsidP="000C49A5">
      <w:pPr>
        <w:pStyle w:val="NormalWeb"/>
        <w:spacing w:line="360" w:lineRule="auto"/>
        <w:rPr>
          <w:rFonts w:ascii="Arial" w:hAnsi="Arial" w:cs="Arial"/>
          <w:color w:val="000000"/>
          <w:sz w:val="28"/>
          <w:szCs w:val="28"/>
        </w:rPr>
      </w:pPr>
    </w:p>
    <w:p w14:paraId="5C5450E5" w14:textId="77777777" w:rsidR="000C0152" w:rsidRPr="000C0152" w:rsidRDefault="000C0152" w:rsidP="000C0152">
      <w:pPr>
        <w:pStyle w:val="NormalWeb"/>
        <w:spacing w:line="360" w:lineRule="auto"/>
        <w:rPr>
          <w:rFonts w:ascii="Arial" w:hAnsi="Arial" w:cs="Arial"/>
          <w:color w:val="000000"/>
          <w:sz w:val="28"/>
          <w:szCs w:val="28"/>
        </w:rPr>
      </w:pPr>
    </w:p>
    <w:p w14:paraId="10279BE3" w14:textId="77777777" w:rsidR="000C0152" w:rsidRDefault="000C0152" w:rsidP="00EE4273">
      <w:pPr>
        <w:pStyle w:val="NormalWeb"/>
        <w:spacing w:line="360" w:lineRule="auto"/>
        <w:rPr>
          <w:rFonts w:ascii="Arial" w:hAnsi="Arial" w:cs="Arial"/>
          <w:color w:val="000000"/>
        </w:rPr>
      </w:pPr>
    </w:p>
    <w:p w14:paraId="2F1FAC31" w14:textId="77777777" w:rsidR="000C0152" w:rsidRDefault="000C0152" w:rsidP="00EE4273">
      <w:pPr>
        <w:pStyle w:val="NormalWeb"/>
        <w:spacing w:line="360" w:lineRule="auto"/>
        <w:rPr>
          <w:rFonts w:ascii="Arial" w:hAnsi="Arial" w:cs="Arial"/>
          <w:color w:val="000000"/>
        </w:rPr>
      </w:pPr>
    </w:p>
    <w:p w14:paraId="24B5741C" w14:textId="77777777" w:rsidR="000C0152" w:rsidRPr="00EE4273" w:rsidRDefault="000C0152" w:rsidP="00EE4273">
      <w:pPr>
        <w:pStyle w:val="NormalWeb"/>
        <w:spacing w:line="360" w:lineRule="auto"/>
        <w:rPr>
          <w:rFonts w:ascii="Arial" w:hAnsi="Arial" w:cs="Arial"/>
          <w:color w:val="000000"/>
        </w:rPr>
      </w:pPr>
    </w:p>
    <w:p w14:paraId="5793A694" w14:textId="77777777" w:rsidR="00EE4273" w:rsidRPr="00EE4273" w:rsidRDefault="00EE4273" w:rsidP="00EE4273">
      <w:pPr>
        <w:spacing w:line="360" w:lineRule="auto"/>
        <w:rPr>
          <w:rFonts w:ascii="Arial" w:hAnsi="Arial" w:cs="Arial"/>
          <w:b/>
          <w:bCs/>
          <w:sz w:val="28"/>
          <w:szCs w:val="28"/>
        </w:rPr>
      </w:pPr>
    </w:p>
    <w:p w14:paraId="47D286FA" w14:textId="77777777" w:rsidR="00EE4273" w:rsidRPr="00EE4273" w:rsidRDefault="00EE4273" w:rsidP="00EE4273">
      <w:pPr>
        <w:spacing w:line="360" w:lineRule="auto"/>
        <w:rPr>
          <w:rFonts w:ascii="Arial" w:hAnsi="Arial" w:cs="Arial"/>
          <w:sz w:val="28"/>
          <w:szCs w:val="28"/>
        </w:rPr>
      </w:pPr>
    </w:p>
    <w:p w14:paraId="5202AF0E" w14:textId="77777777" w:rsidR="00C40DBC" w:rsidRDefault="00C40DBC" w:rsidP="00C40DBC">
      <w:pPr>
        <w:spacing w:line="360" w:lineRule="auto"/>
        <w:rPr>
          <w:rFonts w:ascii="Arial" w:hAnsi="Arial" w:cs="Arial"/>
        </w:rPr>
      </w:pPr>
    </w:p>
    <w:p w14:paraId="1B4B1F12" w14:textId="77777777" w:rsidR="00C40DBC" w:rsidRDefault="00C40DBC" w:rsidP="00C40DBC">
      <w:pPr>
        <w:spacing w:line="360" w:lineRule="auto"/>
        <w:rPr>
          <w:rFonts w:ascii="Arial" w:hAnsi="Arial" w:cs="Arial"/>
        </w:rPr>
      </w:pPr>
    </w:p>
    <w:p w14:paraId="3DB62F7B" w14:textId="77777777" w:rsidR="00C40DBC" w:rsidRDefault="00C40DBC" w:rsidP="00C40DBC">
      <w:pPr>
        <w:spacing w:line="360" w:lineRule="auto"/>
        <w:rPr>
          <w:rFonts w:ascii="Arial" w:hAnsi="Arial" w:cs="Arial"/>
        </w:rPr>
      </w:pPr>
    </w:p>
    <w:p w14:paraId="1CC439B2" w14:textId="77777777" w:rsidR="00C40DBC" w:rsidRPr="00C40DBC" w:rsidRDefault="00C40DBC" w:rsidP="00C40DBC">
      <w:pPr>
        <w:spacing w:line="360" w:lineRule="auto"/>
        <w:rPr>
          <w:rFonts w:ascii="Arial" w:hAnsi="Arial" w:cs="Arial"/>
        </w:rPr>
      </w:pPr>
    </w:p>
    <w:p w14:paraId="672F93E9" w14:textId="77777777" w:rsidR="00C40DBC" w:rsidRPr="00C40DBC" w:rsidRDefault="00C40DBC" w:rsidP="00C40DBC">
      <w:pPr>
        <w:spacing w:line="360" w:lineRule="auto"/>
        <w:rPr>
          <w:rFonts w:ascii="Arial" w:hAnsi="Arial" w:cs="Arial"/>
          <w:sz w:val="28"/>
          <w:szCs w:val="28"/>
        </w:rPr>
      </w:pPr>
    </w:p>
    <w:p w14:paraId="18C6212D" w14:textId="77777777" w:rsidR="00B256EE" w:rsidRDefault="00B256EE" w:rsidP="00B256EE">
      <w:pPr>
        <w:spacing w:line="360" w:lineRule="auto"/>
        <w:rPr>
          <w:rFonts w:ascii="Arial" w:hAnsi="Arial" w:cs="Arial"/>
        </w:rPr>
      </w:pPr>
    </w:p>
    <w:p w14:paraId="30DD7910" w14:textId="77777777" w:rsidR="00B256EE" w:rsidRPr="00B256EE" w:rsidRDefault="00B256EE" w:rsidP="00B256EE">
      <w:pPr>
        <w:spacing w:line="360" w:lineRule="auto"/>
        <w:rPr>
          <w:rFonts w:ascii="Arial" w:hAnsi="Arial" w:cs="Arial"/>
        </w:rPr>
      </w:pPr>
    </w:p>
    <w:p w14:paraId="52BBA452" w14:textId="77777777" w:rsidR="00B256EE" w:rsidRPr="00B256EE" w:rsidRDefault="00B256EE" w:rsidP="00B256EE">
      <w:pPr>
        <w:spacing w:line="360" w:lineRule="auto"/>
        <w:rPr>
          <w:rFonts w:ascii="Arial" w:hAnsi="Arial" w:cs="Arial"/>
          <w:sz w:val="28"/>
          <w:szCs w:val="28"/>
        </w:rPr>
      </w:pPr>
    </w:p>
    <w:p w14:paraId="484B4B1A" w14:textId="77777777" w:rsidR="005748EE" w:rsidRDefault="005748EE" w:rsidP="00112BB8">
      <w:pPr>
        <w:spacing w:line="360" w:lineRule="auto"/>
        <w:rPr>
          <w:rFonts w:ascii="Arial" w:hAnsi="Arial" w:cs="Arial"/>
        </w:rPr>
      </w:pPr>
    </w:p>
    <w:p w14:paraId="39B97711" w14:textId="77777777" w:rsidR="005748EE" w:rsidRDefault="005748EE" w:rsidP="00112BB8">
      <w:pPr>
        <w:spacing w:line="360" w:lineRule="auto"/>
        <w:rPr>
          <w:rFonts w:ascii="Arial" w:hAnsi="Arial" w:cs="Arial"/>
        </w:rPr>
      </w:pPr>
    </w:p>
    <w:p w14:paraId="3D7A33B5" w14:textId="77777777" w:rsidR="005748EE" w:rsidRPr="00112BB8" w:rsidRDefault="005748EE" w:rsidP="00112BB8">
      <w:pPr>
        <w:spacing w:line="360" w:lineRule="auto"/>
        <w:rPr>
          <w:rFonts w:ascii="Arial" w:hAnsi="Arial" w:cs="Arial"/>
        </w:rPr>
      </w:pPr>
    </w:p>
    <w:p w14:paraId="5EFF661A" w14:textId="77777777" w:rsidR="00796B41" w:rsidRDefault="00796B41" w:rsidP="002C0F27">
      <w:pPr>
        <w:spacing w:line="360" w:lineRule="auto"/>
        <w:rPr>
          <w:rFonts w:ascii="Arial" w:hAnsi="Arial" w:cs="Arial"/>
        </w:rPr>
      </w:pPr>
    </w:p>
    <w:p w14:paraId="2F642CC4" w14:textId="77777777" w:rsidR="00796B41" w:rsidRPr="0005482A" w:rsidRDefault="00796B41" w:rsidP="002C0F27">
      <w:pPr>
        <w:spacing w:line="360" w:lineRule="auto"/>
        <w:rPr>
          <w:rFonts w:ascii="Arial" w:hAnsi="Arial" w:cs="Arial"/>
        </w:rPr>
      </w:pPr>
    </w:p>
    <w:p w14:paraId="2AFB2C2A" w14:textId="77777777" w:rsidR="002C0F27" w:rsidRPr="00777047" w:rsidRDefault="002C0F27" w:rsidP="002C0F27">
      <w:pPr>
        <w:spacing w:line="360" w:lineRule="auto"/>
        <w:rPr>
          <w:rFonts w:ascii="Arial" w:hAnsi="Arial" w:cs="Arial"/>
          <w:b/>
          <w:bCs/>
          <w:sz w:val="28"/>
          <w:szCs w:val="28"/>
        </w:rPr>
      </w:pPr>
    </w:p>
    <w:p w14:paraId="3F4CF3E1" w14:textId="77777777" w:rsidR="00777047" w:rsidRDefault="00777047" w:rsidP="00777047">
      <w:pPr>
        <w:jc w:val="center"/>
        <w:rPr>
          <w:rFonts w:ascii="Arial" w:hAnsi="Arial" w:cs="Arial"/>
          <w:sz w:val="72"/>
          <w:szCs w:val="72"/>
        </w:rPr>
      </w:pPr>
    </w:p>
    <w:p w14:paraId="1489535F" w14:textId="77777777" w:rsidR="00777047" w:rsidRDefault="00777047" w:rsidP="00777047">
      <w:pPr>
        <w:jc w:val="center"/>
        <w:rPr>
          <w:rFonts w:ascii="Arial" w:hAnsi="Arial" w:cs="Arial"/>
          <w:sz w:val="72"/>
          <w:szCs w:val="72"/>
        </w:rPr>
      </w:pPr>
    </w:p>
    <w:p w14:paraId="74DB8D90" w14:textId="77777777" w:rsidR="001348BE" w:rsidRPr="00B666D9" w:rsidRDefault="001348BE" w:rsidP="00B666D9">
      <w:pPr>
        <w:rPr>
          <w:rFonts w:ascii="Arial" w:hAnsi="Arial" w:cs="Arial"/>
          <w:b/>
          <w:bCs/>
          <w:sz w:val="28"/>
          <w:szCs w:val="28"/>
        </w:rPr>
      </w:pPr>
    </w:p>
    <w:p w14:paraId="24764371" w14:textId="77777777" w:rsidR="001348BE" w:rsidRDefault="001348BE" w:rsidP="001348BE">
      <w:pPr>
        <w:jc w:val="center"/>
        <w:rPr>
          <w:rFonts w:ascii="Arial" w:hAnsi="Arial" w:cs="Arial"/>
          <w:sz w:val="72"/>
          <w:szCs w:val="72"/>
        </w:rPr>
      </w:pPr>
    </w:p>
    <w:p w14:paraId="5593DDDE" w14:textId="77777777" w:rsidR="001348BE" w:rsidRDefault="001348BE" w:rsidP="001348BE">
      <w:pPr>
        <w:jc w:val="center"/>
        <w:rPr>
          <w:rFonts w:ascii="Arial" w:hAnsi="Arial" w:cs="Arial"/>
          <w:sz w:val="72"/>
          <w:szCs w:val="72"/>
        </w:rPr>
      </w:pPr>
    </w:p>
    <w:p w14:paraId="147B96B8" w14:textId="77777777" w:rsidR="001348BE" w:rsidRPr="00BF1F63" w:rsidRDefault="001348BE" w:rsidP="001348BE">
      <w:pPr>
        <w:jc w:val="center"/>
        <w:rPr>
          <w:rFonts w:ascii="Arial" w:hAnsi="Arial" w:cs="Arial"/>
        </w:rPr>
      </w:pPr>
    </w:p>
    <w:sectPr w:rsidR="001348BE" w:rsidRPr="00BF1F63" w:rsidSect="007D7461">
      <w:footerReference w:type="even" r:id="rId11"/>
      <w:footerReference w:type="default" r:id="rId12"/>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655300" w14:textId="77777777" w:rsidR="00174453" w:rsidRDefault="00174453" w:rsidP="00B666D9">
      <w:r>
        <w:separator/>
      </w:r>
    </w:p>
  </w:endnote>
  <w:endnote w:type="continuationSeparator" w:id="0">
    <w:p w14:paraId="0ED6B0BF" w14:textId="77777777" w:rsidR="00174453" w:rsidRDefault="00174453" w:rsidP="00B66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87218571"/>
      <w:docPartObj>
        <w:docPartGallery w:val="Page Numbers (Bottom of Page)"/>
        <w:docPartUnique/>
      </w:docPartObj>
    </w:sdtPr>
    <w:sdtContent>
      <w:p w14:paraId="2A32285A" w14:textId="5B941422" w:rsidR="00B666D9" w:rsidRDefault="00B666D9" w:rsidP="007D746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433AC3" w14:textId="77777777" w:rsidR="00B666D9" w:rsidRDefault="00B666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69241854"/>
      <w:docPartObj>
        <w:docPartGallery w:val="Page Numbers (Bottom of Page)"/>
        <w:docPartUnique/>
      </w:docPartObj>
    </w:sdtPr>
    <w:sdtContent>
      <w:p w14:paraId="1DB1B8ED" w14:textId="21F3EB0D" w:rsidR="007D7461" w:rsidRDefault="007D7461" w:rsidP="007D746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73F52F69" w14:textId="77777777" w:rsidR="00B666D9" w:rsidRDefault="00B666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C23E01" w14:textId="77777777" w:rsidR="00174453" w:rsidRDefault="00174453" w:rsidP="00B666D9">
      <w:r>
        <w:separator/>
      </w:r>
    </w:p>
  </w:footnote>
  <w:footnote w:type="continuationSeparator" w:id="0">
    <w:p w14:paraId="04187C66" w14:textId="77777777" w:rsidR="00174453" w:rsidRDefault="00174453" w:rsidP="00B666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A5A91"/>
    <w:multiLevelType w:val="hybridMultilevel"/>
    <w:tmpl w:val="26FAACBE"/>
    <w:lvl w:ilvl="0" w:tplc="8ACAED28">
      <w:start w:val="1"/>
      <w:numFmt w:val="decimal"/>
      <w:lvlText w:val="%1."/>
      <w:lvlJc w:val="left"/>
      <w:pPr>
        <w:ind w:left="1494" w:hanging="360"/>
      </w:pPr>
      <w:rPr>
        <w:b/>
        <w:bC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15:restartNumberingAfterBreak="0">
    <w:nsid w:val="13431A0D"/>
    <w:multiLevelType w:val="multilevel"/>
    <w:tmpl w:val="1CE8443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F2672D"/>
    <w:multiLevelType w:val="multilevel"/>
    <w:tmpl w:val="00E25B24"/>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2160" w:hanging="144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520" w:hanging="180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abstractNum w:abstractNumId="3" w15:restartNumberingAfterBreak="0">
    <w:nsid w:val="2B372391"/>
    <w:multiLevelType w:val="hybridMultilevel"/>
    <w:tmpl w:val="49A82F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B409CF"/>
    <w:multiLevelType w:val="hybridMultilevel"/>
    <w:tmpl w:val="B44661E0"/>
    <w:lvl w:ilvl="0" w:tplc="ACD4DC9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BA053B"/>
    <w:multiLevelType w:val="hybridMultilevel"/>
    <w:tmpl w:val="A6C207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651645"/>
    <w:multiLevelType w:val="multilevel"/>
    <w:tmpl w:val="1CE8443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0013455">
    <w:abstractNumId w:val="6"/>
  </w:num>
  <w:num w:numId="2" w16cid:durableId="2107924734">
    <w:abstractNumId w:val="3"/>
  </w:num>
  <w:num w:numId="3" w16cid:durableId="1007556944">
    <w:abstractNumId w:val="5"/>
  </w:num>
  <w:num w:numId="4" w16cid:durableId="909074117">
    <w:abstractNumId w:val="0"/>
  </w:num>
  <w:num w:numId="5" w16cid:durableId="225916606">
    <w:abstractNumId w:val="4"/>
  </w:num>
  <w:num w:numId="6" w16cid:durableId="1556744042">
    <w:abstractNumId w:val="2"/>
  </w:num>
  <w:num w:numId="7" w16cid:durableId="8351463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B5B"/>
    <w:rsid w:val="0005482A"/>
    <w:rsid w:val="00072CB4"/>
    <w:rsid w:val="000A31B5"/>
    <w:rsid w:val="000C0152"/>
    <w:rsid w:val="000C49A5"/>
    <w:rsid w:val="000E3AB7"/>
    <w:rsid w:val="00112BB8"/>
    <w:rsid w:val="00124B68"/>
    <w:rsid w:val="001348BE"/>
    <w:rsid w:val="001662F7"/>
    <w:rsid w:val="00174453"/>
    <w:rsid w:val="002071CC"/>
    <w:rsid w:val="002C0F27"/>
    <w:rsid w:val="00356C57"/>
    <w:rsid w:val="00362282"/>
    <w:rsid w:val="003716E5"/>
    <w:rsid w:val="004522C6"/>
    <w:rsid w:val="0045443E"/>
    <w:rsid w:val="0048113D"/>
    <w:rsid w:val="00536AD8"/>
    <w:rsid w:val="005748EE"/>
    <w:rsid w:val="0058406F"/>
    <w:rsid w:val="00603606"/>
    <w:rsid w:val="00642122"/>
    <w:rsid w:val="00704E99"/>
    <w:rsid w:val="007126AE"/>
    <w:rsid w:val="00777047"/>
    <w:rsid w:val="00796595"/>
    <w:rsid w:val="00796B41"/>
    <w:rsid w:val="007B02ED"/>
    <w:rsid w:val="007D7461"/>
    <w:rsid w:val="008078E3"/>
    <w:rsid w:val="008D4BF9"/>
    <w:rsid w:val="00902B21"/>
    <w:rsid w:val="00943712"/>
    <w:rsid w:val="00A55224"/>
    <w:rsid w:val="00AD13BC"/>
    <w:rsid w:val="00B256EE"/>
    <w:rsid w:val="00B666D9"/>
    <w:rsid w:val="00B95620"/>
    <w:rsid w:val="00BA27AA"/>
    <w:rsid w:val="00BF1F63"/>
    <w:rsid w:val="00C02A8F"/>
    <w:rsid w:val="00C40DBC"/>
    <w:rsid w:val="00C913BD"/>
    <w:rsid w:val="00DB22C8"/>
    <w:rsid w:val="00DE0F2F"/>
    <w:rsid w:val="00E15E99"/>
    <w:rsid w:val="00EB5B7B"/>
    <w:rsid w:val="00EE4273"/>
    <w:rsid w:val="00EF6212"/>
    <w:rsid w:val="00F03B88"/>
    <w:rsid w:val="00F93630"/>
    <w:rsid w:val="00FE7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1C912A"/>
  <w15:chartTrackingRefBased/>
  <w15:docId w15:val="{6AA69974-B851-AA4C-8B9B-4F77D8F93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7B5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E7B5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E7B5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E7B5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E7B5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E7B5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7B5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7B5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7B5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B5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E7B5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E7B5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E7B5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E7B5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E7B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7B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7B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7B5B"/>
    <w:rPr>
      <w:rFonts w:eastAsiaTheme="majorEastAsia" w:cstheme="majorBidi"/>
      <w:color w:val="272727" w:themeColor="text1" w:themeTint="D8"/>
    </w:rPr>
  </w:style>
  <w:style w:type="paragraph" w:styleId="Title">
    <w:name w:val="Title"/>
    <w:basedOn w:val="Normal"/>
    <w:next w:val="Normal"/>
    <w:link w:val="TitleChar"/>
    <w:uiPriority w:val="10"/>
    <w:qFormat/>
    <w:rsid w:val="00FE7B5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7B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7B5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7B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7B5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E7B5B"/>
    <w:rPr>
      <w:i/>
      <w:iCs/>
      <w:color w:val="404040" w:themeColor="text1" w:themeTint="BF"/>
    </w:rPr>
  </w:style>
  <w:style w:type="paragraph" w:styleId="ListParagraph">
    <w:name w:val="List Paragraph"/>
    <w:basedOn w:val="Normal"/>
    <w:uiPriority w:val="34"/>
    <w:qFormat/>
    <w:rsid w:val="00FE7B5B"/>
    <w:pPr>
      <w:ind w:left="720"/>
      <w:contextualSpacing/>
    </w:pPr>
  </w:style>
  <w:style w:type="character" w:styleId="IntenseEmphasis">
    <w:name w:val="Intense Emphasis"/>
    <w:basedOn w:val="DefaultParagraphFont"/>
    <w:uiPriority w:val="21"/>
    <w:qFormat/>
    <w:rsid w:val="00FE7B5B"/>
    <w:rPr>
      <w:i/>
      <w:iCs/>
      <w:color w:val="2F5496" w:themeColor="accent1" w:themeShade="BF"/>
    </w:rPr>
  </w:style>
  <w:style w:type="paragraph" w:styleId="IntenseQuote">
    <w:name w:val="Intense Quote"/>
    <w:basedOn w:val="Normal"/>
    <w:next w:val="Normal"/>
    <w:link w:val="IntenseQuoteChar"/>
    <w:uiPriority w:val="30"/>
    <w:qFormat/>
    <w:rsid w:val="00FE7B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E7B5B"/>
    <w:rPr>
      <w:i/>
      <w:iCs/>
      <w:color w:val="2F5496" w:themeColor="accent1" w:themeShade="BF"/>
    </w:rPr>
  </w:style>
  <w:style w:type="character" w:styleId="IntenseReference">
    <w:name w:val="Intense Reference"/>
    <w:basedOn w:val="DefaultParagraphFont"/>
    <w:uiPriority w:val="32"/>
    <w:qFormat/>
    <w:rsid w:val="00FE7B5B"/>
    <w:rPr>
      <w:b/>
      <w:bCs/>
      <w:smallCaps/>
      <w:color w:val="2F5496" w:themeColor="accent1" w:themeShade="BF"/>
      <w:spacing w:val="5"/>
    </w:rPr>
  </w:style>
  <w:style w:type="paragraph" w:styleId="Footer">
    <w:name w:val="footer"/>
    <w:basedOn w:val="Normal"/>
    <w:link w:val="FooterChar"/>
    <w:uiPriority w:val="99"/>
    <w:unhideWhenUsed/>
    <w:rsid w:val="00B666D9"/>
    <w:pPr>
      <w:tabs>
        <w:tab w:val="center" w:pos="4513"/>
        <w:tab w:val="right" w:pos="9026"/>
      </w:tabs>
    </w:pPr>
  </w:style>
  <w:style w:type="character" w:customStyle="1" w:styleId="FooterChar">
    <w:name w:val="Footer Char"/>
    <w:basedOn w:val="DefaultParagraphFont"/>
    <w:link w:val="Footer"/>
    <w:uiPriority w:val="99"/>
    <w:rsid w:val="00B666D9"/>
  </w:style>
  <w:style w:type="character" w:styleId="PageNumber">
    <w:name w:val="page number"/>
    <w:basedOn w:val="DefaultParagraphFont"/>
    <w:uiPriority w:val="99"/>
    <w:semiHidden/>
    <w:unhideWhenUsed/>
    <w:rsid w:val="00B666D9"/>
  </w:style>
  <w:style w:type="paragraph" w:styleId="NormalWeb">
    <w:name w:val="Normal (Web)"/>
    <w:basedOn w:val="Normal"/>
    <w:uiPriority w:val="99"/>
    <w:unhideWhenUsed/>
    <w:rsid w:val="00EE4273"/>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EE4273"/>
  </w:style>
  <w:style w:type="character" w:styleId="Strong">
    <w:name w:val="Strong"/>
    <w:basedOn w:val="DefaultParagraphFont"/>
    <w:uiPriority w:val="22"/>
    <w:qFormat/>
    <w:rsid w:val="00EE4273"/>
    <w:rPr>
      <w:b/>
      <w:bCs/>
    </w:rPr>
  </w:style>
  <w:style w:type="character" w:styleId="Hyperlink">
    <w:name w:val="Hyperlink"/>
    <w:basedOn w:val="DefaultParagraphFont"/>
    <w:uiPriority w:val="99"/>
    <w:unhideWhenUsed/>
    <w:rsid w:val="0048113D"/>
    <w:rPr>
      <w:color w:val="0563C1" w:themeColor="hyperlink"/>
      <w:u w:val="single"/>
    </w:rPr>
  </w:style>
  <w:style w:type="character" w:styleId="UnresolvedMention">
    <w:name w:val="Unresolved Mention"/>
    <w:basedOn w:val="DefaultParagraphFont"/>
    <w:uiPriority w:val="99"/>
    <w:semiHidden/>
    <w:unhideWhenUsed/>
    <w:rsid w:val="0048113D"/>
    <w:rPr>
      <w:color w:val="605E5C"/>
      <w:shd w:val="clear" w:color="auto" w:fill="E1DFDD"/>
    </w:rPr>
  </w:style>
  <w:style w:type="character" w:styleId="FollowedHyperlink">
    <w:name w:val="FollowedHyperlink"/>
    <w:basedOn w:val="DefaultParagraphFont"/>
    <w:uiPriority w:val="99"/>
    <w:semiHidden/>
    <w:unhideWhenUsed/>
    <w:rsid w:val="00E15E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734216">
      <w:bodyDiv w:val="1"/>
      <w:marLeft w:val="0"/>
      <w:marRight w:val="0"/>
      <w:marTop w:val="0"/>
      <w:marBottom w:val="0"/>
      <w:divBdr>
        <w:top w:val="none" w:sz="0" w:space="0" w:color="auto"/>
        <w:left w:val="none" w:sz="0" w:space="0" w:color="auto"/>
        <w:bottom w:val="none" w:sz="0" w:space="0" w:color="auto"/>
        <w:right w:val="none" w:sz="0" w:space="0" w:color="auto"/>
      </w:divBdr>
    </w:div>
    <w:div w:id="134177560">
      <w:bodyDiv w:val="1"/>
      <w:marLeft w:val="0"/>
      <w:marRight w:val="0"/>
      <w:marTop w:val="0"/>
      <w:marBottom w:val="0"/>
      <w:divBdr>
        <w:top w:val="none" w:sz="0" w:space="0" w:color="auto"/>
        <w:left w:val="none" w:sz="0" w:space="0" w:color="auto"/>
        <w:bottom w:val="none" w:sz="0" w:space="0" w:color="auto"/>
        <w:right w:val="none" w:sz="0" w:space="0" w:color="auto"/>
      </w:divBdr>
    </w:div>
    <w:div w:id="135492945">
      <w:bodyDiv w:val="1"/>
      <w:marLeft w:val="0"/>
      <w:marRight w:val="0"/>
      <w:marTop w:val="0"/>
      <w:marBottom w:val="0"/>
      <w:divBdr>
        <w:top w:val="none" w:sz="0" w:space="0" w:color="auto"/>
        <w:left w:val="none" w:sz="0" w:space="0" w:color="auto"/>
        <w:bottom w:val="none" w:sz="0" w:space="0" w:color="auto"/>
        <w:right w:val="none" w:sz="0" w:space="0" w:color="auto"/>
      </w:divBdr>
    </w:div>
    <w:div w:id="355812388">
      <w:bodyDiv w:val="1"/>
      <w:marLeft w:val="0"/>
      <w:marRight w:val="0"/>
      <w:marTop w:val="0"/>
      <w:marBottom w:val="0"/>
      <w:divBdr>
        <w:top w:val="none" w:sz="0" w:space="0" w:color="auto"/>
        <w:left w:val="none" w:sz="0" w:space="0" w:color="auto"/>
        <w:bottom w:val="none" w:sz="0" w:space="0" w:color="auto"/>
        <w:right w:val="none" w:sz="0" w:space="0" w:color="auto"/>
      </w:divBdr>
    </w:div>
    <w:div w:id="358555942">
      <w:bodyDiv w:val="1"/>
      <w:marLeft w:val="0"/>
      <w:marRight w:val="0"/>
      <w:marTop w:val="0"/>
      <w:marBottom w:val="0"/>
      <w:divBdr>
        <w:top w:val="none" w:sz="0" w:space="0" w:color="auto"/>
        <w:left w:val="none" w:sz="0" w:space="0" w:color="auto"/>
        <w:bottom w:val="none" w:sz="0" w:space="0" w:color="auto"/>
        <w:right w:val="none" w:sz="0" w:space="0" w:color="auto"/>
      </w:divBdr>
    </w:div>
    <w:div w:id="362175736">
      <w:bodyDiv w:val="1"/>
      <w:marLeft w:val="0"/>
      <w:marRight w:val="0"/>
      <w:marTop w:val="0"/>
      <w:marBottom w:val="0"/>
      <w:divBdr>
        <w:top w:val="none" w:sz="0" w:space="0" w:color="auto"/>
        <w:left w:val="none" w:sz="0" w:space="0" w:color="auto"/>
        <w:bottom w:val="none" w:sz="0" w:space="0" w:color="auto"/>
        <w:right w:val="none" w:sz="0" w:space="0" w:color="auto"/>
      </w:divBdr>
    </w:div>
    <w:div w:id="378865045">
      <w:bodyDiv w:val="1"/>
      <w:marLeft w:val="0"/>
      <w:marRight w:val="0"/>
      <w:marTop w:val="0"/>
      <w:marBottom w:val="0"/>
      <w:divBdr>
        <w:top w:val="none" w:sz="0" w:space="0" w:color="auto"/>
        <w:left w:val="none" w:sz="0" w:space="0" w:color="auto"/>
        <w:bottom w:val="none" w:sz="0" w:space="0" w:color="auto"/>
        <w:right w:val="none" w:sz="0" w:space="0" w:color="auto"/>
      </w:divBdr>
    </w:div>
    <w:div w:id="527989252">
      <w:bodyDiv w:val="1"/>
      <w:marLeft w:val="0"/>
      <w:marRight w:val="0"/>
      <w:marTop w:val="0"/>
      <w:marBottom w:val="0"/>
      <w:divBdr>
        <w:top w:val="none" w:sz="0" w:space="0" w:color="auto"/>
        <w:left w:val="none" w:sz="0" w:space="0" w:color="auto"/>
        <w:bottom w:val="none" w:sz="0" w:space="0" w:color="auto"/>
        <w:right w:val="none" w:sz="0" w:space="0" w:color="auto"/>
      </w:divBdr>
    </w:div>
    <w:div w:id="566452530">
      <w:bodyDiv w:val="1"/>
      <w:marLeft w:val="0"/>
      <w:marRight w:val="0"/>
      <w:marTop w:val="0"/>
      <w:marBottom w:val="0"/>
      <w:divBdr>
        <w:top w:val="none" w:sz="0" w:space="0" w:color="auto"/>
        <w:left w:val="none" w:sz="0" w:space="0" w:color="auto"/>
        <w:bottom w:val="none" w:sz="0" w:space="0" w:color="auto"/>
        <w:right w:val="none" w:sz="0" w:space="0" w:color="auto"/>
      </w:divBdr>
    </w:div>
    <w:div w:id="591931888">
      <w:bodyDiv w:val="1"/>
      <w:marLeft w:val="0"/>
      <w:marRight w:val="0"/>
      <w:marTop w:val="0"/>
      <w:marBottom w:val="0"/>
      <w:divBdr>
        <w:top w:val="none" w:sz="0" w:space="0" w:color="auto"/>
        <w:left w:val="none" w:sz="0" w:space="0" w:color="auto"/>
        <w:bottom w:val="none" w:sz="0" w:space="0" w:color="auto"/>
        <w:right w:val="none" w:sz="0" w:space="0" w:color="auto"/>
      </w:divBdr>
    </w:div>
    <w:div w:id="696393542">
      <w:bodyDiv w:val="1"/>
      <w:marLeft w:val="0"/>
      <w:marRight w:val="0"/>
      <w:marTop w:val="0"/>
      <w:marBottom w:val="0"/>
      <w:divBdr>
        <w:top w:val="none" w:sz="0" w:space="0" w:color="auto"/>
        <w:left w:val="none" w:sz="0" w:space="0" w:color="auto"/>
        <w:bottom w:val="none" w:sz="0" w:space="0" w:color="auto"/>
        <w:right w:val="none" w:sz="0" w:space="0" w:color="auto"/>
      </w:divBdr>
    </w:div>
    <w:div w:id="711075887">
      <w:bodyDiv w:val="1"/>
      <w:marLeft w:val="0"/>
      <w:marRight w:val="0"/>
      <w:marTop w:val="0"/>
      <w:marBottom w:val="0"/>
      <w:divBdr>
        <w:top w:val="none" w:sz="0" w:space="0" w:color="auto"/>
        <w:left w:val="none" w:sz="0" w:space="0" w:color="auto"/>
        <w:bottom w:val="none" w:sz="0" w:space="0" w:color="auto"/>
        <w:right w:val="none" w:sz="0" w:space="0" w:color="auto"/>
      </w:divBdr>
    </w:div>
    <w:div w:id="735589864">
      <w:bodyDiv w:val="1"/>
      <w:marLeft w:val="0"/>
      <w:marRight w:val="0"/>
      <w:marTop w:val="0"/>
      <w:marBottom w:val="0"/>
      <w:divBdr>
        <w:top w:val="none" w:sz="0" w:space="0" w:color="auto"/>
        <w:left w:val="none" w:sz="0" w:space="0" w:color="auto"/>
        <w:bottom w:val="none" w:sz="0" w:space="0" w:color="auto"/>
        <w:right w:val="none" w:sz="0" w:space="0" w:color="auto"/>
      </w:divBdr>
    </w:div>
    <w:div w:id="769742655">
      <w:bodyDiv w:val="1"/>
      <w:marLeft w:val="0"/>
      <w:marRight w:val="0"/>
      <w:marTop w:val="0"/>
      <w:marBottom w:val="0"/>
      <w:divBdr>
        <w:top w:val="none" w:sz="0" w:space="0" w:color="auto"/>
        <w:left w:val="none" w:sz="0" w:space="0" w:color="auto"/>
        <w:bottom w:val="none" w:sz="0" w:space="0" w:color="auto"/>
        <w:right w:val="none" w:sz="0" w:space="0" w:color="auto"/>
      </w:divBdr>
    </w:div>
    <w:div w:id="820972417">
      <w:bodyDiv w:val="1"/>
      <w:marLeft w:val="0"/>
      <w:marRight w:val="0"/>
      <w:marTop w:val="0"/>
      <w:marBottom w:val="0"/>
      <w:divBdr>
        <w:top w:val="none" w:sz="0" w:space="0" w:color="auto"/>
        <w:left w:val="none" w:sz="0" w:space="0" w:color="auto"/>
        <w:bottom w:val="none" w:sz="0" w:space="0" w:color="auto"/>
        <w:right w:val="none" w:sz="0" w:space="0" w:color="auto"/>
      </w:divBdr>
    </w:div>
    <w:div w:id="904875789">
      <w:bodyDiv w:val="1"/>
      <w:marLeft w:val="0"/>
      <w:marRight w:val="0"/>
      <w:marTop w:val="0"/>
      <w:marBottom w:val="0"/>
      <w:divBdr>
        <w:top w:val="none" w:sz="0" w:space="0" w:color="auto"/>
        <w:left w:val="none" w:sz="0" w:space="0" w:color="auto"/>
        <w:bottom w:val="none" w:sz="0" w:space="0" w:color="auto"/>
        <w:right w:val="none" w:sz="0" w:space="0" w:color="auto"/>
      </w:divBdr>
    </w:div>
    <w:div w:id="1000545143">
      <w:bodyDiv w:val="1"/>
      <w:marLeft w:val="0"/>
      <w:marRight w:val="0"/>
      <w:marTop w:val="0"/>
      <w:marBottom w:val="0"/>
      <w:divBdr>
        <w:top w:val="none" w:sz="0" w:space="0" w:color="auto"/>
        <w:left w:val="none" w:sz="0" w:space="0" w:color="auto"/>
        <w:bottom w:val="none" w:sz="0" w:space="0" w:color="auto"/>
        <w:right w:val="none" w:sz="0" w:space="0" w:color="auto"/>
      </w:divBdr>
    </w:div>
    <w:div w:id="1027214729">
      <w:bodyDiv w:val="1"/>
      <w:marLeft w:val="0"/>
      <w:marRight w:val="0"/>
      <w:marTop w:val="0"/>
      <w:marBottom w:val="0"/>
      <w:divBdr>
        <w:top w:val="none" w:sz="0" w:space="0" w:color="auto"/>
        <w:left w:val="none" w:sz="0" w:space="0" w:color="auto"/>
        <w:bottom w:val="none" w:sz="0" w:space="0" w:color="auto"/>
        <w:right w:val="none" w:sz="0" w:space="0" w:color="auto"/>
      </w:divBdr>
    </w:div>
    <w:div w:id="1119297029">
      <w:bodyDiv w:val="1"/>
      <w:marLeft w:val="0"/>
      <w:marRight w:val="0"/>
      <w:marTop w:val="0"/>
      <w:marBottom w:val="0"/>
      <w:divBdr>
        <w:top w:val="none" w:sz="0" w:space="0" w:color="auto"/>
        <w:left w:val="none" w:sz="0" w:space="0" w:color="auto"/>
        <w:bottom w:val="none" w:sz="0" w:space="0" w:color="auto"/>
        <w:right w:val="none" w:sz="0" w:space="0" w:color="auto"/>
      </w:divBdr>
    </w:div>
    <w:div w:id="1120757764">
      <w:bodyDiv w:val="1"/>
      <w:marLeft w:val="0"/>
      <w:marRight w:val="0"/>
      <w:marTop w:val="0"/>
      <w:marBottom w:val="0"/>
      <w:divBdr>
        <w:top w:val="none" w:sz="0" w:space="0" w:color="auto"/>
        <w:left w:val="none" w:sz="0" w:space="0" w:color="auto"/>
        <w:bottom w:val="none" w:sz="0" w:space="0" w:color="auto"/>
        <w:right w:val="none" w:sz="0" w:space="0" w:color="auto"/>
      </w:divBdr>
    </w:div>
    <w:div w:id="1131098153">
      <w:bodyDiv w:val="1"/>
      <w:marLeft w:val="0"/>
      <w:marRight w:val="0"/>
      <w:marTop w:val="0"/>
      <w:marBottom w:val="0"/>
      <w:divBdr>
        <w:top w:val="none" w:sz="0" w:space="0" w:color="auto"/>
        <w:left w:val="none" w:sz="0" w:space="0" w:color="auto"/>
        <w:bottom w:val="none" w:sz="0" w:space="0" w:color="auto"/>
        <w:right w:val="none" w:sz="0" w:space="0" w:color="auto"/>
      </w:divBdr>
    </w:div>
    <w:div w:id="1187871630">
      <w:bodyDiv w:val="1"/>
      <w:marLeft w:val="0"/>
      <w:marRight w:val="0"/>
      <w:marTop w:val="0"/>
      <w:marBottom w:val="0"/>
      <w:divBdr>
        <w:top w:val="none" w:sz="0" w:space="0" w:color="auto"/>
        <w:left w:val="none" w:sz="0" w:space="0" w:color="auto"/>
        <w:bottom w:val="none" w:sz="0" w:space="0" w:color="auto"/>
        <w:right w:val="none" w:sz="0" w:space="0" w:color="auto"/>
      </w:divBdr>
    </w:div>
    <w:div w:id="1227689294">
      <w:bodyDiv w:val="1"/>
      <w:marLeft w:val="0"/>
      <w:marRight w:val="0"/>
      <w:marTop w:val="0"/>
      <w:marBottom w:val="0"/>
      <w:divBdr>
        <w:top w:val="none" w:sz="0" w:space="0" w:color="auto"/>
        <w:left w:val="none" w:sz="0" w:space="0" w:color="auto"/>
        <w:bottom w:val="none" w:sz="0" w:space="0" w:color="auto"/>
        <w:right w:val="none" w:sz="0" w:space="0" w:color="auto"/>
      </w:divBdr>
    </w:div>
    <w:div w:id="1243485938">
      <w:bodyDiv w:val="1"/>
      <w:marLeft w:val="0"/>
      <w:marRight w:val="0"/>
      <w:marTop w:val="0"/>
      <w:marBottom w:val="0"/>
      <w:divBdr>
        <w:top w:val="none" w:sz="0" w:space="0" w:color="auto"/>
        <w:left w:val="none" w:sz="0" w:space="0" w:color="auto"/>
        <w:bottom w:val="none" w:sz="0" w:space="0" w:color="auto"/>
        <w:right w:val="none" w:sz="0" w:space="0" w:color="auto"/>
      </w:divBdr>
    </w:div>
    <w:div w:id="1280917461">
      <w:bodyDiv w:val="1"/>
      <w:marLeft w:val="0"/>
      <w:marRight w:val="0"/>
      <w:marTop w:val="0"/>
      <w:marBottom w:val="0"/>
      <w:divBdr>
        <w:top w:val="none" w:sz="0" w:space="0" w:color="auto"/>
        <w:left w:val="none" w:sz="0" w:space="0" w:color="auto"/>
        <w:bottom w:val="none" w:sz="0" w:space="0" w:color="auto"/>
        <w:right w:val="none" w:sz="0" w:space="0" w:color="auto"/>
      </w:divBdr>
    </w:div>
    <w:div w:id="1282615751">
      <w:bodyDiv w:val="1"/>
      <w:marLeft w:val="0"/>
      <w:marRight w:val="0"/>
      <w:marTop w:val="0"/>
      <w:marBottom w:val="0"/>
      <w:divBdr>
        <w:top w:val="none" w:sz="0" w:space="0" w:color="auto"/>
        <w:left w:val="none" w:sz="0" w:space="0" w:color="auto"/>
        <w:bottom w:val="none" w:sz="0" w:space="0" w:color="auto"/>
        <w:right w:val="none" w:sz="0" w:space="0" w:color="auto"/>
      </w:divBdr>
    </w:div>
    <w:div w:id="1358198238">
      <w:bodyDiv w:val="1"/>
      <w:marLeft w:val="0"/>
      <w:marRight w:val="0"/>
      <w:marTop w:val="0"/>
      <w:marBottom w:val="0"/>
      <w:divBdr>
        <w:top w:val="none" w:sz="0" w:space="0" w:color="auto"/>
        <w:left w:val="none" w:sz="0" w:space="0" w:color="auto"/>
        <w:bottom w:val="none" w:sz="0" w:space="0" w:color="auto"/>
        <w:right w:val="none" w:sz="0" w:space="0" w:color="auto"/>
      </w:divBdr>
    </w:div>
    <w:div w:id="1364095675">
      <w:bodyDiv w:val="1"/>
      <w:marLeft w:val="0"/>
      <w:marRight w:val="0"/>
      <w:marTop w:val="0"/>
      <w:marBottom w:val="0"/>
      <w:divBdr>
        <w:top w:val="none" w:sz="0" w:space="0" w:color="auto"/>
        <w:left w:val="none" w:sz="0" w:space="0" w:color="auto"/>
        <w:bottom w:val="none" w:sz="0" w:space="0" w:color="auto"/>
        <w:right w:val="none" w:sz="0" w:space="0" w:color="auto"/>
      </w:divBdr>
    </w:div>
    <w:div w:id="1366059936">
      <w:bodyDiv w:val="1"/>
      <w:marLeft w:val="0"/>
      <w:marRight w:val="0"/>
      <w:marTop w:val="0"/>
      <w:marBottom w:val="0"/>
      <w:divBdr>
        <w:top w:val="none" w:sz="0" w:space="0" w:color="auto"/>
        <w:left w:val="none" w:sz="0" w:space="0" w:color="auto"/>
        <w:bottom w:val="none" w:sz="0" w:space="0" w:color="auto"/>
        <w:right w:val="none" w:sz="0" w:space="0" w:color="auto"/>
      </w:divBdr>
    </w:div>
    <w:div w:id="1469392003">
      <w:bodyDiv w:val="1"/>
      <w:marLeft w:val="0"/>
      <w:marRight w:val="0"/>
      <w:marTop w:val="0"/>
      <w:marBottom w:val="0"/>
      <w:divBdr>
        <w:top w:val="none" w:sz="0" w:space="0" w:color="auto"/>
        <w:left w:val="none" w:sz="0" w:space="0" w:color="auto"/>
        <w:bottom w:val="none" w:sz="0" w:space="0" w:color="auto"/>
        <w:right w:val="none" w:sz="0" w:space="0" w:color="auto"/>
      </w:divBdr>
    </w:div>
    <w:div w:id="1542783183">
      <w:bodyDiv w:val="1"/>
      <w:marLeft w:val="0"/>
      <w:marRight w:val="0"/>
      <w:marTop w:val="0"/>
      <w:marBottom w:val="0"/>
      <w:divBdr>
        <w:top w:val="none" w:sz="0" w:space="0" w:color="auto"/>
        <w:left w:val="none" w:sz="0" w:space="0" w:color="auto"/>
        <w:bottom w:val="none" w:sz="0" w:space="0" w:color="auto"/>
        <w:right w:val="none" w:sz="0" w:space="0" w:color="auto"/>
      </w:divBdr>
    </w:div>
    <w:div w:id="1605381486">
      <w:bodyDiv w:val="1"/>
      <w:marLeft w:val="0"/>
      <w:marRight w:val="0"/>
      <w:marTop w:val="0"/>
      <w:marBottom w:val="0"/>
      <w:divBdr>
        <w:top w:val="none" w:sz="0" w:space="0" w:color="auto"/>
        <w:left w:val="none" w:sz="0" w:space="0" w:color="auto"/>
        <w:bottom w:val="none" w:sz="0" w:space="0" w:color="auto"/>
        <w:right w:val="none" w:sz="0" w:space="0" w:color="auto"/>
      </w:divBdr>
    </w:div>
    <w:div w:id="1642808829">
      <w:bodyDiv w:val="1"/>
      <w:marLeft w:val="0"/>
      <w:marRight w:val="0"/>
      <w:marTop w:val="0"/>
      <w:marBottom w:val="0"/>
      <w:divBdr>
        <w:top w:val="none" w:sz="0" w:space="0" w:color="auto"/>
        <w:left w:val="none" w:sz="0" w:space="0" w:color="auto"/>
        <w:bottom w:val="none" w:sz="0" w:space="0" w:color="auto"/>
        <w:right w:val="none" w:sz="0" w:space="0" w:color="auto"/>
      </w:divBdr>
    </w:div>
    <w:div w:id="1747074410">
      <w:bodyDiv w:val="1"/>
      <w:marLeft w:val="0"/>
      <w:marRight w:val="0"/>
      <w:marTop w:val="0"/>
      <w:marBottom w:val="0"/>
      <w:divBdr>
        <w:top w:val="none" w:sz="0" w:space="0" w:color="auto"/>
        <w:left w:val="none" w:sz="0" w:space="0" w:color="auto"/>
        <w:bottom w:val="none" w:sz="0" w:space="0" w:color="auto"/>
        <w:right w:val="none" w:sz="0" w:space="0" w:color="auto"/>
      </w:divBdr>
    </w:div>
    <w:div w:id="189111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ecd.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wales/" TargetMode="External"/><Relationship Id="rId4" Type="http://schemas.openxmlformats.org/officeDocument/2006/relationships/settings" Target="settings.xml"/><Relationship Id="rId9" Type="http://schemas.openxmlformats.org/officeDocument/2006/relationships/hyperlink" Target="https://www.gov.wal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BDCF4-5308-8047-92D0-EE1AAAD5F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1564</TotalTime>
  <Pages>20</Pages>
  <Words>3899</Words>
  <Characters>24958</Characters>
  <Application>Microsoft Office Word</Application>
  <DocSecurity>0</DocSecurity>
  <Lines>567</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Sehrish Chaudhry (1802789)</dc:creator>
  <cp:keywords/>
  <dc:description/>
  <cp:lastModifiedBy>Sehrish Chaudhry (1802789)</cp:lastModifiedBy>
  <cp:revision>1</cp:revision>
  <dcterms:created xsi:type="dcterms:W3CDTF">2026-03-09T12:34:00Z</dcterms:created>
  <dcterms:modified xsi:type="dcterms:W3CDTF">2026-03-13T13:05:00Z</dcterms:modified>
</cp:coreProperties>
</file>