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4C5E6" w14:textId="77777777" w:rsidR="004B7D9F" w:rsidRDefault="004B7D9F"/>
    <w:p w14:paraId="59E71294" w14:textId="2F41ED99" w:rsidR="00B52632" w:rsidRDefault="00EC2E04">
      <w:r>
        <w:rPr>
          <w:noProof/>
        </w:rPr>
        <mc:AlternateContent>
          <mc:Choice Requires="wpg">
            <w:drawing>
              <wp:anchor distT="0" distB="0" distL="114300" distR="114300" simplePos="0" relativeHeight="251658240" behindDoc="0" locked="0" layoutInCell="1" allowOverlap="1" wp14:anchorId="504A5911" wp14:editId="68A0EEE8">
                <wp:simplePos x="0" y="0"/>
                <wp:positionH relativeFrom="margin">
                  <wp:align>center</wp:align>
                </wp:positionH>
                <wp:positionV relativeFrom="page">
                  <wp:posOffset>114300</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264FAB" id="Group 149" o:spid="_x0000_s1026" style="position:absolute;margin-left:0;margin-top:9pt;width:8in;height:95.7pt;z-index:251658240;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p>
    <w:p w14:paraId="65D1E0D4" w14:textId="3FAB2272" w:rsidR="00F06618" w:rsidRPr="00F06618" w:rsidRDefault="00F06618" w:rsidP="00F06618"/>
    <w:p w14:paraId="23554BCD" w14:textId="1A49CFE4" w:rsidR="00F06618" w:rsidRPr="00F06618" w:rsidRDefault="00F06618" w:rsidP="00F06618"/>
    <w:p w14:paraId="1CB91E32" w14:textId="04C818C5" w:rsidR="00F06618" w:rsidRPr="00F06618" w:rsidRDefault="00F06618" w:rsidP="00F06618"/>
    <w:p w14:paraId="0B6ADE50" w14:textId="1DDF6500" w:rsidR="00F06618" w:rsidRPr="00F06618" w:rsidRDefault="00F06618" w:rsidP="00F06618"/>
    <w:p w14:paraId="1E3284D9" w14:textId="131F3620" w:rsidR="00F06618" w:rsidRPr="00F06618" w:rsidRDefault="00F06618" w:rsidP="00F06618"/>
    <w:p w14:paraId="2F6C336E" w14:textId="64FDD993" w:rsidR="00F06618" w:rsidRPr="00F06618" w:rsidRDefault="00F06618" w:rsidP="00F06618"/>
    <w:p w14:paraId="7990DBB4" w14:textId="45497988" w:rsidR="00F06618" w:rsidRPr="00F06618" w:rsidRDefault="00F06618" w:rsidP="00F06618"/>
    <w:p w14:paraId="2EC83B09" w14:textId="528D9FEF" w:rsidR="00F06618" w:rsidRPr="00F06618" w:rsidRDefault="00F06618" w:rsidP="00F06618"/>
    <w:p w14:paraId="1E3D8199" w14:textId="38A18208" w:rsidR="00F06618" w:rsidRPr="00F06618" w:rsidRDefault="00F06618" w:rsidP="00F06618"/>
    <w:p w14:paraId="27063045" w14:textId="337685DB" w:rsidR="00F06618" w:rsidRDefault="00F06618" w:rsidP="00F06618"/>
    <w:p w14:paraId="64FA04A3" w14:textId="28A59D77" w:rsidR="00F06618" w:rsidRDefault="00F06618" w:rsidP="00F06618">
      <w:pPr>
        <w:tabs>
          <w:tab w:val="left" w:pos="2904"/>
        </w:tabs>
        <w:jc w:val="right"/>
        <w:rPr>
          <w:color w:val="5B9BD5" w:themeColor="accent5"/>
          <w:sz w:val="64"/>
          <w:szCs w:val="64"/>
        </w:rPr>
      </w:pPr>
      <w:r>
        <w:t xml:space="preserve">                                       </w:t>
      </w:r>
      <w:r>
        <w:rPr>
          <w:color w:val="5B9BD5" w:themeColor="accent5"/>
          <w:sz w:val="64"/>
          <w:szCs w:val="64"/>
        </w:rPr>
        <w:t>Diminished Responsibility</w:t>
      </w:r>
    </w:p>
    <w:p w14:paraId="7496B958" w14:textId="65FE94BF" w:rsidR="00F06618" w:rsidRPr="00F06618" w:rsidRDefault="00F06618" w:rsidP="00F06618">
      <w:pPr>
        <w:tabs>
          <w:tab w:val="left" w:pos="2904"/>
        </w:tabs>
        <w:jc w:val="right"/>
        <w:rPr>
          <w:color w:val="000000" w:themeColor="text1"/>
          <w:sz w:val="36"/>
          <w:szCs w:val="36"/>
        </w:rPr>
      </w:pPr>
      <w:r w:rsidRPr="00F06618">
        <w:rPr>
          <w:color w:val="000000" w:themeColor="text1"/>
          <w:sz w:val="36"/>
          <w:szCs w:val="36"/>
        </w:rPr>
        <w:t>Criminal Law</w:t>
      </w:r>
      <w:r>
        <w:rPr>
          <w:color w:val="000000" w:themeColor="text1"/>
          <w:sz w:val="36"/>
          <w:szCs w:val="36"/>
        </w:rPr>
        <w:t xml:space="preserve"> – BMPL4009</w:t>
      </w:r>
    </w:p>
    <w:p w14:paraId="07B77032" w14:textId="729D4CE2" w:rsidR="00F06618" w:rsidRDefault="00F06618" w:rsidP="00F06618">
      <w:pPr>
        <w:tabs>
          <w:tab w:val="left" w:pos="2904"/>
        </w:tabs>
        <w:jc w:val="right"/>
        <w:rPr>
          <w:color w:val="5B9BD5" w:themeColor="accent5"/>
          <w:sz w:val="64"/>
          <w:szCs w:val="64"/>
        </w:rPr>
      </w:pPr>
    </w:p>
    <w:p w14:paraId="179B70B7" w14:textId="413FE4A3" w:rsidR="00F06618" w:rsidRPr="00F06618" w:rsidRDefault="00F06618" w:rsidP="00F06618">
      <w:pPr>
        <w:jc w:val="right"/>
        <w:rPr>
          <w:sz w:val="64"/>
          <w:szCs w:val="64"/>
        </w:rPr>
      </w:pPr>
    </w:p>
    <w:p w14:paraId="4B3317FB" w14:textId="022BDF10" w:rsidR="00F06618" w:rsidRPr="00F06618" w:rsidRDefault="00F06618" w:rsidP="00F06618">
      <w:pPr>
        <w:jc w:val="right"/>
        <w:rPr>
          <w:sz w:val="64"/>
          <w:szCs w:val="64"/>
        </w:rPr>
      </w:pPr>
    </w:p>
    <w:p w14:paraId="68192B59" w14:textId="28A0DA90" w:rsidR="00F06618" w:rsidRPr="00F06618" w:rsidRDefault="00F06618" w:rsidP="00F06618">
      <w:pPr>
        <w:jc w:val="right"/>
        <w:rPr>
          <w:sz w:val="64"/>
          <w:szCs w:val="64"/>
        </w:rPr>
      </w:pPr>
    </w:p>
    <w:p w14:paraId="3DEDA001" w14:textId="60200A19" w:rsidR="00F06618" w:rsidRPr="00F06618" w:rsidRDefault="00F06618" w:rsidP="00F06618">
      <w:pPr>
        <w:jc w:val="right"/>
        <w:rPr>
          <w:sz w:val="64"/>
          <w:szCs w:val="64"/>
        </w:rPr>
      </w:pPr>
    </w:p>
    <w:p w14:paraId="483042B7" w14:textId="7E7C33F4" w:rsidR="00F06618" w:rsidRDefault="00F06618" w:rsidP="00F06618">
      <w:pPr>
        <w:jc w:val="right"/>
        <w:rPr>
          <w:color w:val="5B9BD5" w:themeColor="accent5"/>
          <w:sz w:val="64"/>
          <w:szCs w:val="64"/>
        </w:rPr>
      </w:pPr>
    </w:p>
    <w:p w14:paraId="7DE210CC" w14:textId="2595042F" w:rsidR="00F06618" w:rsidRDefault="00F06618" w:rsidP="00F06618">
      <w:pPr>
        <w:tabs>
          <w:tab w:val="left" w:pos="6528"/>
        </w:tabs>
        <w:jc w:val="right"/>
        <w:rPr>
          <w:sz w:val="28"/>
          <w:szCs w:val="28"/>
        </w:rPr>
      </w:pPr>
      <w:r>
        <w:rPr>
          <w:sz w:val="64"/>
          <w:szCs w:val="64"/>
        </w:rPr>
        <w:tab/>
      </w:r>
      <w:r>
        <w:rPr>
          <w:sz w:val="28"/>
          <w:szCs w:val="28"/>
        </w:rPr>
        <w:t>Stanimira Mihalkova</w:t>
      </w:r>
    </w:p>
    <w:p w14:paraId="210611DC" w14:textId="77777777" w:rsidR="00E6401E" w:rsidRDefault="00F06618" w:rsidP="00E6401E">
      <w:pPr>
        <w:tabs>
          <w:tab w:val="left" w:pos="6528"/>
        </w:tabs>
        <w:jc w:val="right"/>
        <w:rPr>
          <w:sz w:val="18"/>
          <w:szCs w:val="18"/>
        </w:rPr>
      </w:pPr>
      <w:r>
        <w:rPr>
          <w:sz w:val="28"/>
          <w:szCs w:val="28"/>
        </w:rPr>
        <w:tab/>
      </w:r>
      <w:r>
        <w:rPr>
          <w:sz w:val="18"/>
          <w:szCs w:val="18"/>
        </w:rPr>
        <w:t>2209624</w:t>
      </w:r>
    </w:p>
    <w:p w14:paraId="221F6F66" w14:textId="13B3C915" w:rsidR="00F06618" w:rsidRDefault="001047C7" w:rsidP="000F064B">
      <w:pPr>
        <w:tabs>
          <w:tab w:val="left" w:pos="6528"/>
        </w:tabs>
        <w:spacing w:line="360" w:lineRule="auto"/>
        <w:rPr>
          <w:rFonts w:ascii="Arial" w:hAnsi="Arial" w:cs="Arial"/>
          <w:sz w:val="24"/>
          <w:szCs w:val="24"/>
        </w:rPr>
      </w:pPr>
      <w:r>
        <w:rPr>
          <w:rFonts w:ascii="Arial" w:hAnsi="Arial" w:cs="Arial"/>
          <w:sz w:val="24"/>
          <w:szCs w:val="24"/>
        </w:rPr>
        <w:lastRenderedPageBreak/>
        <w:t xml:space="preserve">   </w:t>
      </w:r>
      <w:r w:rsidR="00E6401E">
        <w:rPr>
          <w:rFonts w:ascii="Arial" w:hAnsi="Arial" w:cs="Arial"/>
          <w:sz w:val="24"/>
          <w:szCs w:val="24"/>
        </w:rPr>
        <w:t xml:space="preserve">Section 2 of the Homicide Act 1957 regarding the Diminished Responsibility partial defence was a very criticised law since it was created. Many experts from different areas demanded changes that would make the defence </w:t>
      </w:r>
      <w:r>
        <w:rPr>
          <w:rFonts w:ascii="Arial" w:hAnsi="Arial" w:cs="Arial"/>
          <w:sz w:val="24"/>
          <w:szCs w:val="24"/>
        </w:rPr>
        <w:t>fairer and clearer</w:t>
      </w:r>
      <w:r w:rsidR="00E94B12">
        <w:rPr>
          <w:rFonts w:ascii="Arial" w:hAnsi="Arial" w:cs="Arial"/>
          <w:sz w:val="24"/>
          <w:szCs w:val="24"/>
        </w:rPr>
        <w:t xml:space="preserve"> </w:t>
      </w:r>
      <w:r>
        <w:rPr>
          <w:rFonts w:ascii="Arial" w:hAnsi="Arial" w:cs="Arial"/>
          <w:sz w:val="24"/>
          <w:szCs w:val="24"/>
        </w:rPr>
        <w:t>(Kennefick, 2011).</w:t>
      </w:r>
      <w:r w:rsidR="00F6517D">
        <w:rPr>
          <w:rFonts w:ascii="Arial" w:hAnsi="Arial" w:cs="Arial"/>
          <w:sz w:val="24"/>
          <w:szCs w:val="24"/>
        </w:rPr>
        <w:t xml:space="preserve"> </w:t>
      </w:r>
      <w:r w:rsidR="00E36819">
        <w:rPr>
          <w:rFonts w:ascii="Arial" w:hAnsi="Arial" w:cs="Arial"/>
          <w:sz w:val="24"/>
          <w:szCs w:val="24"/>
        </w:rPr>
        <w:t>A</w:t>
      </w:r>
      <w:r w:rsidR="00F6517D">
        <w:rPr>
          <w:rFonts w:ascii="Arial" w:hAnsi="Arial" w:cs="Arial"/>
          <w:sz w:val="24"/>
          <w:szCs w:val="24"/>
        </w:rPr>
        <w:t xml:space="preserve"> number of reports which proposed changes and modernisation of the Homicide Act</w:t>
      </w:r>
      <w:r w:rsidR="00E36819">
        <w:rPr>
          <w:rFonts w:ascii="Arial" w:hAnsi="Arial" w:cs="Arial"/>
          <w:sz w:val="24"/>
          <w:szCs w:val="24"/>
        </w:rPr>
        <w:t xml:space="preserve"> were</w:t>
      </w:r>
      <w:r w:rsidR="000B1342">
        <w:rPr>
          <w:rFonts w:ascii="Arial" w:hAnsi="Arial" w:cs="Arial"/>
          <w:sz w:val="24"/>
          <w:szCs w:val="24"/>
        </w:rPr>
        <w:t xml:space="preserve"> presented - t</w:t>
      </w:r>
      <w:r w:rsidR="0003751A">
        <w:rPr>
          <w:rFonts w:ascii="Arial" w:hAnsi="Arial" w:cs="Arial"/>
          <w:sz w:val="24"/>
          <w:szCs w:val="24"/>
        </w:rPr>
        <w:t xml:space="preserve">he most known of which were </w:t>
      </w:r>
      <w:r w:rsidR="00A85F68">
        <w:rPr>
          <w:rFonts w:ascii="Arial" w:hAnsi="Arial" w:cs="Arial"/>
          <w:sz w:val="24"/>
          <w:szCs w:val="24"/>
        </w:rPr>
        <w:t>the reports of the Criminal Law Revision Comm</w:t>
      </w:r>
      <w:r w:rsidR="00A12ADD">
        <w:rPr>
          <w:rFonts w:ascii="Arial" w:hAnsi="Arial" w:cs="Arial"/>
          <w:sz w:val="24"/>
          <w:szCs w:val="24"/>
        </w:rPr>
        <w:t>ittee</w:t>
      </w:r>
      <w:r w:rsidR="00473655">
        <w:rPr>
          <w:rFonts w:ascii="Arial" w:hAnsi="Arial" w:cs="Arial"/>
          <w:sz w:val="24"/>
          <w:szCs w:val="24"/>
        </w:rPr>
        <w:t xml:space="preserve"> (1980)</w:t>
      </w:r>
      <w:r w:rsidR="00ED3C44">
        <w:rPr>
          <w:rFonts w:ascii="Arial" w:hAnsi="Arial" w:cs="Arial"/>
          <w:sz w:val="24"/>
          <w:szCs w:val="24"/>
        </w:rPr>
        <w:t>, the Law Co</w:t>
      </w:r>
      <w:r w:rsidR="00C45AEA">
        <w:rPr>
          <w:rFonts w:ascii="Arial" w:hAnsi="Arial" w:cs="Arial"/>
          <w:sz w:val="24"/>
          <w:szCs w:val="24"/>
        </w:rPr>
        <w:t>m</w:t>
      </w:r>
      <w:r w:rsidR="00ED3C44">
        <w:rPr>
          <w:rFonts w:ascii="Arial" w:hAnsi="Arial" w:cs="Arial"/>
          <w:sz w:val="24"/>
          <w:szCs w:val="24"/>
        </w:rPr>
        <w:t>mission</w:t>
      </w:r>
      <w:r w:rsidR="00C45AEA">
        <w:rPr>
          <w:rFonts w:ascii="Arial" w:hAnsi="Arial" w:cs="Arial"/>
          <w:sz w:val="24"/>
          <w:szCs w:val="24"/>
        </w:rPr>
        <w:t xml:space="preserve"> (2004) and the Home Office (2008).</w:t>
      </w:r>
      <w:r w:rsidR="00505F1C">
        <w:rPr>
          <w:rFonts w:ascii="Arial" w:hAnsi="Arial" w:cs="Arial"/>
          <w:sz w:val="24"/>
          <w:szCs w:val="24"/>
        </w:rPr>
        <w:t xml:space="preserve"> </w:t>
      </w:r>
      <w:r w:rsidR="000B1342">
        <w:rPr>
          <w:rFonts w:ascii="Arial" w:hAnsi="Arial" w:cs="Arial"/>
          <w:sz w:val="24"/>
          <w:szCs w:val="24"/>
        </w:rPr>
        <w:t>This resulted in</w:t>
      </w:r>
      <w:r w:rsidR="00861ACC">
        <w:rPr>
          <w:rFonts w:ascii="Arial" w:hAnsi="Arial" w:cs="Arial"/>
          <w:sz w:val="24"/>
          <w:szCs w:val="24"/>
        </w:rPr>
        <w:t xml:space="preserve"> the </w:t>
      </w:r>
      <w:r w:rsidR="009E4ADF">
        <w:rPr>
          <w:rFonts w:ascii="Arial" w:hAnsi="Arial" w:cs="Arial"/>
          <w:sz w:val="24"/>
          <w:szCs w:val="24"/>
        </w:rPr>
        <w:t xml:space="preserve">changing of the </w:t>
      </w:r>
      <w:r w:rsidR="00644F0B">
        <w:rPr>
          <w:rFonts w:ascii="Arial" w:hAnsi="Arial" w:cs="Arial"/>
          <w:sz w:val="24"/>
          <w:szCs w:val="24"/>
        </w:rPr>
        <w:t>definition of the Diminished Responsibility partial defence</w:t>
      </w:r>
      <w:r w:rsidR="005F2EE1">
        <w:rPr>
          <w:rFonts w:ascii="Arial" w:hAnsi="Arial" w:cs="Arial"/>
          <w:sz w:val="24"/>
          <w:szCs w:val="24"/>
        </w:rPr>
        <w:t xml:space="preserve"> </w:t>
      </w:r>
      <w:r w:rsidR="00FC0314">
        <w:rPr>
          <w:rFonts w:ascii="Arial" w:hAnsi="Arial" w:cs="Arial"/>
          <w:sz w:val="24"/>
          <w:szCs w:val="24"/>
        </w:rPr>
        <w:t xml:space="preserve">under </w:t>
      </w:r>
      <w:r w:rsidR="006421B4">
        <w:rPr>
          <w:rFonts w:ascii="Arial" w:hAnsi="Arial" w:cs="Arial"/>
          <w:sz w:val="24"/>
          <w:szCs w:val="24"/>
        </w:rPr>
        <w:t>the Coroners and Justice Act 2009.</w:t>
      </w:r>
    </w:p>
    <w:p w14:paraId="00084549" w14:textId="43E6D5AB" w:rsidR="00F61B09" w:rsidRDefault="00115C49" w:rsidP="00380407">
      <w:pPr>
        <w:tabs>
          <w:tab w:val="left" w:pos="6528"/>
        </w:tabs>
        <w:spacing w:line="360" w:lineRule="auto"/>
        <w:rPr>
          <w:rFonts w:ascii="Arial" w:hAnsi="Arial" w:cs="Arial"/>
          <w:sz w:val="24"/>
          <w:szCs w:val="24"/>
        </w:rPr>
      </w:pPr>
      <w:r>
        <w:rPr>
          <w:rFonts w:ascii="Arial" w:hAnsi="Arial" w:cs="Arial"/>
          <w:sz w:val="24"/>
          <w:szCs w:val="24"/>
        </w:rPr>
        <w:t xml:space="preserve">   </w:t>
      </w:r>
      <w:r w:rsidR="008C5984">
        <w:rPr>
          <w:rFonts w:ascii="Arial" w:hAnsi="Arial" w:cs="Arial"/>
          <w:sz w:val="24"/>
          <w:szCs w:val="24"/>
        </w:rPr>
        <w:t>M</w:t>
      </w:r>
      <w:r w:rsidR="00F757AA">
        <w:rPr>
          <w:rFonts w:ascii="Arial" w:hAnsi="Arial" w:cs="Arial"/>
          <w:sz w:val="24"/>
          <w:szCs w:val="24"/>
        </w:rPr>
        <w:t>acdonald (2018</w:t>
      </w:r>
      <w:r w:rsidR="0046417D">
        <w:rPr>
          <w:rFonts w:ascii="Arial" w:hAnsi="Arial" w:cs="Arial"/>
          <w:sz w:val="24"/>
          <w:szCs w:val="24"/>
        </w:rPr>
        <w:t>,</w:t>
      </w:r>
      <w:r w:rsidR="00956812">
        <w:rPr>
          <w:rFonts w:ascii="Arial" w:hAnsi="Arial" w:cs="Arial"/>
          <w:sz w:val="24"/>
          <w:szCs w:val="24"/>
        </w:rPr>
        <w:t xml:space="preserve"> pp.</w:t>
      </w:r>
      <w:r w:rsidR="00361A8D">
        <w:rPr>
          <w:rFonts w:ascii="Arial" w:hAnsi="Arial" w:cs="Arial"/>
          <w:sz w:val="24"/>
          <w:szCs w:val="24"/>
        </w:rPr>
        <w:t>408-428</w:t>
      </w:r>
      <w:r w:rsidR="00F757AA">
        <w:rPr>
          <w:rFonts w:ascii="Arial" w:hAnsi="Arial" w:cs="Arial"/>
          <w:sz w:val="24"/>
          <w:szCs w:val="24"/>
        </w:rPr>
        <w:t>)</w:t>
      </w:r>
      <w:r w:rsidR="0071355A">
        <w:rPr>
          <w:rFonts w:ascii="Arial" w:hAnsi="Arial" w:cs="Arial"/>
          <w:sz w:val="24"/>
          <w:szCs w:val="24"/>
        </w:rPr>
        <w:t xml:space="preserve"> explains how and why the wording </w:t>
      </w:r>
      <w:r w:rsidR="008162CE">
        <w:rPr>
          <w:rFonts w:ascii="Arial" w:hAnsi="Arial" w:cs="Arial"/>
          <w:sz w:val="24"/>
          <w:szCs w:val="24"/>
        </w:rPr>
        <w:t xml:space="preserve">in the new law </w:t>
      </w:r>
      <w:r w:rsidR="00C23608">
        <w:rPr>
          <w:rFonts w:ascii="Arial" w:hAnsi="Arial" w:cs="Arial"/>
          <w:sz w:val="24"/>
          <w:szCs w:val="24"/>
        </w:rPr>
        <w:t>was</w:t>
      </w:r>
      <w:r w:rsidR="008162CE">
        <w:rPr>
          <w:rFonts w:ascii="Arial" w:hAnsi="Arial" w:cs="Arial"/>
          <w:sz w:val="24"/>
          <w:szCs w:val="24"/>
        </w:rPr>
        <w:t xml:space="preserve"> changed. </w:t>
      </w:r>
      <w:r w:rsidR="00AF760A">
        <w:rPr>
          <w:rFonts w:ascii="Arial" w:hAnsi="Arial" w:cs="Arial"/>
          <w:sz w:val="24"/>
          <w:szCs w:val="24"/>
        </w:rPr>
        <w:t>He states that t</w:t>
      </w:r>
      <w:r w:rsidR="008162CE">
        <w:rPr>
          <w:rFonts w:ascii="Arial" w:hAnsi="Arial" w:cs="Arial"/>
          <w:sz w:val="24"/>
          <w:szCs w:val="24"/>
        </w:rPr>
        <w:t xml:space="preserve">he first </w:t>
      </w:r>
      <w:r w:rsidR="00AF760A">
        <w:rPr>
          <w:rFonts w:ascii="Arial" w:hAnsi="Arial" w:cs="Arial"/>
          <w:sz w:val="24"/>
          <w:szCs w:val="24"/>
        </w:rPr>
        <w:t xml:space="preserve">term that is changed </w:t>
      </w:r>
      <w:r w:rsidR="001B2F50">
        <w:rPr>
          <w:rFonts w:ascii="Arial" w:hAnsi="Arial" w:cs="Arial"/>
          <w:sz w:val="24"/>
          <w:szCs w:val="24"/>
        </w:rPr>
        <w:t>i</w:t>
      </w:r>
      <w:r w:rsidR="00AF760A">
        <w:rPr>
          <w:rFonts w:ascii="Arial" w:hAnsi="Arial" w:cs="Arial"/>
          <w:sz w:val="24"/>
          <w:szCs w:val="24"/>
        </w:rPr>
        <w:t>s the</w:t>
      </w:r>
      <w:r w:rsidR="00DD3118">
        <w:rPr>
          <w:rFonts w:ascii="Arial" w:hAnsi="Arial" w:cs="Arial"/>
          <w:sz w:val="24"/>
          <w:szCs w:val="24"/>
        </w:rPr>
        <w:t xml:space="preserve"> term</w:t>
      </w:r>
      <w:r w:rsidR="00AF760A">
        <w:rPr>
          <w:rFonts w:ascii="Arial" w:hAnsi="Arial" w:cs="Arial"/>
          <w:sz w:val="24"/>
          <w:szCs w:val="24"/>
        </w:rPr>
        <w:t xml:space="preserve"> </w:t>
      </w:r>
      <w:r w:rsidR="00726278">
        <w:rPr>
          <w:rFonts w:ascii="Arial" w:hAnsi="Arial" w:cs="Arial"/>
          <w:sz w:val="24"/>
          <w:szCs w:val="24"/>
        </w:rPr>
        <w:t>“</w:t>
      </w:r>
      <w:r w:rsidR="00726278">
        <w:rPr>
          <w:rFonts w:ascii="Arial" w:hAnsi="Arial" w:cs="Arial"/>
          <w:i/>
          <w:iCs/>
          <w:sz w:val="24"/>
          <w:szCs w:val="24"/>
        </w:rPr>
        <w:t>abnormality of mind”</w:t>
      </w:r>
      <w:r w:rsidR="00DD3118">
        <w:rPr>
          <w:rFonts w:ascii="Arial" w:hAnsi="Arial" w:cs="Arial"/>
          <w:i/>
          <w:iCs/>
          <w:sz w:val="24"/>
          <w:szCs w:val="24"/>
        </w:rPr>
        <w:t xml:space="preserve">, </w:t>
      </w:r>
      <w:r w:rsidR="00DD3118">
        <w:rPr>
          <w:rFonts w:ascii="Arial" w:hAnsi="Arial" w:cs="Arial"/>
          <w:sz w:val="24"/>
          <w:szCs w:val="24"/>
        </w:rPr>
        <w:t>used in the old law. Psychiatrist</w:t>
      </w:r>
      <w:r w:rsidR="003757A8">
        <w:rPr>
          <w:rFonts w:ascii="Arial" w:hAnsi="Arial" w:cs="Arial"/>
          <w:sz w:val="24"/>
          <w:szCs w:val="24"/>
        </w:rPr>
        <w:t xml:space="preserve">s </w:t>
      </w:r>
      <w:r w:rsidR="00B91E01">
        <w:rPr>
          <w:rFonts w:ascii="Arial" w:hAnsi="Arial" w:cs="Arial"/>
          <w:sz w:val="24"/>
          <w:szCs w:val="24"/>
        </w:rPr>
        <w:t>say</w:t>
      </w:r>
      <w:r w:rsidR="009A5E93">
        <w:rPr>
          <w:rFonts w:ascii="Arial" w:hAnsi="Arial" w:cs="Arial"/>
          <w:sz w:val="24"/>
          <w:szCs w:val="24"/>
        </w:rPr>
        <w:t xml:space="preserve"> that the term is unclear and medically </w:t>
      </w:r>
      <w:r w:rsidR="001B2F50">
        <w:rPr>
          <w:rFonts w:ascii="Arial" w:hAnsi="Arial" w:cs="Arial"/>
          <w:sz w:val="24"/>
          <w:szCs w:val="24"/>
        </w:rPr>
        <w:t>inaccurate</w:t>
      </w:r>
      <w:r w:rsidR="009A5E93">
        <w:rPr>
          <w:rFonts w:ascii="Arial" w:hAnsi="Arial" w:cs="Arial"/>
          <w:sz w:val="24"/>
          <w:szCs w:val="24"/>
        </w:rPr>
        <w:t xml:space="preserve">, so </w:t>
      </w:r>
      <w:r w:rsidR="00E44241">
        <w:rPr>
          <w:rFonts w:ascii="Arial" w:hAnsi="Arial" w:cs="Arial"/>
          <w:sz w:val="24"/>
          <w:szCs w:val="24"/>
        </w:rPr>
        <w:t>it</w:t>
      </w:r>
      <w:r w:rsidR="009A5E93">
        <w:rPr>
          <w:rFonts w:ascii="Arial" w:hAnsi="Arial" w:cs="Arial"/>
          <w:sz w:val="24"/>
          <w:szCs w:val="24"/>
        </w:rPr>
        <w:t xml:space="preserve"> would </w:t>
      </w:r>
      <w:r w:rsidR="00607F4F">
        <w:rPr>
          <w:rFonts w:ascii="Arial" w:hAnsi="Arial" w:cs="Arial"/>
          <w:sz w:val="24"/>
          <w:szCs w:val="24"/>
        </w:rPr>
        <w:t xml:space="preserve">not inform the court, but rather </w:t>
      </w:r>
      <w:r w:rsidR="00D758CE">
        <w:rPr>
          <w:rFonts w:ascii="Arial" w:hAnsi="Arial" w:cs="Arial"/>
          <w:sz w:val="24"/>
          <w:szCs w:val="24"/>
        </w:rPr>
        <w:t>allow a different interpretation</w:t>
      </w:r>
      <w:r w:rsidR="0062146F">
        <w:rPr>
          <w:rFonts w:ascii="Arial" w:hAnsi="Arial" w:cs="Arial"/>
          <w:sz w:val="24"/>
          <w:szCs w:val="24"/>
        </w:rPr>
        <w:t xml:space="preserve"> in each case.</w:t>
      </w:r>
      <w:r w:rsidR="00B91E01">
        <w:rPr>
          <w:rFonts w:ascii="Arial" w:hAnsi="Arial" w:cs="Arial"/>
          <w:sz w:val="24"/>
          <w:szCs w:val="24"/>
        </w:rPr>
        <w:t xml:space="preserve"> That is why the new term </w:t>
      </w:r>
      <w:r w:rsidR="00B91E01" w:rsidRPr="0042200E">
        <w:rPr>
          <w:rFonts w:ascii="Arial" w:hAnsi="Arial" w:cs="Arial"/>
          <w:i/>
          <w:iCs/>
          <w:sz w:val="24"/>
          <w:szCs w:val="24"/>
        </w:rPr>
        <w:t>“</w:t>
      </w:r>
      <w:r w:rsidR="00B7700A" w:rsidRPr="0042200E">
        <w:rPr>
          <w:rFonts w:ascii="Arial" w:hAnsi="Arial" w:cs="Arial"/>
          <w:i/>
          <w:iCs/>
          <w:sz w:val="24"/>
          <w:szCs w:val="24"/>
        </w:rPr>
        <w:t xml:space="preserve">abnormality of mental </w:t>
      </w:r>
      <w:r w:rsidR="0042200E" w:rsidRPr="0042200E">
        <w:rPr>
          <w:rFonts w:ascii="Arial" w:hAnsi="Arial" w:cs="Arial"/>
          <w:i/>
          <w:iCs/>
          <w:sz w:val="24"/>
          <w:szCs w:val="24"/>
        </w:rPr>
        <w:t>functioning”</w:t>
      </w:r>
      <w:r w:rsidR="0042200E">
        <w:rPr>
          <w:rFonts w:ascii="Arial" w:hAnsi="Arial" w:cs="Arial"/>
          <w:i/>
          <w:iCs/>
          <w:sz w:val="24"/>
          <w:szCs w:val="24"/>
        </w:rPr>
        <w:t xml:space="preserve"> </w:t>
      </w:r>
      <w:r w:rsidR="0042200E">
        <w:rPr>
          <w:rFonts w:ascii="Arial" w:hAnsi="Arial" w:cs="Arial"/>
          <w:sz w:val="24"/>
          <w:szCs w:val="24"/>
        </w:rPr>
        <w:t xml:space="preserve">was </w:t>
      </w:r>
      <w:r w:rsidR="00204772">
        <w:rPr>
          <w:rFonts w:ascii="Arial" w:hAnsi="Arial" w:cs="Arial"/>
          <w:sz w:val="24"/>
          <w:szCs w:val="24"/>
        </w:rPr>
        <w:t>introduced</w:t>
      </w:r>
      <w:r w:rsidR="0042200E">
        <w:rPr>
          <w:rFonts w:ascii="Arial" w:hAnsi="Arial" w:cs="Arial"/>
          <w:sz w:val="24"/>
          <w:szCs w:val="24"/>
        </w:rPr>
        <w:t xml:space="preserve"> in the new law.</w:t>
      </w:r>
      <w:r w:rsidR="006F60BC">
        <w:rPr>
          <w:rFonts w:ascii="Arial" w:hAnsi="Arial" w:cs="Arial"/>
          <w:sz w:val="24"/>
          <w:szCs w:val="24"/>
        </w:rPr>
        <w:t xml:space="preserve"> In addition to that, in the </w:t>
      </w:r>
      <w:r w:rsidR="006018A0">
        <w:rPr>
          <w:rFonts w:ascii="Arial" w:hAnsi="Arial" w:cs="Arial"/>
          <w:sz w:val="24"/>
          <w:szCs w:val="24"/>
        </w:rPr>
        <w:t xml:space="preserve">improved version of the law, that abnormality </w:t>
      </w:r>
      <w:r w:rsidR="00E4504A">
        <w:rPr>
          <w:rFonts w:ascii="Arial" w:hAnsi="Arial" w:cs="Arial"/>
          <w:sz w:val="24"/>
          <w:szCs w:val="24"/>
        </w:rPr>
        <w:t>had to</w:t>
      </w:r>
      <w:r w:rsidR="00294C89">
        <w:rPr>
          <w:rFonts w:ascii="Arial" w:hAnsi="Arial" w:cs="Arial"/>
          <w:sz w:val="24"/>
          <w:szCs w:val="24"/>
        </w:rPr>
        <w:t xml:space="preserve"> satisfy </w:t>
      </w:r>
      <w:r w:rsidR="00D41528">
        <w:rPr>
          <w:rFonts w:ascii="Arial" w:hAnsi="Arial" w:cs="Arial"/>
          <w:sz w:val="24"/>
          <w:szCs w:val="24"/>
        </w:rPr>
        <w:t xml:space="preserve">three requirements to be available </w:t>
      </w:r>
      <w:r w:rsidR="00EE0C49">
        <w:rPr>
          <w:rFonts w:ascii="Arial" w:hAnsi="Arial" w:cs="Arial"/>
          <w:sz w:val="24"/>
          <w:szCs w:val="24"/>
        </w:rPr>
        <w:t xml:space="preserve">for the defendant to rely on it </w:t>
      </w:r>
      <w:r w:rsidR="0060074E">
        <w:rPr>
          <w:rFonts w:ascii="Arial" w:hAnsi="Arial" w:cs="Arial"/>
          <w:sz w:val="24"/>
          <w:szCs w:val="24"/>
        </w:rPr>
        <w:t xml:space="preserve">in court. </w:t>
      </w:r>
      <w:r w:rsidR="0010349B">
        <w:rPr>
          <w:rFonts w:ascii="Arial" w:hAnsi="Arial" w:cs="Arial"/>
          <w:sz w:val="24"/>
          <w:szCs w:val="24"/>
        </w:rPr>
        <w:t>The first requirement is that</w:t>
      </w:r>
      <w:r w:rsidR="0060074E">
        <w:rPr>
          <w:rFonts w:ascii="Arial" w:hAnsi="Arial" w:cs="Arial"/>
          <w:sz w:val="24"/>
          <w:szCs w:val="24"/>
        </w:rPr>
        <w:t xml:space="preserve"> </w:t>
      </w:r>
      <w:r w:rsidR="0010349B">
        <w:rPr>
          <w:rFonts w:ascii="Arial" w:hAnsi="Arial" w:cs="Arial"/>
          <w:sz w:val="24"/>
          <w:szCs w:val="24"/>
        </w:rPr>
        <w:t>i</w:t>
      </w:r>
      <w:r w:rsidR="0060074E">
        <w:rPr>
          <w:rFonts w:ascii="Arial" w:hAnsi="Arial" w:cs="Arial"/>
          <w:sz w:val="24"/>
          <w:szCs w:val="24"/>
        </w:rPr>
        <w:t>t had to</w:t>
      </w:r>
      <w:r w:rsidR="00E4504A">
        <w:rPr>
          <w:rFonts w:ascii="Arial" w:hAnsi="Arial" w:cs="Arial"/>
          <w:sz w:val="24"/>
          <w:szCs w:val="24"/>
        </w:rPr>
        <w:t xml:space="preserve"> be</w:t>
      </w:r>
      <w:r w:rsidR="001F173D">
        <w:rPr>
          <w:rFonts w:ascii="Arial" w:hAnsi="Arial" w:cs="Arial"/>
          <w:sz w:val="24"/>
          <w:szCs w:val="24"/>
        </w:rPr>
        <w:t xml:space="preserve"> in a result of a </w:t>
      </w:r>
      <w:r w:rsidR="00E4504A">
        <w:rPr>
          <w:rFonts w:ascii="Arial" w:hAnsi="Arial" w:cs="Arial"/>
          <w:sz w:val="24"/>
          <w:szCs w:val="24"/>
        </w:rPr>
        <w:t>“</w:t>
      </w:r>
      <w:r w:rsidR="00E4504A" w:rsidRPr="000F064B">
        <w:rPr>
          <w:rFonts w:ascii="Arial" w:hAnsi="Arial" w:cs="Arial"/>
          <w:i/>
          <w:iCs/>
          <w:sz w:val="24"/>
          <w:szCs w:val="24"/>
        </w:rPr>
        <w:t xml:space="preserve">recognised medical </w:t>
      </w:r>
      <w:r w:rsidR="001B3CF0" w:rsidRPr="000F064B">
        <w:rPr>
          <w:rFonts w:ascii="Arial" w:hAnsi="Arial" w:cs="Arial"/>
          <w:i/>
          <w:iCs/>
          <w:sz w:val="24"/>
          <w:szCs w:val="24"/>
        </w:rPr>
        <w:t>condition</w:t>
      </w:r>
      <w:r w:rsidR="001B3CF0">
        <w:rPr>
          <w:rFonts w:ascii="Arial" w:hAnsi="Arial" w:cs="Arial"/>
          <w:sz w:val="24"/>
          <w:szCs w:val="24"/>
        </w:rPr>
        <w:t>”</w:t>
      </w:r>
      <w:r w:rsidR="00F9722D">
        <w:rPr>
          <w:rFonts w:ascii="Arial" w:hAnsi="Arial" w:cs="Arial"/>
          <w:sz w:val="24"/>
          <w:szCs w:val="24"/>
        </w:rPr>
        <w:t xml:space="preserve">. </w:t>
      </w:r>
      <w:r w:rsidR="002758C1">
        <w:rPr>
          <w:rFonts w:ascii="Arial" w:hAnsi="Arial" w:cs="Arial"/>
          <w:sz w:val="24"/>
          <w:szCs w:val="24"/>
        </w:rPr>
        <w:t xml:space="preserve">Taylor (2018, p. </w:t>
      </w:r>
      <w:r w:rsidR="00E545D7">
        <w:rPr>
          <w:rFonts w:ascii="Arial" w:hAnsi="Arial" w:cs="Arial"/>
          <w:sz w:val="24"/>
          <w:szCs w:val="24"/>
        </w:rPr>
        <w:t>94</w:t>
      </w:r>
      <w:r w:rsidR="002758C1">
        <w:rPr>
          <w:rFonts w:ascii="Arial" w:hAnsi="Arial" w:cs="Arial"/>
          <w:sz w:val="24"/>
          <w:szCs w:val="24"/>
        </w:rPr>
        <w:t>)</w:t>
      </w:r>
      <w:r w:rsidR="00E545D7">
        <w:rPr>
          <w:rFonts w:ascii="Arial" w:hAnsi="Arial" w:cs="Arial"/>
          <w:sz w:val="24"/>
          <w:szCs w:val="24"/>
        </w:rPr>
        <w:t xml:space="preserve"> explains </w:t>
      </w:r>
      <w:r w:rsidR="00056B69">
        <w:rPr>
          <w:rFonts w:ascii="Arial" w:hAnsi="Arial" w:cs="Arial"/>
          <w:sz w:val="24"/>
          <w:szCs w:val="24"/>
        </w:rPr>
        <w:t xml:space="preserve">that it is called </w:t>
      </w:r>
      <w:r w:rsidR="004F1B7F" w:rsidRPr="004F1B7F">
        <w:rPr>
          <w:rFonts w:ascii="Arial" w:hAnsi="Arial" w:cs="Arial"/>
          <w:i/>
          <w:iCs/>
          <w:sz w:val="24"/>
          <w:szCs w:val="24"/>
        </w:rPr>
        <w:t>“medical condition”</w:t>
      </w:r>
      <w:r w:rsidR="004F1B7F">
        <w:rPr>
          <w:rFonts w:ascii="Arial" w:hAnsi="Arial" w:cs="Arial"/>
          <w:i/>
          <w:iCs/>
          <w:sz w:val="24"/>
          <w:szCs w:val="24"/>
        </w:rPr>
        <w:t xml:space="preserve"> </w:t>
      </w:r>
      <w:r w:rsidR="004F1B7F">
        <w:rPr>
          <w:rFonts w:ascii="Arial" w:hAnsi="Arial" w:cs="Arial"/>
          <w:sz w:val="24"/>
          <w:szCs w:val="24"/>
        </w:rPr>
        <w:t xml:space="preserve">to give broader </w:t>
      </w:r>
      <w:r w:rsidR="00B96E14">
        <w:rPr>
          <w:rFonts w:ascii="Arial" w:hAnsi="Arial" w:cs="Arial"/>
          <w:sz w:val="24"/>
          <w:szCs w:val="24"/>
        </w:rPr>
        <w:t xml:space="preserve">meaning of the requirement. </w:t>
      </w:r>
      <w:r w:rsidR="00A54011">
        <w:rPr>
          <w:rFonts w:ascii="Arial" w:hAnsi="Arial" w:cs="Arial"/>
          <w:sz w:val="24"/>
          <w:szCs w:val="24"/>
        </w:rPr>
        <w:t xml:space="preserve">She </w:t>
      </w:r>
      <w:r w:rsidR="00F05679">
        <w:rPr>
          <w:rFonts w:ascii="Arial" w:hAnsi="Arial" w:cs="Arial"/>
          <w:sz w:val="24"/>
          <w:szCs w:val="24"/>
        </w:rPr>
        <w:t xml:space="preserve">says that this wording includes both </w:t>
      </w:r>
      <w:r w:rsidR="00AE0595">
        <w:rPr>
          <w:rFonts w:ascii="Arial" w:hAnsi="Arial" w:cs="Arial"/>
          <w:sz w:val="24"/>
          <w:szCs w:val="24"/>
        </w:rPr>
        <w:t>psychological and physical conditions</w:t>
      </w:r>
      <w:r w:rsidR="00AC66E2">
        <w:rPr>
          <w:rFonts w:ascii="Arial" w:hAnsi="Arial" w:cs="Arial"/>
          <w:sz w:val="24"/>
          <w:szCs w:val="24"/>
        </w:rPr>
        <w:t xml:space="preserve"> (such as </w:t>
      </w:r>
      <w:r w:rsidR="005B4672">
        <w:rPr>
          <w:rFonts w:ascii="Arial" w:hAnsi="Arial" w:cs="Arial"/>
          <w:sz w:val="24"/>
          <w:szCs w:val="24"/>
        </w:rPr>
        <w:t>diabetes and epilepsy</w:t>
      </w:r>
      <w:r w:rsidR="00AC66E2">
        <w:rPr>
          <w:rFonts w:ascii="Arial" w:hAnsi="Arial" w:cs="Arial"/>
          <w:sz w:val="24"/>
          <w:szCs w:val="24"/>
        </w:rPr>
        <w:t>)</w:t>
      </w:r>
      <w:r w:rsidR="00722A15">
        <w:rPr>
          <w:rFonts w:ascii="Arial" w:hAnsi="Arial" w:cs="Arial"/>
          <w:sz w:val="24"/>
          <w:szCs w:val="24"/>
        </w:rPr>
        <w:t xml:space="preserve"> that could affect</w:t>
      </w:r>
      <w:r w:rsidR="00014C9E">
        <w:rPr>
          <w:rFonts w:ascii="Arial" w:hAnsi="Arial" w:cs="Arial"/>
          <w:sz w:val="24"/>
          <w:szCs w:val="24"/>
        </w:rPr>
        <w:t xml:space="preserve"> a person’s mind</w:t>
      </w:r>
      <w:r w:rsidR="00D837C2">
        <w:rPr>
          <w:rFonts w:ascii="Arial" w:hAnsi="Arial" w:cs="Arial"/>
          <w:sz w:val="24"/>
          <w:szCs w:val="24"/>
        </w:rPr>
        <w:t xml:space="preserve"> or judgment. </w:t>
      </w:r>
      <w:r w:rsidR="005A4854">
        <w:rPr>
          <w:rFonts w:ascii="Arial" w:hAnsi="Arial" w:cs="Arial"/>
          <w:sz w:val="24"/>
          <w:szCs w:val="24"/>
        </w:rPr>
        <w:t>T</w:t>
      </w:r>
      <w:r w:rsidR="00247A61">
        <w:rPr>
          <w:rFonts w:ascii="Arial" w:hAnsi="Arial" w:cs="Arial"/>
          <w:sz w:val="24"/>
          <w:szCs w:val="24"/>
        </w:rPr>
        <w:t xml:space="preserve">he onus to prove that this requirement is satisfied is on the Defendant, that is why </w:t>
      </w:r>
      <w:r w:rsidR="00D4201F">
        <w:rPr>
          <w:rFonts w:ascii="Arial" w:hAnsi="Arial" w:cs="Arial"/>
          <w:sz w:val="24"/>
          <w:szCs w:val="24"/>
        </w:rPr>
        <w:t>if they do not have any proof of existing medical condition</w:t>
      </w:r>
      <w:r w:rsidR="00AE1BB2">
        <w:rPr>
          <w:rFonts w:ascii="Arial" w:hAnsi="Arial" w:cs="Arial"/>
          <w:sz w:val="24"/>
          <w:szCs w:val="24"/>
        </w:rPr>
        <w:t xml:space="preserve">, the judge would not allow </w:t>
      </w:r>
      <w:r w:rsidR="009C38E6">
        <w:rPr>
          <w:rFonts w:ascii="Arial" w:hAnsi="Arial" w:cs="Arial"/>
          <w:sz w:val="24"/>
          <w:szCs w:val="24"/>
        </w:rPr>
        <w:t xml:space="preserve">the jury to </w:t>
      </w:r>
      <w:r w:rsidR="00B45F39">
        <w:rPr>
          <w:rFonts w:ascii="Arial" w:hAnsi="Arial" w:cs="Arial"/>
          <w:sz w:val="24"/>
          <w:szCs w:val="24"/>
        </w:rPr>
        <w:t xml:space="preserve">consider the diminished </w:t>
      </w:r>
      <w:r w:rsidR="00C4003C">
        <w:rPr>
          <w:rFonts w:ascii="Arial" w:hAnsi="Arial" w:cs="Arial"/>
          <w:sz w:val="24"/>
          <w:szCs w:val="24"/>
        </w:rPr>
        <w:t>responsibility</w:t>
      </w:r>
      <w:r w:rsidR="00B45F39">
        <w:rPr>
          <w:rFonts w:ascii="Arial" w:hAnsi="Arial" w:cs="Arial"/>
          <w:sz w:val="24"/>
          <w:szCs w:val="24"/>
        </w:rPr>
        <w:t xml:space="preserve"> defe</w:t>
      </w:r>
      <w:r w:rsidR="00C4003C">
        <w:rPr>
          <w:rFonts w:ascii="Arial" w:hAnsi="Arial" w:cs="Arial"/>
          <w:sz w:val="24"/>
          <w:szCs w:val="24"/>
        </w:rPr>
        <w:t>nce</w:t>
      </w:r>
      <w:r w:rsidR="00EE1DAE">
        <w:rPr>
          <w:rFonts w:ascii="Arial" w:hAnsi="Arial" w:cs="Arial"/>
          <w:sz w:val="24"/>
          <w:szCs w:val="24"/>
        </w:rPr>
        <w:t xml:space="preserve">. This can be </w:t>
      </w:r>
      <w:r w:rsidR="00CB1E3A">
        <w:rPr>
          <w:rFonts w:ascii="Arial" w:hAnsi="Arial" w:cs="Arial"/>
          <w:sz w:val="24"/>
          <w:szCs w:val="24"/>
        </w:rPr>
        <w:t xml:space="preserve">illustrated with </w:t>
      </w:r>
      <w:r w:rsidR="00FC2B7D">
        <w:rPr>
          <w:rFonts w:ascii="Arial" w:hAnsi="Arial" w:cs="Arial"/>
          <w:sz w:val="24"/>
          <w:szCs w:val="24"/>
        </w:rPr>
        <w:t xml:space="preserve">R v Bunch </w:t>
      </w:r>
      <w:r w:rsidR="00F5168F">
        <w:rPr>
          <w:rFonts w:ascii="Arial" w:hAnsi="Arial" w:cs="Arial"/>
          <w:sz w:val="24"/>
          <w:szCs w:val="24"/>
        </w:rPr>
        <w:t>[2013] EWCA</w:t>
      </w:r>
      <w:r w:rsidR="002D5605">
        <w:rPr>
          <w:rFonts w:ascii="Arial" w:hAnsi="Arial" w:cs="Arial"/>
          <w:sz w:val="24"/>
          <w:szCs w:val="24"/>
        </w:rPr>
        <w:t xml:space="preserve"> Crim 2498.</w:t>
      </w:r>
      <w:r w:rsidR="00FF7C42">
        <w:rPr>
          <w:rFonts w:ascii="Arial" w:hAnsi="Arial" w:cs="Arial"/>
          <w:sz w:val="24"/>
          <w:szCs w:val="24"/>
        </w:rPr>
        <w:t xml:space="preserve"> </w:t>
      </w:r>
      <w:r w:rsidR="00086FFF">
        <w:rPr>
          <w:rFonts w:ascii="Arial" w:hAnsi="Arial" w:cs="Arial"/>
          <w:sz w:val="24"/>
          <w:szCs w:val="24"/>
        </w:rPr>
        <w:t>Despite</w:t>
      </w:r>
      <w:r w:rsidR="00774C67">
        <w:rPr>
          <w:rFonts w:ascii="Arial" w:hAnsi="Arial" w:cs="Arial"/>
          <w:sz w:val="24"/>
          <w:szCs w:val="24"/>
        </w:rPr>
        <w:t xml:space="preserve"> </w:t>
      </w:r>
      <w:r w:rsidR="00086FFF">
        <w:rPr>
          <w:rFonts w:ascii="Arial" w:hAnsi="Arial" w:cs="Arial"/>
          <w:sz w:val="24"/>
          <w:szCs w:val="24"/>
        </w:rPr>
        <w:t xml:space="preserve">the fact that this </w:t>
      </w:r>
      <w:r w:rsidR="008F3286">
        <w:rPr>
          <w:rFonts w:ascii="Arial" w:hAnsi="Arial" w:cs="Arial"/>
          <w:sz w:val="24"/>
          <w:szCs w:val="24"/>
        </w:rPr>
        <w:t>requirement</w:t>
      </w:r>
      <w:r w:rsidR="00086FFF">
        <w:rPr>
          <w:rFonts w:ascii="Arial" w:hAnsi="Arial" w:cs="Arial"/>
          <w:sz w:val="24"/>
          <w:szCs w:val="24"/>
        </w:rPr>
        <w:t xml:space="preserve"> </w:t>
      </w:r>
      <w:r w:rsidR="00764BC9">
        <w:rPr>
          <w:rFonts w:ascii="Arial" w:hAnsi="Arial" w:cs="Arial"/>
          <w:sz w:val="24"/>
          <w:szCs w:val="24"/>
        </w:rPr>
        <w:t xml:space="preserve">requires </w:t>
      </w:r>
      <w:r w:rsidR="00BE7DEE">
        <w:rPr>
          <w:rFonts w:ascii="Arial" w:hAnsi="Arial" w:cs="Arial"/>
          <w:sz w:val="24"/>
          <w:szCs w:val="24"/>
        </w:rPr>
        <w:t>a medical expert’s</w:t>
      </w:r>
      <w:r w:rsidR="00544525">
        <w:rPr>
          <w:rFonts w:ascii="Arial" w:hAnsi="Arial" w:cs="Arial"/>
          <w:sz w:val="24"/>
          <w:szCs w:val="24"/>
        </w:rPr>
        <w:t xml:space="preserve"> evaluation</w:t>
      </w:r>
      <w:r w:rsidR="00671931">
        <w:rPr>
          <w:rFonts w:ascii="Arial" w:hAnsi="Arial" w:cs="Arial"/>
          <w:sz w:val="24"/>
          <w:szCs w:val="24"/>
        </w:rPr>
        <w:t xml:space="preserve">, </w:t>
      </w:r>
      <w:r w:rsidR="00270EB9">
        <w:rPr>
          <w:rFonts w:ascii="Arial" w:hAnsi="Arial" w:cs="Arial"/>
          <w:sz w:val="24"/>
          <w:szCs w:val="24"/>
        </w:rPr>
        <w:t xml:space="preserve">the court saves its right to </w:t>
      </w:r>
      <w:r w:rsidR="00100C01">
        <w:rPr>
          <w:rFonts w:ascii="Arial" w:hAnsi="Arial" w:cs="Arial"/>
          <w:sz w:val="24"/>
          <w:szCs w:val="24"/>
        </w:rPr>
        <w:t xml:space="preserve">decide whether </w:t>
      </w:r>
      <w:r w:rsidR="00A76825">
        <w:rPr>
          <w:rFonts w:ascii="Arial" w:hAnsi="Arial" w:cs="Arial"/>
          <w:sz w:val="24"/>
          <w:szCs w:val="24"/>
        </w:rPr>
        <w:t>a condition carries a culpability reduc</w:t>
      </w:r>
      <w:r w:rsidR="00AF3EA5">
        <w:rPr>
          <w:rFonts w:ascii="Arial" w:hAnsi="Arial" w:cs="Arial"/>
          <w:sz w:val="24"/>
          <w:szCs w:val="24"/>
        </w:rPr>
        <w:t>ing value</w:t>
      </w:r>
      <w:r w:rsidR="002D4CB5">
        <w:rPr>
          <w:rFonts w:ascii="Arial" w:hAnsi="Arial" w:cs="Arial"/>
          <w:sz w:val="24"/>
          <w:szCs w:val="24"/>
        </w:rPr>
        <w:t xml:space="preserve"> (</w:t>
      </w:r>
      <w:r w:rsidR="000A76A6">
        <w:rPr>
          <w:rFonts w:ascii="Arial" w:hAnsi="Arial" w:cs="Arial"/>
          <w:sz w:val="24"/>
          <w:szCs w:val="24"/>
        </w:rPr>
        <w:t>Fortson</w:t>
      </w:r>
      <w:r w:rsidR="00BF19CA">
        <w:rPr>
          <w:rFonts w:ascii="Arial" w:hAnsi="Arial" w:cs="Arial"/>
          <w:sz w:val="24"/>
          <w:szCs w:val="24"/>
        </w:rPr>
        <w:t xml:space="preserve">, 2018, </w:t>
      </w:r>
      <w:r w:rsidR="00A30ED9">
        <w:rPr>
          <w:rFonts w:ascii="Arial" w:hAnsi="Arial" w:cs="Arial"/>
          <w:sz w:val="24"/>
          <w:szCs w:val="24"/>
        </w:rPr>
        <w:t>p. 110</w:t>
      </w:r>
      <w:r w:rsidR="002D4CB5">
        <w:rPr>
          <w:rFonts w:ascii="Arial" w:hAnsi="Arial" w:cs="Arial"/>
          <w:sz w:val="24"/>
          <w:szCs w:val="24"/>
        </w:rPr>
        <w:t>)</w:t>
      </w:r>
      <w:r w:rsidR="00A30ED9">
        <w:rPr>
          <w:rFonts w:ascii="Arial" w:hAnsi="Arial" w:cs="Arial"/>
          <w:sz w:val="24"/>
          <w:szCs w:val="24"/>
        </w:rPr>
        <w:t>.</w:t>
      </w:r>
      <w:r w:rsidR="001B22BB">
        <w:rPr>
          <w:rFonts w:ascii="Arial" w:hAnsi="Arial" w:cs="Arial"/>
          <w:sz w:val="24"/>
          <w:szCs w:val="24"/>
        </w:rPr>
        <w:t xml:space="preserve"> For example, in </w:t>
      </w:r>
      <w:r w:rsidR="00EE4563">
        <w:rPr>
          <w:rFonts w:ascii="Arial" w:hAnsi="Arial" w:cs="Arial"/>
          <w:sz w:val="24"/>
          <w:szCs w:val="24"/>
        </w:rPr>
        <w:t>R v Dowds</w:t>
      </w:r>
      <w:r w:rsidR="00B85626">
        <w:rPr>
          <w:rFonts w:ascii="Arial" w:hAnsi="Arial" w:cs="Arial"/>
          <w:sz w:val="24"/>
          <w:szCs w:val="24"/>
        </w:rPr>
        <w:t xml:space="preserve"> </w:t>
      </w:r>
      <w:r w:rsidR="00CC235F">
        <w:rPr>
          <w:rFonts w:ascii="Arial" w:hAnsi="Arial" w:cs="Arial"/>
          <w:sz w:val="24"/>
          <w:szCs w:val="24"/>
        </w:rPr>
        <w:t>[2012]</w:t>
      </w:r>
      <w:r w:rsidR="0013573A">
        <w:rPr>
          <w:rFonts w:ascii="Arial" w:hAnsi="Arial" w:cs="Arial"/>
          <w:sz w:val="24"/>
          <w:szCs w:val="24"/>
        </w:rPr>
        <w:t xml:space="preserve"> EWCA Crim 281</w:t>
      </w:r>
      <w:r w:rsidR="00310907">
        <w:rPr>
          <w:rFonts w:ascii="Arial" w:hAnsi="Arial" w:cs="Arial"/>
          <w:sz w:val="24"/>
          <w:szCs w:val="24"/>
        </w:rPr>
        <w:t xml:space="preserve"> the </w:t>
      </w:r>
      <w:r w:rsidR="00623353">
        <w:rPr>
          <w:rFonts w:ascii="Arial" w:hAnsi="Arial" w:cs="Arial"/>
          <w:sz w:val="24"/>
          <w:szCs w:val="24"/>
        </w:rPr>
        <w:t>Defendant</w:t>
      </w:r>
      <w:r w:rsidR="00310907">
        <w:rPr>
          <w:rFonts w:ascii="Arial" w:hAnsi="Arial" w:cs="Arial"/>
          <w:sz w:val="24"/>
          <w:szCs w:val="24"/>
        </w:rPr>
        <w:t xml:space="preserve"> </w:t>
      </w:r>
      <w:r w:rsidR="00C44524">
        <w:rPr>
          <w:rFonts w:ascii="Arial" w:hAnsi="Arial" w:cs="Arial"/>
          <w:sz w:val="24"/>
          <w:szCs w:val="24"/>
        </w:rPr>
        <w:t>sought to rely on</w:t>
      </w:r>
      <w:r w:rsidR="00310907">
        <w:rPr>
          <w:rFonts w:ascii="Arial" w:hAnsi="Arial" w:cs="Arial"/>
          <w:sz w:val="24"/>
          <w:szCs w:val="24"/>
        </w:rPr>
        <w:t xml:space="preserve"> </w:t>
      </w:r>
      <w:r w:rsidR="00623353">
        <w:rPr>
          <w:rFonts w:ascii="Arial" w:hAnsi="Arial" w:cs="Arial"/>
          <w:sz w:val="24"/>
          <w:szCs w:val="24"/>
        </w:rPr>
        <w:t>Diminished Responsibility</w:t>
      </w:r>
      <w:r w:rsidR="00D755C7">
        <w:rPr>
          <w:rFonts w:ascii="Arial" w:hAnsi="Arial" w:cs="Arial"/>
          <w:sz w:val="24"/>
          <w:szCs w:val="24"/>
        </w:rPr>
        <w:t xml:space="preserve"> Defence</w:t>
      </w:r>
      <w:r w:rsidR="00623353">
        <w:rPr>
          <w:rFonts w:ascii="Arial" w:hAnsi="Arial" w:cs="Arial"/>
          <w:sz w:val="24"/>
          <w:szCs w:val="24"/>
        </w:rPr>
        <w:t xml:space="preserve">, </w:t>
      </w:r>
      <w:r w:rsidR="0073461E">
        <w:rPr>
          <w:rFonts w:ascii="Arial" w:hAnsi="Arial" w:cs="Arial"/>
          <w:sz w:val="24"/>
          <w:szCs w:val="24"/>
        </w:rPr>
        <w:t xml:space="preserve">because in the time of the killing he was heavily intoxicated and Acute Intoxication </w:t>
      </w:r>
      <w:r w:rsidR="00C159B5">
        <w:rPr>
          <w:rFonts w:ascii="Arial" w:hAnsi="Arial" w:cs="Arial"/>
          <w:sz w:val="24"/>
          <w:szCs w:val="24"/>
        </w:rPr>
        <w:t xml:space="preserve">appears in the list of WHO’s </w:t>
      </w:r>
      <w:r w:rsidR="00DE5EEC">
        <w:rPr>
          <w:rFonts w:ascii="Arial" w:hAnsi="Arial" w:cs="Arial"/>
          <w:sz w:val="24"/>
          <w:szCs w:val="24"/>
        </w:rPr>
        <w:t xml:space="preserve">International Statistical Classification </w:t>
      </w:r>
      <w:r w:rsidR="000B0651">
        <w:rPr>
          <w:rFonts w:ascii="Arial" w:hAnsi="Arial" w:cs="Arial"/>
          <w:sz w:val="24"/>
          <w:szCs w:val="24"/>
        </w:rPr>
        <w:t>of Diseases</w:t>
      </w:r>
      <w:r w:rsidR="00FD0EBC">
        <w:rPr>
          <w:rFonts w:ascii="Arial" w:hAnsi="Arial" w:cs="Arial"/>
          <w:sz w:val="24"/>
          <w:szCs w:val="24"/>
        </w:rPr>
        <w:t xml:space="preserve"> and this classifies it as a recognised medical </w:t>
      </w:r>
      <w:r w:rsidR="009662D2">
        <w:rPr>
          <w:rFonts w:ascii="Arial" w:hAnsi="Arial" w:cs="Arial"/>
          <w:sz w:val="24"/>
          <w:szCs w:val="24"/>
        </w:rPr>
        <w:t>condition.</w:t>
      </w:r>
      <w:r w:rsidR="00D755C7">
        <w:rPr>
          <w:rFonts w:ascii="Arial" w:hAnsi="Arial" w:cs="Arial"/>
          <w:sz w:val="24"/>
          <w:szCs w:val="24"/>
        </w:rPr>
        <w:t xml:space="preserve"> </w:t>
      </w:r>
      <w:r w:rsidR="002E63CA">
        <w:rPr>
          <w:rFonts w:ascii="Arial" w:hAnsi="Arial" w:cs="Arial"/>
          <w:sz w:val="24"/>
          <w:szCs w:val="24"/>
        </w:rPr>
        <w:t xml:space="preserve">The court dismissed the appeal </w:t>
      </w:r>
      <w:r w:rsidR="000B452B">
        <w:rPr>
          <w:rFonts w:ascii="Arial" w:hAnsi="Arial" w:cs="Arial"/>
          <w:sz w:val="24"/>
          <w:szCs w:val="24"/>
        </w:rPr>
        <w:t xml:space="preserve">as it was </w:t>
      </w:r>
      <w:r w:rsidR="00DC5E7D">
        <w:rPr>
          <w:rFonts w:ascii="Arial" w:hAnsi="Arial" w:cs="Arial"/>
          <w:sz w:val="24"/>
          <w:szCs w:val="24"/>
        </w:rPr>
        <w:t xml:space="preserve">established that voluntary drinking </w:t>
      </w:r>
      <w:r w:rsidR="00846D96">
        <w:rPr>
          <w:rFonts w:ascii="Arial" w:hAnsi="Arial" w:cs="Arial"/>
          <w:sz w:val="24"/>
          <w:szCs w:val="24"/>
        </w:rPr>
        <w:t xml:space="preserve">is not sufficient reason for someone to rely </w:t>
      </w:r>
      <w:r w:rsidR="004909F9">
        <w:rPr>
          <w:rFonts w:ascii="Arial" w:hAnsi="Arial" w:cs="Arial"/>
          <w:sz w:val="24"/>
          <w:szCs w:val="24"/>
        </w:rPr>
        <w:t xml:space="preserve">on the Diminished Responsibility </w:t>
      </w:r>
      <w:r w:rsidR="00C11C03">
        <w:rPr>
          <w:rFonts w:ascii="Arial" w:hAnsi="Arial" w:cs="Arial"/>
          <w:sz w:val="24"/>
          <w:szCs w:val="24"/>
        </w:rPr>
        <w:t>Partial Defence</w:t>
      </w:r>
      <w:r w:rsidR="000674A3">
        <w:rPr>
          <w:rFonts w:ascii="Arial" w:hAnsi="Arial" w:cs="Arial"/>
          <w:sz w:val="24"/>
          <w:szCs w:val="24"/>
        </w:rPr>
        <w:t xml:space="preserve"> (England and Wales Court of Appeal, </w:t>
      </w:r>
      <w:r w:rsidR="006C607F">
        <w:rPr>
          <w:rFonts w:ascii="Arial" w:hAnsi="Arial" w:cs="Arial"/>
          <w:sz w:val="24"/>
          <w:szCs w:val="24"/>
        </w:rPr>
        <w:t>2012</w:t>
      </w:r>
      <w:r w:rsidR="000674A3">
        <w:rPr>
          <w:rFonts w:ascii="Arial" w:hAnsi="Arial" w:cs="Arial"/>
          <w:sz w:val="24"/>
          <w:szCs w:val="24"/>
        </w:rPr>
        <w:t>)</w:t>
      </w:r>
      <w:r w:rsidR="006C607F">
        <w:rPr>
          <w:rFonts w:ascii="Arial" w:hAnsi="Arial" w:cs="Arial"/>
          <w:sz w:val="24"/>
          <w:szCs w:val="24"/>
        </w:rPr>
        <w:t>.</w:t>
      </w:r>
      <w:r w:rsidR="00D67AE6">
        <w:rPr>
          <w:rFonts w:ascii="Arial" w:hAnsi="Arial" w:cs="Arial"/>
          <w:sz w:val="24"/>
          <w:szCs w:val="24"/>
        </w:rPr>
        <w:t xml:space="preserve"> Crofts and Wake (2021) argue</w:t>
      </w:r>
      <w:r w:rsidR="00786341">
        <w:rPr>
          <w:rFonts w:ascii="Arial" w:hAnsi="Arial" w:cs="Arial"/>
          <w:sz w:val="24"/>
          <w:szCs w:val="24"/>
        </w:rPr>
        <w:t xml:space="preserve"> that </w:t>
      </w:r>
      <w:r w:rsidR="00757E19">
        <w:rPr>
          <w:rFonts w:ascii="Arial" w:hAnsi="Arial" w:cs="Arial"/>
          <w:sz w:val="24"/>
          <w:szCs w:val="24"/>
        </w:rPr>
        <w:t xml:space="preserve">although </w:t>
      </w:r>
      <w:r w:rsidR="00B845C7">
        <w:rPr>
          <w:rFonts w:ascii="Arial" w:hAnsi="Arial" w:cs="Arial"/>
          <w:sz w:val="24"/>
          <w:szCs w:val="24"/>
        </w:rPr>
        <w:t>the new law aim</w:t>
      </w:r>
      <w:r w:rsidR="00936730">
        <w:rPr>
          <w:rFonts w:ascii="Arial" w:hAnsi="Arial" w:cs="Arial"/>
          <w:sz w:val="24"/>
          <w:szCs w:val="24"/>
        </w:rPr>
        <w:t>ed</w:t>
      </w:r>
      <w:r w:rsidR="00B845C7">
        <w:rPr>
          <w:rFonts w:ascii="Arial" w:hAnsi="Arial" w:cs="Arial"/>
          <w:sz w:val="24"/>
          <w:szCs w:val="24"/>
        </w:rPr>
        <w:t xml:space="preserve"> to establish medical</w:t>
      </w:r>
      <w:r w:rsidR="00A05486">
        <w:rPr>
          <w:rFonts w:ascii="Arial" w:hAnsi="Arial" w:cs="Arial"/>
          <w:sz w:val="24"/>
          <w:szCs w:val="24"/>
        </w:rPr>
        <w:t xml:space="preserve">ly </w:t>
      </w:r>
      <w:r w:rsidR="00A05486">
        <w:rPr>
          <w:rFonts w:ascii="Arial" w:hAnsi="Arial" w:cs="Arial"/>
          <w:sz w:val="24"/>
          <w:szCs w:val="24"/>
        </w:rPr>
        <w:lastRenderedPageBreak/>
        <w:t xml:space="preserve">grounded </w:t>
      </w:r>
      <w:r w:rsidR="00EE3979">
        <w:rPr>
          <w:rFonts w:ascii="Arial" w:hAnsi="Arial" w:cs="Arial"/>
          <w:sz w:val="24"/>
          <w:szCs w:val="24"/>
        </w:rPr>
        <w:t xml:space="preserve">defence it also created unclarity regarding </w:t>
      </w:r>
      <w:r w:rsidR="00936730">
        <w:rPr>
          <w:rFonts w:ascii="Arial" w:hAnsi="Arial" w:cs="Arial"/>
          <w:sz w:val="24"/>
          <w:szCs w:val="24"/>
        </w:rPr>
        <w:t xml:space="preserve">to </w:t>
      </w:r>
      <w:r w:rsidR="001671E4">
        <w:rPr>
          <w:rFonts w:ascii="Arial" w:hAnsi="Arial" w:cs="Arial"/>
          <w:sz w:val="24"/>
          <w:szCs w:val="24"/>
        </w:rPr>
        <w:t xml:space="preserve">when </w:t>
      </w:r>
      <w:r w:rsidR="00464CB9">
        <w:rPr>
          <w:rFonts w:ascii="Arial" w:hAnsi="Arial" w:cs="Arial"/>
          <w:sz w:val="24"/>
          <w:szCs w:val="24"/>
        </w:rPr>
        <w:t xml:space="preserve">the decision </w:t>
      </w:r>
      <w:r w:rsidR="00AC7A2A">
        <w:rPr>
          <w:rFonts w:ascii="Arial" w:hAnsi="Arial" w:cs="Arial"/>
          <w:sz w:val="24"/>
          <w:szCs w:val="24"/>
        </w:rPr>
        <w:t>will be considered</w:t>
      </w:r>
      <w:r w:rsidR="003D4D82">
        <w:rPr>
          <w:rFonts w:ascii="Arial" w:hAnsi="Arial" w:cs="Arial"/>
          <w:sz w:val="24"/>
          <w:szCs w:val="24"/>
        </w:rPr>
        <w:t xml:space="preserve"> more</w:t>
      </w:r>
      <w:r w:rsidR="001513F9">
        <w:rPr>
          <w:rFonts w:ascii="Arial" w:hAnsi="Arial" w:cs="Arial"/>
          <w:sz w:val="24"/>
          <w:szCs w:val="24"/>
        </w:rPr>
        <w:t xml:space="preserve"> legal</w:t>
      </w:r>
      <w:r w:rsidR="002A3BCA">
        <w:rPr>
          <w:rFonts w:ascii="Arial" w:hAnsi="Arial" w:cs="Arial"/>
          <w:sz w:val="24"/>
          <w:szCs w:val="24"/>
        </w:rPr>
        <w:t>ly</w:t>
      </w:r>
      <w:r w:rsidR="001513F9">
        <w:rPr>
          <w:rFonts w:ascii="Arial" w:hAnsi="Arial" w:cs="Arial"/>
          <w:sz w:val="24"/>
          <w:szCs w:val="24"/>
        </w:rPr>
        <w:t xml:space="preserve"> </w:t>
      </w:r>
      <w:r w:rsidR="00AB44AB">
        <w:rPr>
          <w:rFonts w:ascii="Arial" w:hAnsi="Arial" w:cs="Arial"/>
          <w:sz w:val="24"/>
          <w:szCs w:val="24"/>
        </w:rPr>
        <w:t>rather than medical</w:t>
      </w:r>
      <w:r w:rsidR="002A3BCA">
        <w:rPr>
          <w:rFonts w:ascii="Arial" w:hAnsi="Arial" w:cs="Arial"/>
          <w:sz w:val="24"/>
          <w:szCs w:val="24"/>
        </w:rPr>
        <w:t>ly</w:t>
      </w:r>
      <w:r w:rsidR="003E7002">
        <w:rPr>
          <w:rFonts w:ascii="Arial" w:hAnsi="Arial" w:cs="Arial"/>
          <w:sz w:val="24"/>
          <w:szCs w:val="24"/>
        </w:rPr>
        <w:t xml:space="preserve"> manner</w:t>
      </w:r>
      <w:r w:rsidR="00AB44AB">
        <w:rPr>
          <w:rFonts w:ascii="Arial" w:hAnsi="Arial" w:cs="Arial"/>
          <w:sz w:val="24"/>
          <w:szCs w:val="24"/>
        </w:rPr>
        <w:t>.</w:t>
      </w:r>
      <w:r w:rsidR="00D33E41">
        <w:rPr>
          <w:rFonts w:ascii="Arial" w:hAnsi="Arial" w:cs="Arial"/>
          <w:sz w:val="24"/>
          <w:szCs w:val="24"/>
        </w:rPr>
        <w:t xml:space="preserve"> </w:t>
      </w:r>
      <w:r w:rsidR="00AE4E70">
        <w:rPr>
          <w:rFonts w:ascii="Arial" w:hAnsi="Arial" w:cs="Arial"/>
          <w:sz w:val="24"/>
          <w:szCs w:val="24"/>
        </w:rPr>
        <w:t>In another article Wake</w:t>
      </w:r>
      <w:r w:rsidR="003E3F30">
        <w:rPr>
          <w:rFonts w:ascii="Arial" w:hAnsi="Arial" w:cs="Arial"/>
          <w:sz w:val="24"/>
          <w:szCs w:val="24"/>
        </w:rPr>
        <w:t xml:space="preserve"> (2012)</w:t>
      </w:r>
      <w:r w:rsidR="00AE4E70">
        <w:rPr>
          <w:rFonts w:ascii="Arial" w:hAnsi="Arial" w:cs="Arial"/>
          <w:sz w:val="24"/>
          <w:szCs w:val="24"/>
        </w:rPr>
        <w:t xml:space="preserve"> claims that </w:t>
      </w:r>
      <w:r w:rsidR="00F2428E">
        <w:rPr>
          <w:rFonts w:ascii="Arial" w:hAnsi="Arial" w:cs="Arial"/>
          <w:sz w:val="24"/>
          <w:szCs w:val="24"/>
        </w:rPr>
        <w:t xml:space="preserve">the main reason </w:t>
      </w:r>
      <w:r w:rsidR="009A6538">
        <w:rPr>
          <w:rFonts w:ascii="Arial" w:hAnsi="Arial" w:cs="Arial"/>
          <w:sz w:val="24"/>
          <w:szCs w:val="24"/>
        </w:rPr>
        <w:t xml:space="preserve">for </w:t>
      </w:r>
      <w:r w:rsidR="001159AF">
        <w:rPr>
          <w:rFonts w:ascii="Arial" w:hAnsi="Arial" w:cs="Arial"/>
          <w:sz w:val="24"/>
          <w:szCs w:val="24"/>
        </w:rPr>
        <w:t xml:space="preserve">the exact wording in the </w:t>
      </w:r>
      <w:r w:rsidR="00495AC7">
        <w:rPr>
          <w:rFonts w:ascii="Arial" w:hAnsi="Arial" w:cs="Arial"/>
          <w:sz w:val="24"/>
          <w:szCs w:val="24"/>
        </w:rPr>
        <w:t>first requirement</w:t>
      </w:r>
      <w:r w:rsidR="007259B8">
        <w:rPr>
          <w:rFonts w:ascii="Arial" w:hAnsi="Arial" w:cs="Arial"/>
          <w:sz w:val="24"/>
          <w:szCs w:val="24"/>
        </w:rPr>
        <w:t xml:space="preserve"> </w:t>
      </w:r>
      <w:r w:rsidR="00BE7EBE">
        <w:rPr>
          <w:rFonts w:ascii="Arial" w:hAnsi="Arial" w:cs="Arial"/>
          <w:sz w:val="24"/>
          <w:szCs w:val="24"/>
        </w:rPr>
        <w:t xml:space="preserve">was meant to bring balance between </w:t>
      </w:r>
      <w:r w:rsidR="008C0D60">
        <w:rPr>
          <w:rFonts w:ascii="Arial" w:hAnsi="Arial" w:cs="Arial"/>
          <w:sz w:val="24"/>
          <w:szCs w:val="24"/>
        </w:rPr>
        <w:t>law and medical science</w:t>
      </w:r>
      <w:r w:rsidR="006A6BC4">
        <w:rPr>
          <w:rFonts w:ascii="Arial" w:hAnsi="Arial" w:cs="Arial"/>
          <w:sz w:val="24"/>
          <w:szCs w:val="24"/>
        </w:rPr>
        <w:t xml:space="preserve">, but allowing the </w:t>
      </w:r>
      <w:r w:rsidR="00406FDB">
        <w:rPr>
          <w:rFonts w:ascii="Arial" w:hAnsi="Arial" w:cs="Arial"/>
          <w:sz w:val="24"/>
          <w:szCs w:val="24"/>
        </w:rPr>
        <w:t>court</w:t>
      </w:r>
      <w:r w:rsidR="006A6BC4">
        <w:rPr>
          <w:rFonts w:ascii="Arial" w:hAnsi="Arial" w:cs="Arial"/>
          <w:sz w:val="24"/>
          <w:szCs w:val="24"/>
        </w:rPr>
        <w:t xml:space="preserve"> to decide </w:t>
      </w:r>
      <w:r w:rsidR="000D6AE1">
        <w:rPr>
          <w:rFonts w:ascii="Arial" w:hAnsi="Arial" w:cs="Arial"/>
          <w:sz w:val="24"/>
          <w:szCs w:val="24"/>
        </w:rPr>
        <w:t xml:space="preserve">which medical condition was worth </w:t>
      </w:r>
      <w:r w:rsidR="00487122">
        <w:rPr>
          <w:rFonts w:ascii="Arial" w:hAnsi="Arial" w:cs="Arial"/>
          <w:sz w:val="24"/>
          <w:szCs w:val="24"/>
        </w:rPr>
        <w:t>reducing the</w:t>
      </w:r>
      <w:r w:rsidR="0067416F">
        <w:rPr>
          <w:rFonts w:ascii="Arial" w:hAnsi="Arial" w:cs="Arial"/>
          <w:sz w:val="24"/>
          <w:szCs w:val="24"/>
        </w:rPr>
        <w:t xml:space="preserve"> defendant’s</w:t>
      </w:r>
      <w:r w:rsidR="00487122">
        <w:rPr>
          <w:rFonts w:ascii="Arial" w:hAnsi="Arial" w:cs="Arial"/>
          <w:sz w:val="24"/>
          <w:szCs w:val="24"/>
        </w:rPr>
        <w:t xml:space="preserve"> </w:t>
      </w:r>
      <w:r w:rsidR="0067416F">
        <w:rPr>
          <w:rFonts w:ascii="Arial" w:hAnsi="Arial" w:cs="Arial"/>
          <w:sz w:val="24"/>
          <w:szCs w:val="24"/>
        </w:rPr>
        <w:t xml:space="preserve">culpability </w:t>
      </w:r>
      <w:r w:rsidR="00984828">
        <w:rPr>
          <w:rFonts w:ascii="Arial" w:hAnsi="Arial" w:cs="Arial"/>
          <w:sz w:val="24"/>
          <w:szCs w:val="24"/>
        </w:rPr>
        <w:t>was doing the opposite.</w:t>
      </w:r>
    </w:p>
    <w:p w14:paraId="461F3066" w14:textId="214E8ECE" w:rsidR="00EE7A07" w:rsidRDefault="00F7286F" w:rsidP="00E920C1">
      <w:pPr>
        <w:tabs>
          <w:tab w:val="left" w:pos="6528"/>
        </w:tabs>
        <w:spacing w:line="360" w:lineRule="auto"/>
        <w:rPr>
          <w:rFonts w:ascii="Arial" w:hAnsi="Arial" w:cs="Arial"/>
          <w:sz w:val="24"/>
          <w:szCs w:val="24"/>
        </w:rPr>
      </w:pPr>
      <w:r>
        <w:rPr>
          <w:rFonts w:ascii="Arial" w:hAnsi="Arial" w:cs="Arial"/>
          <w:sz w:val="24"/>
          <w:szCs w:val="24"/>
        </w:rPr>
        <w:t xml:space="preserve">   </w:t>
      </w:r>
      <w:r w:rsidR="00D602A9">
        <w:rPr>
          <w:rFonts w:ascii="Arial" w:hAnsi="Arial" w:cs="Arial"/>
          <w:sz w:val="24"/>
          <w:szCs w:val="24"/>
        </w:rPr>
        <w:t xml:space="preserve">The second requirement is that </w:t>
      </w:r>
      <w:r w:rsidR="000F064B">
        <w:rPr>
          <w:rFonts w:ascii="Arial" w:hAnsi="Arial" w:cs="Arial"/>
          <w:sz w:val="24"/>
          <w:szCs w:val="24"/>
        </w:rPr>
        <w:t xml:space="preserve">the abnormality of mental functioning </w:t>
      </w:r>
      <w:r w:rsidR="000F064B" w:rsidRPr="000F064B">
        <w:rPr>
          <w:rFonts w:ascii="Arial" w:hAnsi="Arial" w:cs="Arial"/>
          <w:i/>
          <w:iCs/>
          <w:sz w:val="24"/>
          <w:szCs w:val="24"/>
        </w:rPr>
        <w:t>“substantially impaired D’s ability to do one or more of the things mentioned in subsection (1A)</w:t>
      </w:r>
      <w:r w:rsidR="00FE2F61">
        <w:rPr>
          <w:rFonts w:ascii="Arial" w:hAnsi="Arial" w:cs="Arial"/>
          <w:i/>
          <w:iCs/>
          <w:sz w:val="24"/>
          <w:szCs w:val="24"/>
        </w:rPr>
        <w:t>, where those things are:</w:t>
      </w:r>
      <w:r w:rsidR="00380407">
        <w:rPr>
          <w:rFonts w:ascii="Arial" w:hAnsi="Arial" w:cs="Arial"/>
          <w:i/>
          <w:iCs/>
          <w:sz w:val="24"/>
          <w:szCs w:val="24"/>
        </w:rPr>
        <w:t xml:space="preserve"> </w:t>
      </w:r>
      <w:r w:rsidR="00FE2F61" w:rsidRPr="00D35B7C">
        <w:rPr>
          <w:rFonts w:ascii="Arial" w:hAnsi="Arial" w:cs="Arial"/>
          <w:i/>
          <w:iCs/>
          <w:sz w:val="24"/>
          <w:szCs w:val="24"/>
        </w:rPr>
        <w:t>to understand the nature of D’s conduct,</w:t>
      </w:r>
      <w:r w:rsidR="00380407">
        <w:rPr>
          <w:rFonts w:ascii="Arial" w:hAnsi="Arial" w:cs="Arial"/>
          <w:sz w:val="24"/>
          <w:szCs w:val="24"/>
        </w:rPr>
        <w:t xml:space="preserve"> </w:t>
      </w:r>
      <w:r w:rsidR="00FE2F61" w:rsidRPr="00D35B7C">
        <w:rPr>
          <w:rFonts w:ascii="Arial" w:hAnsi="Arial" w:cs="Arial"/>
          <w:i/>
          <w:iCs/>
          <w:sz w:val="24"/>
          <w:szCs w:val="24"/>
        </w:rPr>
        <w:t>to form a rationale judgement,</w:t>
      </w:r>
      <w:r w:rsidR="00380407">
        <w:rPr>
          <w:rFonts w:ascii="Arial" w:hAnsi="Arial" w:cs="Arial"/>
          <w:sz w:val="24"/>
          <w:szCs w:val="24"/>
        </w:rPr>
        <w:t xml:space="preserve"> </w:t>
      </w:r>
      <w:r w:rsidR="00FE2F61" w:rsidRPr="00D35B7C">
        <w:rPr>
          <w:rFonts w:ascii="Arial" w:hAnsi="Arial" w:cs="Arial"/>
          <w:i/>
          <w:iCs/>
          <w:sz w:val="24"/>
          <w:szCs w:val="24"/>
        </w:rPr>
        <w:t>to exercise self-control</w:t>
      </w:r>
      <w:r w:rsidR="001B2F50" w:rsidRPr="00D35B7C">
        <w:rPr>
          <w:rFonts w:ascii="Arial" w:hAnsi="Arial" w:cs="Arial"/>
          <w:i/>
          <w:iCs/>
          <w:sz w:val="24"/>
          <w:szCs w:val="24"/>
        </w:rPr>
        <w:t>”</w:t>
      </w:r>
      <w:r w:rsidR="00380407">
        <w:rPr>
          <w:rFonts w:ascii="Arial" w:hAnsi="Arial" w:cs="Arial"/>
          <w:i/>
          <w:iCs/>
          <w:sz w:val="24"/>
          <w:szCs w:val="24"/>
        </w:rPr>
        <w:t xml:space="preserve"> </w:t>
      </w:r>
      <w:r w:rsidR="00BC110D">
        <w:rPr>
          <w:rFonts w:ascii="Arial" w:hAnsi="Arial" w:cs="Arial"/>
          <w:sz w:val="24"/>
          <w:szCs w:val="24"/>
        </w:rPr>
        <w:t>(</w:t>
      </w:r>
      <w:r w:rsidR="00547DF3" w:rsidRPr="003E6AFA">
        <w:rPr>
          <w:rFonts w:ascii="Arial" w:hAnsi="Arial" w:cs="Arial"/>
          <w:sz w:val="24"/>
          <w:szCs w:val="24"/>
        </w:rPr>
        <w:t>Coroners and Justice Act</w:t>
      </w:r>
      <w:r w:rsidR="003E6AFA" w:rsidRPr="003E6AFA">
        <w:rPr>
          <w:rFonts w:ascii="Arial" w:hAnsi="Arial" w:cs="Arial"/>
          <w:sz w:val="24"/>
          <w:szCs w:val="24"/>
        </w:rPr>
        <w:t>,</w:t>
      </w:r>
      <w:r w:rsidR="00547DF3" w:rsidRPr="003E6AFA">
        <w:rPr>
          <w:rFonts w:ascii="Arial" w:hAnsi="Arial" w:cs="Arial"/>
          <w:sz w:val="24"/>
          <w:szCs w:val="24"/>
        </w:rPr>
        <w:t xml:space="preserve"> 2009)</w:t>
      </w:r>
      <w:r w:rsidR="00E920C1">
        <w:rPr>
          <w:rFonts w:ascii="Arial" w:hAnsi="Arial" w:cs="Arial"/>
          <w:sz w:val="24"/>
          <w:szCs w:val="24"/>
        </w:rPr>
        <w:t xml:space="preserve">. </w:t>
      </w:r>
      <w:r w:rsidR="00467B2C">
        <w:rPr>
          <w:rFonts w:ascii="Arial" w:hAnsi="Arial" w:cs="Arial"/>
          <w:sz w:val="24"/>
          <w:szCs w:val="24"/>
        </w:rPr>
        <w:t>In comparison with the old law, which according to the Law Commission</w:t>
      </w:r>
      <w:r w:rsidR="00FA1952">
        <w:rPr>
          <w:rFonts w:ascii="Arial" w:hAnsi="Arial" w:cs="Arial"/>
          <w:sz w:val="24"/>
          <w:szCs w:val="24"/>
        </w:rPr>
        <w:t xml:space="preserve"> (2009)</w:t>
      </w:r>
      <w:r w:rsidR="00467B2C">
        <w:rPr>
          <w:rFonts w:ascii="Arial" w:hAnsi="Arial" w:cs="Arial"/>
          <w:sz w:val="24"/>
          <w:szCs w:val="24"/>
        </w:rPr>
        <w:t xml:space="preserve"> was unclear</w:t>
      </w:r>
      <w:r w:rsidR="002A6857">
        <w:rPr>
          <w:rFonts w:ascii="Arial" w:hAnsi="Arial" w:cs="Arial"/>
          <w:sz w:val="24"/>
          <w:szCs w:val="24"/>
        </w:rPr>
        <w:t>,</w:t>
      </w:r>
      <w:r w:rsidR="00467B2C">
        <w:rPr>
          <w:rFonts w:ascii="Arial" w:hAnsi="Arial" w:cs="Arial"/>
          <w:sz w:val="24"/>
          <w:szCs w:val="24"/>
        </w:rPr>
        <w:t xml:space="preserve"> </w:t>
      </w:r>
      <w:r w:rsidR="002A6857">
        <w:rPr>
          <w:rFonts w:ascii="Arial" w:hAnsi="Arial" w:cs="Arial"/>
          <w:sz w:val="24"/>
          <w:szCs w:val="24"/>
        </w:rPr>
        <w:t>the</w:t>
      </w:r>
      <w:r w:rsidR="001B2F50">
        <w:rPr>
          <w:rFonts w:ascii="Arial" w:hAnsi="Arial" w:cs="Arial"/>
          <w:sz w:val="24"/>
          <w:szCs w:val="24"/>
        </w:rPr>
        <w:t xml:space="preserve"> wording </w:t>
      </w:r>
      <w:r w:rsidR="002A6857">
        <w:rPr>
          <w:rFonts w:ascii="Arial" w:hAnsi="Arial" w:cs="Arial"/>
          <w:sz w:val="24"/>
          <w:szCs w:val="24"/>
        </w:rPr>
        <w:t xml:space="preserve">in the new law </w:t>
      </w:r>
      <w:r w:rsidR="001B2F50">
        <w:rPr>
          <w:rFonts w:ascii="Arial" w:hAnsi="Arial" w:cs="Arial"/>
          <w:sz w:val="24"/>
          <w:szCs w:val="24"/>
        </w:rPr>
        <w:t xml:space="preserve">explains in a wider </w:t>
      </w:r>
      <w:r w:rsidR="00467B2C">
        <w:rPr>
          <w:rFonts w:ascii="Arial" w:hAnsi="Arial" w:cs="Arial"/>
          <w:sz w:val="24"/>
          <w:szCs w:val="24"/>
        </w:rPr>
        <w:t>manner exactly how the Defendant</w:t>
      </w:r>
      <w:r w:rsidR="002A6857">
        <w:rPr>
          <w:rFonts w:ascii="Arial" w:hAnsi="Arial" w:cs="Arial"/>
          <w:sz w:val="24"/>
          <w:szCs w:val="24"/>
        </w:rPr>
        <w:t>’s mental functioning could affect them and decrease their culpability.</w:t>
      </w:r>
      <w:r w:rsidR="00774C67">
        <w:rPr>
          <w:rFonts w:ascii="Arial" w:hAnsi="Arial" w:cs="Arial"/>
          <w:sz w:val="24"/>
          <w:szCs w:val="24"/>
        </w:rPr>
        <w:t xml:space="preserve"> </w:t>
      </w:r>
      <w:r w:rsidR="002D4DE1">
        <w:rPr>
          <w:rFonts w:ascii="Arial" w:hAnsi="Arial" w:cs="Arial"/>
          <w:sz w:val="24"/>
          <w:szCs w:val="24"/>
        </w:rPr>
        <w:t>MacDonald (2018)</w:t>
      </w:r>
      <w:r w:rsidR="003C1266">
        <w:rPr>
          <w:rFonts w:ascii="Arial" w:hAnsi="Arial" w:cs="Arial"/>
          <w:sz w:val="24"/>
          <w:szCs w:val="24"/>
        </w:rPr>
        <w:t xml:space="preserve"> explains </w:t>
      </w:r>
      <w:r w:rsidR="0065247B">
        <w:rPr>
          <w:rFonts w:ascii="Arial" w:hAnsi="Arial" w:cs="Arial"/>
          <w:sz w:val="24"/>
          <w:szCs w:val="24"/>
        </w:rPr>
        <w:t xml:space="preserve">what </w:t>
      </w:r>
      <w:r w:rsidR="00A41204">
        <w:rPr>
          <w:rFonts w:ascii="Arial" w:hAnsi="Arial" w:cs="Arial"/>
          <w:sz w:val="24"/>
          <w:szCs w:val="24"/>
        </w:rPr>
        <w:t xml:space="preserve">are these three abilities that have to be </w:t>
      </w:r>
      <w:r w:rsidR="000426E9">
        <w:rPr>
          <w:rFonts w:ascii="Arial" w:hAnsi="Arial" w:cs="Arial"/>
          <w:sz w:val="24"/>
          <w:szCs w:val="24"/>
        </w:rPr>
        <w:t>“</w:t>
      </w:r>
      <w:r w:rsidR="00514A0E">
        <w:rPr>
          <w:rFonts w:ascii="Arial" w:hAnsi="Arial" w:cs="Arial"/>
          <w:i/>
          <w:iCs/>
          <w:sz w:val="24"/>
          <w:szCs w:val="24"/>
        </w:rPr>
        <w:t xml:space="preserve">substantially impaired”. </w:t>
      </w:r>
      <w:r w:rsidR="00A41C6D">
        <w:rPr>
          <w:rFonts w:ascii="Arial" w:hAnsi="Arial" w:cs="Arial"/>
          <w:sz w:val="24"/>
          <w:szCs w:val="24"/>
        </w:rPr>
        <w:t>In t</w:t>
      </w:r>
      <w:r w:rsidR="00586DBF">
        <w:rPr>
          <w:rFonts w:ascii="Arial" w:hAnsi="Arial" w:cs="Arial"/>
          <w:sz w:val="24"/>
          <w:szCs w:val="24"/>
        </w:rPr>
        <w:t>he first one “</w:t>
      </w:r>
      <w:r w:rsidR="009430C2" w:rsidRPr="00C4485B">
        <w:rPr>
          <w:rFonts w:ascii="Arial" w:hAnsi="Arial" w:cs="Arial"/>
          <w:i/>
          <w:iCs/>
          <w:sz w:val="24"/>
          <w:szCs w:val="24"/>
        </w:rPr>
        <w:t>to underst</w:t>
      </w:r>
      <w:r w:rsidR="00A810A9" w:rsidRPr="00C4485B">
        <w:rPr>
          <w:rFonts w:ascii="Arial" w:hAnsi="Arial" w:cs="Arial"/>
          <w:i/>
          <w:iCs/>
          <w:sz w:val="24"/>
          <w:szCs w:val="24"/>
        </w:rPr>
        <w:t>and the nature of D</w:t>
      </w:r>
      <w:r w:rsidR="004E25F2" w:rsidRPr="00C4485B">
        <w:rPr>
          <w:rFonts w:ascii="Arial" w:hAnsi="Arial" w:cs="Arial"/>
          <w:i/>
          <w:iCs/>
          <w:sz w:val="24"/>
          <w:szCs w:val="24"/>
        </w:rPr>
        <w:t>’s conduct</w:t>
      </w:r>
      <w:r w:rsidR="004E25F2">
        <w:rPr>
          <w:rFonts w:ascii="Arial" w:hAnsi="Arial" w:cs="Arial"/>
          <w:sz w:val="24"/>
          <w:szCs w:val="24"/>
        </w:rPr>
        <w:t>”</w:t>
      </w:r>
      <w:r w:rsidR="002E4D50">
        <w:rPr>
          <w:rFonts w:ascii="Arial" w:hAnsi="Arial" w:cs="Arial"/>
          <w:sz w:val="24"/>
          <w:szCs w:val="24"/>
        </w:rPr>
        <w:t xml:space="preserve">, </w:t>
      </w:r>
      <w:r w:rsidR="00632969">
        <w:rPr>
          <w:rFonts w:ascii="Arial" w:hAnsi="Arial" w:cs="Arial"/>
          <w:sz w:val="24"/>
          <w:szCs w:val="24"/>
        </w:rPr>
        <w:t xml:space="preserve">he </w:t>
      </w:r>
      <w:r w:rsidR="00970826">
        <w:rPr>
          <w:rFonts w:ascii="Arial" w:hAnsi="Arial" w:cs="Arial"/>
          <w:sz w:val="24"/>
          <w:szCs w:val="24"/>
        </w:rPr>
        <w:t xml:space="preserve">points out </w:t>
      </w:r>
      <w:r w:rsidR="00D36EB6">
        <w:rPr>
          <w:rFonts w:ascii="Arial" w:hAnsi="Arial" w:cs="Arial"/>
          <w:sz w:val="24"/>
          <w:szCs w:val="24"/>
        </w:rPr>
        <w:t xml:space="preserve">the difference </w:t>
      </w:r>
      <w:r w:rsidR="00C43A72">
        <w:rPr>
          <w:rFonts w:ascii="Arial" w:hAnsi="Arial" w:cs="Arial"/>
          <w:sz w:val="24"/>
          <w:szCs w:val="24"/>
        </w:rPr>
        <w:t xml:space="preserve">between </w:t>
      </w:r>
      <w:r w:rsidR="00B4116D">
        <w:rPr>
          <w:rFonts w:ascii="Arial" w:hAnsi="Arial" w:cs="Arial"/>
          <w:sz w:val="24"/>
          <w:szCs w:val="24"/>
        </w:rPr>
        <w:t xml:space="preserve">relying on </w:t>
      </w:r>
      <w:r w:rsidR="007E6759">
        <w:rPr>
          <w:rFonts w:ascii="Arial" w:hAnsi="Arial" w:cs="Arial"/>
          <w:sz w:val="24"/>
          <w:szCs w:val="24"/>
        </w:rPr>
        <w:t xml:space="preserve">the defence of </w:t>
      </w:r>
      <w:r w:rsidR="002D08FD">
        <w:rPr>
          <w:rFonts w:ascii="Arial" w:hAnsi="Arial" w:cs="Arial"/>
          <w:sz w:val="24"/>
          <w:szCs w:val="24"/>
        </w:rPr>
        <w:t>I</w:t>
      </w:r>
      <w:r w:rsidR="007E6759">
        <w:rPr>
          <w:rFonts w:ascii="Arial" w:hAnsi="Arial" w:cs="Arial"/>
          <w:sz w:val="24"/>
          <w:szCs w:val="24"/>
        </w:rPr>
        <w:t>nsanity</w:t>
      </w:r>
      <w:r w:rsidR="00A7443F">
        <w:rPr>
          <w:rFonts w:ascii="Arial" w:hAnsi="Arial" w:cs="Arial"/>
          <w:sz w:val="24"/>
          <w:szCs w:val="24"/>
        </w:rPr>
        <w:t>, where the Defendant ha</w:t>
      </w:r>
      <w:r w:rsidR="00FD00B4">
        <w:rPr>
          <w:rFonts w:ascii="Arial" w:hAnsi="Arial" w:cs="Arial"/>
          <w:sz w:val="24"/>
          <w:szCs w:val="24"/>
        </w:rPr>
        <w:t>s</w:t>
      </w:r>
      <w:r w:rsidR="00A7443F">
        <w:rPr>
          <w:rFonts w:ascii="Arial" w:hAnsi="Arial" w:cs="Arial"/>
          <w:sz w:val="24"/>
          <w:szCs w:val="24"/>
        </w:rPr>
        <w:t xml:space="preserve"> no understanding of his conduct</w:t>
      </w:r>
      <w:r w:rsidR="00E6002E">
        <w:rPr>
          <w:rFonts w:ascii="Arial" w:hAnsi="Arial" w:cs="Arial"/>
          <w:sz w:val="24"/>
          <w:szCs w:val="24"/>
        </w:rPr>
        <w:t xml:space="preserve"> and that what he had done was wrong</w:t>
      </w:r>
      <w:r w:rsidR="00BA197C">
        <w:rPr>
          <w:rFonts w:ascii="Arial" w:hAnsi="Arial" w:cs="Arial"/>
          <w:sz w:val="24"/>
          <w:szCs w:val="24"/>
        </w:rPr>
        <w:t xml:space="preserve">, </w:t>
      </w:r>
      <w:r w:rsidR="00324B12">
        <w:rPr>
          <w:rFonts w:ascii="Arial" w:hAnsi="Arial" w:cs="Arial"/>
          <w:sz w:val="24"/>
          <w:szCs w:val="24"/>
        </w:rPr>
        <w:t xml:space="preserve">and </w:t>
      </w:r>
      <w:r w:rsidR="00696C10">
        <w:rPr>
          <w:rFonts w:ascii="Arial" w:hAnsi="Arial" w:cs="Arial"/>
          <w:sz w:val="24"/>
          <w:szCs w:val="24"/>
        </w:rPr>
        <w:t xml:space="preserve">relying on </w:t>
      </w:r>
      <w:r w:rsidR="00572F32">
        <w:rPr>
          <w:rFonts w:ascii="Arial" w:hAnsi="Arial" w:cs="Arial"/>
          <w:sz w:val="24"/>
          <w:szCs w:val="24"/>
        </w:rPr>
        <w:t xml:space="preserve">the </w:t>
      </w:r>
      <w:r w:rsidR="00A95930">
        <w:rPr>
          <w:rFonts w:ascii="Arial" w:hAnsi="Arial" w:cs="Arial"/>
          <w:sz w:val="24"/>
          <w:szCs w:val="24"/>
        </w:rPr>
        <w:t>defence of Diminished Responsibility</w:t>
      </w:r>
      <w:r w:rsidR="002C37D6">
        <w:rPr>
          <w:rFonts w:ascii="Arial" w:hAnsi="Arial" w:cs="Arial"/>
          <w:sz w:val="24"/>
          <w:szCs w:val="24"/>
        </w:rPr>
        <w:t xml:space="preserve">, where </w:t>
      </w:r>
      <w:r w:rsidR="00BC3035">
        <w:rPr>
          <w:rFonts w:ascii="Arial" w:hAnsi="Arial" w:cs="Arial"/>
          <w:sz w:val="24"/>
          <w:szCs w:val="24"/>
        </w:rPr>
        <w:t>the Defenda</w:t>
      </w:r>
      <w:r w:rsidR="000A76AF">
        <w:rPr>
          <w:rFonts w:ascii="Arial" w:hAnsi="Arial" w:cs="Arial"/>
          <w:sz w:val="24"/>
          <w:szCs w:val="24"/>
        </w:rPr>
        <w:t>nt had some</w:t>
      </w:r>
      <w:r w:rsidR="00E61D2F">
        <w:rPr>
          <w:rFonts w:ascii="Arial" w:hAnsi="Arial" w:cs="Arial"/>
          <w:sz w:val="24"/>
          <w:szCs w:val="24"/>
        </w:rPr>
        <w:t xml:space="preserve">, although not full understanding </w:t>
      </w:r>
      <w:r w:rsidR="00B922C0">
        <w:rPr>
          <w:rFonts w:ascii="Arial" w:hAnsi="Arial" w:cs="Arial"/>
          <w:sz w:val="24"/>
          <w:szCs w:val="24"/>
        </w:rPr>
        <w:t xml:space="preserve">of </w:t>
      </w:r>
      <w:r w:rsidR="004E7FEB">
        <w:rPr>
          <w:rFonts w:ascii="Arial" w:hAnsi="Arial" w:cs="Arial"/>
          <w:sz w:val="24"/>
          <w:szCs w:val="24"/>
        </w:rPr>
        <w:t>his conduct.</w:t>
      </w:r>
      <w:r w:rsidR="007323EB">
        <w:rPr>
          <w:rFonts w:ascii="Arial" w:hAnsi="Arial" w:cs="Arial"/>
          <w:sz w:val="24"/>
          <w:szCs w:val="24"/>
        </w:rPr>
        <w:t xml:space="preserve"> </w:t>
      </w:r>
      <w:r w:rsidR="00CE56FA">
        <w:rPr>
          <w:rFonts w:ascii="Arial" w:hAnsi="Arial" w:cs="Arial"/>
          <w:sz w:val="24"/>
          <w:szCs w:val="24"/>
        </w:rPr>
        <w:t>To illustrate the second ability that has to be imp</w:t>
      </w:r>
      <w:r w:rsidR="00241F8E">
        <w:rPr>
          <w:rFonts w:ascii="Arial" w:hAnsi="Arial" w:cs="Arial"/>
          <w:sz w:val="24"/>
          <w:szCs w:val="24"/>
        </w:rPr>
        <w:t>aired, Macdonald uses th</w:t>
      </w:r>
      <w:r w:rsidR="00681BAE">
        <w:rPr>
          <w:rFonts w:ascii="Arial" w:hAnsi="Arial" w:cs="Arial"/>
          <w:sz w:val="24"/>
          <w:szCs w:val="24"/>
        </w:rPr>
        <w:t xml:space="preserve">e case R v Conroy [2017] </w:t>
      </w:r>
      <w:r w:rsidR="002609E3">
        <w:rPr>
          <w:rFonts w:ascii="Arial" w:hAnsi="Arial" w:cs="Arial"/>
          <w:sz w:val="24"/>
          <w:szCs w:val="24"/>
        </w:rPr>
        <w:t>EWCA Crim 81.</w:t>
      </w:r>
      <w:r w:rsidR="002E55AC">
        <w:rPr>
          <w:rFonts w:ascii="Arial" w:hAnsi="Arial" w:cs="Arial"/>
          <w:sz w:val="24"/>
          <w:szCs w:val="24"/>
        </w:rPr>
        <w:t xml:space="preserve"> In this case the Defendant was charged with murder but he appealed as he claimed that the judge has mislead the jury by telling them to focus on the thought process and not the outcome. </w:t>
      </w:r>
      <w:r w:rsidR="00544525">
        <w:rPr>
          <w:rFonts w:ascii="Arial" w:hAnsi="Arial" w:cs="Arial"/>
          <w:sz w:val="24"/>
          <w:szCs w:val="24"/>
        </w:rPr>
        <w:t>During the appeal</w:t>
      </w:r>
      <w:r w:rsidR="002E55AC">
        <w:rPr>
          <w:rFonts w:ascii="Arial" w:hAnsi="Arial" w:cs="Arial"/>
          <w:sz w:val="24"/>
          <w:szCs w:val="24"/>
        </w:rPr>
        <w:t xml:space="preserve"> the Court of Appeal (2017)</w:t>
      </w:r>
      <w:r w:rsidR="00544525">
        <w:rPr>
          <w:rFonts w:ascii="Arial" w:hAnsi="Arial" w:cs="Arial"/>
          <w:sz w:val="24"/>
          <w:szCs w:val="24"/>
        </w:rPr>
        <w:t xml:space="preserve"> made it clear that to decide whether someone’s ability to form rational judgment is “</w:t>
      </w:r>
      <w:r w:rsidR="00544525" w:rsidRPr="00544525">
        <w:rPr>
          <w:rFonts w:ascii="Arial" w:hAnsi="Arial" w:cs="Arial"/>
          <w:i/>
          <w:iCs/>
          <w:sz w:val="24"/>
          <w:szCs w:val="24"/>
        </w:rPr>
        <w:t>substantially impaired</w:t>
      </w:r>
      <w:r w:rsidR="00544525">
        <w:rPr>
          <w:rFonts w:ascii="Arial" w:hAnsi="Arial" w:cs="Arial"/>
          <w:sz w:val="24"/>
          <w:szCs w:val="24"/>
        </w:rPr>
        <w:t>” the juries will need to consider all the factors that led to the killing and the killing as a whole. Nevertheless, after hearing the expert witnesses who provided a psychiat</w:t>
      </w:r>
      <w:r w:rsidR="00EE7A07">
        <w:rPr>
          <w:rFonts w:ascii="Arial" w:hAnsi="Arial" w:cs="Arial"/>
          <w:sz w:val="24"/>
          <w:szCs w:val="24"/>
        </w:rPr>
        <w:t>ric</w:t>
      </w:r>
      <w:r w:rsidR="00544525">
        <w:rPr>
          <w:rFonts w:ascii="Arial" w:hAnsi="Arial" w:cs="Arial"/>
          <w:sz w:val="24"/>
          <w:szCs w:val="24"/>
        </w:rPr>
        <w:t xml:space="preserve"> evaluation of the Appellant, the appeal was dismissed. </w:t>
      </w:r>
      <w:r w:rsidR="003E0AB7">
        <w:rPr>
          <w:rFonts w:ascii="Arial" w:hAnsi="Arial" w:cs="Arial"/>
          <w:sz w:val="24"/>
          <w:szCs w:val="24"/>
        </w:rPr>
        <w:t xml:space="preserve">The third ability that </w:t>
      </w:r>
      <w:r w:rsidR="00EE7A07">
        <w:rPr>
          <w:rFonts w:ascii="Arial" w:hAnsi="Arial" w:cs="Arial"/>
          <w:sz w:val="24"/>
          <w:szCs w:val="24"/>
        </w:rPr>
        <w:t>can</w:t>
      </w:r>
      <w:r w:rsidR="003E0AB7">
        <w:rPr>
          <w:rFonts w:ascii="Arial" w:hAnsi="Arial" w:cs="Arial"/>
          <w:sz w:val="24"/>
          <w:szCs w:val="24"/>
        </w:rPr>
        <w:t xml:space="preserve"> be impaired in order for the Defendant to rely on </w:t>
      </w:r>
      <w:r w:rsidR="00B050EC">
        <w:rPr>
          <w:rFonts w:ascii="Arial" w:hAnsi="Arial" w:cs="Arial"/>
          <w:sz w:val="24"/>
          <w:szCs w:val="24"/>
        </w:rPr>
        <w:t>the partial defence is ”</w:t>
      </w:r>
      <w:r w:rsidR="00B050EC">
        <w:rPr>
          <w:rFonts w:ascii="Arial" w:hAnsi="Arial" w:cs="Arial"/>
          <w:i/>
          <w:iCs/>
          <w:sz w:val="24"/>
          <w:szCs w:val="24"/>
        </w:rPr>
        <w:t xml:space="preserve">to exercise self-control”. </w:t>
      </w:r>
      <w:r w:rsidR="00DB0823">
        <w:rPr>
          <w:rFonts w:ascii="Arial" w:hAnsi="Arial" w:cs="Arial"/>
          <w:sz w:val="24"/>
          <w:szCs w:val="24"/>
        </w:rPr>
        <w:t xml:space="preserve">This shows another difference </w:t>
      </w:r>
      <w:r w:rsidR="00683C2B">
        <w:rPr>
          <w:rFonts w:ascii="Arial" w:hAnsi="Arial" w:cs="Arial"/>
          <w:sz w:val="24"/>
          <w:szCs w:val="24"/>
        </w:rPr>
        <w:t xml:space="preserve">with the Insanity </w:t>
      </w:r>
      <w:r w:rsidR="00526975">
        <w:rPr>
          <w:rFonts w:ascii="Arial" w:hAnsi="Arial" w:cs="Arial"/>
          <w:sz w:val="24"/>
          <w:szCs w:val="24"/>
        </w:rPr>
        <w:t>defence</w:t>
      </w:r>
      <w:r w:rsidR="00683C2B">
        <w:rPr>
          <w:rFonts w:ascii="Arial" w:hAnsi="Arial" w:cs="Arial"/>
          <w:sz w:val="24"/>
          <w:szCs w:val="24"/>
        </w:rPr>
        <w:t>.</w:t>
      </w:r>
      <w:r w:rsidR="00526975">
        <w:rPr>
          <w:rFonts w:ascii="Arial" w:hAnsi="Arial" w:cs="Arial"/>
          <w:sz w:val="24"/>
          <w:szCs w:val="24"/>
        </w:rPr>
        <w:t xml:space="preserve"> </w:t>
      </w:r>
      <w:r w:rsidR="00C1606E">
        <w:rPr>
          <w:rFonts w:ascii="Arial" w:hAnsi="Arial" w:cs="Arial"/>
          <w:sz w:val="24"/>
          <w:szCs w:val="24"/>
        </w:rPr>
        <w:t xml:space="preserve">Someone who </w:t>
      </w:r>
      <w:r w:rsidR="00B12A00">
        <w:rPr>
          <w:rFonts w:ascii="Arial" w:hAnsi="Arial" w:cs="Arial"/>
          <w:sz w:val="24"/>
          <w:szCs w:val="24"/>
        </w:rPr>
        <w:t xml:space="preserve">finds it impossible to control themselves but know that what </w:t>
      </w:r>
      <w:r w:rsidR="00EE7A07">
        <w:rPr>
          <w:rFonts w:ascii="Arial" w:hAnsi="Arial" w:cs="Arial"/>
          <w:sz w:val="24"/>
          <w:szCs w:val="24"/>
        </w:rPr>
        <w:t>t</w:t>
      </w:r>
      <w:r w:rsidR="00B12A00">
        <w:rPr>
          <w:rFonts w:ascii="Arial" w:hAnsi="Arial" w:cs="Arial"/>
          <w:sz w:val="24"/>
          <w:szCs w:val="24"/>
        </w:rPr>
        <w:t>he</w:t>
      </w:r>
      <w:r w:rsidR="00EE7A07">
        <w:rPr>
          <w:rFonts w:ascii="Arial" w:hAnsi="Arial" w:cs="Arial"/>
          <w:sz w:val="24"/>
          <w:szCs w:val="24"/>
        </w:rPr>
        <w:t>y</w:t>
      </w:r>
      <w:r w:rsidR="00B12A00">
        <w:rPr>
          <w:rFonts w:ascii="Arial" w:hAnsi="Arial" w:cs="Arial"/>
          <w:sz w:val="24"/>
          <w:szCs w:val="24"/>
        </w:rPr>
        <w:t xml:space="preserve"> </w:t>
      </w:r>
      <w:r w:rsidR="00494C62">
        <w:rPr>
          <w:rFonts w:ascii="Arial" w:hAnsi="Arial" w:cs="Arial"/>
          <w:sz w:val="24"/>
          <w:szCs w:val="24"/>
        </w:rPr>
        <w:t>do</w:t>
      </w:r>
      <w:r w:rsidR="00EE7A07">
        <w:rPr>
          <w:rFonts w:ascii="Arial" w:hAnsi="Arial" w:cs="Arial"/>
          <w:sz w:val="24"/>
          <w:szCs w:val="24"/>
        </w:rPr>
        <w:t xml:space="preserve"> </w:t>
      </w:r>
      <w:r w:rsidR="00494C62">
        <w:rPr>
          <w:rFonts w:ascii="Arial" w:hAnsi="Arial" w:cs="Arial"/>
          <w:sz w:val="24"/>
          <w:szCs w:val="24"/>
        </w:rPr>
        <w:t>is wrong cannot use t</w:t>
      </w:r>
      <w:r w:rsidR="00FB4E8C">
        <w:rPr>
          <w:rFonts w:ascii="Arial" w:hAnsi="Arial" w:cs="Arial"/>
          <w:sz w:val="24"/>
          <w:szCs w:val="24"/>
        </w:rPr>
        <w:t xml:space="preserve">he </w:t>
      </w:r>
      <w:r w:rsidR="00233F0C">
        <w:rPr>
          <w:rFonts w:ascii="Arial" w:hAnsi="Arial" w:cs="Arial"/>
          <w:sz w:val="24"/>
          <w:szCs w:val="24"/>
        </w:rPr>
        <w:t>d</w:t>
      </w:r>
      <w:r w:rsidR="00FB4E8C">
        <w:rPr>
          <w:rFonts w:ascii="Arial" w:hAnsi="Arial" w:cs="Arial"/>
          <w:sz w:val="24"/>
          <w:szCs w:val="24"/>
        </w:rPr>
        <w:t xml:space="preserve">efence of </w:t>
      </w:r>
      <w:r w:rsidR="003552B9">
        <w:rPr>
          <w:rFonts w:ascii="Arial" w:hAnsi="Arial" w:cs="Arial"/>
          <w:sz w:val="24"/>
          <w:szCs w:val="24"/>
        </w:rPr>
        <w:t>Insanity but</w:t>
      </w:r>
      <w:r w:rsidR="00FB4E8C">
        <w:rPr>
          <w:rFonts w:ascii="Arial" w:hAnsi="Arial" w:cs="Arial"/>
          <w:sz w:val="24"/>
          <w:szCs w:val="24"/>
        </w:rPr>
        <w:t xml:space="preserve"> can rely on Diminished</w:t>
      </w:r>
      <w:r w:rsidR="009A0423">
        <w:rPr>
          <w:rFonts w:ascii="Arial" w:hAnsi="Arial" w:cs="Arial"/>
          <w:sz w:val="24"/>
          <w:szCs w:val="24"/>
        </w:rPr>
        <w:t xml:space="preserve"> </w:t>
      </w:r>
      <w:r w:rsidR="00FB4E8C">
        <w:rPr>
          <w:rFonts w:ascii="Arial" w:hAnsi="Arial" w:cs="Arial"/>
          <w:sz w:val="24"/>
          <w:szCs w:val="24"/>
        </w:rPr>
        <w:t>Respon</w:t>
      </w:r>
      <w:r w:rsidR="00233F0C">
        <w:rPr>
          <w:rFonts w:ascii="Arial" w:hAnsi="Arial" w:cs="Arial"/>
          <w:sz w:val="24"/>
          <w:szCs w:val="24"/>
        </w:rPr>
        <w:t>sibility partial defence</w:t>
      </w:r>
      <w:r w:rsidR="00EE7A07">
        <w:rPr>
          <w:rFonts w:ascii="Arial" w:hAnsi="Arial" w:cs="Arial"/>
          <w:sz w:val="24"/>
          <w:szCs w:val="24"/>
        </w:rPr>
        <w:t>. In</w:t>
      </w:r>
      <w:r w:rsidR="00327EE4">
        <w:rPr>
          <w:rFonts w:ascii="Arial" w:hAnsi="Arial" w:cs="Arial"/>
          <w:sz w:val="24"/>
          <w:szCs w:val="24"/>
        </w:rPr>
        <w:t xml:space="preserve"> R v </w:t>
      </w:r>
      <w:r w:rsidR="00A67E93">
        <w:rPr>
          <w:rFonts w:ascii="Arial" w:hAnsi="Arial" w:cs="Arial"/>
          <w:sz w:val="24"/>
          <w:szCs w:val="24"/>
        </w:rPr>
        <w:t>Byrne [1960]</w:t>
      </w:r>
      <w:r w:rsidR="00CB6C91">
        <w:rPr>
          <w:rFonts w:ascii="Arial" w:hAnsi="Arial" w:cs="Arial"/>
          <w:sz w:val="24"/>
          <w:szCs w:val="24"/>
        </w:rPr>
        <w:t xml:space="preserve"> 2 QB 396</w:t>
      </w:r>
      <w:r w:rsidR="00EE7A07">
        <w:rPr>
          <w:rFonts w:ascii="Arial" w:hAnsi="Arial" w:cs="Arial"/>
          <w:sz w:val="24"/>
          <w:szCs w:val="24"/>
        </w:rPr>
        <w:t xml:space="preserve"> it was stated that the Defendant was </w:t>
      </w:r>
      <w:r w:rsidR="00A17244">
        <w:rPr>
          <w:rFonts w:ascii="Arial" w:hAnsi="Arial" w:cs="Arial"/>
          <w:sz w:val="24"/>
          <w:szCs w:val="24"/>
        </w:rPr>
        <w:t xml:space="preserve">diagnosed as </w:t>
      </w:r>
      <w:r w:rsidR="00EE7A07">
        <w:rPr>
          <w:rFonts w:ascii="Arial" w:hAnsi="Arial" w:cs="Arial"/>
          <w:sz w:val="24"/>
          <w:szCs w:val="24"/>
        </w:rPr>
        <w:t xml:space="preserve">a sexual </w:t>
      </w:r>
      <w:r w:rsidR="00EA5676">
        <w:rPr>
          <w:rFonts w:ascii="Arial" w:hAnsi="Arial" w:cs="Arial"/>
          <w:sz w:val="24"/>
          <w:szCs w:val="24"/>
        </w:rPr>
        <w:t>psychopath,</w:t>
      </w:r>
      <w:r w:rsidR="00EE7A07">
        <w:rPr>
          <w:rFonts w:ascii="Arial" w:hAnsi="Arial" w:cs="Arial"/>
          <w:sz w:val="24"/>
          <w:szCs w:val="24"/>
        </w:rPr>
        <w:t xml:space="preserve"> and he could not control his violent desires. He </w:t>
      </w:r>
      <w:r w:rsidR="00EE7A07">
        <w:rPr>
          <w:rFonts w:ascii="Arial" w:hAnsi="Arial" w:cs="Arial"/>
          <w:sz w:val="24"/>
          <w:szCs w:val="24"/>
        </w:rPr>
        <w:lastRenderedPageBreak/>
        <w:t>was charged with manslaughter, but nevertheless was given a life sentence</w:t>
      </w:r>
      <w:r w:rsidR="00A7057A">
        <w:rPr>
          <w:rFonts w:ascii="Arial" w:hAnsi="Arial" w:cs="Arial"/>
          <w:sz w:val="24"/>
          <w:szCs w:val="24"/>
        </w:rPr>
        <w:t xml:space="preserve"> (MacDonald, 2018).</w:t>
      </w:r>
    </w:p>
    <w:p w14:paraId="246B2471" w14:textId="336E012C" w:rsidR="008849F6" w:rsidRPr="00CC58BB" w:rsidRDefault="00901D2A" w:rsidP="00E920C1">
      <w:pPr>
        <w:tabs>
          <w:tab w:val="left" w:pos="6528"/>
        </w:tabs>
        <w:spacing w:line="360" w:lineRule="auto"/>
        <w:rPr>
          <w:rFonts w:ascii="Arial" w:hAnsi="Arial" w:cs="Arial"/>
          <w:sz w:val="24"/>
          <w:szCs w:val="24"/>
        </w:rPr>
      </w:pPr>
      <w:r>
        <w:rPr>
          <w:rFonts w:ascii="Arial" w:hAnsi="Arial" w:cs="Arial"/>
          <w:sz w:val="24"/>
          <w:szCs w:val="24"/>
        </w:rPr>
        <w:t xml:space="preserve">   </w:t>
      </w:r>
      <w:r w:rsidR="003B3534">
        <w:rPr>
          <w:rFonts w:ascii="Arial" w:hAnsi="Arial" w:cs="Arial"/>
          <w:sz w:val="24"/>
          <w:szCs w:val="24"/>
        </w:rPr>
        <w:t>The</w:t>
      </w:r>
      <w:r w:rsidR="00AE2539">
        <w:rPr>
          <w:rFonts w:ascii="Arial" w:hAnsi="Arial" w:cs="Arial"/>
          <w:sz w:val="24"/>
          <w:szCs w:val="24"/>
        </w:rPr>
        <w:t xml:space="preserve"> phrase “</w:t>
      </w:r>
      <w:r w:rsidR="00AE2539">
        <w:rPr>
          <w:rFonts w:ascii="Arial" w:hAnsi="Arial" w:cs="Arial"/>
          <w:i/>
          <w:iCs/>
          <w:sz w:val="24"/>
          <w:szCs w:val="24"/>
        </w:rPr>
        <w:t>substantially impaired”</w:t>
      </w:r>
      <w:r w:rsidR="004860D6">
        <w:rPr>
          <w:rFonts w:ascii="Arial" w:hAnsi="Arial" w:cs="Arial"/>
          <w:i/>
          <w:iCs/>
          <w:sz w:val="24"/>
          <w:szCs w:val="24"/>
        </w:rPr>
        <w:t xml:space="preserve"> </w:t>
      </w:r>
      <w:r w:rsidR="004860D6" w:rsidRPr="004860D6">
        <w:rPr>
          <w:rFonts w:ascii="Arial" w:hAnsi="Arial" w:cs="Arial"/>
          <w:sz w:val="24"/>
          <w:szCs w:val="24"/>
        </w:rPr>
        <w:t>also had to be expl</w:t>
      </w:r>
      <w:r w:rsidR="004860D6">
        <w:rPr>
          <w:rFonts w:ascii="Arial" w:hAnsi="Arial" w:cs="Arial"/>
          <w:sz w:val="24"/>
          <w:szCs w:val="24"/>
        </w:rPr>
        <w:t>ained</w:t>
      </w:r>
      <w:r w:rsidR="00FE28F7">
        <w:rPr>
          <w:rFonts w:ascii="Arial" w:hAnsi="Arial" w:cs="Arial"/>
          <w:sz w:val="24"/>
          <w:szCs w:val="24"/>
        </w:rPr>
        <w:t xml:space="preserve"> </w:t>
      </w:r>
      <w:r w:rsidR="00766055">
        <w:rPr>
          <w:rFonts w:ascii="Arial" w:hAnsi="Arial" w:cs="Arial"/>
          <w:sz w:val="24"/>
          <w:szCs w:val="24"/>
        </w:rPr>
        <w:t>and made clear</w:t>
      </w:r>
      <w:r w:rsidR="00AE2539">
        <w:rPr>
          <w:rFonts w:ascii="Arial" w:hAnsi="Arial" w:cs="Arial"/>
          <w:i/>
          <w:iCs/>
          <w:sz w:val="24"/>
          <w:szCs w:val="24"/>
        </w:rPr>
        <w:t xml:space="preserve">. </w:t>
      </w:r>
      <w:r w:rsidR="00AE2539">
        <w:rPr>
          <w:rFonts w:ascii="Arial" w:hAnsi="Arial" w:cs="Arial"/>
          <w:sz w:val="24"/>
          <w:szCs w:val="24"/>
        </w:rPr>
        <w:t>The need for clarification arose in R v Golds [2016] UKCS 61. The Defence was demanding that the exact meaning of the word “</w:t>
      </w:r>
      <w:r w:rsidR="00AE2539">
        <w:rPr>
          <w:rFonts w:ascii="Arial" w:hAnsi="Arial" w:cs="Arial"/>
          <w:i/>
          <w:iCs/>
          <w:sz w:val="24"/>
          <w:szCs w:val="24"/>
        </w:rPr>
        <w:t xml:space="preserve">substantially” </w:t>
      </w:r>
      <w:r w:rsidR="00AE2539">
        <w:rPr>
          <w:rFonts w:ascii="Arial" w:hAnsi="Arial" w:cs="Arial"/>
          <w:sz w:val="24"/>
          <w:szCs w:val="24"/>
        </w:rPr>
        <w:t>had to be explained to the jury</w:t>
      </w:r>
      <w:r w:rsidR="007047EC">
        <w:rPr>
          <w:rFonts w:ascii="Arial" w:hAnsi="Arial" w:cs="Arial"/>
          <w:sz w:val="24"/>
          <w:szCs w:val="24"/>
        </w:rPr>
        <w:t xml:space="preserve">, the judge’s reply was that he could not give the juries any directions to what </w:t>
      </w:r>
      <w:r w:rsidR="00CC58BB">
        <w:rPr>
          <w:rFonts w:ascii="Arial" w:hAnsi="Arial" w:cs="Arial"/>
          <w:sz w:val="24"/>
          <w:szCs w:val="24"/>
        </w:rPr>
        <w:t xml:space="preserve">it </w:t>
      </w:r>
      <w:r w:rsidR="00EA5676">
        <w:rPr>
          <w:rFonts w:ascii="Arial" w:hAnsi="Arial" w:cs="Arial"/>
          <w:sz w:val="24"/>
          <w:szCs w:val="24"/>
        </w:rPr>
        <w:t>means,</w:t>
      </w:r>
      <w:r w:rsidR="00CC58BB">
        <w:rPr>
          <w:rFonts w:ascii="Arial" w:hAnsi="Arial" w:cs="Arial"/>
          <w:sz w:val="24"/>
          <w:szCs w:val="24"/>
        </w:rPr>
        <w:t xml:space="preserve"> and any reasonable person could use their common sense to understand the meaning. Later it was accepted that “</w:t>
      </w:r>
      <w:r w:rsidR="00CC58BB" w:rsidRPr="00D647BF">
        <w:rPr>
          <w:rFonts w:ascii="Arial" w:hAnsi="Arial" w:cs="Arial"/>
          <w:i/>
          <w:iCs/>
          <w:sz w:val="24"/>
          <w:szCs w:val="24"/>
        </w:rPr>
        <w:t>substantially impaired</w:t>
      </w:r>
      <w:r w:rsidR="00CC58BB">
        <w:rPr>
          <w:rFonts w:ascii="Arial" w:hAnsi="Arial" w:cs="Arial"/>
          <w:sz w:val="24"/>
          <w:szCs w:val="24"/>
        </w:rPr>
        <w:t xml:space="preserve">” </w:t>
      </w:r>
      <w:r w:rsidR="00D647BF">
        <w:rPr>
          <w:rFonts w:ascii="Arial" w:hAnsi="Arial" w:cs="Arial"/>
          <w:sz w:val="24"/>
          <w:szCs w:val="24"/>
        </w:rPr>
        <w:t>means “</w:t>
      </w:r>
      <w:r w:rsidR="00D647BF" w:rsidRPr="00D647BF">
        <w:rPr>
          <w:rFonts w:ascii="Arial" w:hAnsi="Arial" w:cs="Arial"/>
          <w:i/>
          <w:iCs/>
          <w:sz w:val="24"/>
          <w:szCs w:val="24"/>
        </w:rPr>
        <w:t>any impairment greater than the merely trivial</w:t>
      </w:r>
      <w:r w:rsidR="00D647BF">
        <w:rPr>
          <w:rFonts w:ascii="Arial" w:hAnsi="Arial" w:cs="Arial"/>
          <w:sz w:val="24"/>
          <w:szCs w:val="24"/>
        </w:rPr>
        <w:t>” (United Kingdom Supreme Court, 2016).</w:t>
      </w:r>
      <w:r w:rsidR="004F3383">
        <w:rPr>
          <w:rFonts w:ascii="Arial" w:hAnsi="Arial" w:cs="Arial"/>
          <w:sz w:val="24"/>
          <w:szCs w:val="24"/>
        </w:rPr>
        <w:t xml:space="preserve"> </w:t>
      </w:r>
    </w:p>
    <w:p w14:paraId="6A7E7560" w14:textId="77777777" w:rsidR="008849F6" w:rsidRDefault="008849F6" w:rsidP="00E920C1">
      <w:pPr>
        <w:tabs>
          <w:tab w:val="left" w:pos="6528"/>
        </w:tabs>
        <w:spacing w:line="360" w:lineRule="auto"/>
        <w:rPr>
          <w:rFonts w:ascii="Arial" w:hAnsi="Arial" w:cs="Arial"/>
          <w:sz w:val="24"/>
          <w:szCs w:val="24"/>
        </w:rPr>
      </w:pPr>
    </w:p>
    <w:p w14:paraId="0C9CF3B9" w14:textId="7EF9B798" w:rsidR="001047C7" w:rsidRDefault="00901D2A" w:rsidP="00E920C1">
      <w:pPr>
        <w:tabs>
          <w:tab w:val="left" w:pos="6528"/>
        </w:tabs>
        <w:spacing w:line="360" w:lineRule="auto"/>
        <w:rPr>
          <w:rFonts w:ascii="Arial" w:hAnsi="Arial" w:cs="Arial"/>
          <w:sz w:val="24"/>
          <w:szCs w:val="24"/>
        </w:rPr>
      </w:pPr>
      <w:r>
        <w:rPr>
          <w:rFonts w:ascii="Arial" w:hAnsi="Arial" w:cs="Arial"/>
          <w:sz w:val="24"/>
          <w:szCs w:val="24"/>
        </w:rPr>
        <w:t xml:space="preserve">   </w:t>
      </w:r>
      <w:r w:rsidR="00E629D3">
        <w:rPr>
          <w:rFonts w:ascii="Arial" w:hAnsi="Arial" w:cs="Arial"/>
          <w:sz w:val="24"/>
          <w:szCs w:val="24"/>
        </w:rPr>
        <w:t>The third requirement that has to be satisfied for the defendant to be able to rely on the Diminished Responsibility defence is</w:t>
      </w:r>
      <w:r w:rsidR="00652AC8">
        <w:rPr>
          <w:rFonts w:ascii="Arial" w:hAnsi="Arial" w:cs="Arial"/>
          <w:sz w:val="24"/>
          <w:szCs w:val="24"/>
        </w:rPr>
        <w:t xml:space="preserve"> that</w:t>
      </w:r>
      <w:r w:rsidR="00E629D3">
        <w:rPr>
          <w:rFonts w:ascii="Arial" w:hAnsi="Arial" w:cs="Arial"/>
          <w:sz w:val="24"/>
          <w:szCs w:val="24"/>
        </w:rPr>
        <w:t xml:space="preserve"> </w:t>
      </w:r>
      <w:r w:rsidR="00F12912">
        <w:rPr>
          <w:rFonts w:ascii="Arial" w:hAnsi="Arial" w:cs="Arial"/>
          <w:sz w:val="24"/>
          <w:szCs w:val="24"/>
        </w:rPr>
        <w:t xml:space="preserve">it must be proven that </w:t>
      </w:r>
      <w:r w:rsidR="00BE7503">
        <w:rPr>
          <w:rFonts w:ascii="Arial" w:hAnsi="Arial" w:cs="Arial"/>
          <w:sz w:val="24"/>
          <w:szCs w:val="24"/>
        </w:rPr>
        <w:t>the</w:t>
      </w:r>
      <w:r w:rsidR="00836952">
        <w:rPr>
          <w:rFonts w:ascii="Arial" w:hAnsi="Arial" w:cs="Arial"/>
          <w:sz w:val="24"/>
          <w:szCs w:val="24"/>
        </w:rPr>
        <w:t xml:space="preserve"> abnormality of mental functioning </w:t>
      </w:r>
      <w:r w:rsidR="00652AC8">
        <w:rPr>
          <w:rFonts w:ascii="Arial" w:hAnsi="Arial" w:cs="Arial"/>
          <w:sz w:val="24"/>
          <w:szCs w:val="24"/>
        </w:rPr>
        <w:t xml:space="preserve">can </w:t>
      </w:r>
      <w:r w:rsidR="00174916" w:rsidRPr="002845F2">
        <w:rPr>
          <w:rFonts w:ascii="Arial" w:hAnsi="Arial" w:cs="Arial"/>
          <w:i/>
          <w:iCs/>
          <w:sz w:val="24"/>
          <w:szCs w:val="24"/>
        </w:rPr>
        <w:t>“</w:t>
      </w:r>
      <w:r w:rsidR="00652AC8" w:rsidRPr="002845F2">
        <w:rPr>
          <w:rFonts w:ascii="Arial" w:hAnsi="Arial" w:cs="Arial"/>
          <w:i/>
          <w:iCs/>
          <w:sz w:val="24"/>
          <w:szCs w:val="24"/>
        </w:rPr>
        <w:t xml:space="preserve">provide </w:t>
      </w:r>
      <w:r w:rsidR="002845F2" w:rsidRPr="002845F2">
        <w:rPr>
          <w:rFonts w:ascii="Arial" w:hAnsi="Arial" w:cs="Arial"/>
          <w:i/>
          <w:iCs/>
          <w:sz w:val="24"/>
          <w:szCs w:val="24"/>
        </w:rPr>
        <w:t>an explanation for D's acts and omissions in doing or being a party to the killing</w:t>
      </w:r>
      <w:r w:rsidR="000D454A">
        <w:rPr>
          <w:rFonts w:ascii="Arial" w:hAnsi="Arial" w:cs="Arial"/>
          <w:i/>
          <w:iCs/>
          <w:sz w:val="24"/>
          <w:szCs w:val="24"/>
        </w:rPr>
        <w:t>,</w:t>
      </w:r>
      <w:r w:rsidR="002845F2" w:rsidRPr="002845F2">
        <w:rPr>
          <w:rFonts w:ascii="Arial" w:hAnsi="Arial" w:cs="Arial"/>
          <w:i/>
          <w:iCs/>
          <w:sz w:val="24"/>
          <w:szCs w:val="24"/>
        </w:rPr>
        <w:t>”</w:t>
      </w:r>
      <w:r w:rsidR="000D454A">
        <w:rPr>
          <w:rFonts w:ascii="Arial" w:hAnsi="Arial" w:cs="Arial"/>
          <w:i/>
          <w:iCs/>
          <w:sz w:val="24"/>
          <w:szCs w:val="24"/>
        </w:rPr>
        <w:t xml:space="preserve"> </w:t>
      </w:r>
      <w:r w:rsidR="000C31B2">
        <w:rPr>
          <w:rFonts w:ascii="Arial" w:hAnsi="Arial" w:cs="Arial"/>
          <w:sz w:val="24"/>
          <w:szCs w:val="24"/>
        </w:rPr>
        <w:t xml:space="preserve">section (1B) </w:t>
      </w:r>
      <w:r w:rsidR="000F127D">
        <w:rPr>
          <w:rFonts w:ascii="Arial" w:hAnsi="Arial" w:cs="Arial"/>
          <w:sz w:val="24"/>
          <w:szCs w:val="24"/>
        </w:rPr>
        <w:t xml:space="preserve">adds that </w:t>
      </w:r>
      <w:r w:rsidR="00603C22">
        <w:rPr>
          <w:rFonts w:ascii="Arial" w:hAnsi="Arial" w:cs="Arial"/>
          <w:sz w:val="24"/>
          <w:szCs w:val="24"/>
        </w:rPr>
        <w:t xml:space="preserve">an explanation </w:t>
      </w:r>
      <w:r w:rsidR="00F17B97">
        <w:rPr>
          <w:rFonts w:ascii="Arial" w:hAnsi="Arial" w:cs="Arial"/>
          <w:sz w:val="24"/>
          <w:szCs w:val="24"/>
        </w:rPr>
        <w:t xml:space="preserve">for the Defendant’s conducts </w:t>
      </w:r>
      <w:r w:rsidR="00E06416">
        <w:rPr>
          <w:rFonts w:ascii="Arial" w:hAnsi="Arial" w:cs="Arial"/>
          <w:sz w:val="24"/>
          <w:szCs w:val="24"/>
        </w:rPr>
        <w:t xml:space="preserve">can be provided only by proving that </w:t>
      </w:r>
      <w:r w:rsidR="009A78DB">
        <w:rPr>
          <w:rFonts w:ascii="Arial" w:hAnsi="Arial" w:cs="Arial"/>
          <w:sz w:val="24"/>
          <w:szCs w:val="24"/>
        </w:rPr>
        <w:t xml:space="preserve">the mental functioning abnormality </w:t>
      </w:r>
      <w:r w:rsidR="00587C08">
        <w:rPr>
          <w:rFonts w:ascii="Arial" w:hAnsi="Arial" w:cs="Arial"/>
          <w:sz w:val="24"/>
          <w:szCs w:val="24"/>
        </w:rPr>
        <w:t>“</w:t>
      </w:r>
      <w:r w:rsidR="00587C08" w:rsidRPr="00587C08">
        <w:rPr>
          <w:rFonts w:ascii="Arial" w:hAnsi="Arial" w:cs="Arial"/>
          <w:i/>
          <w:iCs/>
          <w:sz w:val="24"/>
          <w:szCs w:val="24"/>
        </w:rPr>
        <w:t>causes, or is a significant contributory factor in causing, D to carry out that conduct</w:t>
      </w:r>
      <w:r w:rsidR="00587C08">
        <w:rPr>
          <w:rFonts w:ascii="Arial" w:hAnsi="Arial" w:cs="Arial"/>
          <w:sz w:val="24"/>
          <w:szCs w:val="24"/>
        </w:rPr>
        <w:t>”.</w:t>
      </w:r>
      <w:r w:rsidR="0064425A">
        <w:rPr>
          <w:rFonts w:ascii="Arial" w:hAnsi="Arial" w:cs="Arial"/>
          <w:sz w:val="24"/>
          <w:szCs w:val="24"/>
        </w:rPr>
        <w:t xml:space="preserve"> This part of the Act is newly added, </w:t>
      </w:r>
      <w:r w:rsidR="008D63B9">
        <w:rPr>
          <w:rFonts w:ascii="Arial" w:hAnsi="Arial" w:cs="Arial"/>
          <w:sz w:val="24"/>
          <w:szCs w:val="24"/>
        </w:rPr>
        <w:t>Macdonald (</w:t>
      </w:r>
      <w:r w:rsidR="00525A47">
        <w:rPr>
          <w:rFonts w:ascii="Arial" w:hAnsi="Arial" w:cs="Arial"/>
          <w:sz w:val="24"/>
          <w:szCs w:val="24"/>
        </w:rPr>
        <w:t>2018</w:t>
      </w:r>
      <w:r w:rsidR="008D63B9">
        <w:rPr>
          <w:rFonts w:ascii="Arial" w:hAnsi="Arial" w:cs="Arial"/>
          <w:sz w:val="24"/>
          <w:szCs w:val="24"/>
        </w:rPr>
        <w:t>)</w:t>
      </w:r>
      <w:r w:rsidR="00525A47">
        <w:rPr>
          <w:rFonts w:ascii="Arial" w:hAnsi="Arial" w:cs="Arial"/>
          <w:sz w:val="24"/>
          <w:szCs w:val="24"/>
        </w:rPr>
        <w:t xml:space="preserve"> explains that this </w:t>
      </w:r>
      <w:r w:rsidR="002327B6">
        <w:rPr>
          <w:rFonts w:ascii="Arial" w:hAnsi="Arial" w:cs="Arial"/>
          <w:sz w:val="24"/>
          <w:szCs w:val="24"/>
        </w:rPr>
        <w:t xml:space="preserve">requirement is added </w:t>
      </w:r>
      <w:r w:rsidR="001538B9">
        <w:rPr>
          <w:rFonts w:ascii="Arial" w:hAnsi="Arial" w:cs="Arial"/>
          <w:sz w:val="24"/>
          <w:szCs w:val="24"/>
        </w:rPr>
        <w:t xml:space="preserve">to prevent </w:t>
      </w:r>
      <w:r w:rsidR="006F4BA9">
        <w:rPr>
          <w:rFonts w:ascii="Arial" w:hAnsi="Arial" w:cs="Arial"/>
          <w:sz w:val="24"/>
          <w:szCs w:val="24"/>
        </w:rPr>
        <w:t xml:space="preserve">the </w:t>
      </w:r>
      <w:r w:rsidR="00276291">
        <w:rPr>
          <w:rFonts w:ascii="Arial" w:hAnsi="Arial" w:cs="Arial"/>
          <w:sz w:val="24"/>
          <w:szCs w:val="24"/>
        </w:rPr>
        <w:t>defence</w:t>
      </w:r>
      <w:r w:rsidR="006F4BA9">
        <w:rPr>
          <w:rFonts w:ascii="Arial" w:hAnsi="Arial" w:cs="Arial"/>
          <w:sz w:val="24"/>
          <w:szCs w:val="24"/>
        </w:rPr>
        <w:t xml:space="preserve"> from </w:t>
      </w:r>
      <w:r w:rsidR="00276291">
        <w:rPr>
          <w:rFonts w:ascii="Arial" w:hAnsi="Arial" w:cs="Arial"/>
          <w:sz w:val="24"/>
          <w:szCs w:val="24"/>
        </w:rPr>
        <w:t>using if the abnormality did not cause the De</w:t>
      </w:r>
      <w:r w:rsidR="00152FAF">
        <w:rPr>
          <w:rFonts w:ascii="Arial" w:hAnsi="Arial" w:cs="Arial"/>
          <w:sz w:val="24"/>
          <w:szCs w:val="24"/>
        </w:rPr>
        <w:t xml:space="preserve">fendant to kill. </w:t>
      </w:r>
      <w:r w:rsidR="00442D6D">
        <w:rPr>
          <w:rFonts w:ascii="Arial" w:hAnsi="Arial" w:cs="Arial"/>
          <w:sz w:val="24"/>
          <w:szCs w:val="24"/>
        </w:rPr>
        <w:t xml:space="preserve">Mackay (2010) states that this section does not match the structure of the Insanity Defence, where </w:t>
      </w:r>
      <w:r w:rsidR="003416DF">
        <w:rPr>
          <w:rFonts w:ascii="Arial" w:hAnsi="Arial" w:cs="Arial"/>
          <w:sz w:val="24"/>
          <w:szCs w:val="24"/>
        </w:rPr>
        <w:t>there is no need to prove that the Defendant’s “</w:t>
      </w:r>
      <w:r w:rsidR="003416DF" w:rsidRPr="003416DF">
        <w:rPr>
          <w:rFonts w:ascii="Arial" w:hAnsi="Arial" w:cs="Arial"/>
          <w:i/>
          <w:iCs/>
          <w:sz w:val="24"/>
          <w:szCs w:val="24"/>
        </w:rPr>
        <w:t>disease of mind</w:t>
      </w:r>
      <w:r w:rsidR="003416DF">
        <w:rPr>
          <w:rFonts w:ascii="Arial" w:hAnsi="Arial" w:cs="Arial"/>
          <w:sz w:val="24"/>
          <w:szCs w:val="24"/>
        </w:rPr>
        <w:t xml:space="preserve">” </w:t>
      </w:r>
      <w:r w:rsidR="00B0380B">
        <w:rPr>
          <w:rFonts w:ascii="Arial" w:hAnsi="Arial" w:cs="Arial"/>
          <w:sz w:val="24"/>
          <w:szCs w:val="24"/>
        </w:rPr>
        <w:t>has caused them to perform the</w:t>
      </w:r>
      <w:r w:rsidR="003416DF">
        <w:rPr>
          <w:rFonts w:ascii="Arial" w:hAnsi="Arial" w:cs="Arial"/>
          <w:sz w:val="24"/>
          <w:szCs w:val="24"/>
        </w:rPr>
        <w:t xml:space="preserve"> act</w:t>
      </w:r>
      <w:r w:rsidR="00B0380B">
        <w:rPr>
          <w:rFonts w:ascii="Arial" w:hAnsi="Arial" w:cs="Arial"/>
          <w:sz w:val="24"/>
          <w:szCs w:val="24"/>
        </w:rPr>
        <w:t xml:space="preserve"> of killing</w:t>
      </w:r>
      <w:r w:rsidR="003416DF">
        <w:rPr>
          <w:rFonts w:ascii="Arial" w:hAnsi="Arial" w:cs="Arial"/>
          <w:sz w:val="24"/>
          <w:szCs w:val="24"/>
        </w:rPr>
        <w:t xml:space="preserve">. </w:t>
      </w:r>
      <w:r w:rsidR="00B363BA">
        <w:rPr>
          <w:rFonts w:ascii="Arial" w:hAnsi="Arial" w:cs="Arial"/>
          <w:sz w:val="24"/>
          <w:szCs w:val="24"/>
        </w:rPr>
        <w:t xml:space="preserve">The newly added part was also criticised because </w:t>
      </w:r>
      <w:r w:rsidR="003075FD">
        <w:rPr>
          <w:rFonts w:ascii="Arial" w:hAnsi="Arial" w:cs="Arial"/>
          <w:sz w:val="24"/>
          <w:szCs w:val="24"/>
        </w:rPr>
        <w:t>it is thought to be too strict and hard to prove. Simester et al. (2016</w:t>
      </w:r>
      <w:r w:rsidR="00A06367">
        <w:rPr>
          <w:rFonts w:ascii="Arial" w:hAnsi="Arial" w:cs="Arial"/>
          <w:sz w:val="24"/>
          <w:szCs w:val="24"/>
        </w:rPr>
        <w:t>, pp. 751-754</w:t>
      </w:r>
      <w:r w:rsidR="003075FD">
        <w:rPr>
          <w:rFonts w:ascii="Arial" w:hAnsi="Arial" w:cs="Arial"/>
          <w:sz w:val="24"/>
          <w:szCs w:val="24"/>
        </w:rPr>
        <w:t xml:space="preserve">) </w:t>
      </w:r>
      <w:r w:rsidR="00D337B6">
        <w:rPr>
          <w:rFonts w:ascii="Arial" w:hAnsi="Arial" w:cs="Arial"/>
          <w:sz w:val="24"/>
          <w:szCs w:val="24"/>
        </w:rPr>
        <w:t>say</w:t>
      </w:r>
      <w:r w:rsidR="003075FD">
        <w:rPr>
          <w:rFonts w:ascii="Arial" w:hAnsi="Arial" w:cs="Arial"/>
          <w:sz w:val="24"/>
          <w:szCs w:val="24"/>
        </w:rPr>
        <w:t xml:space="preserve"> that despite of the clearer wording in the new law, it might cause many sick people who could not prove that their “abnormality of mental functioning” is the direct cause for the killing, to end up in prison, where they would not be able to get adequate care and treatment</w:t>
      </w:r>
      <w:r w:rsidR="00D337B6">
        <w:rPr>
          <w:rFonts w:ascii="Arial" w:hAnsi="Arial" w:cs="Arial"/>
          <w:sz w:val="24"/>
          <w:szCs w:val="24"/>
        </w:rPr>
        <w:t>.</w:t>
      </w:r>
    </w:p>
    <w:p w14:paraId="06738060" w14:textId="61AB51B3" w:rsidR="00E94762" w:rsidRPr="000C31B2" w:rsidRDefault="00E94762" w:rsidP="00E920C1">
      <w:pPr>
        <w:tabs>
          <w:tab w:val="left" w:pos="6528"/>
        </w:tabs>
        <w:spacing w:line="360" w:lineRule="auto"/>
        <w:rPr>
          <w:rFonts w:ascii="Arial" w:hAnsi="Arial" w:cs="Arial"/>
          <w:sz w:val="24"/>
          <w:szCs w:val="24"/>
        </w:rPr>
      </w:pPr>
      <w:r>
        <w:rPr>
          <w:rFonts w:ascii="Arial" w:hAnsi="Arial" w:cs="Arial"/>
          <w:sz w:val="24"/>
          <w:szCs w:val="24"/>
        </w:rPr>
        <w:t xml:space="preserve">   </w:t>
      </w:r>
      <w:r w:rsidR="00CF4054">
        <w:rPr>
          <w:rFonts w:ascii="Arial" w:hAnsi="Arial" w:cs="Arial"/>
          <w:sz w:val="24"/>
          <w:szCs w:val="24"/>
        </w:rPr>
        <w:t xml:space="preserve">As it is mentioned in the Coroners </w:t>
      </w:r>
      <w:r w:rsidR="00EF55AA">
        <w:rPr>
          <w:rFonts w:ascii="Arial" w:hAnsi="Arial" w:cs="Arial"/>
          <w:sz w:val="24"/>
          <w:szCs w:val="24"/>
        </w:rPr>
        <w:t xml:space="preserve">and Justice Act (2009) Chapter </w:t>
      </w:r>
      <w:r w:rsidR="007808C2">
        <w:rPr>
          <w:rFonts w:ascii="Arial" w:hAnsi="Arial" w:cs="Arial"/>
          <w:sz w:val="24"/>
          <w:szCs w:val="24"/>
        </w:rPr>
        <w:t xml:space="preserve">25, one of the main reasons for </w:t>
      </w:r>
      <w:r w:rsidR="007B5F75">
        <w:rPr>
          <w:rFonts w:ascii="Arial" w:hAnsi="Arial" w:cs="Arial"/>
          <w:sz w:val="24"/>
          <w:szCs w:val="24"/>
        </w:rPr>
        <w:t xml:space="preserve">revising </w:t>
      </w:r>
      <w:r w:rsidR="00477454">
        <w:rPr>
          <w:rFonts w:ascii="Arial" w:hAnsi="Arial" w:cs="Arial"/>
          <w:sz w:val="24"/>
          <w:szCs w:val="24"/>
        </w:rPr>
        <w:t xml:space="preserve">s.2 of the Homicide Act (1957) was to make it </w:t>
      </w:r>
      <w:r w:rsidR="00BC4109">
        <w:rPr>
          <w:rFonts w:ascii="Arial" w:hAnsi="Arial" w:cs="Arial"/>
          <w:sz w:val="24"/>
          <w:szCs w:val="24"/>
        </w:rPr>
        <w:t>clearer, fairer</w:t>
      </w:r>
      <w:r w:rsidR="00BF0CF4">
        <w:rPr>
          <w:rFonts w:ascii="Arial" w:hAnsi="Arial" w:cs="Arial"/>
          <w:sz w:val="24"/>
          <w:szCs w:val="24"/>
        </w:rPr>
        <w:t>,</w:t>
      </w:r>
      <w:r w:rsidR="00BC4109">
        <w:rPr>
          <w:rFonts w:ascii="Arial" w:hAnsi="Arial" w:cs="Arial"/>
          <w:sz w:val="24"/>
          <w:szCs w:val="24"/>
        </w:rPr>
        <w:t xml:space="preserve"> and more effective. </w:t>
      </w:r>
      <w:r w:rsidR="00F648F2">
        <w:rPr>
          <w:rFonts w:ascii="Arial" w:hAnsi="Arial" w:cs="Arial"/>
          <w:sz w:val="24"/>
          <w:szCs w:val="24"/>
        </w:rPr>
        <w:t>According to Kennefick (2011)</w:t>
      </w:r>
      <w:r w:rsidR="005F3798">
        <w:rPr>
          <w:rFonts w:ascii="Arial" w:hAnsi="Arial" w:cs="Arial"/>
          <w:sz w:val="24"/>
          <w:szCs w:val="24"/>
        </w:rPr>
        <w:t xml:space="preserve"> the new law managed to present more clear wording, where </w:t>
      </w:r>
      <w:r w:rsidR="00A07636">
        <w:rPr>
          <w:rFonts w:ascii="Arial" w:hAnsi="Arial" w:cs="Arial"/>
          <w:sz w:val="24"/>
          <w:szCs w:val="24"/>
        </w:rPr>
        <w:t xml:space="preserve">all the requirements are well explained and </w:t>
      </w:r>
      <w:r w:rsidR="00C476EE">
        <w:rPr>
          <w:rFonts w:ascii="Arial" w:hAnsi="Arial" w:cs="Arial"/>
          <w:sz w:val="24"/>
          <w:szCs w:val="24"/>
        </w:rPr>
        <w:t xml:space="preserve">described. The </w:t>
      </w:r>
      <w:r w:rsidR="00F07A0E">
        <w:rPr>
          <w:rFonts w:ascii="Arial" w:hAnsi="Arial" w:cs="Arial"/>
          <w:sz w:val="24"/>
          <w:szCs w:val="24"/>
        </w:rPr>
        <w:t xml:space="preserve">new law also managed </w:t>
      </w:r>
      <w:r w:rsidR="00BF7E13">
        <w:rPr>
          <w:rFonts w:ascii="Arial" w:hAnsi="Arial" w:cs="Arial"/>
          <w:sz w:val="24"/>
          <w:szCs w:val="24"/>
        </w:rPr>
        <w:t xml:space="preserve">to establish medical grounding in </w:t>
      </w:r>
      <w:r w:rsidR="00A71A0E">
        <w:rPr>
          <w:rFonts w:ascii="Arial" w:hAnsi="Arial" w:cs="Arial"/>
          <w:sz w:val="24"/>
          <w:szCs w:val="24"/>
        </w:rPr>
        <w:t xml:space="preserve">the ruling of cases </w:t>
      </w:r>
      <w:r w:rsidR="00D71A10">
        <w:rPr>
          <w:rFonts w:ascii="Arial" w:hAnsi="Arial" w:cs="Arial"/>
          <w:sz w:val="24"/>
          <w:szCs w:val="24"/>
        </w:rPr>
        <w:t xml:space="preserve">where the Defendant would </w:t>
      </w:r>
      <w:r w:rsidR="003C334C">
        <w:rPr>
          <w:rFonts w:ascii="Arial" w:hAnsi="Arial" w:cs="Arial"/>
          <w:sz w:val="24"/>
          <w:szCs w:val="24"/>
        </w:rPr>
        <w:t xml:space="preserve">want to </w:t>
      </w:r>
      <w:r w:rsidR="00D35FC9">
        <w:rPr>
          <w:rFonts w:ascii="Arial" w:hAnsi="Arial" w:cs="Arial"/>
          <w:sz w:val="24"/>
          <w:szCs w:val="24"/>
        </w:rPr>
        <w:t>rely on</w:t>
      </w:r>
      <w:r w:rsidR="003C334C">
        <w:rPr>
          <w:rFonts w:ascii="Arial" w:hAnsi="Arial" w:cs="Arial"/>
          <w:sz w:val="24"/>
          <w:szCs w:val="24"/>
        </w:rPr>
        <w:t xml:space="preserve"> the Diminished responsibility </w:t>
      </w:r>
      <w:r w:rsidR="003C334C">
        <w:rPr>
          <w:rFonts w:ascii="Arial" w:hAnsi="Arial" w:cs="Arial"/>
          <w:sz w:val="24"/>
          <w:szCs w:val="24"/>
        </w:rPr>
        <w:lastRenderedPageBreak/>
        <w:t>defence</w:t>
      </w:r>
      <w:r w:rsidR="00487CA1">
        <w:rPr>
          <w:rFonts w:ascii="Arial" w:hAnsi="Arial" w:cs="Arial"/>
          <w:sz w:val="24"/>
          <w:szCs w:val="24"/>
        </w:rPr>
        <w:t xml:space="preserve">, which </w:t>
      </w:r>
      <w:r w:rsidR="00493259">
        <w:rPr>
          <w:rFonts w:ascii="Arial" w:hAnsi="Arial" w:cs="Arial"/>
          <w:sz w:val="24"/>
          <w:szCs w:val="24"/>
        </w:rPr>
        <w:t>was one of the</w:t>
      </w:r>
      <w:r w:rsidR="00445664">
        <w:rPr>
          <w:rFonts w:ascii="Arial" w:hAnsi="Arial" w:cs="Arial"/>
          <w:sz w:val="24"/>
          <w:szCs w:val="24"/>
        </w:rPr>
        <w:t xml:space="preserve"> </w:t>
      </w:r>
      <w:r w:rsidR="00287AFA">
        <w:rPr>
          <w:rFonts w:ascii="Arial" w:hAnsi="Arial" w:cs="Arial"/>
          <w:sz w:val="24"/>
          <w:szCs w:val="24"/>
        </w:rPr>
        <w:t xml:space="preserve">most criticised </w:t>
      </w:r>
      <w:r w:rsidR="006E06C2">
        <w:rPr>
          <w:rFonts w:ascii="Arial" w:hAnsi="Arial" w:cs="Arial"/>
          <w:sz w:val="24"/>
          <w:szCs w:val="24"/>
        </w:rPr>
        <w:t>subjects</w:t>
      </w:r>
      <w:r w:rsidR="00445664">
        <w:rPr>
          <w:rFonts w:ascii="Arial" w:hAnsi="Arial" w:cs="Arial"/>
          <w:sz w:val="24"/>
          <w:szCs w:val="24"/>
        </w:rPr>
        <w:t xml:space="preserve"> in the old law. </w:t>
      </w:r>
      <w:r w:rsidR="00D64656">
        <w:rPr>
          <w:rFonts w:ascii="Arial" w:hAnsi="Arial" w:cs="Arial"/>
          <w:sz w:val="24"/>
          <w:szCs w:val="24"/>
        </w:rPr>
        <w:t xml:space="preserve">Considering some of the </w:t>
      </w:r>
      <w:r w:rsidR="00F76826">
        <w:rPr>
          <w:rFonts w:ascii="Arial" w:hAnsi="Arial" w:cs="Arial"/>
          <w:sz w:val="24"/>
          <w:szCs w:val="24"/>
        </w:rPr>
        <w:t>issues which were mentioned above the new law is still not perfect</w:t>
      </w:r>
      <w:r w:rsidR="00CD4104">
        <w:rPr>
          <w:rFonts w:ascii="Arial" w:hAnsi="Arial" w:cs="Arial"/>
          <w:sz w:val="24"/>
          <w:szCs w:val="24"/>
        </w:rPr>
        <w:t>.</w:t>
      </w:r>
      <w:r w:rsidR="0065059D">
        <w:rPr>
          <w:rFonts w:ascii="Arial" w:hAnsi="Arial" w:cs="Arial"/>
          <w:sz w:val="24"/>
          <w:szCs w:val="24"/>
        </w:rPr>
        <w:t xml:space="preserve"> Kennefick</w:t>
      </w:r>
      <w:r w:rsidR="007A0CC1">
        <w:rPr>
          <w:rFonts w:ascii="Arial" w:hAnsi="Arial" w:cs="Arial"/>
          <w:sz w:val="24"/>
          <w:szCs w:val="24"/>
        </w:rPr>
        <w:t xml:space="preserve"> </w:t>
      </w:r>
      <w:r w:rsidR="00902695">
        <w:rPr>
          <w:rFonts w:ascii="Arial" w:hAnsi="Arial" w:cs="Arial"/>
          <w:sz w:val="24"/>
          <w:szCs w:val="24"/>
        </w:rPr>
        <w:t>express</w:t>
      </w:r>
      <w:r w:rsidR="00FE101C">
        <w:rPr>
          <w:rFonts w:ascii="Arial" w:hAnsi="Arial" w:cs="Arial"/>
          <w:sz w:val="24"/>
          <w:szCs w:val="24"/>
        </w:rPr>
        <w:t>es</w:t>
      </w:r>
      <w:r w:rsidR="00902695">
        <w:rPr>
          <w:rFonts w:ascii="Arial" w:hAnsi="Arial" w:cs="Arial"/>
          <w:sz w:val="24"/>
          <w:szCs w:val="24"/>
        </w:rPr>
        <w:t xml:space="preserve"> re</w:t>
      </w:r>
      <w:r w:rsidR="00FE101C">
        <w:rPr>
          <w:rFonts w:ascii="Arial" w:hAnsi="Arial" w:cs="Arial"/>
          <w:sz w:val="24"/>
          <w:szCs w:val="24"/>
        </w:rPr>
        <w:t xml:space="preserve">gret that </w:t>
      </w:r>
      <w:r w:rsidR="00E753DA">
        <w:rPr>
          <w:rFonts w:ascii="Arial" w:hAnsi="Arial" w:cs="Arial"/>
          <w:sz w:val="24"/>
          <w:szCs w:val="24"/>
        </w:rPr>
        <w:t xml:space="preserve">the revision of the old law could not change the whole </w:t>
      </w:r>
      <w:r w:rsidR="00D35400">
        <w:rPr>
          <w:rFonts w:ascii="Arial" w:hAnsi="Arial" w:cs="Arial"/>
          <w:sz w:val="24"/>
          <w:szCs w:val="24"/>
        </w:rPr>
        <w:t xml:space="preserve">concept of </w:t>
      </w:r>
      <w:r w:rsidR="004C04D1">
        <w:rPr>
          <w:rFonts w:ascii="Arial" w:hAnsi="Arial" w:cs="Arial"/>
          <w:sz w:val="24"/>
          <w:szCs w:val="24"/>
        </w:rPr>
        <w:t>Homicide and its defences</w:t>
      </w:r>
      <w:r w:rsidR="009E6F38">
        <w:rPr>
          <w:rFonts w:ascii="Arial" w:hAnsi="Arial" w:cs="Arial"/>
          <w:sz w:val="24"/>
          <w:szCs w:val="24"/>
        </w:rPr>
        <w:t>.</w:t>
      </w:r>
      <w:r w:rsidR="004C04D1">
        <w:rPr>
          <w:rFonts w:ascii="Arial" w:hAnsi="Arial" w:cs="Arial"/>
          <w:sz w:val="24"/>
          <w:szCs w:val="24"/>
        </w:rPr>
        <w:t xml:space="preserve"> </w:t>
      </w:r>
      <w:r w:rsidR="00D462FD">
        <w:rPr>
          <w:rFonts w:ascii="Arial" w:hAnsi="Arial" w:cs="Arial"/>
          <w:sz w:val="24"/>
          <w:szCs w:val="24"/>
        </w:rPr>
        <w:t>S</w:t>
      </w:r>
      <w:r w:rsidR="004C04D1">
        <w:rPr>
          <w:rFonts w:ascii="Arial" w:hAnsi="Arial" w:cs="Arial"/>
          <w:sz w:val="24"/>
          <w:szCs w:val="24"/>
        </w:rPr>
        <w:t xml:space="preserve">he said </w:t>
      </w:r>
      <w:r w:rsidR="00DC0FBD">
        <w:rPr>
          <w:rFonts w:ascii="Arial" w:hAnsi="Arial" w:cs="Arial"/>
          <w:sz w:val="24"/>
          <w:szCs w:val="24"/>
        </w:rPr>
        <w:t xml:space="preserve">the new law was aiming to fix many issues at ones and </w:t>
      </w:r>
      <w:r w:rsidR="00375C36">
        <w:rPr>
          <w:rFonts w:ascii="Arial" w:hAnsi="Arial" w:cs="Arial"/>
          <w:sz w:val="24"/>
          <w:szCs w:val="24"/>
        </w:rPr>
        <w:t xml:space="preserve">as it </w:t>
      </w:r>
      <w:r w:rsidR="00860FCF">
        <w:rPr>
          <w:rFonts w:ascii="Arial" w:hAnsi="Arial" w:cs="Arial"/>
          <w:sz w:val="24"/>
          <w:szCs w:val="24"/>
        </w:rPr>
        <w:t xml:space="preserve">did not end up perfect, will </w:t>
      </w:r>
      <w:r w:rsidR="00092319">
        <w:rPr>
          <w:rFonts w:ascii="Arial" w:hAnsi="Arial" w:cs="Arial"/>
          <w:sz w:val="24"/>
          <w:szCs w:val="24"/>
        </w:rPr>
        <w:t>hold</w:t>
      </w:r>
      <w:r w:rsidR="00860FCF">
        <w:rPr>
          <w:rFonts w:ascii="Arial" w:hAnsi="Arial" w:cs="Arial"/>
          <w:sz w:val="24"/>
          <w:szCs w:val="24"/>
        </w:rPr>
        <w:t xml:space="preserve"> more criticism</w:t>
      </w:r>
      <w:r w:rsidR="007D6944">
        <w:rPr>
          <w:rFonts w:ascii="Arial" w:hAnsi="Arial" w:cs="Arial"/>
          <w:sz w:val="24"/>
          <w:szCs w:val="24"/>
        </w:rPr>
        <w:t>.</w:t>
      </w:r>
      <w:r w:rsidR="004D23B6">
        <w:rPr>
          <w:rFonts w:ascii="Arial" w:hAnsi="Arial" w:cs="Arial"/>
          <w:sz w:val="24"/>
          <w:szCs w:val="24"/>
        </w:rPr>
        <w:t xml:space="preserve"> </w:t>
      </w:r>
    </w:p>
    <w:p w14:paraId="0A7D8966" w14:textId="07567212" w:rsidR="001047C7" w:rsidRDefault="001047C7" w:rsidP="00E6401E">
      <w:pPr>
        <w:tabs>
          <w:tab w:val="left" w:pos="6528"/>
        </w:tabs>
        <w:rPr>
          <w:rFonts w:ascii="Arial" w:hAnsi="Arial" w:cs="Arial"/>
          <w:sz w:val="24"/>
          <w:szCs w:val="24"/>
        </w:rPr>
      </w:pPr>
    </w:p>
    <w:p w14:paraId="3EAB4198" w14:textId="4B003C69" w:rsidR="001047C7" w:rsidRDefault="001047C7" w:rsidP="00E6401E">
      <w:pPr>
        <w:tabs>
          <w:tab w:val="left" w:pos="6528"/>
        </w:tabs>
        <w:rPr>
          <w:rFonts w:ascii="Arial" w:hAnsi="Arial" w:cs="Arial"/>
          <w:sz w:val="24"/>
          <w:szCs w:val="24"/>
        </w:rPr>
      </w:pPr>
    </w:p>
    <w:p w14:paraId="631A59F7" w14:textId="04FA400F" w:rsidR="001047C7" w:rsidRDefault="001047C7" w:rsidP="00E6401E">
      <w:pPr>
        <w:tabs>
          <w:tab w:val="left" w:pos="6528"/>
        </w:tabs>
        <w:rPr>
          <w:rFonts w:ascii="Arial" w:hAnsi="Arial" w:cs="Arial"/>
          <w:sz w:val="24"/>
          <w:szCs w:val="24"/>
        </w:rPr>
      </w:pPr>
    </w:p>
    <w:p w14:paraId="0F78456F" w14:textId="140C7FD4" w:rsidR="001047C7" w:rsidRDefault="001047C7" w:rsidP="00E6401E">
      <w:pPr>
        <w:tabs>
          <w:tab w:val="left" w:pos="6528"/>
        </w:tabs>
        <w:rPr>
          <w:rFonts w:ascii="Arial" w:hAnsi="Arial" w:cs="Arial"/>
          <w:sz w:val="24"/>
          <w:szCs w:val="24"/>
        </w:rPr>
      </w:pPr>
    </w:p>
    <w:p w14:paraId="3E90ACF3" w14:textId="4F47C450" w:rsidR="001047C7" w:rsidRDefault="001047C7" w:rsidP="00E6401E">
      <w:pPr>
        <w:tabs>
          <w:tab w:val="left" w:pos="6528"/>
        </w:tabs>
        <w:rPr>
          <w:rFonts w:ascii="Arial" w:hAnsi="Arial" w:cs="Arial"/>
          <w:sz w:val="24"/>
          <w:szCs w:val="24"/>
        </w:rPr>
      </w:pPr>
    </w:p>
    <w:p w14:paraId="0F430955" w14:textId="19C9B44F" w:rsidR="001047C7" w:rsidRDefault="001047C7" w:rsidP="00E6401E">
      <w:pPr>
        <w:tabs>
          <w:tab w:val="left" w:pos="6528"/>
        </w:tabs>
        <w:rPr>
          <w:rFonts w:ascii="Arial" w:hAnsi="Arial" w:cs="Arial"/>
          <w:sz w:val="24"/>
          <w:szCs w:val="24"/>
        </w:rPr>
      </w:pPr>
    </w:p>
    <w:p w14:paraId="6A16F78A" w14:textId="0E2355DB" w:rsidR="001047C7" w:rsidRDefault="001047C7" w:rsidP="00E6401E">
      <w:pPr>
        <w:tabs>
          <w:tab w:val="left" w:pos="6528"/>
        </w:tabs>
        <w:rPr>
          <w:rFonts w:ascii="Arial" w:hAnsi="Arial" w:cs="Arial"/>
          <w:sz w:val="24"/>
          <w:szCs w:val="24"/>
        </w:rPr>
      </w:pPr>
    </w:p>
    <w:p w14:paraId="7CA17B89" w14:textId="77777777" w:rsidR="001047C7" w:rsidRDefault="001047C7" w:rsidP="00E6401E">
      <w:pPr>
        <w:tabs>
          <w:tab w:val="left" w:pos="6528"/>
        </w:tabs>
        <w:rPr>
          <w:sz w:val="18"/>
          <w:szCs w:val="18"/>
        </w:rPr>
      </w:pPr>
    </w:p>
    <w:sdt>
      <w:sdtPr>
        <w:rPr>
          <w:rFonts w:asciiTheme="minorHAnsi" w:eastAsiaTheme="minorHAnsi" w:hAnsiTheme="minorHAnsi" w:cstheme="minorBidi"/>
          <w:color w:val="auto"/>
          <w:sz w:val="22"/>
          <w:szCs w:val="22"/>
          <w:lang w:val="en-GB"/>
        </w:rPr>
        <w:id w:val="1436485674"/>
        <w:docPartObj>
          <w:docPartGallery w:val="Bibliographies"/>
          <w:docPartUnique/>
        </w:docPartObj>
      </w:sdtPr>
      <w:sdtContent>
        <w:p w14:paraId="1D1C3DB2" w14:textId="61AB9EFB" w:rsidR="001812F0" w:rsidRDefault="001812F0">
          <w:pPr>
            <w:pStyle w:val="Heading1"/>
          </w:pPr>
          <w:r>
            <w:t>References</w:t>
          </w:r>
        </w:p>
        <w:p w14:paraId="0FFEFF7E" w14:textId="60BB9835" w:rsidR="007778AA" w:rsidRDefault="007778AA" w:rsidP="007778AA">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Coroners and Justice Act 2009, c.1</w:t>
          </w:r>
          <w:r>
            <w:rPr>
              <w:rFonts w:ascii="avenir-regular-class" w:hAnsi="avenir-regular-class"/>
              <w:color w:val="333333"/>
              <w:sz w:val="23"/>
              <w:szCs w:val="23"/>
              <w:shd w:val="clear" w:color="auto" w:fill="FBFBFB"/>
            </w:rPr>
            <w:t>. Available at: https://www.legislation.gov.uk/ukpga/2009/25/section/52 (Accessed: 01.03.2023).</w:t>
          </w:r>
        </w:p>
        <w:p w14:paraId="17CB0F62" w14:textId="0420CD5D" w:rsidR="005554EA" w:rsidRDefault="005554EA" w:rsidP="007778AA">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Coroners and Justice Act 2009, c. 25</w:t>
          </w:r>
          <w:r>
            <w:rPr>
              <w:rFonts w:ascii="avenir-regular-class" w:hAnsi="avenir-regular-class"/>
              <w:color w:val="333333"/>
              <w:sz w:val="23"/>
              <w:szCs w:val="23"/>
              <w:shd w:val="clear" w:color="auto" w:fill="FBFBFB"/>
            </w:rPr>
            <w:t>. Available at: https://www.legislation.gov.uk/ukpga/2009/25/notes (Accessed: 07.03.2023).</w:t>
          </w:r>
        </w:p>
        <w:p w14:paraId="52BE238E" w14:textId="7FDB7682" w:rsidR="004C7214" w:rsidRDefault="004C7214" w:rsidP="007778AA">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Crofts, T. and Wake, N. (2021) 'Diminished Responsibility Determinations in England and Wales and New South Wales: whose role is i</w:t>
          </w:r>
          <w:r w:rsidR="00192012">
            <w:rPr>
              <w:rFonts w:ascii="avenir-regular-class" w:hAnsi="avenir-regular-class"/>
              <w:color w:val="333333"/>
              <w:sz w:val="23"/>
              <w:szCs w:val="23"/>
              <w:shd w:val="clear" w:color="auto" w:fill="FBFBFB"/>
            </w:rPr>
            <w:t>t</w:t>
          </w:r>
          <w:r>
            <w:rPr>
              <w:rFonts w:ascii="avenir-regular-class" w:hAnsi="avenir-regular-class"/>
              <w:color w:val="333333"/>
              <w:sz w:val="23"/>
              <w:szCs w:val="23"/>
              <w:shd w:val="clear" w:color="auto" w:fill="FBFBFB"/>
            </w:rPr>
            <w:t xml:space="preserve"> anyway?', </w:t>
          </w:r>
          <w:r>
            <w:rPr>
              <w:rFonts w:ascii="avenir-regular-class" w:hAnsi="avenir-regular-class"/>
              <w:i/>
              <w:iCs/>
              <w:color w:val="333333"/>
              <w:sz w:val="23"/>
              <w:szCs w:val="23"/>
              <w:shd w:val="clear" w:color="auto" w:fill="FBFBFB"/>
            </w:rPr>
            <w:t>Northern Ireland Legal Quarterly</w:t>
          </w:r>
          <w:r>
            <w:rPr>
              <w:rFonts w:ascii="avenir-regular-class" w:hAnsi="avenir-regular-class"/>
              <w:color w:val="333333"/>
              <w:sz w:val="23"/>
              <w:szCs w:val="23"/>
              <w:shd w:val="clear" w:color="auto" w:fill="FBFBFB"/>
            </w:rPr>
            <w:t xml:space="preserve">, 72(2), pp. 324-362. </w:t>
          </w:r>
          <w:r>
            <w:rPr>
              <w:rFonts w:ascii="avenir-regular-class" w:hAnsi="avenir-regular-class"/>
              <w:color w:val="333333"/>
              <w:sz w:val="23"/>
              <w:szCs w:val="23"/>
              <w:shd w:val="clear" w:color="auto" w:fill="FBFBFB"/>
            </w:rPr>
            <w:t>Available at:</w:t>
          </w:r>
          <w:r w:rsidR="00507E6F">
            <w:rPr>
              <w:rFonts w:ascii="avenir-regular-class" w:hAnsi="avenir-regular-class"/>
              <w:color w:val="333333"/>
              <w:sz w:val="23"/>
              <w:szCs w:val="23"/>
              <w:shd w:val="clear" w:color="auto" w:fill="FBFBFB"/>
            </w:rPr>
            <w:t xml:space="preserve"> </w:t>
          </w:r>
          <w:hyperlink r:id="rId11" w:history="1">
            <w:r w:rsidR="00AC175E" w:rsidRPr="008D5151">
              <w:rPr>
                <w:rStyle w:val="Hyperlink"/>
                <w:rFonts w:ascii="avenir-regular-class" w:hAnsi="avenir-regular-class"/>
                <w:sz w:val="23"/>
                <w:szCs w:val="23"/>
                <w:shd w:val="clear" w:color="auto" w:fill="FBFBFB"/>
              </w:rPr>
              <w:t>https://doi.org/10.53386/nilq.v72i2.874</w:t>
            </w:r>
          </w:hyperlink>
          <w:r w:rsidR="00AC175E">
            <w:rPr>
              <w:rFonts w:ascii="avenir-regular-class" w:hAnsi="avenir-regular-class"/>
              <w:color w:val="333333"/>
              <w:sz w:val="23"/>
              <w:szCs w:val="23"/>
              <w:shd w:val="clear" w:color="auto" w:fill="FBFBFB"/>
            </w:rPr>
            <w:t xml:space="preserve"> </w:t>
          </w:r>
        </w:p>
        <w:p w14:paraId="0DEA92BC" w14:textId="394A5B5F" w:rsidR="002D4CB5" w:rsidRPr="007778AA" w:rsidRDefault="002D4CB5" w:rsidP="007778AA">
          <w:pPr>
            <w:rPr>
              <w:lang w:val="en-US"/>
            </w:rPr>
          </w:pPr>
          <w:r>
            <w:rPr>
              <w:rFonts w:ascii="avenir-regular-class" w:hAnsi="avenir-regular-class"/>
              <w:color w:val="333333"/>
              <w:sz w:val="23"/>
              <w:szCs w:val="23"/>
              <w:shd w:val="clear" w:color="auto" w:fill="FBFBFB"/>
            </w:rPr>
            <w:t xml:space="preserve">Fortson, R. (2018) 'Diminished </w:t>
          </w:r>
          <w:r>
            <w:rPr>
              <w:rFonts w:ascii="avenir-regular-class" w:hAnsi="avenir-regular-class"/>
              <w:color w:val="333333"/>
              <w:sz w:val="23"/>
              <w:szCs w:val="23"/>
              <w:shd w:val="clear" w:color="auto" w:fill="FBFBFB"/>
            </w:rPr>
            <w:t>Responsibility</w:t>
          </w:r>
          <w:r>
            <w:rPr>
              <w:rFonts w:ascii="avenir-regular-class" w:hAnsi="avenir-regular-class"/>
              <w:color w:val="333333"/>
              <w:sz w:val="23"/>
              <w:szCs w:val="23"/>
              <w:shd w:val="clear" w:color="auto" w:fill="FBFBFB"/>
            </w:rPr>
            <w:t>', in A. Reed et al. (eds.) </w:t>
          </w:r>
          <w:r>
            <w:rPr>
              <w:rFonts w:ascii="avenir-regular-class" w:hAnsi="avenir-regular-class"/>
              <w:i/>
              <w:iCs/>
              <w:color w:val="333333"/>
              <w:sz w:val="23"/>
              <w:szCs w:val="23"/>
              <w:shd w:val="clear" w:color="auto" w:fill="FBFBFB"/>
            </w:rPr>
            <w:t>Homicide in Criminal Law: A Research Companion</w:t>
          </w:r>
          <w:r>
            <w:rPr>
              <w:rFonts w:ascii="avenir-regular-class" w:hAnsi="avenir-regular-class"/>
              <w:color w:val="333333"/>
              <w:sz w:val="23"/>
              <w:szCs w:val="23"/>
              <w:shd w:val="clear" w:color="auto" w:fill="FBFBFB"/>
            </w:rPr>
            <w:t>. London: Routledge, pp. 102-118.</w:t>
          </w:r>
        </w:p>
        <w:sdt>
          <w:sdtPr>
            <w:id w:val="-573587230"/>
            <w:bibliography/>
          </w:sdtPr>
          <w:sdtContent>
            <w:p w14:paraId="5958DBC5" w14:textId="03F04C91" w:rsidR="00424877" w:rsidRDefault="001812F0">
              <w:pPr>
                <w:rPr>
                  <w:rFonts w:ascii="Source Sans Pro" w:hAnsi="Source Sans Pro"/>
                  <w:color w:val="3A3A3A"/>
                  <w:sz w:val="23"/>
                  <w:szCs w:val="23"/>
                  <w:shd w:val="clear" w:color="auto" w:fill="FFFFFF"/>
                </w:rPr>
              </w:pPr>
              <w:r>
                <w:rPr>
                  <w:rFonts w:ascii="avenir-regular-class" w:hAnsi="avenir-regular-class"/>
                  <w:color w:val="333333"/>
                  <w:sz w:val="23"/>
                  <w:szCs w:val="23"/>
                  <w:shd w:val="clear" w:color="auto" w:fill="FBFBFB"/>
                </w:rPr>
                <w:t>Kennefick, L. (2011) 'Introducing a New Diminished Responsibility Defence for England and Wales', </w:t>
              </w:r>
              <w:r>
                <w:rPr>
                  <w:rFonts w:ascii="avenir-regular-class" w:hAnsi="avenir-regular-class"/>
                  <w:i/>
                  <w:iCs/>
                  <w:color w:val="333333"/>
                  <w:sz w:val="23"/>
                  <w:szCs w:val="23"/>
                  <w:shd w:val="clear" w:color="auto" w:fill="FBFBFB"/>
                </w:rPr>
                <w:t>Modern Law Review</w:t>
              </w:r>
              <w:r>
                <w:rPr>
                  <w:rFonts w:ascii="avenir-regular-class" w:hAnsi="avenir-regular-class"/>
                  <w:color w:val="333333"/>
                  <w:sz w:val="23"/>
                  <w:szCs w:val="23"/>
                  <w:shd w:val="clear" w:color="auto" w:fill="FBFBFB"/>
                </w:rPr>
                <w:t>, 74(5), pp. 750-766. Available at: </w:t>
              </w:r>
              <w:r>
                <w:rPr>
                  <w:rFonts w:ascii="Source Sans Pro" w:hAnsi="Source Sans Pro"/>
                  <w:color w:val="3A3A3A"/>
                  <w:sz w:val="23"/>
                  <w:szCs w:val="23"/>
                  <w:shd w:val="clear" w:color="auto" w:fill="FFFFFF"/>
                </w:rPr>
                <w:t> </w:t>
              </w:r>
              <w:hyperlink r:id="rId12" w:history="1">
                <w:r w:rsidRPr="00AF64C8">
                  <w:rPr>
                    <w:rStyle w:val="Hyperlink"/>
                    <w:rFonts w:ascii="Source Sans Pro" w:hAnsi="Source Sans Pro"/>
                    <w:sz w:val="23"/>
                    <w:szCs w:val="23"/>
                    <w:shd w:val="clear" w:color="auto" w:fill="FFFFFF"/>
                  </w:rPr>
                  <w:t>https://doi.org/10.1111/j.1468-2230.2011.00869.x</w:t>
                </w:r>
              </w:hyperlink>
              <w:r>
                <w:rPr>
                  <w:rFonts w:ascii="Source Sans Pro" w:hAnsi="Source Sans Pro"/>
                  <w:color w:val="3A3A3A"/>
                  <w:sz w:val="23"/>
                  <w:szCs w:val="23"/>
                  <w:shd w:val="clear" w:color="auto" w:fill="FFFFFF"/>
                </w:rPr>
                <w:t xml:space="preserve"> </w:t>
              </w:r>
            </w:p>
            <w:p w14:paraId="34B6061B" w14:textId="264DD5C5" w:rsidR="00FA1952" w:rsidRDefault="00FA1952">
              <w:pPr>
                <w:rPr>
                  <w:rFonts w:ascii="Source Sans Pro" w:hAnsi="Source Sans Pro"/>
                  <w:color w:val="3A3A3A"/>
                  <w:sz w:val="23"/>
                  <w:szCs w:val="23"/>
                  <w:shd w:val="clear" w:color="auto" w:fill="FFFFFF"/>
                </w:rPr>
              </w:pPr>
              <w:r>
                <w:rPr>
                  <w:rFonts w:ascii="avenir-regular-class" w:hAnsi="avenir-regular-class"/>
                  <w:color w:val="333333"/>
                  <w:sz w:val="23"/>
                  <w:szCs w:val="23"/>
                  <w:shd w:val="clear" w:color="auto" w:fill="FBFBFB"/>
                </w:rPr>
                <w:t>Law Commission (2009) </w:t>
              </w:r>
              <w:r>
                <w:rPr>
                  <w:rFonts w:ascii="avenir-regular-class" w:hAnsi="avenir-regular-class"/>
                  <w:i/>
                  <w:iCs/>
                  <w:color w:val="333333"/>
                  <w:sz w:val="23"/>
                  <w:szCs w:val="23"/>
                  <w:shd w:val="clear" w:color="auto" w:fill="FBFBFB"/>
                </w:rPr>
                <w:t xml:space="preserve">Murder, Manslaughter and </w:t>
              </w:r>
              <w:r w:rsidR="004F3383">
                <w:rPr>
                  <w:rFonts w:ascii="avenir-regular-class" w:hAnsi="avenir-regular-class"/>
                  <w:i/>
                  <w:iCs/>
                  <w:color w:val="333333"/>
                  <w:sz w:val="23"/>
                  <w:szCs w:val="23"/>
                  <w:shd w:val="clear" w:color="auto" w:fill="FBFBFB"/>
                </w:rPr>
                <w:t>Infanticide</w:t>
              </w:r>
              <w:r>
                <w:rPr>
                  <w:rFonts w:ascii="avenir-regular-class" w:hAnsi="avenir-regular-class"/>
                  <w:color w:val="333333"/>
                  <w:sz w:val="23"/>
                  <w:szCs w:val="23"/>
                  <w:shd w:val="clear" w:color="auto" w:fill="FBFBFB"/>
                </w:rPr>
                <w:t> (Law Com No 304, HC 30). Available at: https://www.lawcom.gov.uk/app/uploads/2015/03/lc304_Murder_Manslaughter_and_Infanticide_Report.pdf (01.03.2023).</w:t>
              </w:r>
            </w:p>
            <w:p w14:paraId="2E8DB0DE" w14:textId="5ACFF258" w:rsidR="00E04118" w:rsidRDefault="00424877">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Macdonald, S. (2018) </w:t>
              </w:r>
              <w:r>
                <w:rPr>
                  <w:rFonts w:ascii="avenir-regular-class" w:hAnsi="avenir-regular-class"/>
                  <w:i/>
                  <w:iCs/>
                  <w:color w:val="333333"/>
                  <w:sz w:val="23"/>
                  <w:szCs w:val="23"/>
                  <w:shd w:val="clear" w:color="auto" w:fill="FBFBFB"/>
                </w:rPr>
                <w:t>Text, Cases and Materials on Criminal Law</w:t>
              </w:r>
              <w:r>
                <w:rPr>
                  <w:rFonts w:ascii="avenir-regular-class" w:hAnsi="avenir-regular-class"/>
                  <w:color w:val="333333"/>
                  <w:sz w:val="23"/>
                  <w:szCs w:val="23"/>
                  <w:shd w:val="clear" w:color="auto" w:fill="FBFBFB"/>
                </w:rPr>
                <w:t xml:space="preserve">. Harlow: Pearson Education Limited. </w:t>
              </w:r>
            </w:p>
            <w:p w14:paraId="76910E7B" w14:textId="5A8D7D79" w:rsidR="00442D6D" w:rsidRDefault="00442D6D">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Mackay, R. D. (2010) 'The Coroners and Justice Act 2009 - </w:t>
              </w:r>
              <w:r>
                <w:rPr>
                  <w:rFonts w:ascii="avenir-regular-class" w:hAnsi="avenir-regular-class"/>
                  <w:color w:val="333333"/>
                  <w:sz w:val="23"/>
                  <w:szCs w:val="23"/>
                  <w:shd w:val="clear" w:color="auto" w:fill="FBFBFB"/>
                </w:rPr>
                <w:t>P</w:t>
              </w:r>
              <w:r>
                <w:rPr>
                  <w:rFonts w:ascii="avenir-regular-class" w:hAnsi="avenir-regular-class"/>
                  <w:color w:val="333333"/>
                  <w:sz w:val="23"/>
                  <w:szCs w:val="23"/>
                  <w:shd w:val="clear" w:color="auto" w:fill="FBFBFB"/>
                </w:rPr>
                <w:t xml:space="preserve">artial </w:t>
              </w:r>
              <w:r>
                <w:rPr>
                  <w:rFonts w:ascii="avenir-regular-class" w:hAnsi="avenir-regular-class"/>
                  <w:color w:val="333333"/>
                  <w:sz w:val="23"/>
                  <w:szCs w:val="23"/>
                  <w:shd w:val="clear" w:color="auto" w:fill="FBFBFB"/>
                </w:rPr>
                <w:t>D</w:t>
              </w:r>
              <w:r>
                <w:rPr>
                  <w:rFonts w:ascii="avenir-regular-class" w:hAnsi="avenir-regular-class"/>
                  <w:color w:val="333333"/>
                  <w:sz w:val="23"/>
                  <w:szCs w:val="23"/>
                  <w:shd w:val="clear" w:color="auto" w:fill="FBFBFB"/>
                </w:rPr>
                <w:t xml:space="preserve">efences to </w:t>
              </w:r>
              <w:r>
                <w:rPr>
                  <w:rFonts w:ascii="avenir-regular-class" w:hAnsi="avenir-regular-class"/>
                  <w:color w:val="333333"/>
                  <w:sz w:val="23"/>
                  <w:szCs w:val="23"/>
                  <w:shd w:val="clear" w:color="auto" w:fill="FBFBFB"/>
                </w:rPr>
                <w:t>M</w:t>
              </w:r>
              <w:r>
                <w:rPr>
                  <w:rFonts w:ascii="avenir-regular-class" w:hAnsi="avenir-regular-class"/>
                  <w:color w:val="333333"/>
                  <w:sz w:val="23"/>
                  <w:szCs w:val="23"/>
                  <w:shd w:val="clear" w:color="auto" w:fill="FBFBFB"/>
                </w:rPr>
                <w:t xml:space="preserve">urder (2) The </w:t>
              </w:r>
              <w:r>
                <w:rPr>
                  <w:rFonts w:ascii="avenir-regular-class" w:hAnsi="avenir-regular-class"/>
                  <w:color w:val="333333"/>
                  <w:sz w:val="23"/>
                  <w:szCs w:val="23"/>
                  <w:shd w:val="clear" w:color="auto" w:fill="FBFBFB"/>
                </w:rPr>
                <w:t>N</w:t>
              </w:r>
              <w:r>
                <w:rPr>
                  <w:rFonts w:ascii="avenir-regular-class" w:hAnsi="avenir-regular-class"/>
                  <w:color w:val="333333"/>
                  <w:sz w:val="23"/>
                  <w:szCs w:val="23"/>
                  <w:shd w:val="clear" w:color="auto" w:fill="FBFBFB"/>
                </w:rPr>
                <w:t xml:space="preserve">ew </w:t>
              </w:r>
              <w:r>
                <w:rPr>
                  <w:rFonts w:ascii="avenir-regular-class" w:hAnsi="avenir-regular-class"/>
                  <w:color w:val="333333"/>
                  <w:sz w:val="23"/>
                  <w:szCs w:val="23"/>
                  <w:shd w:val="clear" w:color="auto" w:fill="FBFBFB"/>
                </w:rPr>
                <w:t>D</w:t>
              </w:r>
              <w:r>
                <w:rPr>
                  <w:rFonts w:ascii="avenir-regular-class" w:hAnsi="avenir-regular-class"/>
                  <w:color w:val="333333"/>
                  <w:sz w:val="23"/>
                  <w:szCs w:val="23"/>
                  <w:shd w:val="clear" w:color="auto" w:fill="FBFBFB"/>
                </w:rPr>
                <w:t xml:space="preserve">iminished </w:t>
              </w:r>
              <w:r>
                <w:rPr>
                  <w:rFonts w:ascii="avenir-regular-class" w:hAnsi="avenir-regular-class"/>
                  <w:color w:val="333333"/>
                  <w:sz w:val="23"/>
                  <w:szCs w:val="23"/>
                  <w:shd w:val="clear" w:color="auto" w:fill="FBFBFB"/>
                </w:rPr>
                <w:t>R</w:t>
              </w:r>
              <w:r>
                <w:rPr>
                  <w:rFonts w:ascii="avenir-regular-class" w:hAnsi="avenir-regular-class"/>
                  <w:color w:val="333333"/>
                  <w:sz w:val="23"/>
                  <w:szCs w:val="23"/>
                  <w:shd w:val="clear" w:color="auto" w:fill="FBFBFB"/>
                </w:rPr>
                <w:t xml:space="preserve">esponsibility </w:t>
              </w:r>
              <w:r>
                <w:rPr>
                  <w:rFonts w:ascii="avenir-regular-class" w:hAnsi="avenir-regular-class"/>
                  <w:color w:val="333333"/>
                  <w:sz w:val="23"/>
                  <w:szCs w:val="23"/>
                  <w:shd w:val="clear" w:color="auto" w:fill="FBFBFB"/>
                </w:rPr>
                <w:t>P</w:t>
              </w:r>
              <w:r>
                <w:rPr>
                  <w:rFonts w:ascii="avenir-regular-class" w:hAnsi="avenir-regular-class"/>
                  <w:color w:val="333333"/>
                  <w:sz w:val="23"/>
                  <w:szCs w:val="23"/>
                  <w:shd w:val="clear" w:color="auto" w:fill="FBFBFB"/>
                </w:rPr>
                <w:t>lea ', </w:t>
              </w:r>
              <w:r>
                <w:rPr>
                  <w:rFonts w:ascii="avenir-regular-class" w:hAnsi="avenir-regular-class"/>
                  <w:i/>
                  <w:iCs/>
                  <w:color w:val="333333"/>
                  <w:sz w:val="23"/>
                  <w:szCs w:val="23"/>
                  <w:shd w:val="clear" w:color="auto" w:fill="FBFBFB"/>
                </w:rPr>
                <w:t>Criminal Law Review</w:t>
              </w:r>
              <w:r>
                <w:rPr>
                  <w:rFonts w:ascii="avenir-regular-class" w:hAnsi="avenir-regular-class"/>
                  <w:color w:val="333333"/>
                  <w:sz w:val="23"/>
                  <w:szCs w:val="23"/>
                  <w:shd w:val="clear" w:color="auto" w:fill="FBFBFB"/>
                </w:rPr>
                <w:t>, 290.</w:t>
              </w:r>
            </w:p>
            <w:p w14:paraId="292F9E4B" w14:textId="702F61E7" w:rsidR="00184978" w:rsidRDefault="004A6AB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'R v Conroy' (2017) England and Wales Court of Appeal, case 81. </w:t>
              </w:r>
              <w:r>
                <w:rPr>
                  <w:rFonts w:ascii="avenir-regular-class" w:hAnsi="avenir-regular-class"/>
                  <w:i/>
                  <w:iCs/>
                  <w:color w:val="333333"/>
                  <w:sz w:val="23"/>
                  <w:szCs w:val="23"/>
                  <w:shd w:val="clear" w:color="auto" w:fill="FBFBFB"/>
                </w:rPr>
                <w:t>BAILII</w:t>
              </w:r>
              <w:r>
                <w:rPr>
                  <w:rFonts w:ascii="avenir-regular-class" w:hAnsi="avenir-regular-class"/>
                  <w:color w:val="333333"/>
                  <w:sz w:val="23"/>
                  <w:szCs w:val="23"/>
                  <w:shd w:val="clear" w:color="auto" w:fill="FBFBFB"/>
                </w:rPr>
                <w:t xml:space="preserve">. Available at: </w:t>
              </w:r>
              <w:hyperlink r:id="rId13" w:history="1">
                <w:r w:rsidR="0057526F" w:rsidRPr="008D5151">
                  <w:rPr>
                    <w:rStyle w:val="Hyperlink"/>
                    <w:rFonts w:ascii="avenir-regular-class" w:hAnsi="avenir-regular-class"/>
                    <w:sz w:val="23"/>
                    <w:szCs w:val="23"/>
                    <w:shd w:val="clear" w:color="auto" w:fill="FBFBFB"/>
                  </w:rPr>
                  <w:t>http://www.bailii.org/ew/cases/EWCA/Crim/20</w:t>
                </w:r>
                <w:r w:rsidR="0057526F" w:rsidRPr="008D5151">
                  <w:rPr>
                    <w:rStyle w:val="Hyperlink"/>
                    <w:rFonts w:ascii="avenir-regular-class" w:hAnsi="avenir-regular-class"/>
                    <w:sz w:val="23"/>
                    <w:szCs w:val="23"/>
                    <w:shd w:val="clear" w:color="auto" w:fill="FBFBFB"/>
                  </w:rPr>
                  <w:t>1</w:t>
                </w:r>
                <w:r w:rsidR="0057526F" w:rsidRPr="008D5151">
                  <w:rPr>
                    <w:rStyle w:val="Hyperlink"/>
                    <w:rFonts w:ascii="avenir-regular-class" w:hAnsi="avenir-regular-class"/>
                    <w:sz w:val="23"/>
                    <w:szCs w:val="23"/>
                    <w:shd w:val="clear" w:color="auto" w:fill="FBFBFB"/>
                  </w:rPr>
                  <w:t>7/81.html</w:t>
                </w:r>
              </w:hyperlink>
              <w:r w:rsidR="0057526F">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06.03.2023).</w:t>
              </w:r>
            </w:p>
            <w:p w14:paraId="7669AA86" w14:textId="6E4E497B" w:rsidR="007144F0" w:rsidRDefault="007144F0">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 v Dowds' (2012) England and Wales Court of Appeal, case 281. </w:t>
              </w:r>
              <w:r>
                <w:rPr>
                  <w:rFonts w:ascii="avenir-regular-class" w:hAnsi="avenir-regular-class"/>
                  <w:i/>
                  <w:iCs/>
                  <w:color w:val="333333"/>
                  <w:sz w:val="23"/>
                  <w:szCs w:val="23"/>
                  <w:shd w:val="clear" w:color="auto" w:fill="FBFBFB"/>
                </w:rPr>
                <w:t>BAILII</w:t>
              </w:r>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 xml:space="preserve">Available at: </w:t>
              </w:r>
              <w:hyperlink r:id="rId14" w:history="1">
                <w:r w:rsidRPr="008D5151">
                  <w:rPr>
                    <w:rStyle w:val="Hyperlink"/>
                    <w:rFonts w:ascii="avenir-regular-class" w:hAnsi="avenir-regular-class"/>
                    <w:sz w:val="23"/>
                    <w:szCs w:val="23"/>
                    <w:shd w:val="clear" w:color="auto" w:fill="FBFBFB"/>
                  </w:rPr>
                  <w:t>https://www.bailii.org/ew/cases/EWCA/Crim/2012/281.html</w:t>
                </w:r>
              </w:hyperlink>
              <w:r>
                <w:rPr>
                  <w:rFonts w:ascii="avenir-regular-class" w:hAnsi="avenir-regular-class"/>
                  <w:color w:val="333333"/>
                  <w:sz w:val="23"/>
                  <w:szCs w:val="23"/>
                  <w:shd w:val="clear" w:color="auto" w:fill="FBFBFB"/>
                </w:rPr>
                <w:t xml:space="preserve"> (Accessed: 06.03.2023).</w:t>
              </w:r>
            </w:p>
            <w:p w14:paraId="4C65EBF1" w14:textId="713658B0" w:rsidR="004F3383" w:rsidRDefault="004F3383">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'R v Golds' (2016) United Kingdom Supreme Court, case 61. </w:t>
              </w:r>
              <w:r>
                <w:rPr>
                  <w:rFonts w:ascii="avenir-regular-class" w:hAnsi="avenir-regular-class"/>
                  <w:i/>
                  <w:iCs/>
                  <w:color w:val="333333"/>
                  <w:sz w:val="23"/>
                  <w:szCs w:val="23"/>
                  <w:shd w:val="clear" w:color="auto" w:fill="FBFBFB"/>
                </w:rPr>
                <w:t>BAILII</w:t>
              </w:r>
              <w:r>
                <w:rPr>
                  <w:rFonts w:ascii="avenir-regular-class" w:hAnsi="avenir-regular-class"/>
                  <w:color w:val="333333"/>
                  <w:sz w:val="23"/>
                  <w:szCs w:val="23"/>
                  <w:shd w:val="clear" w:color="auto" w:fill="FBFBFB"/>
                </w:rPr>
                <w:t xml:space="preserve">. Available at: </w:t>
              </w:r>
              <w:hyperlink r:id="rId15" w:history="1">
                <w:r w:rsidRPr="008D5151">
                  <w:rPr>
                    <w:rStyle w:val="Hyperlink"/>
                    <w:rFonts w:ascii="avenir-regular-class" w:hAnsi="avenir-regular-class"/>
                    <w:sz w:val="23"/>
                    <w:szCs w:val="23"/>
                    <w:shd w:val="clear" w:color="auto" w:fill="FBFBFB"/>
                  </w:rPr>
                  <w:t>https://www.bailii.org/uk/cases/UKSC/2016/61.html</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07.03.2023).</w:t>
              </w:r>
            </w:p>
            <w:p w14:paraId="4CF54110" w14:textId="045A1D46" w:rsidR="00D337B6" w:rsidRDefault="00D337B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Simester, A.P. et al. (2016) </w:t>
              </w:r>
              <w:r>
                <w:rPr>
                  <w:rFonts w:ascii="avenir-regular-class" w:hAnsi="avenir-regular-class"/>
                  <w:i/>
                  <w:iCs/>
                  <w:color w:val="333333"/>
                  <w:sz w:val="23"/>
                  <w:szCs w:val="23"/>
                  <w:shd w:val="clear" w:color="auto" w:fill="FBFBFB"/>
                </w:rPr>
                <w:t>Simester and Sullivan's Criminal Law: Theory and Doctrine</w:t>
              </w:r>
              <w:r>
                <w:rPr>
                  <w:rFonts w:ascii="avenir-regular-class" w:hAnsi="avenir-regular-class"/>
                  <w:color w:val="333333"/>
                  <w:sz w:val="23"/>
                  <w:szCs w:val="23"/>
                  <w:shd w:val="clear" w:color="auto" w:fill="FBFBFB"/>
                </w:rPr>
                <w:t>. 6th edn. London: Bloomsbury Publishing. </w:t>
              </w:r>
            </w:p>
            <w:p w14:paraId="4AFFB333" w14:textId="77777777" w:rsidR="007A7A25" w:rsidRDefault="00414437" w:rsidP="007A7A25">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Storey, T. (2014) 'Diminished Responsibility: No </w:t>
              </w:r>
              <w:r w:rsidR="00C0316C">
                <w:rPr>
                  <w:rFonts w:ascii="avenir-regular-class" w:hAnsi="avenir-regular-class"/>
                  <w:color w:val="333333"/>
                  <w:sz w:val="23"/>
                  <w:szCs w:val="23"/>
                  <w:shd w:val="clear" w:color="auto" w:fill="FBFBFB"/>
                </w:rPr>
                <w:t>Defence</w:t>
              </w:r>
              <w:r>
                <w:rPr>
                  <w:rFonts w:ascii="avenir-regular-class" w:hAnsi="avenir-regular-class"/>
                  <w:color w:val="333333"/>
                  <w:sz w:val="23"/>
                  <w:szCs w:val="23"/>
                  <w:shd w:val="clear" w:color="auto" w:fill="FBFBFB"/>
                </w:rPr>
                <w:t xml:space="preserve"> without Evidence', </w:t>
              </w:r>
              <w:r>
                <w:rPr>
                  <w:rFonts w:ascii="avenir-regular-class" w:hAnsi="avenir-regular-class"/>
                  <w:i/>
                  <w:iCs/>
                  <w:color w:val="333333"/>
                  <w:sz w:val="23"/>
                  <w:szCs w:val="23"/>
                  <w:shd w:val="clear" w:color="auto" w:fill="FBFBFB"/>
                </w:rPr>
                <w:t>The Journal of Criminal Law</w:t>
              </w:r>
              <w:r>
                <w:rPr>
                  <w:rFonts w:ascii="avenir-regular-class" w:hAnsi="avenir-regular-class"/>
                  <w:color w:val="333333"/>
                  <w:sz w:val="23"/>
                  <w:szCs w:val="23"/>
                  <w:shd w:val="clear" w:color="auto" w:fill="FBFBFB"/>
                </w:rPr>
                <w:t xml:space="preserve">, 78, pp.114-117. Available at: </w:t>
              </w:r>
              <w:hyperlink r:id="rId16" w:history="1">
                <w:r w:rsidR="00C0316C" w:rsidRPr="00AF64C8">
                  <w:rPr>
                    <w:rStyle w:val="Hyperlink"/>
                    <w:rFonts w:ascii="avenir-regular-class" w:hAnsi="avenir-regular-class"/>
                    <w:sz w:val="23"/>
                    <w:szCs w:val="23"/>
                    <w:shd w:val="clear" w:color="auto" w:fill="FBFBFB"/>
                  </w:rPr>
                  <w:t>http://nrl.northumbria.ac.uk/id/eprint/16426/</w:t>
                </w:r>
              </w:hyperlink>
              <w:r w:rsidR="00C0316C">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26.02.2023).</w:t>
              </w:r>
              <w:r w:rsidR="007A7A25" w:rsidRPr="007A7A25">
                <w:rPr>
                  <w:rFonts w:ascii="avenir-regular-class" w:hAnsi="avenir-regular-class"/>
                  <w:color w:val="333333"/>
                  <w:sz w:val="23"/>
                  <w:szCs w:val="23"/>
                  <w:shd w:val="clear" w:color="auto" w:fill="FBFBFB"/>
                </w:rPr>
                <w:t xml:space="preserve"> </w:t>
              </w:r>
            </w:p>
            <w:p w14:paraId="670E94B1" w14:textId="199B8E25" w:rsidR="007A7A25" w:rsidRDefault="007A7A25" w:rsidP="007A7A25">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Taylor, L. (2018) </w:t>
              </w:r>
              <w:r>
                <w:rPr>
                  <w:rFonts w:ascii="avenir-regular-class" w:hAnsi="avenir-regular-class"/>
                  <w:i/>
                  <w:iCs/>
                  <w:color w:val="333333"/>
                  <w:sz w:val="23"/>
                  <w:szCs w:val="23"/>
                  <w:shd w:val="clear" w:color="auto" w:fill="FBFBFB"/>
                </w:rPr>
                <w:t>Elliott &amp; Quinn's Criminal Law</w:t>
              </w:r>
              <w:r>
                <w:rPr>
                  <w:rFonts w:ascii="avenir-regular-class" w:hAnsi="avenir-regular-class"/>
                  <w:color w:val="333333"/>
                  <w:sz w:val="23"/>
                  <w:szCs w:val="23"/>
                  <w:shd w:val="clear" w:color="auto" w:fill="FBFBFB"/>
                </w:rPr>
                <w:t>. Harlow: Pearson Education Limited.</w:t>
              </w:r>
            </w:p>
            <w:p w14:paraId="7FA8F32F" w14:textId="731384A9" w:rsidR="008335F1" w:rsidRDefault="008335F1" w:rsidP="007A7A25">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Wake, N. (2012) 'Diminished Responsibility and Acute Intoxication: Raising the Bar?', </w:t>
              </w:r>
              <w:r>
                <w:rPr>
                  <w:rFonts w:ascii="avenir-regular-class" w:hAnsi="avenir-regular-class"/>
                  <w:i/>
                  <w:iCs/>
                  <w:color w:val="333333"/>
                  <w:sz w:val="23"/>
                  <w:szCs w:val="23"/>
                  <w:shd w:val="clear" w:color="auto" w:fill="FBFBFB"/>
                </w:rPr>
                <w:t>Journal of Criminal Law</w:t>
              </w:r>
              <w:r>
                <w:rPr>
                  <w:rFonts w:ascii="avenir-regular-class" w:hAnsi="avenir-regular-class"/>
                  <w:color w:val="333333"/>
                  <w:sz w:val="23"/>
                  <w:szCs w:val="23"/>
                  <w:shd w:val="clear" w:color="auto" w:fill="FBFBFB"/>
                </w:rPr>
                <w:t xml:space="preserve">, 76(3), pp. 197-202. </w:t>
              </w:r>
              <w:r>
                <w:rPr>
                  <w:rFonts w:ascii="avenir-regular-class" w:hAnsi="avenir-regular-class"/>
                  <w:color w:val="333333"/>
                  <w:sz w:val="23"/>
                  <w:szCs w:val="23"/>
                  <w:shd w:val="clear" w:color="auto" w:fill="FBFBFB"/>
                </w:rPr>
                <w:t xml:space="preserve">Available at: </w:t>
              </w:r>
              <w:hyperlink r:id="rId17" w:history="1">
                <w:r w:rsidRPr="008D5151">
                  <w:rPr>
                    <w:rStyle w:val="Hyperlink"/>
                    <w:rFonts w:ascii="avenir-regular-class" w:hAnsi="avenir-regular-class"/>
                    <w:sz w:val="23"/>
                    <w:szCs w:val="23"/>
                    <w:shd w:val="clear" w:color="auto" w:fill="FBFBFB"/>
                  </w:rPr>
                  <w:t>https://doi.org/10.1350/1740-5580-76.3.197</w:t>
                </w:r>
              </w:hyperlink>
              <w:r>
                <w:rPr>
                  <w:rFonts w:ascii="avenir-regular-class" w:hAnsi="avenir-regular-class"/>
                  <w:color w:val="333333"/>
                  <w:sz w:val="23"/>
                  <w:szCs w:val="23"/>
                  <w:shd w:val="clear" w:color="auto" w:fill="FBFBFB"/>
                </w:rPr>
                <w:t xml:space="preserve"> </w:t>
              </w:r>
            </w:p>
            <w:p w14:paraId="5F778F82" w14:textId="356B36F3" w:rsidR="001812F0" w:rsidRDefault="00000000"/>
          </w:sdtContent>
        </w:sdt>
      </w:sdtContent>
    </w:sdt>
    <w:p w14:paraId="6D579A70" w14:textId="77777777" w:rsidR="00F06618" w:rsidRPr="00F06618" w:rsidRDefault="00F06618" w:rsidP="00E6401E">
      <w:pPr>
        <w:tabs>
          <w:tab w:val="left" w:pos="6528"/>
        </w:tabs>
        <w:spacing w:line="480" w:lineRule="auto"/>
        <w:rPr>
          <w:rFonts w:ascii="Arial" w:hAnsi="Arial" w:cs="Arial"/>
          <w:sz w:val="24"/>
          <w:szCs w:val="24"/>
        </w:rPr>
      </w:pPr>
    </w:p>
    <w:sectPr w:rsidR="00F06618" w:rsidRPr="00F066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892F0D"/>
    <w:multiLevelType w:val="hybridMultilevel"/>
    <w:tmpl w:val="E2C4201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813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E04"/>
    <w:rsid w:val="00013B86"/>
    <w:rsid w:val="00014C9E"/>
    <w:rsid w:val="0002221C"/>
    <w:rsid w:val="0003751A"/>
    <w:rsid w:val="000426E9"/>
    <w:rsid w:val="00056B69"/>
    <w:rsid w:val="000674A3"/>
    <w:rsid w:val="00086FFF"/>
    <w:rsid w:val="00092319"/>
    <w:rsid w:val="00097518"/>
    <w:rsid w:val="000A76A6"/>
    <w:rsid w:val="000A76AF"/>
    <w:rsid w:val="000B0651"/>
    <w:rsid w:val="000B1342"/>
    <w:rsid w:val="000B3C56"/>
    <w:rsid w:val="000B452B"/>
    <w:rsid w:val="000C31B2"/>
    <w:rsid w:val="000D4200"/>
    <w:rsid w:val="000D454A"/>
    <w:rsid w:val="000D6AE1"/>
    <w:rsid w:val="000F064B"/>
    <w:rsid w:val="000F127D"/>
    <w:rsid w:val="00100C01"/>
    <w:rsid w:val="0010349B"/>
    <w:rsid w:val="001047C7"/>
    <w:rsid w:val="001159AF"/>
    <w:rsid w:val="00115C49"/>
    <w:rsid w:val="0013573A"/>
    <w:rsid w:val="00142D9C"/>
    <w:rsid w:val="0014569B"/>
    <w:rsid w:val="001513F9"/>
    <w:rsid w:val="00152FAF"/>
    <w:rsid w:val="001538B9"/>
    <w:rsid w:val="001671E4"/>
    <w:rsid w:val="001734DA"/>
    <w:rsid w:val="00174916"/>
    <w:rsid w:val="001812F0"/>
    <w:rsid w:val="00184978"/>
    <w:rsid w:val="00192012"/>
    <w:rsid w:val="001B22BB"/>
    <w:rsid w:val="001B2F50"/>
    <w:rsid w:val="001B3CF0"/>
    <w:rsid w:val="001F173D"/>
    <w:rsid w:val="00204772"/>
    <w:rsid w:val="00225A3D"/>
    <w:rsid w:val="002327B6"/>
    <w:rsid w:val="00233F0C"/>
    <w:rsid w:val="00241F8E"/>
    <w:rsid w:val="00247A61"/>
    <w:rsid w:val="002609E3"/>
    <w:rsid w:val="002654BE"/>
    <w:rsid w:val="00270EB9"/>
    <w:rsid w:val="002758C1"/>
    <w:rsid w:val="00276291"/>
    <w:rsid w:val="002845F2"/>
    <w:rsid w:val="00287AFA"/>
    <w:rsid w:val="00294C89"/>
    <w:rsid w:val="0029558E"/>
    <w:rsid w:val="002A3BCA"/>
    <w:rsid w:val="002A6857"/>
    <w:rsid w:val="002C37D6"/>
    <w:rsid w:val="002D08FD"/>
    <w:rsid w:val="002D4CB5"/>
    <w:rsid w:val="002D4DE1"/>
    <w:rsid w:val="002D5605"/>
    <w:rsid w:val="002E4D50"/>
    <w:rsid w:val="002E55AC"/>
    <w:rsid w:val="002E63CA"/>
    <w:rsid w:val="00301061"/>
    <w:rsid w:val="003075FD"/>
    <w:rsid w:val="00310907"/>
    <w:rsid w:val="00312D96"/>
    <w:rsid w:val="00316542"/>
    <w:rsid w:val="00324B12"/>
    <w:rsid w:val="00327EE4"/>
    <w:rsid w:val="003416DF"/>
    <w:rsid w:val="0035314A"/>
    <w:rsid w:val="00354C78"/>
    <w:rsid w:val="003552B9"/>
    <w:rsid w:val="00360636"/>
    <w:rsid w:val="00361A8D"/>
    <w:rsid w:val="0036711C"/>
    <w:rsid w:val="003757A8"/>
    <w:rsid w:val="00375C36"/>
    <w:rsid w:val="0038031E"/>
    <w:rsid w:val="00380407"/>
    <w:rsid w:val="003A1FBF"/>
    <w:rsid w:val="003B3534"/>
    <w:rsid w:val="003C1266"/>
    <w:rsid w:val="003C334C"/>
    <w:rsid w:val="003D2E8D"/>
    <w:rsid w:val="003D4D82"/>
    <w:rsid w:val="003E0AB7"/>
    <w:rsid w:val="003E15FC"/>
    <w:rsid w:val="003E3F30"/>
    <w:rsid w:val="003E6AFA"/>
    <w:rsid w:val="003E7002"/>
    <w:rsid w:val="00406FDB"/>
    <w:rsid w:val="00414437"/>
    <w:rsid w:val="0042200E"/>
    <w:rsid w:val="00424877"/>
    <w:rsid w:val="00424DE1"/>
    <w:rsid w:val="00442D6D"/>
    <w:rsid w:val="00445664"/>
    <w:rsid w:val="0046417D"/>
    <w:rsid w:val="00464CB9"/>
    <w:rsid w:val="00465204"/>
    <w:rsid w:val="00467B2C"/>
    <w:rsid w:val="00473655"/>
    <w:rsid w:val="00474E7D"/>
    <w:rsid w:val="00477454"/>
    <w:rsid w:val="004860D6"/>
    <w:rsid w:val="00487122"/>
    <w:rsid w:val="00487CA1"/>
    <w:rsid w:val="004909F9"/>
    <w:rsid w:val="00493259"/>
    <w:rsid w:val="00494C62"/>
    <w:rsid w:val="00495AC7"/>
    <w:rsid w:val="004A6AB4"/>
    <w:rsid w:val="004B7D9F"/>
    <w:rsid w:val="004C04D1"/>
    <w:rsid w:val="004C7214"/>
    <w:rsid w:val="004D23B6"/>
    <w:rsid w:val="004E25F2"/>
    <w:rsid w:val="004E7FEB"/>
    <w:rsid w:val="004F1B7F"/>
    <w:rsid w:val="004F3383"/>
    <w:rsid w:val="00502396"/>
    <w:rsid w:val="00505F1C"/>
    <w:rsid w:val="00507E6F"/>
    <w:rsid w:val="00514A0E"/>
    <w:rsid w:val="005252A0"/>
    <w:rsid w:val="00525A47"/>
    <w:rsid w:val="00526975"/>
    <w:rsid w:val="00544525"/>
    <w:rsid w:val="00544913"/>
    <w:rsid w:val="00547DF3"/>
    <w:rsid w:val="005509BC"/>
    <w:rsid w:val="00552E8A"/>
    <w:rsid w:val="005554EA"/>
    <w:rsid w:val="00572F32"/>
    <w:rsid w:val="0057526F"/>
    <w:rsid w:val="00586DBF"/>
    <w:rsid w:val="00587C08"/>
    <w:rsid w:val="0059431A"/>
    <w:rsid w:val="005A4854"/>
    <w:rsid w:val="005B4672"/>
    <w:rsid w:val="005F2EE1"/>
    <w:rsid w:val="005F3798"/>
    <w:rsid w:val="0060074E"/>
    <w:rsid w:val="006018A0"/>
    <w:rsid w:val="00603C22"/>
    <w:rsid w:val="00607F4F"/>
    <w:rsid w:val="00617E01"/>
    <w:rsid w:val="0062146F"/>
    <w:rsid w:val="00623353"/>
    <w:rsid w:val="00632969"/>
    <w:rsid w:val="006421B4"/>
    <w:rsid w:val="0064425A"/>
    <w:rsid w:val="00644F0B"/>
    <w:rsid w:val="0065059D"/>
    <w:rsid w:val="0065247B"/>
    <w:rsid w:val="00652AC8"/>
    <w:rsid w:val="00671931"/>
    <w:rsid w:val="0067416F"/>
    <w:rsid w:val="00681BAE"/>
    <w:rsid w:val="00683C2B"/>
    <w:rsid w:val="00690F12"/>
    <w:rsid w:val="00696C10"/>
    <w:rsid w:val="006A6BC4"/>
    <w:rsid w:val="006C1B6F"/>
    <w:rsid w:val="006C607F"/>
    <w:rsid w:val="006D45C3"/>
    <w:rsid w:val="006E06C2"/>
    <w:rsid w:val="006E17CE"/>
    <w:rsid w:val="006F4BA9"/>
    <w:rsid w:val="006F60BC"/>
    <w:rsid w:val="00703384"/>
    <w:rsid w:val="007047EC"/>
    <w:rsid w:val="00710899"/>
    <w:rsid w:val="0071355A"/>
    <w:rsid w:val="007144F0"/>
    <w:rsid w:val="00722A15"/>
    <w:rsid w:val="007259B8"/>
    <w:rsid w:val="00726278"/>
    <w:rsid w:val="007323EB"/>
    <w:rsid w:val="0073461E"/>
    <w:rsid w:val="00740306"/>
    <w:rsid w:val="00757E19"/>
    <w:rsid w:val="0076141A"/>
    <w:rsid w:val="00764BC9"/>
    <w:rsid w:val="00766055"/>
    <w:rsid w:val="00774C67"/>
    <w:rsid w:val="007778AA"/>
    <w:rsid w:val="00777A70"/>
    <w:rsid w:val="007808C2"/>
    <w:rsid w:val="00786341"/>
    <w:rsid w:val="007876FE"/>
    <w:rsid w:val="007A0CC1"/>
    <w:rsid w:val="007A1BBF"/>
    <w:rsid w:val="007A7A25"/>
    <w:rsid w:val="007B5F75"/>
    <w:rsid w:val="007C48F6"/>
    <w:rsid w:val="007D6944"/>
    <w:rsid w:val="007E6759"/>
    <w:rsid w:val="007F33B4"/>
    <w:rsid w:val="008162CE"/>
    <w:rsid w:val="00821352"/>
    <w:rsid w:val="00825920"/>
    <w:rsid w:val="00831F46"/>
    <w:rsid w:val="008335F1"/>
    <w:rsid w:val="00836952"/>
    <w:rsid w:val="00846D96"/>
    <w:rsid w:val="00860FCF"/>
    <w:rsid w:val="00861ACC"/>
    <w:rsid w:val="0087163E"/>
    <w:rsid w:val="0087785C"/>
    <w:rsid w:val="00882648"/>
    <w:rsid w:val="008849F6"/>
    <w:rsid w:val="008A188C"/>
    <w:rsid w:val="008A62FF"/>
    <w:rsid w:val="008C0D60"/>
    <w:rsid w:val="008C5984"/>
    <w:rsid w:val="008D63B9"/>
    <w:rsid w:val="008F3286"/>
    <w:rsid w:val="00901D2A"/>
    <w:rsid w:val="00902695"/>
    <w:rsid w:val="00936730"/>
    <w:rsid w:val="009430C2"/>
    <w:rsid w:val="00956812"/>
    <w:rsid w:val="009662D2"/>
    <w:rsid w:val="00970826"/>
    <w:rsid w:val="00984828"/>
    <w:rsid w:val="009A0423"/>
    <w:rsid w:val="009A5E93"/>
    <w:rsid w:val="009A6538"/>
    <w:rsid w:val="009A78DB"/>
    <w:rsid w:val="009B4F14"/>
    <w:rsid w:val="009C38E6"/>
    <w:rsid w:val="009D0F17"/>
    <w:rsid w:val="009E4ADF"/>
    <w:rsid w:val="009E6F38"/>
    <w:rsid w:val="00A05486"/>
    <w:rsid w:val="00A06367"/>
    <w:rsid w:val="00A07636"/>
    <w:rsid w:val="00A12ADD"/>
    <w:rsid w:val="00A17244"/>
    <w:rsid w:val="00A30ED9"/>
    <w:rsid w:val="00A41204"/>
    <w:rsid w:val="00A41C6D"/>
    <w:rsid w:val="00A54011"/>
    <w:rsid w:val="00A67E93"/>
    <w:rsid w:val="00A7057A"/>
    <w:rsid w:val="00A71A0E"/>
    <w:rsid w:val="00A7443F"/>
    <w:rsid w:val="00A76825"/>
    <w:rsid w:val="00A810A9"/>
    <w:rsid w:val="00A85F68"/>
    <w:rsid w:val="00A95930"/>
    <w:rsid w:val="00AA361B"/>
    <w:rsid w:val="00AB44AB"/>
    <w:rsid w:val="00AB4FB6"/>
    <w:rsid w:val="00AC175E"/>
    <w:rsid w:val="00AC66E2"/>
    <w:rsid w:val="00AC7A2A"/>
    <w:rsid w:val="00AE0595"/>
    <w:rsid w:val="00AE1BB2"/>
    <w:rsid w:val="00AE2539"/>
    <w:rsid w:val="00AE4E70"/>
    <w:rsid w:val="00AF11C7"/>
    <w:rsid w:val="00AF3EA5"/>
    <w:rsid w:val="00AF6206"/>
    <w:rsid w:val="00AF760A"/>
    <w:rsid w:val="00B0380B"/>
    <w:rsid w:val="00B050EC"/>
    <w:rsid w:val="00B12A00"/>
    <w:rsid w:val="00B25E56"/>
    <w:rsid w:val="00B25FE5"/>
    <w:rsid w:val="00B363BA"/>
    <w:rsid w:val="00B4116D"/>
    <w:rsid w:val="00B43BF0"/>
    <w:rsid w:val="00B45F39"/>
    <w:rsid w:val="00B52632"/>
    <w:rsid w:val="00B64522"/>
    <w:rsid w:val="00B7700A"/>
    <w:rsid w:val="00B845C7"/>
    <w:rsid w:val="00B85626"/>
    <w:rsid w:val="00B91E01"/>
    <w:rsid w:val="00B922C0"/>
    <w:rsid w:val="00B96E14"/>
    <w:rsid w:val="00BA197C"/>
    <w:rsid w:val="00BB4760"/>
    <w:rsid w:val="00BC110D"/>
    <w:rsid w:val="00BC3035"/>
    <w:rsid w:val="00BC4109"/>
    <w:rsid w:val="00BD6A5D"/>
    <w:rsid w:val="00BE5898"/>
    <w:rsid w:val="00BE7503"/>
    <w:rsid w:val="00BE7DEE"/>
    <w:rsid w:val="00BE7EBE"/>
    <w:rsid w:val="00BF0CF4"/>
    <w:rsid w:val="00BF19CA"/>
    <w:rsid w:val="00BF7E13"/>
    <w:rsid w:val="00C0316C"/>
    <w:rsid w:val="00C11C03"/>
    <w:rsid w:val="00C159B5"/>
    <w:rsid w:val="00C1606E"/>
    <w:rsid w:val="00C23608"/>
    <w:rsid w:val="00C4003C"/>
    <w:rsid w:val="00C43A72"/>
    <w:rsid w:val="00C44524"/>
    <w:rsid w:val="00C4485B"/>
    <w:rsid w:val="00C45AEA"/>
    <w:rsid w:val="00C476EE"/>
    <w:rsid w:val="00C93F56"/>
    <w:rsid w:val="00CB1E3A"/>
    <w:rsid w:val="00CB6C91"/>
    <w:rsid w:val="00CC235F"/>
    <w:rsid w:val="00CC58BB"/>
    <w:rsid w:val="00CD4104"/>
    <w:rsid w:val="00CE56FA"/>
    <w:rsid w:val="00CF4054"/>
    <w:rsid w:val="00D164DC"/>
    <w:rsid w:val="00D337B6"/>
    <w:rsid w:val="00D33E41"/>
    <w:rsid w:val="00D35400"/>
    <w:rsid w:val="00D35B7C"/>
    <w:rsid w:val="00D35FC9"/>
    <w:rsid w:val="00D36EB6"/>
    <w:rsid w:val="00D41528"/>
    <w:rsid w:val="00D4201F"/>
    <w:rsid w:val="00D462FD"/>
    <w:rsid w:val="00D602A9"/>
    <w:rsid w:val="00D645B5"/>
    <w:rsid w:val="00D64656"/>
    <w:rsid w:val="00D647BF"/>
    <w:rsid w:val="00D64DFC"/>
    <w:rsid w:val="00D67AE6"/>
    <w:rsid w:val="00D70B37"/>
    <w:rsid w:val="00D71A10"/>
    <w:rsid w:val="00D755C7"/>
    <w:rsid w:val="00D758CE"/>
    <w:rsid w:val="00D837C2"/>
    <w:rsid w:val="00D91CD3"/>
    <w:rsid w:val="00DB0823"/>
    <w:rsid w:val="00DC0FBD"/>
    <w:rsid w:val="00DC5E7D"/>
    <w:rsid w:val="00DD3118"/>
    <w:rsid w:val="00DD7189"/>
    <w:rsid w:val="00DE5EEC"/>
    <w:rsid w:val="00DF4366"/>
    <w:rsid w:val="00E0154B"/>
    <w:rsid w:val="00E04118"/>
    <w:rsid w:val="00E06416"/>
    <w:rsid w:val="00E1674B"/>
    <w:rsid w:val="00E36819"/>
    <w:rsid w:val="00E36E65"/>
    <w:rsid w:val="00E40282"/>
    <w:rsid w:val="00E44241"/>
    <w:rsid w:val="00E4504A"/>
    <w:rsid w:val="00E545D7"/>
    <w:rsid w:val="00E5618E"/>
    <w:rsid w:val="00E6002E"/>
    <w:rsid w:val="00E61D2F"/>
    <w:rsid w:val="00E629D3"/>
    <w:rsid w:val="00E6401E"/>
    <w:rsid w:val="00E753DA"/>
    <w:rsid w:val="00E920C1"/>
    <w:rsid w:val="00E94762"/>
    <w:rsid w:val="00E94B12"/>
    <w:rsid w:val="00EA38D6"/>
    <w:rsid w:val="00EA5676"/>
    <w:rsid w:val="00EB40B3"/>
    <w:rsid w:val="00EC2E04"/>
    <w:rsid w:val="00ED3C44"/>
    <w:rsid w:val="00EE0C49"/>
    <w:rsid w:val="00EE1DAE"/>
    <w:rsid w:val="00EE3979"/>
    <w:rsid w:val="00EE4563"/>
    <w:rsid w:val="00EE7A07"/>
    <w:rsid w:val="00EF09FD"/>
    <w:rsid w:val="00EF55AA"/>
    <w:rsid w:val="00F05679"/>
    <w:rsid w:val="00F06618"/>
    <w:rsid w:val="00F07A0E"/>
    <w:rsid w:val="00F12912"/>
    <w:rsid w:val="00F17B97"/>
    <w:rsid w:val="00F2428E"/>
    <w:rsid w:val="00F27849"/>
    <w:rsid w:val="00F5168F"/>
    <w:rsid w:val="00F61B09"/>
    <w:rsid w:val="00F62A8C"/>
    <w:rsid w:val="00F648F2"/>
    <w:rsid w:val="00F6517D"/>
    <w:rsid w:val="00F7286F"/>
    <w:rsid w:val="00F757AA"/>
    <w:rsid w:val="00F76826"/>
    <w:rsid w:val="00F9722D"/>
    <w:rsid w:val="00FA1952"/>
    <w:rsid w:val="00FB4E8C"/>
    <w:rsid w:val="00FC0314"/>
    <w:rsid w:val="00FC2B7D"/>
    <w:rsid w:val="00FD00B4"/>
    <w:rsid w:val="00FD0EBC"/>
    <w:rsid w:val="00FE101C"/>
    <w:rsid w:val="00FE28F7"/>
    <w:rsid w:val="00FE2F61"/>
    <w:rsid w:val="00FF7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D8429"/>
  <w15:chartTrackingRefBased/>
  <w15:docId w15:val="{774457B6-64CF-418B-A192-9B8CE2AE1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12F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2F0"/>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1812F0"/>
    <w:rPr>
      <w:color w:val="0563C1" w:themeColor="hyperlink"/>
      <w:u w:val="single"/>
    </w:rPr>
  </w:style>
  <w:style w:type="character" w:styleId="UnresolvedMention">
    <w:name w:val="Unresolved Mention"/>
    <w:basedOn w:val="DefaultParagraphFont"/>
    <w:uiPriority w:val="99"/>
    <w:semiHidden/>
    <w:unhideWhenUsed/>
    <w:rsid w:val="001812F0"/>
    <w:rPr>
      <w:color w:val="605E5C"/>
      <w:shd w:val="clear" w:color="auto" w:fill="E1DFDD"/>
    </w:rPr>
  </w:style>
  <w:style w:type="paragraph" w:styleId="ListParagraph">
    <w:name w:val="List Paragraph"/>
    <w:basedOn w:val="Normal"/>
    <w:uiPriority w:val="34"/>
    <w:qFormat/>
    <w:rsid w:val="00FE2F61"/>
    <w:pPr>
      <w:ind w:left="720"/>
      <w:contextualSpacing/>
    </w:pPr>
  </w:style>
  <w:style w:type="character" w:styleId="FollowedHyperlink">
    <w:name w:val="FollowedHyperlink"/>
    <w:basedOn w:val="DefaultParagraphFont"/>
    <w:uiPriority w:val="99"/>
    <w:semiHidden/>
    <w:unhideWhenUsed/>
    <w:rsid w:val="002E5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ailii.org/ew/cases/EWCA/Crim/2017/81.html"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11/j.1468-2230.2011.00869.x" TargetMode="External"/><Relationship Id="rId17" Type="http://schemas.openxmlformats.org/officeDocument/2006/relationships/hyperlink" Target="https://doi.org/10.1350/1740-5580-76.3.197" TargetMode="External"/><Relationship Id="rId2" Type="http://schemas.openxmlformats.org/officeDocument/2006/relationships/customXml" Target="../customXml/item2.xml"/><Relationship Id="rId16" Type="http://schemas.openxmlformats.org/officeDocument/2006/relationships/hyperlink" Target="http://nrl.northumbria.ac.uk/id/eprint/1642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53386/nilq.v72i2.874" TargetMode="External"/><Relationship Id="rId5" Type="http://schemas.openxmlformats.org/officeDocument/2006/relationships/numbering" Target="numbering.xml"/><Relationship Id="rId15" Type="http://schemas.openxmlformats.org/officeDocument/2006/relationships/hyperlink" Target="https://www.bailii.org/uk/cases/UKSC/2016/61.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bailii.org/ew/cases/EWCA/Crim/2012/28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91b03cf2ec69298eb3c9a6f1a98b7942">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D8E6F3-7A3E-42DE-B82D-0F78CC3357AB}">
  <ds:schemaRefs>
    <ds:schemaRef ds:uri="http://schemas.microsoft.com/sharepoint/v3/contenttype/forms"/>
  </ds:schemaRefs>
</ds:datastoreItem>
</file>

<file path=customXml/itemProps2.xml><?xml version="1.0" encoding="utf-8"?>
<ds:datastoreItem xmlns:ds="http://schemas.openxmlformats.org/officeDocument/2006/customXml" ds:itemID="{C8C9E498-B478-4FA8-A624-72AEA9D073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9B3959-F97D-4F57-A776-41573817AB80}">
  <ds:schemaRefs>
    <ds:schemaRef ds:uri="http://schemas.openxmlformats.org/officeDocument/2006/bibliography"/>
  </ds:schemaRefs>
</ds:datastoreItem>
</file>

<file path=customXml/itemProps4.xml><?xml version="1.0" encoding="utf-8"?>
<ds:datastoreItem xmlns:ds="http://schemas.openxmlformats.org/officeDocument/2006/customXml" ds:itemID="{AAF17926-8C67-457C-9D58-BEE1EEACE5B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1690</Words>
  <Characters>9635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11303</CharactersWithSpaces>
  <SharedDoc>false</SharedDoc>
  <HLinks>
    <vt:vector size="30" baseType="variant">
      <vt:variant>
        <vt:i4>3276922</vt:i4>
      </vt:variant>
      <vt:variant>
        <vt:i4>12</vt:i4>
      </vt:variant>
      <vt:variant>
        <vt:i4>0</vt:i4>
      </vt:variant>
      <vt:variant>
        <vt:i4>5</vt:i4>
      </vt:variant>
      <vt:variant>
        <vt:lpwstr>https://doi.org/10.1350/1740-5580-76.3.197</vt:lpwstr>
      </vt:variant>
      <vt:variant>
        <vt:lpwstr/>
      </vt:variant>
      <vt:variant>
        <vt:i4>2031633</vt:i4>
      </vt:variant>
      <vt:variant>
        <vt:i4>9</vt:i4>
      </vt:variant>
      <vt:variant>
        <vt:i4>0</vt:i4>
      </vt:variant>
      <vt:variant>
        <vt:i4>5</vt:i4>
      </vt:variant>
      <vt:variant>
        <vt:lpwstr>http://nrl.northumbria.ac.uk/id/eprint/16426/</vt:lpwstr>
      </vt:variant>
      <vt:variant>
        <vt:lpwstr/>
      </vt:variant>
      <vt:variant>
        <vt:i4>7471165</vt:i4>
      </vt:variant>
      <vt:variant>
        <vt:i4>6</vt:i4>
      </vt:variant>
      <vt:variant>
        <vt:i4>0</vt:i4>
      </vt:variant>
      <vt:variant>
        <vt:i4>5</vt:i4>
      </vt:variant>
      <vt:variant>
        <vt:lpwstr>https://www.bailii.org/ew/cases/EWCA/Crim/2012/281.html</vt:lpwstr>
      </vt:variant>
      <vt:variant>
        <vt:lpwstr/>
      </vt:variant>
      <vt:variant>
        <vt:i4>5701661</vt:i4>
      </vt:variant>
      <vt:variant>
        <vt:i4>3</vt:i4>
      </vt:variant>
      <vt:variant>
        <vt:i4>0</vt:i4>
      </vt:variant>
      <vt:variant>
        <vt:i4>5</vt:i4>
      </vt:variant>
      <vt:variant>
        <vt:lpwstr>https://doi.org/10.1111/j.1468-2230.2011.00869.x</vt:lpwstr>
      </vt:variant>
      <vt:variant>
        <vt:lpwstr/>
      </vt:variant>
      <vt:variant>
        <vt:i4>6684712</vt:i4>
      </vt:variant>
      <vt:variant>
        <vt:i4>0</vt:i4>
      </vt:variant>
      <vt:variant>
        <vt:i4>0</vt:i4>
      </vt:variant>
      <vt:variant>
        <vt:i4>5</vt:i4>
      </vt:variant>
      <vt:variant>
        <vt:lpwstr>https://doi.org/10.53386/nilq.v72i2.874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dc:creator>
  <cp:keywords/>
  <dc:description/>
  <cp:lastModifiedBy>Stanimira</cp:lastModifiedBy>
  <cp:revision>2</cp:revision>
  <dcterms:created xsi:type="dcterms:W3CDTF">2023-03-07T17:27:00Z</dcterms:created>
  <dcterms:modified xsi:type="dcterms:W3CDTF">2023-03-07T17:27:00Z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