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03AAA" w14:textId="77777777" w:rsidR="006C07D4" w:rsidRDefault="006C07D4"/>
    <w:p w14:paraId="639751D0" w14:textId="77777777" w:rsidR="005E363A" w:rsidRDefault="005E363A" w:rsidP="005E363A">
      <w:pPr>
        <w:rPr>
          <w:rFonts w:ascii="Arial" w:hAnsi="Arial" w:cs="Arial"/>
          <w:sz w:val="56"/>
          <w:szCs w:val="48"/>
          <w:u w:val="single"/>
        </w:rPr>
      </w:pPr>
    </w:p>
    <w:p w14:paraId="1FB6224C" w14:textId="77777777" w:rsidR="00A15A56" w:rsidRDefault="00A15A56" w:rsidP="005E363A">
      <w:pPr>
        <w:rPr>
          <w:rFonts w:ascii="Arial" w:hAnsi="Arial" w:cs="Arial"/>
          <w:sz w:val="56"/>
          <w:szCs w:val="48"/>
          <w:u w:val="single"/>
        </w:rPr>
      </w:pPr>
    </w:p>
    <w:p w14:paraId="3F2A9265" w14:textId="66E7B845" w:rsidR="003B43B6" w:rsidRPr="003B43B6" w:rsidRDefault="003C7A54" w:rsidP="003B43B6">
      <w:pPr>
        <w:jc w:val="center"/>
        <w:rPr>
          <w:rFonts w:ascii="Arial" w:hAnsi="Arial" w:cs="Arial"/>
          <w:b/>
          <w:sz w:val="56"/>
          <w:szCs w:val="48"/>
          <w:u w:val="single"/>
        </w:rPr>
      </w:pPr>
      <w:r>
        <w:rPr>
          <w:rFonts w:ascii="Arial" w:hAnsi="Arial" w:cs="Arial"/>
          <w:b/>
          <w:sz w:val="56"/>
          <w:szCs w:val="48"/>
          <w:u w:val="single"/>
        </w:rPr>
        <w:t>LCBB501</w:t>
      </w:r>
      <w:r w:rsidR="00471C9E">
        <w:rPr>
          <w:rFonts w:ascii="Arial" w:hAnsi="Arial" w:cs="Arial"/>
          <w:b/>
          <w:sz w:val="56"/>
          <w:szCs w:val="48"/>
          <w:u w:val="single"/>
        </w:rPr>
        <w:t>4</w:t>
      </w:r>
    </w:p>
    <w:p w14:paraId="5F3F13DE" w14:textId="1CBBF4A4" w:rsidR="005E363A" w:rsidRDefault="00471C9E" w:rsidP="003B43B6">
      <w:pPr>
        <w:jc w:val="center"/>
        <w:rPr>
          <w:rFonts w:ascii="Arial" w:hAnsi="Arial" w:cs="Arial"/>
          <w:sz w:val="56"/>
          <w:szCs w:val="48"/>
          <w:u w:val="single"/>
        </w:rPr>
      </w:pPr>
      <w:r>
        <w:rPr>
          <w:rFonts w:ascii="Arial" w:hAnsi="Arial" w:cs="Arial"/>
          <w:sz w:val="56"/>
          <w:szCs w:val="48"/>
          <w:u w:val="single"/>
        </w:rPr>
        <w:t>Data Handling &amp; Business Intelligence</w:t>
      </w:r>
    </w:p>
    <w:p w14:paraId="11EA0A10" w14:textId="77777777" w:rsidR="00211DDB" w:rsidRDefault="00211DDB" w:rsidP="00211DDB">
      <w:pPr>
        <w:jc w:val="center"/>
        <w:rPr>
          <w:rFonts w:ascii="Arial" w:hAnsi="Arial" w:cs="Arial"/>
          <w:sz w:val="56"/>
          <w:szCs w:val="48"/>
          <w:u w:val="single"/>
        </w:rPr>
      </w:pPr>
    </w:p>
    <w:p w14:paraId="27416FB4" w14:textId="2701D197" w:rsidR="00A15A56" w:rsidRPr="00A15A56" w:rsidRDefault="00A15A56" w:rsidP="00211DDB">
      <w:pPr>
        <w:jc w:val="center"/>
        <w:rPr>
          <w:rFonts w:ascii="Arial" w:hAnsi="Arial" w:cs="Arial"/>
          <w:sz w:val="44"/>
          <w:szCs w:val="44"/>
          <w:u w:val="single"/>
        </w:rPr>
      </w:pPr>
      <w:r w:rsidRPr="00A15A56">
        <w:rPr>
          <w:rFonts w:ascii="Arial" w:hAnsi="Arial" w:cs="Arial"/>
          <w:sz w:val="44"/>
          <w:szCs w:val="44"/>
          <w:u w:val="single"/>
        </w:rPr>
        <w:t>Assignment 2:</w:t>
      </w:r>
    </w:p>
    <w:p w14:paraId="5A90B631" w14:textId="5B5C6DA5" w:rsidR="005E363A" w:rsidRPr="00A15A56" w:rsidRDefault="00471C9E" w:rsidP="005E363A">
      <w:pPr>
        <w:jc w:val="center"/>
        <w:rPr>
          <w:rFonts w:ascii="Arial" w:hAnsi="Arial" w:cs="Arial"/>
          <w:b/>
          <w:sz w:val="44"/>
          <w:szCs w:val="44"/>
          <w:u w:val="single"/>
        </w:rPr>
      </w:pPr>
      <w:r w:rsidRPr="00A15A56">
        <w:rPr>
          <w:rFonts w:ascii="Arial" w:hAnsi="Arial" w:cs="Arial"/>
          <w:b/>
          <w:sz w:val="44"/>
          <w:szCs w:val="44"/>
          <w:u w:val="single"/>
        </w:rPr>
        <w:t>2000</w:t>
      </w:r>
      <w:r w:rsidR="003B43B6" w:rsidRPr="00A15A56">
        <w:rPr>
          <w:rFonts w:ascii="Arial" w:hAnsi="Arial" w:cs="Arial"/>
          <w:b/>
          <w:sz w:val="44"/>
          <w:szCs w:val="44"/>
          <w:u w:val="single"/>
        </w:rPr>
        <w:t xml:space="preserve"> word</w:t>
      </w:r>
      <w:r w:rsidR="00A22998" w:rsidRPr="00A15A56">
        <w:rPr>
          <w:rFonts w:ascii="Arial" w:hAnsi="Arial" w:cs="Arial"/>
          <w:b/>
          <w:sz w:val="44"/>
          <w:szCs w:val="44"/>
          <w:u w:val="single"/>
        </w:rPr>
        <w:t>s</w:t>
      </w:r>
    </w:p>
    <w:p w14:paraId="7CAA6058" w14:textId="4B854ACF" w:rsidR="003B43B6" w:rsidRPr="003B43B6" w:rsidRDefault="003C7A54" w:rsidP="005E363A">
      <w:pPr>
        <w:jc w:val="center"/>
        <w:rPr>
          <w:rFonts w:ascii="Arial" w:hAnsi="Arial" w:cs="Arial"/>
          <w:sz w:val="48"/>
          <w:szCs w:val="20"/>
        </w:rPr>
      </w:pPr>
      <w:r>
        <w:rPr>
          <w:rFonts w:ascii="Arial" w:hAnsi="Arial" w:cs="Arial"/>
          <w:b/>
          <w:sz w:val="48"/>
          <w:szCs w:val="20"/>
        </w:rPr>
        <w:t>Individual Report</w:t>
      </w:r>
    </w:p>
    <w:p w14:paraId="2F3F1B69" w14:textId="77777777" w:rsidR="005E363A" w:rsidRDefault="005C4E7E" w:rsidP="005E363A">
      <w:pPr>
        <w:jc w:val="center"/>
        <w:rPr>
          <w:rFonts w:ascii="Arial" w:hAnsi="Arial" w:cs="Arial"/>
          <w:sz w:val="48"/>
          <w:szCs w:val="20"/>
          <w:u w:val="single"/>
        </w:rPr>
      </w:pPr>
      <w:r>
        <w:rPr>
          <w:rFonts w:ascii="Arial" w:hAnsi="Arial" w:cs="Arial"/>
          <w:b/>
          <w:noProof/>
          <w:sz w:val="52"/>
          <w:lang w:eastAsia="en-GB"/>
        </w:rPr>
        <mc:AlternateContent>
          <mc:Choice Requires="wps">
            <w:drawing>
              <wp:anchor distT="0" distB="0" distL="114300" distR="114300" simplePos="0" relativeHeight="251659264" behindDoc="0" locked="0" layoutInCell="1" allowOverlap="1" wp14:anchorId="67244A7F" wp14:editId="2C37C04D">
                <wp:simplePos x="0" y="0"/>
                <wp:positionH relativeFrom="margin">
                  <wp:align>center</wp:align>
                </wp:positionH>
                <wp:positionV relativeFrom="paragraph">
                  <wp:posOffset>245110</wp:posOffset>
                </wp:positionV>
                <wp:extent cx="4981575" cy="1881963"/>
                <wp:effectExtent l="0" t="0" r="28575" b="23495"/>
                <wp:wrapNone/>
                <wp:docPr id="2" name="Rounded Rectangle 2"/>
                <wp:cNvGraphicFramePr/>
                <a:graphic xmlns:a="http://schemas.openxmlformats.org/drawingml/2006/main">
                  <a:graphicData uri="http://schemas.microsoft.com/office/word/2010/wordprocessingShape">
                    <wps:wsp>
                      <wps:cNvSpPr/>
                      <wps:spPr>
                        <a:xfrm>
                          <a:off x="0" y="0"/>
                          <a:ext cx="4981575" cy="1881963"/>
                        </a:xfrm>
                        <a:prstGeom prst="roundRect">
                          <a:avLst/>
                        </a:prstGeom>
                        <a:solidFill>
                          <a:schemeClr val="accent4">
                            <a:lumMod val="20000"/>
                            <a:lumOff val="80000"/>
                          </a:schemeClr>
                        </a:solidFill>
                        <a:ln w="6345" cap="flat">
                          <a:solidFill>
                            <a:schemeClr val="accent4">
                              <a:lumMod val="75000"/>
                            </a:schemeClr>
                          </a:solidFill>
                          <a:prstDash val="solid"/>
                          <a:miter/>
                        </a:ln>
                      </wps:spPr>
                      <wps:txbx>
                        <w:txbxContent>
                          <w:p w14:paraId="126E8750" w14:textId="6A71FEEF" w:rsidR="00336CB6" w:rsidRPr="005C4E7E" w:rsidRDefault="003C7A54" w:rsidP="00336CB6">
                            <w:pPr>
                              <w:spacing w:after="0"/>
                              <w:jc w:val="center"/>
                              <w:rPr>
                                <w:rFonts w:ascii="Arial" w:hAnsi="Arial" w:cs="Arial"/>
                                <w:color w:val="000000"/>
                                <w:sz w:val="48"/>
                              </w:rPr>
                            </w:pPr>
                            <w:r>
                              <w:rPr>
                                <w:rFonts w:ascii="Arial" w:hAnsi="Arial" w:cs="Arial"/>
                                <w:color w:val="000000"/>
                                <w:sz w:val="48"/>
                              </w:rPr>
                              <w:t>Ion Ignat</w:t>
                            </w:r>
                          </w:p>
                          <w:p w14:paraId="3549B0F9" w14:textId="5CA84ABA" w:rsidR="00336CB6" w:rsidRDefault="003B43B6" w:rsidP="00336CB6">
                            <w:pPr>
                              <w:spacing w:after="0"/>
                              <w:jc w:val="center"/>
                              <w:rPr>
                                <w:rFonts w:ascii="Arial" w:hAnsi="Arial" w:cs="Arial"/>
                                <w:color w:val="000000"/>
                                <w:sz w:val="48"/>
                              </w:rPr>
                            </w:pPr>
                            <w:r w:rsidRPr="005C4E7E">
                              <w:rPr>
                                <w:rFonts w:ascii="Arial" w:hAnsi="Arial" w:cs="Arial"/>
                                <w:color w:val="000000"/>
                                <w:sz w:val="48"/>
                              </w:rPr>
                              <w:t>Student</w:t>
                            </w:r>
                            <w:r w:rsidR="00336CB6" w:rsidRPr="005C4E7E">
                              <w:rPr>
                                <w:rFonts w:ascii="Arial" w:hAnsi="Arial" w:cs="Arial"/>
                                <w:color w:val="000000"/>
                                <w:sz w:val="48"/>
                              </w:rPr>
                              <w:t xml:space="preserve"> ID </w:t>
                            </w:r>
                            <w:r w:rsidR="00495DDC">
                              <w:rPr>
                                <w:rFonts w:ascii="Arial" w:hAnsi="Arial" w:cs="Arial"/>
                                <w:color w:val="000000"/>
                                <w:sz w:val="48"/>
                              </w:rPr>
                              <w:t>-</w:t>
                            </w:r>
                            <w:r w:rsidRPr="005C4E7E">
                              <w:rPr>
                                <w:rFonts w:ascii="Arial" w:hAnsi="Arial" w:cs="Arial"/>
                                <w:color w:val="000000"/>
                                <w:sz w:val="48"/>
                              </w:rPr>
                              <w:t xml:space="preserve"> </w:t>
                            </w:r>
                            <w:r w:rsidR="003C7A54">
                              <w:rPr>
                                <w:rFonts w:ascii="Arial" w:hAnsi="Arial" w:cs="Arial"/>
                                <w:color w:val="000000"/>
                                <w:sz w:val="48"/>
                              </w:rPr>
                              <w:t>2327723</w:t>
                            </w:r>
                          </w:p>
                          <w:p w14:paraId="252EBD64" w14:textId="21F01704" w:rsidR="003C7A54" w:rsidRPr="003C7A54" w:rsidRDefault="003C7A54" w:rsidP="00336CB6">
                            <w:pPr>
                              <w:spacing w:after="0"/>
                              <w:jc w:val="center"/>
                              <w:rPr>
                                <w:rFonts w:ascii="Arial" w:hAnsi="Arial" w:cs="Arial"/>
                                <w:color w:val="000000"/>
                                <w:sz w:val="48"/>
                                <w14:textOutline w14:w="9525" w14:cap="rnd" w14:cmpd="sng" w14:algn="ctr">
                                  <w14:solidFill>
                                    <w14:schemeClr w14:val="tx1"/>
                                  </w14:solidFill>
                                  <w14:prstDash w14:val="solid"/>
                                  <w14:bevel/>
                                </w14:textOutline>
                              </w:rPr>
                            </w:pPr>
                            <w:r>
                              <w:rPr>
                                <w:rFonts w:ascii="Arial" w:hAnsi="Arial" w:cs="Arial"/>
                                <w:color w:val="000000"/>
                                <w:sz w:val="48"/>
                              </w:rPr>
                              <w:t xml:space="preserve">Lecturer: </w:t>
                            </w:r>
                            <w:r w:rsidR="00471C9E">
                              <w:rPr>
                                <w:rFonts w:ascii="Arial" w:hAnsi="Arial" w:cs="Arial"/>
                                <w:color w:val="000000"/>
                                <w:sz w:val="48"/>
                              </w:rPr>
                              <w:t>Dr Xavier Matieni</w:t>
                            </w:r>
                          </w:p>
                          <w:p w14:paraId="7D5B5BA3" w14:textId="3CE2A9CC" w:rsidR="00336CB6" w:rsidRPr="005C4E7E" w:rsidRDefault="00336CB6" w:rsidP="00336CB6">
                            <w:pPr>
                              <w:spacing w:after="0"/>
                              <w:jc w:val="center"/>
                              <w:rPr>
                                <w:sz w:val="20"/>
                              </w:rPr>
                            </w:pPr>
                            <w:r w:rsidRPr="005C4E7E">
                              <w:rPr>
                                <w:rFonts w:ascii="Arial" w:hAnsi="Arial" w:cs="Arial"/>
                                <w:color w:val="000000"/>
                                <w:sz w:val="44"/>
                                <w:szCs w:val="20"/>
                              </w:rPr>
                              <w:t xml:space="preserve">Due date: </w:t>
                            </w:r>
                            <w:r w:rsidR="00A15A56">
                              <w:rPr>
                                <w:rFonts w:ascii="Arial" w:hAnsi="Arial" w:cs="Arial"/>
                                <w:color w:val="000000"/>
                                <w:sz w:val="44"/>
                                <w:szCs w:val="20"/>
                              </w:rPr>
                              <w:t>2</w:t>
                            </w:r>
                            <w:r w:rsidR="00A15A56" w:rsidRPr="00A15A56">
                              <w:rPr>
                                <w:rFonts w:ascii="Arial" w:hAnsi="Arial" w:cs="Arial"/>
                                <w:color w:val="000000"/>
                                <w:sz w:val="44"/>
                                <w:szCs w:val="20"/>
                                <w:vertAlign w:val="superscript"/>
                              </w:rPr>
                              <w:t>nd</w:t>
                            </w:r>
                            <w:r w:rsidR="00A15A56">
                              <w:rPr>
                                <w:rFonts w:ascii="Arial" w:hAnsi="Arial" w:cs="Arial"/>
                                <w:color w:val="000000"/>
                                <w:sz w:val="44"/>
                                <w:szCs w:val="20"/>
                              </w:rPr>
                              <w:t xml:space="preserve"> May 2026</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oundrect w14:anchorId="67244A7F" id="Rounded Rectangle 2" o:spid="_x0000_s1026" style="position:absolute;left:0;text-align:left;margin-left:0;margin-top:19.3pt;width:392.25pt;height:148.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" fillcolor="#fff2cc [663]" strokecolor="#bf8f00 [2407]" strokeweight=".17625mm">
                <v:stroke joinstyle="miter"/>
                <v:textbox>
                  <w:txbxContent>
                    <w:p w14:paraId="126E8750" w14:textId="6A71FEEF" w:rsidR="00336CB6" w:rsidRPr="005C4E7E" w:rsidRDefault="003C7A54" w:rsidP="00336CB6">
                      <w:pPr>
                        <w:spacing w:after="0"/>
                        <w:jc w:val="center"/>
                        <w:rPr>
                          <w:rFonts w:ascii="Arial" w:hAnsi="Arial" w:cs="Arial"/>
                          <w:color w:val="000000"/>
                          <w:sz w:val="48"/>
                        </w:rPr>
                      </w:pPr>
                      <w:r>
                        <w:rPr>
                          <w:rFonts w:ascii="Arial" w:hAnsi="Arial" w:cs="Arial"/>
                          <w:color w:val="000000"/>
                          <w:sz w:val="48"/>
                        </w:rPr>
                        <w:t>Ion Ignat</w:t>
                      </w:r>
                    </w:p>
                    <w:p w14:paraId="3549B0F9" w14:textId="5CA84ABA" w:rsidR="00336CB6" w:rsidRDefault="003B43B6" w:rsidP="00336CB6">
                      <w:pPr>
                        <w:spacing w:after="0"/>
                        <w:jc w:val="center"/>
                        <w:rPr>
                          <w:rFonts w:ascii="Arial" w:hAnsi="Arial" w:cs="Arial"/>
                          <w:color w:val="000000"/>
                          <w:sz w:val="48"/>
                        </w:rPr>
                      </w:pPr>
                      <w:r w:rsidRPr="005C4E7E">
                        <w:rPr>
                          <w:rFonts w:ascii="Arial" w:hAnsi="Arial" w:cs="Arial"/>
                          <w:color w:val="000000"/>
                          <w:sz w:val="48"/>
                        </w:rPr>
                        <w:t>Student</w:t>
                      </w:r>
                      <w:r w:rsidR="00336CB6" w:rsidRPr="005C4E7E">
                        <w:rPr>
                          <w:rFonts w:ascii="Arial" w:hAnsi="Arial" w:cs="Arial"/>
                          <w:color w:val="000000"/>
                          <w:sz w:val="48"/>
                        </w:rPr>
                        <w:t xml:space="preserve"> ID </w:t>
                      </w:r>
                      <w:r w:rsidR="00495DDC">
                        <w:rPr>
                          <w:rFonts w:ascii="Arial" w:hAnsi="Arial" w:cs="Arial"/>
                          <w:color w:val="000000"/>
                          <w:sz w:val="48"/>
                        </w:rPr>
                        <w:t>-</w:t>
                      </w:r>
                      <w:r w:rsidRPr="005C4E7E">
                        <w:rPr>
                          <w:rFonts w:ascii="Arial" w:hAnsi="Arial" w:cs="Arial"/>
                          <w:color w:val="000000"/>
                          <w:sz w:val="48"/>
                        </w:rPr>
                        <w:t xml:space="preserve"> </w:t>
                      </w:r>
                      <w:r w:rsidR="003C7A54">
                        <w:rPr>
                          <w:rFonts w:ascii="Arial" w:hAnsi="Arial" w:cs="Arial"/>
                          <w:color w:val="000000"/>
                          <w:sz w:val="48"/>
                        </w:rPr>
                        <w:t>2327723</w:t>
                      </w:r>
                    </w:p>
                    <w:p w14:paraId="252EBD64" w14:textId="21F01704" w:rsidR="003C7A54" w:rsidRPr="003C7A54" w:rsidRDefault="003C7A54" w:rsidP="00336CB6">
                      <w:pPr>
                        <w:spacing w:after="0"/>
                        <w:jc w:val="center"/>
                        <w:rPr>
                          <w:rFonts w:ascii="Arial" w:hAnsi="Arial" w:cs="Arial"/>
                          <w:color w:val="000000"/>
                          <w:sz w:val="48"/>
                          <w14:textOutline w14:w="9525" w14:cap="rnd" w14:cmpd="sng" w14:algn="ctr">
                            <w14:solidFill>
                              <w14:schemeClr w14:val="tx1"/>
                            </w14:solidFill>
                            <w14:prstDash w14:val="solid"/>
                            <w14:bevel/>
                          </w14:textOutline>
                        </w:rPr>
                      </w:pPr>
                      <w:r>
                        <w:rPr>
                          <w:rFonts w:ascii="Arial" w:hAnsi="Arial" w:cs="Arial"/>
                          <w:color w:val="000000"/>
                          <w:sz w:val="48"/>
                        </w:rPr>
                        <w:t xml:space="preserve">Lecturer: </w:t>
                      </w:r>
                      <w:r w:rsidR="00471C9E">
                        <w:rPr>
                          <w:rFonts w:ascii="Arial" w:hAnsi="Arial" w:cs="Arial"/>
                          <w:color w:val="000000"/>
                          <w:sz w:val="48"/>
                        </w:rPr>
                        <w:t>Dr Xavier Matieni</w:t>
                      </w:r>
                    </w:p>
                    <w:p w14:paraId="7D5B5BA3" w14:textId="3CE2A9CC" w:rsidR="00336CB6" w:rsidRPr="005C4E7E" w:rsidRDefault="00336CB6" w:rsidP="00336CB6">
                      <w:pPr>
                        <w:spacing w:after="0"/>
                        <w:jc w:val="center"/>
                        <w:rPr>
                          <w:sz w:val="20"/>
                        </w:rPr>
                      </w:pPr>
                      <w:r w:rsidRPr="005C4E7E">
                        <w:rPr>
                          <w:rFonts w:ascii="Arial" w:hAnsi="Arial" w:cs="Arial"/>
                          <w:color w:val="000000"/>
                          <w:sz w:val="44"/>
                          <w:szCs w:val="20"/>
                        </w:rPr>
                        <w:t xml:space="preserve">Due date: </w:t>
                      </w:r>
                      <w:r w:rsidR="00A15A56">
                        <w:rPr>
                          <w:rFonts w:ascii="Arial" w:hAnsi="Arial" w:cs="Arial"/>
                          <w:color w:val="000000"/>
                          <w:sz w:val="44"/>
                          <w:szCs w:val="20"/>
                        </w:rPr>
                        <w:t>2</w:t>
                      </w:r>
                      <w:r w:rsidR="00A15A56" w:rsidRPr="00A15A56">
                        <w:rPr>
                          <w:rFonts w:ascii="Arial" w:hAnsi="Arial" w:cs="Arial"/>
                          <w:color w:val="000000"/>
                          <w:sz w:val="44"/>
                          <w:szCs w:val="20"/>
                          <w:vertAlign w:val="superscript"/>
                        </w:rPr>
                        <w:t>nd</w:t>
                      </w:r>
                      <w:r w:rsidR="00A15A56">
                        <w:rPr>
                          <w:rFonts w:ascii="Arial" w:hAnsi="Arial" w:cs="Arial"/>
                          <w:color w:val="000000"/>
                          <w:sz w:val="44"/>
                          <w:szCs w:val="20"/>
                        </w:rPr>
                        <w:t xml:space="preserve"> May 2026</w:t>
                      </w:r>
                    </w:p>
                  </w:txbxContent>
                </v:textbox>
                <w10:wrap anchorx="margin"/>
              </v:roundrect>
            </w:pict>
          </mc:Fallback>
        </mc:AlternateContent>
      </w:r>
    </w:p>
    <w:p w14:paraId="0E813E02" w14:textId="77777777" w:rsidR="00BF3A53" w:rsidRDefault="00BF3A53" w:rsidP="005E363A">
      <w:pPr>
        <w:jc w:val="center"/>
        <w:rPr>
          <w:rFonts w:ascii="Arial" w:hAnsi="Arial" w:cs="Arial"/>
          <w:sz w:val="48"/>
          <w:szCs w:val="20"/>
          <w:u w:val="single"/>
        </w:rPr>
      </w:pPr>
    </w:p>
    <w:p w14:paraId="6C46F37C" w14:textId="77777777" w:rsidR="00BF3A53" w:rsidRDefault="00BF3A53" w:rsidP="005E363A">
      <w:pPr>
        <w:jc w:val="center"/>
        <w:rPr>
          <w:rFonts w:ascii="Arial" w:hAnsi="Arial" w:cs="Arial"/>
          <w:sz w:val="48"/>
          <w:szCs w:val="20"/>
          <w:u w:val="single"/>
        </w:rPr>
      </w:pPr>
    </w:p>
    <w:p w14:paraId="5456DCA0" w14:textId="77777777" w:rsidR="00BF3A53" w:rsidRDefault="00BF3A53" w:rsidP="005E363A">
      <w:pPr>
        <w:jc w:val="center"/>
        <w:rPr>
          <w:rFonts w:ascii="Arial" w:hAnsi="Arial" w:cs="Arial"/>
          <w:sz w:val="48"/>
          <w:szCs w:val="20"/>
          <w:u w:val="single"/>
        </w:rPr>
      </w:pPr>
    </w:p>
    <w:p w14:paraId="561D4C0F" w14:textId="77777777" w:rsidR="00BF3A53" w:rsidRDefault="00BF3A53" w:rsidP="005E363A">
      <w:pPr>
        <w:jc w:val="center"/>
        <w:rPr>
          <w:rFonts w:ascii="Arial" w:hAnsi="Arial" w:cs="Arial"/>
          <w:sz w:val="48"/>
          <w:szCs w:val="20"/>
          <w:u w:val="single"/>
        </w:rPr>
      </w:pPr>
    </w:p>
    <w:p w14:paraId="64736940" w14:textId="77777777" w:rsidR="00BF3A53" w:rsidRDefault="00BF3A53" w:rsidP="00A27929">
      <w:pPr>
        <w:pStyle w:val="NoSpacing"/>
      </w:pPr>
    </w:p>
    <w:p w14:paraId="78E868A9" w14:textId="77777777" w:rsidR="00A27929" w:rsidRDefault="00A27929" w:rsidP="00A27929">
      <w:pPr>
        <w:pStyle w:val="NoSpacing"/>
      </w:pPr>
    </w:p>
    <w:p w14:paraId="42E2F6EB" w14:textId="77777777" w:rsidR="00A27929" w:rsidRDefault="00A27929" w:rsidP="00A27929">
      <w:pPr>
        <w:pStyle w:val="NoSpacing"/>
      </w:pPr>
    </w:p>
    <w:p w14:paraId="3CF35001" w14:textId="77777777" w:rsidR="00A27929" w:rsidRDefault="00A27929" w:rsidP="00A27929">
      <w:pPr>
        <w:pStyle w:val="NoSpacing"/>
      </w:pPr>
    </w:p>
    <w:p w14:paraId="08A85AEC" w14:textId="77777777" w:rsidR="00A27929" w:rsidRDefault="00A27929" w:rsidP="00A27929">
      <w:pPr>
        <w:pStyle w:val="NoSpacing"/>
      </w:pPr>
    </w:p>
    <w:p w14:paraId="5A30661B" w14:textId="77777777" w:rsidR="00A27929" w:rsidRDefault="00A27929" w:rsidP="00A27929">
      <w:pPr>
        <w:pStyle w:val="NoSpacing"/>
      </w:pPr>
    </w:p>
    <w:p w14:paraId="1C4F2288" w14:textId="77777777" w:rsidR="00A27929" w:rsidRDefault="00A27929" w:rsidP="00A27929">
      <w:pPr>
        <w:pStyle w:val="NoSpacing"/>
      </w:pPr>
    </w:p>
    <w:p w14:paraId="67CA9334" w14:textId="77777777" w:rsidR="00A27929" w:rsidRDefault="00A27929" w:rsidP="00A27929">
      <w:pPr>
        <w:pStyle w:val="NoSpacing"/>
      </w:pPr>
    </w:p>
    <w:p w14:paraId="4140754C" w14:textId="77777777" w:rsidR="00A27929" w:rsidRDefault="00A27929" w:rsidP="00A27929">
      <w:pPr>
        <w:pStyle w:val="NoSpacing"/>
      </w:pPr>
    </w:p>
    <w:p w14:paraId="2F955660" w14:textId="77777777" w:rsidR="008C46B1" w:rsidRDefault="008C46B1" w:rsidP="00A27929">
      <w:pPr>
        <w:pStyle w:val="NoSpacing"/>
      </w:pPr>
    </w:p>
    <w:p w14:paraId="44468094" w14:textId="77777777" w:rsidR="008C46B1" w:rsidRDefault="008C46B1" w:rsidP="00A27929">
      <w:pPr>
        <w:pStyle w:val="NoSpacing"/>
      </w:pPr>
    </w:p>
    <w:p w14:paraId="4FA2CF6C" w14:textId="77777777" w:rsidR="008C46B1" w:rsidRDefault="008C46B1" w:rsidP="00A27929">
      <w:pPr>
        <w:pStyle w:val="NoSpacing"/>
      </w:pPr>
    </w:p>
    <w:p w14:paraId="7045C34D" w14:textId="77777777" w:rsidR="008C46B1" w:rsidRDefault="008C46B1" w:rsidP="00A27929">
      <w:pPr>
        <w:pStyle w:val="NoSpacing"/>
      </w:pPr>
    </w:p>
    <w:p w14:paraId="3C1CEE55" w14:textId="77777777" w:rsidR="008C46B1" w:rsidRDefault="008C46B1" w:rsidP="00A27929">
      <w:pPr>
        <w:pStyle w:val="NoSpacing"/>
      </w:pPr>
    </w:p>
    <w:p w14:paraId="61F94B6F" w14:textId="77777777" w:rsidR="008C46B1" w:rsidRDefault="008C46B1" w:rsidP="00A27929">
      <w:pPr>
        <w:pStyle w:val="NoSpacing"/>
      </w:pPr>
    </w:p>
    <w:p w14:paraId="460C4C3F" w14:textId="77777777" w:rsidR="008C46B1" w:rsidRDefault="008C46B1" w:rsidP="00A27929">
      <w:pPr>
        <w:pStyle w:val="NoSpacing"/>
      </w:pPr>
    </w:p>
    <w:p w14:paraId="16A74512" w14:textId="77777777" w:rsidR="00A27929" w:rsidRDefault="00A27929" w:rsidP="00A27929">
      <w:pPr>
        <w:pStyle w:val="NoSpacing"/>
      </w:pPr>
    </w:p>
    <w:p w14:paraId="3483403F" w14:textId="77777777" w:rsidR="005D2E20" w:rsidRDefault="005D2E20" w:rsidP="005D2E20">
      <w:pPr>
        <w:pStyle w:val="Heading1"/>
      </w:pPr>
      <w:bookmarkStart w:id="0" w:name="_Toc227415487"/>
      <w:r w:rsidRPr="005D2E20">
        <w:t>A Data-Driven Analysis of Film Ratings, Language and Audience Engagement</w:t>
      </w:r>
      <w:bookmarkEnd w:id="0"/>
    </w:p>
    <w:p w14:paraId="071B751A" w14:textId="77777777" w:rsidR="008C46B1" w:rsidRPr="008C46B1" w:rsidRDefault="008C46B1" w:rsidP="008C46B1"/>
    <w:sdt>
      <w:sdtPr>
        <w:id w:val="-1038348053"/>
        <w:docPartObj>
          <w:docPartGallery w:val="Table of Contents"/>
          <w:docPartUnique/>
        </w:docPartObj>
      </w:sdtPr>
      <w:sdtEndPr>
        <w:rPr>
          <w:rFonts w:ascii="Calibri" w:hAnsi="Calibri" w:cs="Times New Roman"/>
          <w:bCs/>
          <w:noProof/>
          <w:kern w:val="3"/>
          <w:sz w:val="22"/>
          <w:szCs w:val="22"/>
          <w:u w:val="none"/>
          <w:lang w:val="en-GB"/>
        </w:rPr>
      </w:sdtEndPr>
      <w:sdtContent>
        <w:p w14:paraId="5DA54AD4" w14:textId="23241ECB" w:rsidR="008C46B1" w:rsidRPr="008C46B1" w:rsidRDefault="008C46B1">
          <w:pPr>
            <w:pStyle w:val="TOCHeading"/>
            <w:rPr>
              <w:sz w:val="24"/>
              <w:szCs w:val="24"/>
              <w:u w:val="none"/>
            </w:rPr>
          </w:pPr>
          <w:r w:rsidRPr="008C46B1">
            <w:rPr>
              <w:sz w:val="24"/>
              <w:szCs w:val="24"/>
              <w:u w:val="none"/>
            </w:rPr>
            <w:t>Contents</w:t>
          </w:r>
        </w:p>
        <w:p w14:paraId="6FBE4416" w14:textId="5B31D43B" w:rsidR="008C46B1" w:rsidRDefault="008C46B1" w:rsidP="008C46B1">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7415487" w:history="1">
            <w:r w:rsidRPr="008917BA">
              <w:rPr>
                <w:rStyle w:val="Hyperlink"/>
                <w:noProof/>
              </w:rPr>
              <w:t>A Data-Driven Analysis of Film Ratings, Language and Audience Engagement</w:t>
            </w:r>
            <w:r>
              <w:rPr>
                <w:noProof/>
                <w:webHidden/>
              </w:rPr>
              <w:tab/>
            </w:r>
            <w:r>
              <w:rPr>
                <w:noProof/>
                <w:webHidden/>
              </w:rPr>
              <w:fldChar w:fldCharType="begin"/>
            </w:r>
            <w:r>
              <w:rPr>
                <w:noProof/>
                <w:webHidden/>
              </w:rPr>
              <w:instrText xml:space="preserve"> PAGEREF _Toc227415487 \h </w:instrText>
            </w:r>
            <w:r>
              <w:rPr>
                <w:noProof/>
                <w:webHidden/>
              </w:rPr>
            </w:r>
            <w:r>
              <w:rPr>
                <w:noProof/>
                <w:webHidden/>
              </w:rPr>
              <w:fldChar w:fldCharType="separate"/>
            </w:r>
            <w:r>
              <w:rPr>
                <w:noProof/>
                <w:webHidden/>
              </w:rPr>
              <w:t>2</w:t>
            </w:r>
            <w:r>
              <w:rPr>
                <w:noProof/>
                <w:webHidden/>
              </w:rPr>
              <w:fldChar w:fldCharType="end"/>
            </w:r>
          </w:hyperlink>
        </w:p>
        <w:p w14:paraId="7146ED4F" w14:textId="3974D504" w:rsidR="008C46B1" w:rsidRDefault="008C46B1" w:rsidP="008C46B1">
          <w:pPr>
            <w:pStyle w:val="TOC1"/>
            <w:rPr>
              <w:rFonts w:asciiTheme="minorHAnsi" w:eastAsiaTheme="minorEastAsia" w:hAnsiTheme="minorHAnsi" w:cstheme="minorBidi"/>
              <w:noProof/>
              <w:kern w:val="2"/>
              <w:sz w:val="24"/>
              <w:szCs w:val="24"/>
              <w:lang w:eastAsia="en-GB"/>
              <w14:ligatures w14:val="standardContextual"/>
            </w:rPr>
          </w:pPr>
          <w:hyperlink w:anchor="_Toc227415488" w:history="1">
            <w:r w:rsidRPr="008917BA">
              <w:rPr>
                <w:rStyle w:val="Hyperlink"/>
                <w:noProof/>
              </w:rPr>
              <w:t>1. Introduction</w:t>
            </w:r>
            <w:r>
              <w:rPr>
                <w:noProof/>
                <w:webHidden/>
              </w:rPr>
              <w:tab/>
            </w:r>
            <w:r>
              <w:rPr>
                <w:noProof/>
                <w:webHidden/>
              </w:rPr>
              <w:fldChar w:fldCharType="begin"/>
            </w:r>
            <w:r>
              <w:rPr>
                <w:noProof/>
                <w:webHidden/>
              </w:rPr>
              <w:instrText xml:space="preserve"> PAGEREF _Toc227415488 \h </w:instrText>
            </w:r>
            <w:r>
              <w:rPr>
                <w:noProof/>
                <w:webHidden/>
              </w:rPr>
            </w:r>
            <w:r>
              <w:rPr>
                <w:noProof/>
                <w:webHidden/>
              </w:rPr>
              <w:fldChar w:fldCharType="separate"/>
            </w:r>
            <w:r>
              <w:rPr>
                <w:noProof/>
                <w:webHidden/>
              </w:rPr>
              <w:t>3</w:t>
            </w:r>
            <w:r>
              <w:rPr>
                <w:noProof/>
                <w:webHidden/>
              </w:rPr>
              <w:fldChar w:fldCharType="end"/>
            </w:r>
          </w:hyperlink>
        </w:p>
        <w:p w14:paraId="490AF080" w14:textId="37708E43"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89" w:history="1">
            <w:r w:rsidRPr="008917BA">
              <w:rPr>
                <w:rStyle w:val="Hyperlink"/>
                <w:noProof/>
              </w:rPr>
              <w:t>2. Data Cleaning and Preparation</w:t>
            </w:r>
            <w:r>
              <w:rPr>
                <w:noProof/>
                <w:webHidden/>
              </w:rPr>
              <w:tab/>
            </w:r>
            <w:r>
              <w:rPr>
                <w:noProof/>
                <w:webHidden/>
              </w:rPr>
              <w:fldChar w:fldCharType="begin"/>
            </w:r>
            <w:r>
              <w:rPr>
                <w:noProof/>
                <w:webHidden/>
              </w:rPr>
              <w:instrText xml:space="preserve"> PAGEREF _Toc227415489 \h </w:instrText>
            </w:r>
            <w:r>
              <w:rPr>
                <w:noProof/>
                <w:webHidden/>
              </w:rPr>
            </w:r>
            <w:r>
              <w:rPr>
                <w:noProof/>
                <w:webHidden/>
              </w:rPr>
              <w:fldChar w:fldCharType="separate"/>
            </w:r>
            <w:r>
              <w:rPr>
                <w:noProof/>
                <w:webHidden/>
              </w:rPr>
              <w:t>3</w:t>
            </w:r>
            <w:r>
              <w:rPr>
                <w:noProof/>
                <w:webHidden/>
              </w:rPr>
              <w:fldChar w:fldCharType="end"/>
            </w:r>
          </w:hyperlink>
        </w:p>
        <w:p w14:paraId="43B941A1" w14:textId="6B24405D"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0" w:history="1">
            <w:r w:rsidRPr="008917BA">
              <w:rPr>
                <w:rStyle w:val="Hyperlink"/>
                <w:noProof/>
              </w:rPr>
              <w:t>3. Descriptive Statistics and Summary</w:t>
            </w:r>
            <w:r>
              <w:rPr>
                <w:noProof/>
                <w:webHidden/>
              </w:rPr>
              <w:tab/>
            </w:r>
            <w:r>
              <w:rPr>
                <w:noProof/>
                <w:webHidden/>
              </w:rPr>
              <w:fldChar w:fldCharType="begin"/>
            </w:r>
            <w:r>
              <w:rPr>
                <w:noProof/>
                <w:webHidden/>
              </w:rPr>
              <w:instrText xml:space="preserve"> PAGEREF _Toc227415490 \h </w:instrText>
            </w:r>
            <w:r>
              <w:rPr>
                <w:noProof/>
                <w:webHidden/>
              </w:rPr>
            </w:r>
            <w:r>
              <w:rPr>
                <w:noProof/>
                <w:webHidden/>
              </w:rPr>
              <w:fldChar w:fldCharType="separate"/>
            </w:r>
            <w:r>
              <w:rPr>
                <w:noProof/>
                <w:webHidden/>
              </w:rPr>
              <w:t>4</w:t>
            </w:r>
            <w:r>
              <w:rPr>
                <w:noProof/>
                <w:webHidden/>
              </w:rPr>
              <w:fldChar w:fldCharType="end"/>
            </w:r>
          </w:hyperlink>
        </w:p>
        <w:p w14:paraId="3517A33E" w14:textId="124EFB26"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1" w:history="1">
            <w:r w:rsidRPr="008917BA">
              <w:rPr>
                <w:rStyle w:val="Hyperlink"/>
                <w:noProof/>
              </w:rPr>
              <w:t>4. Trend Analysis and Visualisation</w:t>
            </w:r>
            <w:r>
              <w:rPr>
                <w:noProof/>
                <w:webHidden/>
              </w:rPr>
              <w:tab/>
            </w:r>
            <w:r>
              <w:rPr>
                <w:noProof/>
                <w:webHidden/>
              </w:rPr>
              <w:fldChar w:fldCharType="begin"/>
            </w:r>
            <w:r>
              <w:rPr>
                <w:noProof/>
                <w:webHidden/>
              </w:rPr>
              <w:instrText xml:space="preserve"> PAGEREF _Toc227415491 \h </w:instrText>
            </w:r>
            <w:r>
              <w:rPr>
                <w:noProof/>
                <w:webHidden/>
              </w:rPr>
            </w:r>
            <w:r>
              <w:rPr>
                <w:noProof/>
                <w:webHidden/>
              </w:rPr>
              <w:fldChar w:fldCharType="separate"/>
            </w:r>
            <w:r>
              <w:rPr>
                <w:noProof/>
                <w:webHidden/>
              </w:rPr>
              <w:t>5</w:t>
            </w:r>
            <w:r>
              <w:rPr>
                <w:noProof/>
                <w:webHidden/>
              </w:rPr>
              <w:fldChar w:fldCharType="end"/>
            </w:r>
          </w:hyperlink>
        </w:p>
        <w:p w14:paraId="66DE4E9F" w14:textId="20CB77AF"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2" w:history="1">
            <w:r w:rsidRPr="008917BA">
              <w:rPr>
                <w:rStyle w:val="Hyperlink"/>
                <w:noProof/>
              </w:rPr>
              <w:t>4.1 Genre-based trends in average rating</w:t>
            </w:r>
            <w:r>
              <w:rPr>
                <w:noProof/>
                <w:webHidden/>
              </w:rPr>
              <w:tab/>
            </w:r>
            <w:r>
              <w:rPr>
                <w:noProof/>
                <w:webHidden/>
              </w:rPr>
              <w:fldChar w:fldCharType="begin"/>
            </w:r>
            <w:r>
              <w:rPr>
                <w:noProof/>
                <w:webHidden/>
              </w:rPr>
              <w:instrText xml:space="preserve"> PAGEREF _Toc227415492 \h </w:instrText>
            </w:r>
            <w:r>
              <w:rPr>
                <w:noProof/>
                <w:webHidden/>
              </w:rPr>
            </w:r>
            <w:r>
              <w:rPr>
                <w:noProof/>
                <w:webHidden/>
              </w:rPr>
              <w:fldChar w:fldCharType="separate"/>
            </w:r>
            <w:r>
              <w:rPr>
                <w:noProof/>
                <w:webHidden/>
              </w:rPr>
              <w:t>5</w:t>
            </w:r>
            <w:r>
              <w:rPr>
                <w:noProof/>
                <w:webHidden/>
              </w:rPr>
              <w:fldChar w:fldCharType="end"/>
            </w:r>
          </w:hyperlink>
        </w:p>
        <w:p w14:paraId="797B2670" w14:textId="0043FDA8"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3" w:history="1">
            <w:r w:rsidRPr="008917BA">
              <w:rPr>
                <w:rStyle w:val="Hyperlink"/>
                <w:noProof/>
              </w:rPr>
              <w:t>4.2 Audience engagement and language trends</w:t>
            </w:r>
            <w:r>
              <w:rPr>
                <w:noProof/>
                <w:webHidden/>
              </w:rPr>
              <w:tab/>
            </w:r>
            <w:r>
              <w:rPr>
                <w:noProof/>
                <w:webHidden/>
              </w:rPr>
              <w:fldChar w:fldCharType="begin"/>
            </w:r>
            <w:r>
              <w:rPr>
                <w:noProof/>
                <w:webHidden/>
              </w:rPr>
              <w:instrText xml:space="preserve"> PAGEREF _Toc227415493 \h </w:instrText>
            </w:r>
            <w:r>
              <w:rPr>
                <w:noProof/>
                <w:webHidden/>
              </w:rPr>
            </w:r>
            <w:r>
              <w:rPr>
                <w:noProof/>
                <w:webHidden/>
              </w:rPr>
              <w:fldChar w:fldCharType="separate"/>
            </w:r>
            <w:r>
              <w:rPr>
                <w:noProof/>
                <w:webHidden/>
              </w:rPr>
              <w:t>6</w:t>
            </w:r>
            <w:r>
              <w:rPr>
                <w:noProof/>
                <w:webHidden/>
              </w:rPr>
              <w:fldChar w:fldCharType="end"/>
            </w:r>
          </w:hyperlink>
        </w:p>
        <w:p w14:paraId="047EA07C" w14:textId="3FD1E2F9"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4" w:history="1">
            <w:r w:rsidRPr="008917BA">
              <w:rPr>
                <w:rStyle w:val="Hyperlink"/>
                <w:noProof/>
              </w:rPr>
              <w:t>5. Statistical Analysis using SPSS</w:t>
            </w:r>
            <w:r>
              <w:rPr>
                <w:noProof/>
                <w:webHidden/>
              </w:rPr>
              <w:tab/>
            </w:r>
            <w:r>
              <w:rPr>
                <w:noProof/>
                <w:webHidden/>
              </w:rPr>
              <w:fldChar w:fldCharType="begin"/>
            </w:r>
            <w:r>
              <w:rPr>
                <w:noProof/>
                <w:webHidden/>
              </w:rPr>
              <w:instrText xml:space="preserve"> PAGEREF _Toc227415494 \h </w:instrText>
            </w:r>
            <w:r>
              <w:rPr>
                <w:noProof/>
                <w:webHidden/>
              </w:rPr>
            </w:r>
            <w:r>
              <w:rPr>
                <w:noProof/>
                <w:webHidden/>
              </w:rPr>
              <w:fldChar w:fldCharType="separate"/>
            </w:r>
            <w:r>
              <w:rPr>
                <w:noProof/>
                <w:webHidden/>
              </w:rPr>
              <w:t>7</w:t>
            </w:r>
            <w:r>
              <w:rPr>
                <w:noProof/>
                <w:webHidden/>
              </w:rPr>
              <w:fldChar w:fldCharType="end"/>
            </w:r>
          </w:hyperlink>
        </w:p>
        <w:p w14:paraId="08DF6A06" w14:textId="1991478C"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5" w:history="1">
            <w:r w:rsidRPr="008917BA">
              <w:rPr>
                <w:rStyle w:val="Hyperlink"/>
                <w:noProof/>
              </w:rPr>
              <w:t>5.1 Independent samples t-test</w:t>
            </w:r>
            <w:r>
              <w:rPr>
                <w:noProof/>
                <w:webHidden/>
              </w:rPr>
              <w:tab/>
            </w:r>
            <w:r>
              <w:rPr>
                <w:noProof/>
                <w:webHidden/>
              </w:rPr>
              <w:fldChar w:fldCharType="begin"/>
            </w:r>
            <w:r>
              <w:rPr>
                <w:noProof/>
                <w:webHidden/>
              </w:rPr>
              <w:instrText xml:space="preserve"> PAGEREF _Toc227415495 \h </w:instrText>
            </w:r>
            <w:r>
              <w:rPr>
                <w:noProof/>
                <w:webHidden/>
              </w:rPr>
            </w:r>
            <w:r>
              <w:rPr>
                <w:noProof/>
                <w:webHidden/>
              </w:rPr>
              <w:fldChar w:fldCharType="separate"/>
            </w:r>
            <w:r>
              <w:rPr>
                <w:noProof/>
                <w:webHidden/>
              </w:rPr>
              <w:t>7</w:t>
            </w:r>
            <w:r>
              <w:rPr>
                <w:noProof/>
                <w:webHidden/>
              </w:rPr>
              <w:fldChar w:fldCharType="end"/>
            </w:r>
          </w:hyperlink>
        </w:p>
        <w:p w14:paraId="7DF32BC3" w14:textId="445DA1A3"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6" w:history="1">
            <w:r w:rsidRPr="008917BA">
              <w:rPr>
                <w:rStyle w:val="Hyperlink"/>
                <w:noProof/>
              </w:rPr>
              <w:t>5.2 Correlation analysis</w:t>
            </w:r>
            <w:r>
              <w:rPr>
                <w:noProof/>
                <w:webHidden/>
              </w:rPr>
              <w:tab/>
            </w:r>
            <w:r>
              <w:rPr>
                <w:noProof/>
                <w:webHidden/>
              </w:rPr>
              <w:fldChar w:fldCharType="begin"/>
            </w:r>
            <w:r>
              <w:rPr>
                <w:noProof/>
                <w:webHidden/>
              </w:rPr>
              <w:instrText xml:space="preserve"> PAGEREF _Toc227415496 \h </w:instrText>
            </w:r>
            <w:r>
              <w:rPr>
                <w:noProof/>
                <w:webHidden/>
              </w:rPr>
            </w:r>
            <w:r>
              <w:rPr>
                <w:noProof/>
                <w:webHidden/>
              </w:rPr>
              <w:fldChar w:fldCharType="separate"/>
            </w:r>
            <w:r>
              <w:rPr>
                <w:noProof/>
                <w:webHidden/>
              </w:rPr>
              <w:t>8</w:t>
            </w:r>
            <w:r>
              <w:rPr>
                <w:noProof/>
                <w:webHidden/>
              </w:rPr>
              <w:fldChar w:fldCharType="end"/>
            </w:r>
          </w:hyperlink>
        </w:p>
        <w:p w14:paraId="74E2D1E5" w14:textId="6D3096FF"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7" w:history="1">
            <w:r w:rsidRPr="008917BA">
              <w:rPr>
                <w:rStyle w:val="Hyperlink"/>
                <w:noProof/>
              </w:rPr>
              <w:t>5.3 Regression analysis</w:t>
            </w:r>
            <w:r>
              <w:rPr>
                <w:noProof/>
                <w:webHidden/>
              </w:rPr>
              <w:tab/>
            </w:r>
            <w:r>
              <w:rPr>
                <w:noProof/>
                <w:webHidden/>
              </w:rPr>
              <w:fldChar w:fldCharType="begin"/>
            </w:r>
            <w:r>
              <w:rPr>
                <w:noProof/>
                <w:webHidden/>
              </w:rPr>
              <w:instrText xml:space="preserve"> PAGEREF _Toc227415497 \h </w:instrText>
            </w:r>
            <w:r>
              <w:rPr>
                <w:noProof/>
                <w:webHidden/>
              </w:rPr>
            </w:r>
            <w:r>
              <w:rPr>
                <w:noProof/>
                <w:webHidden/>
              </w:rPr>
              <w:fldChar w:fldCharType="separate"/>
            </w:r>
            <w:r>
              <w:rPr>
                <w:noProof/>
                <w:webHidden/>
              </w:rPr>
              <w:t>9</w:t>
            </w:r>
            <w:r>
              <w:rPr>
                <w:noProof/>
                <w:webHidden/>
              </w:rPr>
              <w:fldChar w:fldCharType="end"/>
            </w:r>
          </w:hyperlink>
        </w:p>
        <w:p w14:paraId="3C9B3A59" w14:textId="180ECC1E"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8" w:history="1">
            <w:r w:rsidRPr="008917BA">
              <w:rPr>
                <w:rStyle w:val="Hyperlink"/>
                <w:noProof/>
              </w:rPr>
              <w:t>6. Insights and Recommendations</w:t>
            </w:r>
            <w:r>
              <w:rPr>
                <w:noProof/>
                <w:webHidden/>
              </w:rPr>
              <w:tab/>
            </w:r>
            <w:r>
              <w:rPr>
                <w:noProof/>
                <w:webHidden/>
              </w:rPr>
              <w:fldChar w:fldCharType="begin"/>
            </w:r>
            <w:r>
              <w:rPr>
                <w:noProof/>
                <w:webHidden/>
              </w:rPr>
              <w:instrText xml:space="preserve"> PAGEREF _Toc227415498 \h </w:instrText>
            </w:r>
            <w:r>
              <w:rPr>
                <w:noProof/>
                <w:webHidden/>
              </w:rPr>
            </w:r>
            <w:r>
              <w:rPr>
                <w:noProof/>
                <w:webHidden/>
              </w:rPr>
              <w:fldChar w:fldCharType="separate"/>
            </w:r>
            <w:r>
              <w:rPr>
                <w:noProof/>
                <w:webHidden/>
              </w:rPr>
              <w:t>9</w:t>
            </w:r>
            <w:r>
              <w:rPr>
                <w:noProof/>
                <w:webHidden/>
              </w:rPr>
              <w:fldChar w:fldCharType="end"/>
            </w:r>
          </w:hyperlink>
        </w:p>
        <w:p w14:paraId="2A1A416C" w14:textId="03C6B61E" w:rsidR="008C46B1" w:rsidRDefault="008C46B1">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499" w:history="1">
            <w:r w:rsidRPr="008917BA">
              <w:rPr>
                <w:rStyle w:val="Hyperlink"/>
                <w:noProof/>
              </w:rPr>
              <w:t>6.1 Key insights</w:t>
            </w:r>
            <w:r>
              <w:rPr>
                <w:noProof/>
                <w:webHidden/>
              </w:rPr>
              <w:tab/>
            </w:r>
            <w:r>
              <w:rPr>
                <w:noProof/>
                <w:webHidden/>
              </w:rPr>
              <w:fldChar w:fldCharType="begin"/>
            </w:r>
            <w:r>
              <w:rPr>
                <w:noProof/>
                <w:webHidden/>
              </w:rPr>
              <w:instrText xml:space="preserve"> PAGEREF _Toc227415499 \h </w:instrText>
            </w:r>
            <w:r>
              <w:rPr>
                <w:noProof/>
                <w:webHidden/>
              </w:rPr>
            </w:r>
            <w:r>
              <w:rPr>
                <w:noProof/>
                <w:webHidden/>
              </w:rPr>
              <w:fldChar w:fldCharType="separate"/>
            </w:r>
            <w:r>
              <w:rPr>
                <w:noProof/>
                <w:webHidden/>
              </w:rPr>
              <w:t>9</w:t>
            </w:r>
            <w:r>
              <w:rPr>
                <w:noProof/>
                <w:webHidden/>
              </w:rPr>
              <w:fldChar w:fldCharType="end"/>
            </w:r>
          </w:hyperlink>
        </w:p>
        <w:p w14:paraId="4C4CA4F3" w14:textId="73404382" w:rsidR="008C46B1" w:rsidRDefault="008C46B1">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7415500" w:history="1">
            <w:r w:rsidRPr="008917BA">
              <w:rPr>
                <w:rStyle w:val="Hyperlink"/>
                <w:noProof/>
              </w:rPr>
              <w:t>6.2 Recommendations and limitations</w:t>
            </w:r>
            <w:r>
              <w:rPr>
                <w:noProof/>
                <w:webHidden/>
              </w:rPr>
              <w:tab/>
            </w:r>
            <w:r>
              <w:rPr>
                <w:noProof/>
                <w:webHidden/>
              </w:rPr>
              <w:fldChar w:fldCharType="begin"/>
            </w:r>
            <w:r>
              <w:rPr>
                <w:noProof/>
                <w:webHidden/>
              </w:rPr>
              <w:instrText xml:space="preserve"> PAGEREF _Toc227415500 \h </w:instrText>
            </w:r>
            <w:r>
              <w:rPr>
                <w:noProof/>
                <w:webHidden/>
              </w:rPr>
            </w:r>
            <w:r>
              <w:rPr>
                <w:noProof/>
                <w:webHidden/>
              </w:rPr>
              <w:fldChar w:fldCharType="separate"/>
            </w:r>
            <w:r>
              <w:rPr>
                <w:noProof/>
                <w:webHidden/>
              </w:rPr>
              <w:t>10</w:t>
            </w:r>
            <w:r>
              <w:rPr>
                <w:noProof/>
                <w:webHidden/>
              </w:rPr>
              <w:fldChar w:fldCharType="end"/>
            </w:r>
          </w:hyperlink>
        </w:p>
        <w:p w14:paraId="3360DA84" w14:textId="34DB0EEA" w:rsidR="008C46B1" w:rsidRDefault="008C46B1" w:rsidP="008C46B1">
          <w:pPr>
            <w:pStyle w:val="TOC1"/>
            <w:rPr>
              <w:rFonts w:asciiTheme="minorHAnsi" w:eastAsiaTheme="minorEastAsia" w:hAnsiTheme="minorHAnsi" w:cstheme="minorBidi"/>
              <w:noProof/>
              <w:kern w:val="2"/>
              <w:sz w:val="24"/>
              <w:szCs w:val="24"/>
              <w:lang w:eastAsia="en-GB"/>
              <w14:ligatures w14:val="standardContextual"/>
            </w:rPr>
          </w:pPr>
          <w:hyperlink w:anchor="_Toc227415501" w:history="1">
            <w:r w:rsidRPr="008917BA">
              <w:rPr>
                <w:rStyle w:val="Hyperlink"/>
                <w:noProof/>
              </w:rPr>
              <w:t>References</w:t>
            </w:r>
            <w:r>
              <w:rPr>
                <w:noProof/>
                <w:webHidden/>
              </w:rPr>
              <w:tab/>
            </w:r>
            <w:r>
              <w:rPr>
                <w:noProof/>
                <w:webHidden/>
              </w:rPr>
              <w:fldChar w:fldCharType="begin"/>
            </w:r>
            <w:r>
              <w:rPr>
                <w:noProof/>
                <w:webHidden/>
              </w:rPr>
              <w:instrText xml:space="preserve"> PAGEREF _Toc227415501 \h </w:instrText>
            </w:r>
            <w:r>
              <w:rPr>
                <w:noProof/>
                <w:webHidden/>
              </w:rPr>
            </w:r>
            <w:r>
              <w:rPr>
                <w:noProof/>
                <w:webHidden/>
              </w:rPr>
              <w:fldChar w:fldCharType="separate"/>
            </w:r>
            <w:r>
              <w:rPr>
                <w:noProof/>
                <w:webHidden/>
              </w:rPr>
              <w:t>11</w:t>
            </w:r>
            <w:r>
              <w:rPr>
                <w:noProof/>
                <w:webHidden/>
              </w:rPr>
              <w:fldChar w:fldCharType="end"/>
            </w:r>
          </w:hyperlink>
        </w:p>
        <w:p w14:paraId="2934959D" w14:textId="25ABC46F" w:rsidR="008C46B1" w:rsidRDefault="008C46B1">
          <w:r>
            <w:rPr>
              <w:b/>
              <w:bCs/>
              <w:noProof/>
            </w:rPr>
            <w:fldChar w:fldCharType="end"/>
          </w:r>
        </w:p>
      </w:sdtContent>
    </w:sdt>
    <w:p w14:paraId="2A447A3E" w14:textId="77777777" w:rsidR="005D2E20" w:rsidRDefault="005D2E20" w:rsidP="005D2E20">
      <w:pPr>
        <w:pStyle w:val="NoSpacing"/>
        <w:spacing w:line="360" w:lineRule="auto"/>
        <w:jc w:val="both"/>
        <w:rPr>
          <w:rFonts w:ascii="Arial" w:hAnsi="Arial" w:cs="Arial"/>
          <w:sz w:val="24"/>
          <w:szCs w:val="24"/>
        </w:rPr>
      </w:pPr>
    </w:p>
    <w:p w14:paraId="0C891AF8" w14:textId="77777777" w:rsidR="008C46B1" w:rsidRDefault="008C46B1" w:rsidP="005D2E20">
      <w:pPr>
        <w:pStyle w:val="NoSpacing"/>
        <w:spacing w:line="360" w:lineRule="auto"/>
        <w:jc w:val="both"/>
        <w:rPr>
          <w:rFonts w:ascii="Arial" w:hAnsi="Arial" w:cs="Arial"/>
          <w:sz w:val="24"/>
          <w:szCs w:val="24"/>
        </w:rPr>
      </w:pPr>
    </w:p>
    <w:p w14:paraId="59BCFC03" w14:textId="77777777" w:rsidR="008C46B1" w:rsidRDefault="008C46B1" w:rsidP="005D2E20">
      <w:pPr>
        <w:pStyle w:val="NoSpacing"/>
        <w:spacing w:line="360" w:lineRule="auto"/>
        <w:jc w:val="both"/>
        <w:rPr>
          <w:rFonts w:ascii="Arial" w:hAnsi="Arial" w:cs="Arial"/>
          <w:sz w:val="24"/>
          <w:szCs w:val="24"/>
        </w:rPr>
      </w:pPr>
    </w:p>
    <w:p w14:paraId="18FD360B" w14:textId="77777777" w:rsidR="008C46B1" w:rsidRDefault="008C46B1" w:rsidP="005D2E20">
      <w:pPr>
        <w:pStyle w:val="NoSpacing"/>
        <w:spacing w:line="360" w:lineRule="auto"/>
        <w:jc w:val="both"/>
        <w:rPr>
          <w:rFonts w:ascii="Arial" w:hAnsi="Arial" w:cs="Arial"/>
          <w:sz w:val="24"/>
          <w:szCs w:val="24"/>
        </w:rPr>
      </w:pPr>
    </w:p>
    <w:p w14:paraId="3B4CB641" w14:textId="77777777" w:rsidR="008C46B1" w:rsidRDefault="008C46B1" w:rsidP="005D2E20">
      <w:pPr>
        <w:pStyle w:val="NoSpacing"/>
        <w:spacing w:line="360" w:lineRule="auto"/>
        <w:jc w:val="both"/>
        <w:rPr>
          <w:rFonts w:ascii="Arial" w:hAnsi="Arial" w:cs="Arial"/>
          <w:sz w:val="24"/>
          <w:szCs w:val="24"/>
        </w:rPr>
      </w:pPr>
    </w:p>
    <w:p w14:paraId="3C02634F" w14:textId="77777777" w:rsidR="008C46B1" w:rsidRDefault="008C46B1" w:rsidP="005D2E20">
      <w:pPr>
        <w:pStyle w:val="NoSpacing"/>
        <w:spacing w:line="360" w:lineRule="auto"/>
        <w:jc w:val="both"/>
        <w:rPr>
          <w:rFonts w:ascii="Arial" w:hAnsi="Arial" w:cs="Arial"/>
          <w:sz w:val="24"/>
          <w:szCs w:val="24"/>
        </w:rPr>
      </w:pPr>
    </w:p>
    <w:p w14:paraId="60E1BF42" w14:textId="77777777" w:rsidR="008C46B1" w:rsidRDefault="008C46B1" w:rsidP="005D2E20">
      <w:pPr>
        <w:pStyle w:val="NoSpacing"/>
        <w:spacing w:line="360" w:lineRule="auto"/>
        <w:jc w:val="both"/>
        <w:rPr>
          <w:rFonts w:ascii="Arial" w:hAnsi="Arial" w:cs="Arial"/>
          <w:sz w:val="24"/>
          <w:szCs w:val="24"/>
        </w:rPr>
      </w:pPr>
    </w:p>
    <w:p w14:paraId="272D1641" w14:textId="77777777" w:rsidR="008C46B1" w:rsidRDefault="008C46B1" w:rsidP="005D2E20">
      <w:pPr>
        <w:pStyle w:val="NoSpacing"/>
        <w:spacing w:line="360" w:lineRule="auto"/>
        <w:jc w:val="both"/>
        <w:rPr>
          <w:rFonts w:ascii="Arial" w:hAnsi="Arial" w:cs="Arial"/>
          <w:sz w:val="24"/>
          <w:szCs w:val="24"/>
        </w:rPr>
      </w:pPr>
    </w:p>
    <w:p w14:paraId="3FB383CA" w14:textId="77777777" w:rsidR="008C46B1" w:rsidRPr="005D2E20" w:rsidRDefault="008C46B1" w:rsidP="005D2E20">
      <w:pPr>
        <w:pStyle w:val="NoSpacing"/>
        <w:spacing w:line="360" w:lineRule="auto"/>
        <w:jc w:val="both"/>
        <w:rPr>
          <w:rFonts w:ascii="Arial" w:hAnsi="Arial" w:cs="Arial"/>
          <w:sz w:val="24"/>
          <w:szCs w:val="24"/>
        </w:rPr>
      </w:pPr>
    </w:p>
    <w:p w14:paraId="20126FB2" w14:textId="77777777" w:rsidR="005D2E20" w:rsidRPr="005D2E20" w:rsidRDefault="005D2E20" w:rsidP="005D2E20">
      <w:pPr>
        <w:pStyle w:val="Heading1"/>
      </w:pPr>
      <w:bookmarkStart w:id="1" w:name="_Toc227415488"/>
      <w:r w:rsidRPr="005D2E20">
        <w:lastRenderedPageBreak/>
        <w:t>1. Introduction</w:t>
      </w:r>
      <w:bookmarkEnd w:id="1"/>
    </w:p>
    <w:p w14:paraId="6F9E549F" w14:textId="3E06ABDE"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 xml:space="preserve">This report studies the Letterbox Movie Classification Dataset to analyse how the characteristics of the film and the measures of audience-engagement can be used in the business intelligence in the entertainment industry. The analysis of the data is based on the cleaned movie data, descriptive statistics, visual trend analysis, and statistical testing, revealing patterns associated with ratings, likes, watches, and fan activity. This method is a sign of the increasing significance of quality data, analytical power, and clear visual analysis in decision-making based on evidence (Ehrlinger and </w:t>
      </w:r>
      <w:proofErr w:type="spellStart"/>
      <w:r w:rsidRPr="005D2E20">
        <w:rPr>
          <w:rFonts w:ascii="Arial" w:hAnsi="Arial" w:cs="Arial"/>
          <w:sz w:val="24"/>
          <w:szCs w:val="24"/>
        </w:rPr>
        <w:t>Wöß</w:t>
      </w:r>
      <w:proofErr w:type="spellEnd"/>
      <w:r w:rsidRPr="005D2E20">
        <w:rPr>
          <w:rFonts w:ascii="Arial" w:hAnsi="Arial" w:cs="Arial"/>
          <w:sz w:val="24"/>
          <w:szCs w:val="24"/>
        </w:rPr>
        <w:t xml:space="preserve">, 2022). Such analysis </w:t>
      </w:r>
      <w:r w:rsidRPr="005D2E20">
        <w:rPr>
          <w:rFonts w:ascii="Arial" w:hAnsi="Arial" w:cs="Arial"/>
          <w:sz w:val="24"/>
          <w:szCs w:val="24"/>
        </w:rPr>
        <w:t>helps</w:t>
      </w:r>
      <w:r w:rsidRPr="005D2E20">
        <w:rPr>
          <w:rFonts w:ascii="Arial" w:hAnsi="Arial" w:cs="Arial"/>
          <w:sz w:val="24"/>
          <w:szCs w:val="24"/>
        </w:rPr>
        <w:t xml:space="preserve"> to target the audience better, position the content, or evaluate the performance in the media setting (Leem et al., 2023).</w:t>
      </w:r>
    </w:p>
    <w:p w14:paraId="2821515F" w14:textId="77777777" w:rsidR="005D2E20" w:rsidRPr="005D2E20" w:rsidRDefault="005D2E20" w:rsidP="005D2E20">
      <w:pPr>
        <w:pStyle w:val="NoSpacing"/>
        <w:spacing w:line="360" w:lineRule="auto"/>
        <w:jc w:val="both"/>
        <w:rPr>
          <w:rFonts w:ascii="Arial" w:hAnsi="Arial" w:cs="Arial"/>
          <w:sz w:val="24"/>
          <w:szCs w:val="24"/>
        </w:rPr>
      </w:pPr>
    </w:p>
    <w:p w14:paraId="213B7BDC" w14:textId="77777777" w:rsidR="005D2E20" w:rsidRPr="005D2E20" w:rsidRDefault="005D2E20" w:rsidP="005D2E20">
      <w:pPr>
        <w:pStyle w:val="Heading2"/>
      </w:pPr>
      <w:bookmarkStart w:id="2" w:name="_Toc227415489"/>
      <w:r w:rsidRPr="005D2E20">
        <w:t>2. Data Cleaning and Preparation</w:t>
      </w:r>
      <w:bookmarkEnd w:id="2"/>
    </w:p>
    <w:p w14:paraId="0C2CC37A" w14:textId="77777777"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Data cleaning was needed to enhance the consistency, noise reduction and to prepare the data set to undergo descriptive and statistical analysis. One of the fundamental requirements of business intelligence is data quality, as the incorrect, inconsistent, or poorly organised data may misrepresent trends and undermine managerial judgments (</w:t>
      </w:r>
      <w:proofErr w:type="spellStart"/>
      <w:r w:rsidRPr="005D2E20">
        <w:rPr>
          <w:rFonts w:ascii="Arial" w:hAnsi="Arial" w:cs="Arial"/>
          <w:sz w:val="24"/>
          <w:szCs w:val="24"/>
        </w:rPr>
        <w:t>AbuHalimeh</w:t>
      </w:r>
      <w:proofErr w:type="spellEnd"/>
      <w:r w:rsidRPr="005D2E20">
        <w:rPr>
          <w:rFonts w:ascii="Arial" w:hAnsi="Arial" w:cs="Arial"/>
          <w:sz w:val="24"/>
          <w:szCs w:val="24"/>
        </w:rPr>
        <w:t>, 2022). In this dataset, preparation was aimed at rectifying structural problems, but not changing the meaning of records.</w:t>
      </w:r>
    </w:p>
    <w:p w14:paraId="2BC34EB5" w14:textId="77777777" w:rsid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The initial step was to delete unnecessary export content such as the additional index field since the variable did not have any analytical value. The text fields were then normalised by removing irregular spaces and turning the list-style items in variables like genres and studios to a uniform comma-separated form. Where necessary, entries like unknown studio values were interpreted as missing so that the analysis could differentiate between values that are actual and those that are unfinished (Syed et al., 2023). Runtime was stored as a numerical data to assist in summary statistics, charting and subsequent regression analysis. Other helper variables, such as language grouping and number of genres or studios per film were also developed to make the comparison across categories easier.</w:t>
      </w:r>
      <w:r>
        <w:rPr>
          <w:rFonts w:ascii="Arial" w:hAnsi="Arial" w:cs="Arial"/>
          <w:sz w:val="24"/>
          <w:szCs w:val="24"/>
        </w:rPr>
        <w:t xml:space="preserve"> </w:t>
      </w:r>
    </w:p>
    <w:p w14:paraId="57AB77C5" w14:textId="51B87091"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These cleaning procedures enhanced data usability, transparency, and comparability, which is necessary to have solid analytics and subsequent interpretation (Pierce, 2022).</w:t>
      </w:r>
    </w:p>
    <w:p w14:paraId="681E9EF0" w14:textId="77777777" w:rsidR="005D2E20" w:rsidRDefault="005D2E20" w:rsidP="005D2E20">
      <w:pPr>
        <w:pStyle w:val="NoSpacing"/>
        <w:spacing w:line="360" w:lineRule="auto"/>
        <w:jc w:val="both"/>
        <w:rPr>
          <w:rFonts w:ascii="Arial" w:hAnsi="Arial" w:cs="Arial"/>
          <w:sz w:val="24"/>
          <w:szCs w:val="24"/>
        </w:rPr>
      </w:pPr>
    </w:p>
    <w:p w14:paraId="7B4B631A" w14:textId="7F72E249" w:rsidR="00175FB9" w:rsidRDefault="00175FB9" w:rsidP="005D2E20">
      <w:pPr>
        <w:pStyle w:val="NoSpacing"/>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C1DA365" wp14:editId="2C690253">
            <wp:extent cx="5724525" cy="2857500"/>
            <wp:effectExtent l="0" t="0" r="9525" b="0"/>
            <wp:docPr id="1610044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857500"/>
                    </a:xfrm>
                    <a:prstGeom prst="rect">
                      <a:avLst/>
                    </a:prstGeom>
                    <a:noFill/>
                    <a:ln>
                      <a:noFill/>
                    </a:ln>
                  </pic:spPr>
                </pic:pic>
              </a:graphicData>
            </a:graphic>
          </wp:inline>
        </w:drawing>
      </w:r>
    </w:p>
    <w:p w14:paraId="00FB27C9" w14:textId="6C133FF2" w:rsidR="00175FB9" w:rsidRPr="00175FB9" w:rsidRDefault="00175FB9" w:rsidP="005D2E20">
      <w:pPr>
        <w:pStyle w:val="NoSpacing"/>
        <w:spacing w:line="360" w:lineRule="auto"/>
        <w:jc w:val="both"/>
        <w:rPr>
          <w:rFonts w:ascii="Arial" w:hAnsi="Arial" w:cs="Arial"/>
          <w:b/>
          <w:bCs/>
          <w:sz w:val="24"/>
          <w:szCs w:val="24"/>
        </w:rPr>
      </w:pPr>
      <w:r w:rsidRPr="00175FB9">
        <w:rPr>
          <w:rFonts w:ascii="Arial" w:hAnsi="Arial" w:cs="Arial"/>
          <w:b/>
          <w:bCs/>
          <w:sz w:val="24"/>
          <w:szCs w:val="24"/>
        </w:rPr>
        <w:t>Figure 1: Cleaning Log Sheet</w:t>
      </w:r>
    </w:p>
    <w:p w14:paraId="791526FA" w14:textId="77777777" w:rsidR="005D2E20" w:rsidRPr="005D2E20" w:rsidRDefault="005D2E20" w:rsidP="005D2E20">
      <w:pPr>
        <w:pStyle w:val="NoSpacing"/>
        <w:spacing w:line="360" w:lineRule="auto"/>
        <w:jc w:val="both"/>
        <w:rPr>
          <w:rFonts w:ascii="Arial" w:hAnsi="Arial" w:cs="Arial"/>
          <w:sz w:val="24"/>
          <w:szCs w:val="24"/>
        </w:rPr>
      </w:pPr>
    </w:p>
    <w:p w14:paraId="3B853F07" w14:textId="77777777" w:rsidR="005D2E20" w:rsidRPr="005D2E20" w:rsidRDefault="005D2E20" w:rsidP="005D2E20">
      <w:pPr>
        <w:pStyle w:val="Heading2"/>
      </w:pPr>
      <w:bookmarkStart w:id="3" w:name="_Toc227415490"/>
      <w:r w:rsidRPr="005D2E20">
        <w:t>3. Descriptive Statistics and Summary</w:t>
      </w:r>
      <w:bookmarkEnd w:id="3"/>
    </w:p>
    <w:p w14:paraId="1CE8F534" w14:textId="77777777"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The dataset was summarised using descriptive statistics to determine the overall distribution of important variables before further analysis. This is an important step in business analytics as it transforms raw data into a comprehensible summary of scale, central tendency, and variation, enabling decision-makers to determine where and how they need to explore further (Gómez-Caicedo et al., 2022). The cleaned dataset was largely mixed in audience-engagement metrics especially in watches, likes and the number of fans, meaning that the film performance is not equally distributed across the titles.</w:t>
      </w:r>
    </w:p>
    <w:p w14:paraId="7864D8F6" w14:textId="453EF16E"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 xml:space="preserve">Average score was relatively the same when compared to engagement variables, implying that user rating is not as changeable as behavioural indicators like viewing and liking activity. The spread in runtime was less than watches or fans, which is a helpful factor since it implies that certain variables will tend to be more predictive or explanatory in further testing. Frequency summaries revealed that a few genres occurred very much more frequently than others, with the distribution of language being </w:t>
      </w:r>
      <w:proofErr w:type="spellStart"/>
      <w:r w:rsidRPr="005D2E20">
        <w:rPr>
          <w:rFonts w:ascii="Arial" w:hAnsi="Arial" w:cs="Arial"/>
          <w:sz w:val="24"/>
          <w:szCs w:val="24"/>
        </w:rPr>
        <w:t>centered</w:t>
      </w:r>
      <w:proofErr w:type="spellEnd"/>
      <w:r w:rsidRPr="005D2E20">
        <w:rPr>
          <w:rFonts w:ascii="Arial" w:hAnsi="Arial" w:cs="Arial"/>
          <w:sz w:val="24"/>
          <w:szCs w:val="24"/>
        </w:rPr>
        <w:t xml:space="preserve"> around English-language films. This form of imbalance is significant since categorical dominance has a potential to influence the visible trends in case it is not interpreted with caution (Gutzeit and Tiberius, 2023).</w:t>
      </w:r>
      <w:r>
        <w:rPr>
          <w:rFonts w:ascii="Arial" w:hAnsi="Arial" w:cs="Arial"/>
          <w:sz w:val="24"/>
          <w:szCs w:val="24"/>
        </w:rPr>
        <w:t xml:space="preserve"> </w:t>
      </w:r>
      <w:r w:rsidRPr="005D2E20">
        <w:rPr>
          <w:rFonts w:ascii="Arial" w:hAnsi="Arial" w:cs="Arial"/>
          <w:sz w:val="24"/>
          <w:szCs w:val="24"/>
        </w:rPr>
        <w:t xml:space="preserve">As far as business intelligence is concerned, such descriptive results are important since they help determine the locations of the concentration of the audience activity and the variables </w:t>
      </w:r>
      <w:r w:rsidRPr="005D2E20">
        <w:rPr>
          <w:rFonts w:ascii="Arial" w:hAnsi="Arial" w:cs="Arial"/>
          <w:sz w:val="24"/>
          <w:szCs w:val="24"/>
        </w:rPr>
        <w:lastRenderedPageBreak/>
        <w:t>that are most appropriate in further visual and statistical analysis. Clearly described summaries enhance transparency and communication as they enable the dataset to be comprehended by both specialist and non-specialists (Neri et al., 2025).</w:t>
      </w:r>
    </w:p>
    <w:p w14:paraId="4FE45532" w14:textId="77777777" w:rsidR="005D2E20" w:rsidRDefault="005D2E20" w:rsidP="005D2E20">
      <w:pPr>
        <w:pStyle w:val="NoSpacing"/>
        <w:spacing w:line="360" w:lineRule="auto"/>
        <w:jc w:val="both"/>
        <w:rPr>
          <w:rFonts w:ascii="Arial" w:hAnsi="Arial" w:cs="Arial"/>
          <w:sz w:val="24"/>
          <w:szCs w:val="24"/>
        </w:rPr>
      </w:pPr>
    </w:p>
    <w:p w14:paraId="503B3706" w14:textId="49D3BCF2" w:rsidR="00175FB9" w:rsidRDefault="00175FB9" w:rsidP="005D2E20">
      <w:pPr>
        <w:pStyle w:val="NoSpacing"/>
        <w:spacing w:line="360" w:lineRule="auto"/>
        <w:jc w:val="both"/>
        <w:rPr>
          <w:rFonts w:ascii="Arial" w:hAnsi="Arial" w:cs="Arial"/>
          <w:sz w:val="24"/>
          <w:szCs w:val="24"/>
        </w:rPr>
      </w:pPr>
      <w:r>
        <w:rPr>
          <w:rFonts w:ascii="Arial" w:hAnsi="Arial" w:cs="Arial"/>
          <w:noProof/>
          <w:sz w:val="24"/>
          <w:szCs w:val="24"/>
        </w:rPr>
        <w:drawing>
          <wp:inline distT="0" distB="0" distL="0" distR="0" wp14:anchorId="1C5FF70B" wp14:editId="00895817">
            <wp:extent cx="6327140" cy="1209675"/>
            <wp:effectExtent l="0" t="0" r="0" b="9525"/>
            <wp:docPr id="5651384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1204" cy="1210452"/>
                    </a:xfrm>
                    <a:prstGeom prst="rect">
                      <a:avLst/>
                    </a:prstGeom>
                    <a:noFill/>
                    <a:ln>
                      <a:noFill/>
                    </a:ln>
                  </pic:spPr>
                </pic:pic>
              </a:graphicData>
            </a:graphic>
          </wp:inline>
        </w:drawing>
      </w:r>
    </w:p>
    <w:p w14:paraId="1C8401A6" w14:textId="3B15B7BC" w:rsidR="00175FB9" w:rsidRPr="00175FB9" w:rsidRDefault="00175FB9" w:rsidP="005D2E20">
      <w:pPr>
        <w:pStyle w:val="NoSpacing"/>
        <w:spacing w:line="360" w:lineRule="auto"/>
        <w:jc w:val="both"/>
        <w:rPr>
          <w:rFonts w:ascii="Arial" w:hAnsi="Arial" w:cs="Arial"/>
          <w:b/>
          <w:bCs/>
          <w:sz w:val="24"/>
          <w:szCs w:val="24"/>
        </w:rPr>
      </w:pPr>
      <w:r w:rsidRPr="00175FB9">
        <w:rPr>
          <w:rFonts w:ascii="Arial" w:hAnsi="Arial" w:cs="Arial"/>
          <w:b/>
          <w:bCs/>
          <w:sz w:val="24"/>
          <w:szCs w:val="24"/>
        </w:rPr>
        <w:t>Figure 2: Main Descriptive Statistics</w:t>
      </w:r>
    </w:p>
    <w:p w14:paraId="2DDC34CC" w14:textId="77777777" w:rsidR="005D2E20" w:rsidRPr="005D2E20" w:rsidRDefault="005D2E20" w:rsidP="005D2E20">
      <w:pPr>
        <w:pStyle w:val="NoSpacing"/>
        <w:spacing w:line="360" w:lineRule="auto"/>
        <w:jc w:val="both"/>
        <w:rPr>
          <w:rFonts w:ascii="Arial" w:hAnsi="Arial" w:cs="Arial"/>
          <w:sz w:val="24"/>
          <w:szCs w:val="24"/>
        </w:rPr>
      </w:pPr>
    </w:p>
    <w:p w14:paraId="73E23A37" w14:textId="77777777" w:rsidR="005D2E20" w:rsidRPr="005D2E20" w:rsidRDefault="005D2E20" w:rsidP="005D2E20">
      <w:pPr>
        <w:pStyle w:val="Heading2"/>
      </w:pPr>
      <w:bookmarkStart w:id="4" w:name="_Toc227415491"/>
      <w:r w:rsidRPr="005D2E20">
        <w:t>4. Trend Analysis and Visualisation</w:t>
      </w:r>
      <w:bookmarkEnd w:id="4"/>
    </w:p>
    <w:p w14:paraId="6114C55F" w14:textId="77777777" w:rsidR="005D2E20" w:rsidRPr="005D2E20" w:rsidRDefault="005D2E20" w:rsidP="005D2E20">
      <w:pPr>
        <w:pStyle w:val="Heading3"/>
      </w:pPr>
      <w:bookmarkStart w:id="5" w:name="_Toc227415492"/>
      <w:r w:rsidRPr="005D2E20">
        <w:t>4.1 Genre-based trends in average rating</w:t>
      </w:r>
      <w:bookmarkEnd w:id="5"/>
    </w:p>
    <w:p w14:paraId="2E0C8EDD" w14:textId="77777777" w:rsidR="008C46B1" w:rsidRDefault="005D2E20" w:rsidP="008C46B1">
      <w:pPr>
        <w:pStyle w:val="NoSpacing"/>
        <w:spacing w:line="360" w:lineRule="auto"/>
        <w:ind w:firstLine="720"/>
        <w:jc w:val="both"/>
        <w:rPr>
          <w:rFonts w:ascii="Arial" w:hAnsi="Arial" w:cs="Arial"/>
          <w:sz w:val="24"/>
          <w:szCs w:val="24"/>
        </w:rPr>
      </w:pPr>
      <w:r w:rsidRPr="005D2E20">
        <w:rPr>
          <w:rFonts w:ascii="Arial" w:hAnsi="Arial" w:cs="Arial"/>
          <w:sz w:val="24"/>
          <w:szCs w:val="24"/>
        </w:rPr>
        <w:t>Trend analysis was performed to determine the difference in the response of the audience with different genres, as business intelligence is more helpful when the numbers as summaries are translated into visible forms. Visualisation assists decision-makers in identifying concentration, imbalance and outliers faster than with tables alone when there is a sharp variance in engagement measures between content categories (Santini et al., 2024). Genre patterns were found in this dataset that popular categories do not necessarily produce the highest average rating, which indicates that the notions of popularity and perceived quality cannot be regarded as the same results.</w:t>
      </w:r>
      <w:r w:rsidR="008C46B1">
        <w:rPr>
          <w:rFonts w:ascii="Arial" w:hAnsi="Arial" w:cs="Arial"/>
          <w:sz w:val="24"/>
          <w:szCs w:val="24"/>
        </w:rPr>
        <w:t xml:space="preserve"> </w:t>
      </w:r>
    </w:p>
    <w:p w14:paraId="1DA27A0E" w14:textId="25EDC789" w:rsidR="005D2E20" w:rsidRPr="005D2E20" w:rsidRDefault="005D2E20" w:rsidP="008C46B1">
      <w:pPr>
        <w:pStyle w:val="NoSpacing"/>
        <w:spacing w:line="360" w:lineRule="auto"/>
        <w:ind w:firstLine="720"/>
        <w:jc w:val="both"/>
        <w:rPr>
          <w:rFonts w:ascii="Arial" w:hAnsi="Arial" w:cs="Arial"/>
          <w:sz w:val="24"/>
          <w:szCs w:val="24"/>
        </w:rPr>
      </w:pPr>
      <w:r w:rsidRPr="005D2E20">
        <w:rPr>
          <w:rFonts w:ascii="Arial" w:hAnsi="Arial" w:cs="Arial"/>
          <w:sz w:val="24"/>
          <w:szCs w:val="24"/>
        </w:rPr>
        <w:t>The genre tables revealed that the largest number of films and the highest average rating of the key genre groups were for Drama. Crime and Romance play well in terms of average rating and Horror and Science Fiction did not feature highly in the top-ten comparison. This is important since it implies that wide catalogue coverage is not necessarily producing more successful evaluation results. For content strategy, this may aid in more discriminatory promotion of genres more appreciated by users than just more volume (</w:t>
      </w:r>
      <w:proofErr w:type="spellStart"/>
      <w:r w:rsidRPr="005D2E20">
        <w:rPr>
          <w:rFonts w:ascii="Arial" w:hAnsi="Arial" w:cs="Arial"/>
          <w:sz w:val="24"/>
          <w:szCs w:val="24"/>
        </w:rPr>
        <w:t>Orankiewicz</w:t>
      </w:r>
      <w:proofErr w:type="spellEnd"/>
      <w:r w:rsidRPr="005D2E20">
        <w:rPr>
          <w:rFonts w:ascii="Arial" w:hAnsi="Arial" w:cs="Arial"/>
          <w:sz w:val="24"/>
          <w:szCs w:val="24"/>
        </w:rPr>
        <w:t xml:space="preserve"> and Bartosiewicz, 2023).</w:t>
      </w:r>
    </w:p>
    <w:p w14:paraId="741681FE" w14:textId="77777777" w:rsidR="00175FB9" w:rsidRPr="005D2E20" w:rsidRDefault="00175FB9" w:rsidP="00175FB9">
      <w:pPr>
        <w:pStyle w:val="NoSpacing"/>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3B1EA89" wp14:editId="26B91881">
            <wp:extent cx="5648325" cy="2266950"/>
            <wp:effectExtent l="0" t="0" r="9525" b="0"/>
            <wp:docPr id="12533517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8325" cy="2266950"/>
                    </a:xfrm>
                    <a:prstGeom prst="rect">
                      <a:avLst/>
                    </a:prstGeom>
                    <a:noFill/>
                    <a:ln>
                      <a:noFill/>
                    </a:ln>
                  </pic:spPr>
                </pic:pic>
              </a:graphicData>
            </a:graphic>
          </wp:inline>
        </w:drawing>
      </w:r>
    </w:p>
    <w:p w14:paraId="1E85F26C" w14:textId="77777777" w:rsidR="00175FB9" w:rsidRDefault="00175FB9" w:rsidP="00175FB9">
      <w:pPr>
        <w:pStyle w:val="NoSpacing"/>
        <w:spacing w:line="360" w:lineRule="auto"/>
        <w:jc w:val="both"/>
        <w:rPr>
          <w:rFonts w:ascii="Arial" w:hAnsi="Arial" w:cs="Arial"/>
          <w:b/>
          <w:bCs/>
          <w:sz w:val="24"/>
          <w:szCs w:val="24"/>
        </w:rPr>
      </w:pPr>
      <w:r w:rsidRPr="00175FB9">
        <w:rPr>
          <w:rFonts w:ascii="Arial" w:hAnsi="Arial" w:cs="Arial"/>
          <w:b/>
          <w:bCs/>
          <w:sz w:val="24"/>
          <w:szCs w:val="24"/>
        </w:rPr>
        <w:t xml:space="preserve">Figure 3: Top genres by average rating </w:t>
      </w:r>
    </w:p>
    <w:p w14:paraId="7D313F87" w14:textId="77777777" w:rsidR="005D2E20" w:rsidRPr="005D2E20" w:rsidRDefault="005D2E20" w:rsidP="005D2E20">
      <w:pPr>
        <w:pStyle w:val="NoSpacing"/>
        <w:spacing w:line="360" w:lineRule="auto"/>
        <w:jc w:val="both"/>
        <w:rPr>
          <w:rFonts w:ascii="Arial" w:hAnsi="Arial" w:cs="Arial"/>
          <w:sz w:val="24"/>
          <w:szCs w:val="24"/>
        </w:rPr>
      </w:pPr>
    </w:p>
    <w:p w14:paraId="655F1314" w14:textId="77777777" w:rsidR="005D2E20" w:rsidRPr="005D2E20" w:rsidRDefault="005D2E20" w:rsidP="005D2E20">
      <w:pPr>
        <w:pStyle w:val="Heading3"/>
      </w:pPr>
      <w:bookmarkStart w:id="6" w:name="_Toc227415493"/>
      <w:r w:rsidRPr="005D2E20">
        <w:t>4.2 Audience engagement and language trends</w:t>
      </w:r>
      <w:bookmarkEnd w:id="6"/>
    </w:p>
    <w:p w14:paraId="3E773AC6" w14:textId="77777777" w:rsid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A positive contradiction was manifested in language-based trends. English-language films were overwhelmingly represented in the sample in terms of number but this numerical advantage was not necessarily the most effective in terms of rating. The next statistical tests prove that mean rating of non-English movies was higher and did not need as similar visual comparison to state that the viewer appreciation could not be as similar as the focus in the market. Practically, this promotes the notion that companies should not assess their performance based on the highest category, but also those that are underrepresented and have a higher reception potential (Langen and Huber, 2023).</w:t>
      </w:r>
      <w:r>
        <w:rPr>
          <w:rFonts w:ascii="Arial" w:hAnsi="Arial" w:cs="Arial"/>
          <w:sz w:val="24"/>
          <w:szCs w:val="24"/>
        </w:rPr>
        <w:t xml:space="preserve"> </w:t>
      </w:r>
    </w:p>
    <w:p w14:paraId="22829F8F" w14:textId="2A73FB2A"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Of special interest was the scatter plot of watches against likes. The plotted pattern was strongly positive, meaning that the more active viewing films were in good terms, the more likely they were to get likes. It is also in line with the recommendation and platform-engagement studies, in which the variables of interaction tend to co-move since the variables of attention, visibility, and preference complement each other (</w:t>
      </w:r>
      <w:proofErr w:type="spellStart"/>
      <w:r w:rsidRPr="005D2E20">
        <w:rPr>
          <w:rFonts w:ascii="Arial" w:hAnsi="Arial" w:cs="Arial"/>
          <w:sz w:val="24"/>
          <w:szCs w:val="24"/>
        </w:rPr>
        <w:t>Lubos</w:t>
      </w:r>
      <w:proofErr w:type="spellEnd"/>
      <w:r w:rsidRPr="005D2E20">
        <w:rPr>
          <w:rFonts w:ascii="Arial" w:hAnsi="Arial" w:cs="Arial"/>
          <w:sz w:val="24"/>
          <w:szCs w:val="24"/>
        </w:rPr>
        <w:t xml:space="preserve"> et al., 2023). In comparison, the relationships between runtime were visibly weaker, indicating that the film length has a smaller contribution to the audience behaviour in and of itself.</w:t>
      </w:r>
    </w:p>
    <w:p w14:paraId="3323DB33" w14:textId="77777777"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Overall, the visual analysis indicated that engagement is not evenly distributed throughout the dataset, the trends of ratings are not the same for each category, and the measures of platform interaction are more closely related to each other than to structural factors like runtime.</w:t>
      </w:r>
    </w:p>
    <w:p w14:paraId="2F995654" w14:textId="0F46915B" w:rsidR="005D2E20" w:rsidRDefault="00175FB9" w:rsidP="005D2E20">
      <w:pPr>
        <w:pStyle w:val="NoSpacing"/>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53CA841" wp14:editId="684DE492">
            <wp:extent cx="5057775" cy="3067050"/>
            <wp:effectExtent l="0" t="0" r="9525" b="0"/>
            <wp:docPr id="618252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7775" cy="3067050"/>
                    </a:xfrm>
                    <a:prstGeom prst="rect">
                      <a:avLst/>
                    </a:prstGeom>
                    <a:noFill/>
                    <a:ln>
                      <a:noFill/>
                    </a:ln>
                  </pic:spPr>
                </pic:pic>
              </a:graphicData>
            </a:graphic>
          </wp:inline>
        </w:drawing>
      </w:r>
    </w:p>
    <w:p w14:paraId="21A97EEE" w14:textId="07990361" w:rsidR="00175FB9" w:rsidRPr="00175FB9" w:rsidRDefault="00175FB9" w:rsidP="005D2E20">
      <w:pPr>
        <w:pStyle w:val="NoSpacing"/>
        <w:spacing w:line="360" w:lineRule="auto"/>
        <w:jc w:val="both"/>
        <w:rPr>
          <w:rFonts w:ascii="Arial" w:hAnsi="Arial" w:cs="Arial"/>
          <w:b/>
          <w:bCs/>
          <w:sz w:val="24"/>
          <w:szCs w:val="24"/>
        </w:rPr>
      </w:pPr>
      <w:r w:rsidRPr="00175FB9">
        <w:rPr>
          <w:rFonts w:ascii="Arial" w:hAnsi="Arial" w:cs="Arial"/>
          <w:b/>
          <w:bCs/>
          <w:sz w:val="24"/>
          <w:szCs w:val="24"/>
        </w:rPr>
        <w:t xml:space="preserve">Figure 4: Watches vs Likes </w:t>
      </w:r>
    </w:p>
    <w:p w14:paraId="69A68236" w14:textId="77777777" w:rsidR="00175FB9" w:rsidRPr="005D2E20" w:rsidRDefault="00175FB9" w:rsidP="005D2E20">
      <w:pPr>
        <w:pStyle w:val="NoSpacing"/>
        <w:spacing w:line="360" w:lineRule="auto"/>
        <w:jc w:val="both"/>
        <w:rPr>
          <w:rFonts w:ascii="Arial" w:hAnsi="Arial" w:cs="Arial"/>
          <w:sz w:val="24"/>
          <w:szCs w:val="24"/>
        </w:rPr>
      </w:pPr>
    </w:p>
    <w:p w14:paraId="2891993A" w14:textId="77777777" w:rsidR="005D2E20" w:rsidRPr="005D2E20" w:rsidRDefault="005D2E20" w:rsidP="005D2E20">
      <w:pPr>
        <w:pStyle w:val="Heading2"/>
      </w:pPr>
      <w:bookmarkStart w:id="7" w:name="_Toc227415494"/>
      <w:r w:rsidRPr="005D2E20">
        <w:t>5. Statistical Analysis using SPSS</w:t>
      </w:r>
      <w:bookmarkEnd w:id="7"/>
    </w:p>
    <w:p w14:paraId="2143FC29" w14:textId="77777777" w:rsidR="005D2E20" w:rsidRPr="005D2E20" w:rsidRDefault="005D2E20" w:rsidP="005D2E20">
      <w:pPr>
        <w:pStyle w:val="Heading3"/>
      </w:pPr>
      <w:bookmarkStart w:id="8" w:name="_Toc227415495"/>
      <w:r w:rsidRPr="005D2E20">
        <w:t>5.1 Independent samples t-test</w:t>
      </w:r>
      <w:bookmarkEnd w:id="8"/>
    </w:p>
    <w:p w14:paraId="076EA3C8" w14:textId="4B06F17A" w:rsid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The t-test involved independent samples that were used to test the difference in average rating among English and non-English films. The test was suitable as it compares the two independent groups and assists in defining whether a certain difference observed is not a mere coincidence. Such tests have found applications in analytics-driven decision applications, as they demonstrate the association between segmentation factors, including language, and evaluable differences in user ratings (Huang et al., 2022).</w:t>
      </w:r>
      <w:r>
        <w:rPr>
          <w:rFonts w:ascii="Arial" w:hAnsi="Arial" w:cs="Arial"/>
          <w:sz w:val="24"/>
          <w:szCs w:val="24"/>
        </w:rPr>
        <w:t xml:space="preserve"> </w:t>
      </w:r>
      <w:r w:rsidRPr="005D2E20">
        <w:rPr>
          <w:rFonts w:ascii="Arial" w:hAnsi="Arial" w:cs="Arial"/>
          <w:sz w:val="24"/>
          <w:szCs w:val="24"/>
        </w:rPr>
        <w:t>The findings indicated that the average rating of the two language groups was statistically significant. The mean rating of English-language films was 3.211 and non-English films had a higher mean rating of 3.510. The outcome was very significant, meaning that the difference could not have been due to chance. The effect was moderate, indicating that the difference was not just statistically significant, but to be given practical interpretation. It is implied that the category of language can affect audience assessment and that it needs to be taken into account when evaluating the performance of catalogues.</w:t>
      </w:r>
    </w:p>
    <w:p w14:paraId="201B81D9" w14:textId="77777777" w:rsidR="008C46B1" w:rsidRDefault="008C46B1" w:rsidP="008C46B1">
      <w:pPr>
        <w:pStyle w:val="NoSpacing"/>
        <w:spacing w:line="360" w:lineRule="auto"/>
        <w:jc w:val="both"/>
        <w:rPr>
          <w:rFonts w:ascii="Arial" w:hAnsi="Arial" w:cs="Arial"/>
          <w:sz w:val="24"/>
          <w:szCs w:val="24"/>
        </w:rPr>
      </w:pPr>
    </w:p>
    <w:p w14:paraId="774BBF99" w14:textId="77777777" w:rsidR="008C46B1" w:rsidRPr="005D2E20" w:rsidRDefault="008C46B1" w:rsidP="008C46B1">
      <w:pPr>
        <w:pStyle w:val="NoSpacing"/>
        <w:spacing w:line="360" w:lineRule="auto"/>
        <w:jc w:val="both"/>
        <w:rPr>
          <w:rFonts w:ascii="Arial" w:hAnsi="Arial" w:cs="Arial"/>
          <w:sz w:val="24"/>
          <w:szCs w:val="24"/>
        </w:rPr>
      </w:pPr>
    </w:p>
    <w:tbl>
      <w:tblPr>
        <w:tblStyle w:val="GridTable4-Accent2"/>
        <w:tblW w:w="0" w:type="auto"/>
        <w:tblLook w:val="04A0" w:firstRow="1" w:lastRow="0" w:firstColumn="1" w:lastColumn="0" w:noHBand="0" w:noVBand="1"/>
      </w:tblPr>
      <w:tblGrid>
        <w:gridCol w:w="1630"/>
        <w:gridCol w:w="1030"/>
        <w:gridCol w:w="1563"/>
        <w:gridCol w:w="1199"/>
      </w:tblGrid>
      <w:tr w:rsidR="008C46B1" w:rsidRPr="008C46B1" w14:paraId="59534AFA" w14:textId="77777777" w:rsidTr="008C46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4C13D3"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lastRenderedPageBreak/>
              <w:t>Group</w:t>
            </w:r>
          </w:p>
        </w:tc>
        <w:tc>
          <w:tcPr>
            <w:tcW w:w="1030" w:type="dxa"/>
            <w:hideMark/>
          </w:tcPr>
          <w:p w14:paraId="6FA16628"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N</w:t>
            </w:r>
          </w:p>
        </w:tc>
        <w:tc>
          <w:tcPr>
            <w:tcW w:w="1563" w:type="dxa"/>
            <w:hideMark/>
          </w:tcPr>
          <w:p w14:paraId="1DD90AF0"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Mean rating</w:t>
            </w:r>
          </w:p>
        </w:tc>
        <w:tc>
          <w:tcPr>
            <w:tcW w:w="0" w:type="auto"/>
            <w:hideMark/>
          </w:tcPr>
          <w:p w14:paraId="2A855D26"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Std. dev.</w:t>
            </w:r>
          </w:p>
        </w:tc>
      </w:tr>
      <w:tr w:rsidR="008C46B1" w:rsidRPr="008C46B1" w14:paraId="3348C6D4"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70404B"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English</w:t>
            </w:r>
          </w:p>
        </w:tc>
        <w:tc>
          <w:tcPr>
            <w:tcW w:w="1030" w:type="dxa"/>
            <w:hideMark/>
          </w:tcPr>
          <w:p w14:paraId="4C5F7787"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8074</w:t>
            </w:r>
          </w:p>
        </w:tc>
        <w:tc>
          <w:tcPr>
            <w:tcW w:w="1563" w:type="dxa"/>
            <w:hideMark/>
          </w:tcPr>
          <w:p w14:paraId="057960AB"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3.211</w:t>
            </w:r>
          </w:p>
        </w:tc>
        <w:tc>
          <w:tcPr>
            <w:tcW w:w="0" w:type="auto"/>
            <w:hideMark/>
          </w:tcPr>
          <w:p w14:paraId="1C7E45CF"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0.524</w:t>
            </w:r>
          </w:p>
        </w:tc>
      </w:tr>
      <w:tr w:rsidR="008C46B1" w:rsidRPr="008C46B1" w14:paraId="0D41C7B9" w14:textId="77777777" w:rsidTr="008C46B1">
        <w:tc>
          <w:tcPr>
            <w:cnfStyle w:val="001000000000" w:firstRow="0" w:lastRow="0" w:firstColumn="1" w:lastColumn="0" w:oddVBand="0" w:evenVBand="0" w:oddHBand="0" w:evenHBand="0" w:firstRowFirstColumn="0" w:firstRowLastColumn="0" w:lastRowFirstColumn="0" w:lastRowLastColumn="0"/>
            <w:tcW w:w="0" w:type="auto"/>
            <w:hideMark/>
          </w:tcPr>
          <w:p w14:paraId="0A008870"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Non-English</w:t>
            </w:r>
          </w:p>
        </w:tc>
        <w:tc>
          <w:tcPr>
            <w:tcW w:w="1030" w:type="dxa"/>
            <w:hideMark/>
          </w:tcPr>
          <w:p w14:paraId="517EE6DC"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1926</w:t>
            </w:r>
          </w:p>
        </w:tc>
        <w:tc>
          <w:tcPr>
            <w:tcW w:w="1563" w:type="dxa"/>
            <w:hideMark/>
          </w:tcPr>
          <w:p w14:paraId="0C6B6C47"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3.510</w:t>
            </w:r>
          </w:p>
        </w:tc>
        <w:tc>
          <w:tcPr>
            <w:tcW w:w="0" w:type="auto"/>
            <w:hideMark/>
          </w:tcPr>
          <w:p w14:paraId="102597EB"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0.461</w:t>
            </w:r>
          </w:p>
        </w:tc>
      </w:tr>
      <w:tr w:rsidR="008C46B1" w:rsidRPr="008C46B1" w14:paraId="088C04B8" w14:textId="77777777" w:rsidTr="008C46B1">
        <w:trPr>
          <w:gridAfter w:val="2"/>
          <w:cnfStyle w:val="000000100000" w:firstRow="0" w:lastRow="0" w:firstColumn="0" w:lastColumn="0" w:oddVBand="0" w:evenVBand="0" w:oddHBand="1" w:evenHBand="0" w:firstRowFirstColumn="0" w:firstRowLastColumn="0" w:lastRowFirstColumn="0" w:lastRowLastColumn="0"/>
          <w:wAfter w:w="2762" w:type="dxa"/>
        </w:trPr>
        <w:tc>
          <w:tcPr>
            <w:cnfStyle w:val="001000000000" w:firstRow="0" w:lastRow="0" w:firstColumn="1" w:lastColumn="0" w:oddVBand="0" w:evenVBand="0" w:oddHBand="0" w:evenHBand="0" w:firstRowFirstColumn="0" w:firstRowLastColumn="0" w:lastRowFirstColumn="0" w:lastRowLastColumn="0"/>
            <w:tcW w:w="0" w:type="auto"/>
            <w:hideMark/>
          </w:tcPr>
          <w:p w14:paraId="15152CA5"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Statistic</w:t>
            </w:r>
          </w:p>
        </w:tc>
        <w:tc>
          <w:tcPr>
            <w:tcW w:w="1030" w:type="dxa"/>
            <w:hideMark/>
          </w:tcPr>
          <w:p w14:paraId="685E666B"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Value</w:t>
            </w:r>
          </w:p>
        </w:tc>
      </w:tr>
      <w:tr w:rsidR="008C46B1" w:rsidRPr="008C46B1" w14:paraId="3390C54B" w14:textId="77777777" w:rsidTr="008C46B1">
        <w:trPr>
          <w:gridAfter w:val="2"/>
          <w:wAfter w:w="2762" w:type="dxa"/>
        </w:trPr>
        <w:tc>
          <w:tcPr>
            <w:cnfStyle w:val="001000000000" w:firstRow="0" w:lastRow="0" w:firstColumn="1" w:lastColumn="0" w:oddVBand="0" w:evenVBand="0" w:oddHBand="0" w:evenHBand="0" w:firstRowFirstColumn="0" w:firstRowLastColumn="0" w:lastRowFirstColumn="0" w:lastRowLastColumn="0"/>
            <w:tcW w:w="0" w:type="auto"/>
            <w:hideMark/>
          </w:tcPr>
          <w:p w14:paraId="7E9DC541"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t statistic</w:t>
            </w:r>
          </w:p>
        </w:tc>
        <w:tc>
          <w:tcPr>
            <w:tcW w:w="1030" w:type="dxa"/>
            <w:hideMark/>
          </w:tcPr>
          <w:p w14:paraId="05A55A95"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-24.878</w:t>
            </w:r>
          </w:p>
        </w:tc>
      </w:tr>
      <w:tr w:rsidR="008C46B1" w:rsidRPr="008C46B1" w14:paraId="2A43D343" w14:textId="77777777" w:rsidTr="008C46B1">
        <w:trPr>
          <w:gridAfter w:val="2"/>
          <w:cnfStyle w:val="000000100000" w:firstRow="0" w:lastRow="0" w:firstColumn="0" w:lastColumn="0" w:oddVBand="0" w:evenVBand="0" w:oddHBand="1" w:evenHBand="0" w:firstRowFirstColumn="0" w:firstRowLastColumn="0" w:lastRowFirstColumn="0" w:lastRowLastColumn="0"/>
          <w:wAfter w:w="2762" w:type="dxa"/>
        </w:trPr>
        <w:tc>
          <w:tcPr>
            <w:cnfStyle w:val="001000000000" w:firstRow="0" w:lastRow="0" w:firstColumn="1" w:lastColumn="0" w:oddVBand="0" w:evenVBand="0" w:oddHBand="0" w:evenHBand="0" w:firstRowFirstColumn="0" w:firstRowLastColumn="0" w:lastRowFirstColumn="0" w:lastRowLastColumn="0"/>
            <w:tcW w:w="0" w:type="auto"/>
            <w:hideMark/>
          </w:tcPr>
          <w:p w14:paraId="53EDACCE"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p value</w:t>
            </w:r>
          </w:p>
        </w:tc>
        <w:tc>
          <w:tcPr>
            <w:tcW w:w="1030" w:type="dxa"/>
            <w:hideMark/>
          </w:tcPr>
          <w:p w14:paraId="600B3D84"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&lt;0.001</w:t>
            </w:r>
          </w:p>
        </w:tc>
      </w:tr>
      <w:tr w:rsidR="008C46B1" w:rsidRPr="008C46B1" w14:paraId="3DEF307A" w14:textId="77777777" w:rsidTr="008C46B1">
        <w:trPr>
          <w:gridAfter w:val="2"/>
          <w:wAfter w:w="2762" w:type="dxa"/>
        </w:trPr>
        <w:tc>
          <w:tcPr>
            <w:cnfStyle w:val="001000000000" w:firstRow="0" w:lastRow="0" w:firstColumn="1" w:lastColumn="0" w:oddVBand="0" w:evenVBand="0" w:oddHBand="0" w:evenHBand="0" w:firstRowFirstColumn="0" w:firstRowLastColumn="0" w:lastRowFirstColumn="0" w:lastRowLastColumn="0"/>
            <w:tcW w:w="0" w:type="auto"/>
            <w:hideMark/>
          </w:tcPr>
          <w:p w14:paraId="070C70CF"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Cohen’s d</w:t>
            </w:r>
          </w:p>
        </w:tc>
        <w:tc>
          <w:tcPr>
            <w:tcW w:w="1030" w:type="dxa"/>
            <w:hideMark/>
          </w:tcPr>
          <w:p w14:paraId="035062E9"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8C46B1">
              <w:rPr>
                <w:rFonts w:ascii="Arial" w:hAnsi="Arial" w:cs="Arial"/>
                <w:b/>
                <w:bCs/>
                <w:sz w:val="24"/>
                <w:szCs w:val="24"/>
              </w:rPr>
              <w:t>-0.583</w:t>
            </w:r>
          </w:p>
        </w:tc>
      </w:tr>
    </w:tbl>
    <w:p w14:paraId="7E88E453" w14:textId="77777777" w:rsidR="008C46B1" w:rsidRDefault="008C46B1" w:rsidP="005D2E20">
      <w:pPr>
        <w:pStyle w:val="NoSpacing"/>
        <w:spacing w:line="360" w:lineRule="auto"/>
        <w:jc w:val="both"/>
        <w:rPr>
          <w:rFonts w:ascii="Arial" w:hAnsi="Arial" w:cs="Arial"/>
          <w:b/>
          <w:bCs/>
          <w:sz w:val="24"/>
          <w:szCs w:val="24"/>
        </w:rPr>
      </w:pPr>
    </w:p>
    <w:p w14:paraId="3A8DEAED" w14:textId="55A6E415" w:rsidR="005D2E20" w:rsidRDefault="008C46B1" w:rsidP="005D2E20">
      <w:pPr>
        <w:pStyle w:val="NoSpacing"/>
        <w:spacing w:line="360" w:lineRule="auto"/>
        <w:jc w:val="both"/>
        <w:rPr>
          <w:rFonts w:ascii="Arial" w:hAnsi="Arial" w:cs="Arial"/>
          <w:b/>
          <w:bCs/>
          <w:sz w:val="24"/>
          <w:szCs w:val="24"/>
        </w:rPr>
      </w:pPr>
      <w:r>
        <w:rPr>
          <w:rFonts w:ascii="Arial" w:hAnsi="Arial" w:cs="Arial"/>
          <w:b/>
          <w:bCs/>
          <w:sz w:val="24"/>
          <w:szCs w:val="24"/>
        </w:rPr>
        <w:t xml:space="preserve">Figure 5: </w:t>
      </w:r>
      <w:r w:rsidRPr="008C46B1">
        <w:rPr>
          <w:rFonts w:ascii="Arial" w:hAnsi="Arial" w:cs="Arial"/>
          <w:b/>
          <w:bCs/>
          <w:sz w:val="24"/>
          <w:szCs w:val="24"/>
        </w:rPr>
        <w:t>T-Test Table</w:t>
      </w:r>
    </w:p>
    <w:p w14:paraId="5DD023BE" w14:textId="0B79AB22" w:rsidR="008C46B1" w:rsidRPr="008C46B1" w:rsidRDefault="008C46B1" w:rsidP="005D2E20">
      <w:pPr>
        <w:pStyle w:val="NoSpacing"/>
        <w:spacing w:line="360" w:lineRule="auto"/>
        <w:jc w:val="both"/>
        <w:rPr>
          <w:rFonts w:ascii="Arial" w:hAnsi="Arial" w:cs="Arial"/>
          <w:b/>
          <w:bCs/>
          <w:sz w:val="24"/>
          <w:szCs w:val="24"/>
        </w:rPr>
      </w:pPr>
    </w:p>
    <w:p w14:paraId="717A5392" w14:textId="77777777" w:rsidR="005D2E20" w:rsidRPr="005D2E20" w:rsidRDefault="005D2E20" w:rsidP="005D2E20">
      <w:pPr>
        <w:pStyle w:val="Heading3"/>
      </w:pPr>
      <w:bookmarkStart w:id="9" w:name="_Toc227415496"/>
      <w:r w:rsidRPr="005D2E20">
        <w:t>5.2 Correlation analysis</w:t>
      </w:r>
      <w:bookmarkEnd w:id="9"/>
    </w:p>
    <w:p w14:paraId="2074AB97" w14:textId="3A8D67D4" w:rsid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The relationship between key numerical variables was analysed using correlation analysis to identify the strength and direction. The approach is very popular on recommendation and rating since it assists in determining whether user activity measures are moving in a predictable manner (Su et al., 2023). The most significant association in the data set was between watches and likes, with a very strong correlation of 0.951. It means that movies with more frequent views were likely to get more likes, which confirms the opinion that the visibility and user approval on content platforms are closely interrelated.</w:t>
      </w:r>
      <w:r>
        <w:rPr>
          <w:rFonts w:ascii="Arial" w:hAnsi="Arial" w:cs="Arial"/>
          <w:sz w:val="24"/>
          <w:szCs w:val="24"/>
        </w:rPr>
        <w:t xml:space="preserve"> </w:t>
      </w:r>
      <w:r w:rsidRPr="005D2E20">
        <w:rPr>
          <w:rFonts w:ascii="Arial" w:hAnsi="Arial" w:cs="Arial"/>
          <w:sz w:val="24"/>
          <w:szCs w:val="24"/>
        </w:rPr>
        <w:t>Comparatively, runtime and fans had a very weak positive correlation of 0.088 indicating that length of film is by itself not a significant contributor to audience attachment. The results yielded a weak positive correlation of 0.187 between runtime and average rating, but fans and average rating, likes and average rating also produced weakly positive correlations. These results indicate that engagement variables have some correlation with ratings, but not to a significant degree to predict the success of films solely.</w:t>
      </w:r>
    </w:p>
    <w:tbl>
      <w:tblPr>
        <w:tblStyle w:val="GridTable4-Accent2"/>
        <w:tblW w:w="0" w:type="auto"/>
        <w:tblLook w:val="04A0" w:firstRow="1" w:lastRow="0" w:firstColumn="1" w:lastColumn="0" w:noHBand="0" w:noVBand="1"/>
      </w:tblPr>
      <w:tblGrid>
        <w:gridCol w:w="1337"/>
        <w:gridCol w:w="1773"/>
        <w:gridCol w:w="884"/>
        <w:gridCol w:w="1324"/>
        <w:gridCol w:w="1043"/>
        <w:gridCol w:w="1430"/>
      </w:tblGrid>
      <w:tr w:rsidR="008C46B1" w:rsidRPr="008C46B1" w14:paraId="292DBD7B" w14:textId="77777777" w:rsidTr="008C46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B845C2"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Variable 1</w:t>
            </w:r>
          </w:p>
        </w:tc>
        <w:tc>
          <w:tcPr>
            <w:tcW w:w="0" w:type="auto"/>
            <w:hideMark/>
          </w:tcPr>
          <w:p w14:paraId="19590423"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Variable 2</w:t>
            </w:r>
          </w:p>
        </w:tc>
        <w:tc>
          <w:tcPr>
            <w:tcW w:w="0" w:type="auto"/>
            <w:hideMark/>
          </w:tcPr>
          <w:p w14:paraId="07007255"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N</w:t>
            </w:r>
          </w:p>
        </w:tc>
        <w:tc>
          <w:tcPr>
            <w:tcW w:w="0" w:type="auto"/>
            <w:hideMark/>
          </w:tcPr>
          <w:p w14:paraId="372EE286"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Pearson r</w:t>
            </w:r>
          </w:p>
        </w:tc>
        <w:tc>
          <w:tcPr>
            <w:tcW w:w="0" w:type="auto"/>
            <w:hideMark/>
          </w:tcPr>
          <w:p w14:paraId="1CB4F8A3"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p value</w:t>
            </w:r>
          </w:p>
        </w:tc>
        <w:tc>
          <w:tcPr>
            <w:tcW w:w="0" w:type="auto"/>
            <w:hideMark/>
          </w:tcPr>
          <w:p w14:paraId="65B34367"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Strength</w:t>
            </w:r>
          </w:p>
        </w:tc>
      </w:tr>
      <w:tr w:rsidR="008C46B1" w:rsidRPr="008C46B1" w14:paraId="4A4A8AB8"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CAE336"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Runtime</w:t>
            </w:r>
          </w:p>
        </w:tc>
        <w:tc>
          <w:tcPr>
            <w:tcW w:w="0" w:type="auto"/>
            <w:hideMark/>
          </w:tcPr>
          <w:p w14:paraId="347B6C0E"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Fans</w:t>
            </w:r>
          </w:p>
        </w:tc>
        <w:tc>
          <w:tcPr>
            <w:tcW w:w="0" w:type="auto"/>
            <w:hideMark/>
          </w:tcPr>
          <w:p w14:paraId="7DED1BF7"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c>
          <w:tcPr>
            <w:tcW w:w="0" w:type="auto"/>
            <w:hideMark/>
          </w:tcPr>
          <w:p w14:paraId="0C56CC7E"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0.088</w:t>
            </w:r>
          </w:p>
        </w:tc>
        <w:tc>
          <w:tcPr>
            <w:tcW w:w="0" w:type="auto"/>
            <w:hideMark/>
          </w:tcPr>
          <w:p w14:paraId="78EFB7B1"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c>
          <w:tcPr>
            <w:tcW w:w="0" w:type="auto"/>
            <w:hideMark/>
          </w:tcPr>
          <w:p w14:paraId="1F66EACD"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Very weak</w:t>
            </w:r>
          </w:p>
        </w:tc>
      </w:tr>
      <w:tr w:rsidR="008C46B1" w:rsidRPr="008C46B1" w14:paraId="65FC91CF" w14:textId="77777777" w:rsidTr="008C46B1">
        <w:tc>
          <w:tcPr>
            <w:cnfStyle w:val="001000000000" w:firstRow="0" w:lastRow="0" w:firstColumn="1" w:lastColumn="0" w:oddVBand="0" w:evenVBand="0" w:oddHBand="0" w:evenHBand="0" w:firstRowFirstColumn="0" w:firstRowLastColumn="0" w:lastRowFirstColumn="0" w:lastRowLastColumn="0"/>
            <w:tcW w:w="0" w:type="auto"/>
            <w:hideMark/>
          </w:tcPr>
          <w:p w14:paraId="28B8A34A"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Watches</w:t>
            </w:r>
          </w:p>
        </w:tc>
        <w:tc>
          <w:tcPr>
            <w:tcW w:w="0" w:type="auto"/>
            <w:hideMark/>
          </w:tcPr>
          <w:p w14:paraId="4E5D1DAE"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Likes</w:t>
            </w:r>
          </w:p>
        </w:tc>
        <w:tc>
          <w:tcPr>
            <w:tcW w:w="0" w:type="auto"/>
            <w:hideMark/>
          </w:tcPr>
          <w:p w14:paraId="65488735"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c>
          <w:tcPr>
            <w:tcW w:w="0" w:type="auto"/>
            <w:hideMark/>
          </w:tcPr>
          <w:p w14:paraId="2A77E4C8"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0.951</w:t>
            </w:r>
          </w:p>
        </w:tc>
        <w:tc>
          <w:tcPr>
            <w:tcW w:w="0" w:type="auto"/>
            <w:hideMark/>
          </w:tcPr>
          <w:p w14:paraId="54908F0B"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c>
          <w:tcPr>
            <w:tcW w:w="0" w:type="auto"/>
            <w:hideMark/>
          </w:tcPr>
          <w:p w14:paraId="48CC704A"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Very strong</w:t>
            </w:r>
          </w:p>
        </w:tc>
      </w:tr>
      <w:tr w:rsidR="008C46B1" w:rsidRPr="008C46B1" w14:paraId="519307E2"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2A49E"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Runtime</w:t>
            </w:r>
          </w:p>
        </w:tc>
        <w:tc>
          <w:tcPr>
            <w:tcW w:w="0" w:type="auto"/>
            <w:hideMark/>
          </w:tcPr>
          <w:p w14:paraId="3A2202E3" w14:textId="214EC9B3"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Average rating</w:t>
            </w:r>
          </w:p>
        </w:tc>
        <w:tc>
          <w:tcPr>
            <w:tcW w:w="0" w:type="auto"/>
            <w:hideMark/>
          </w:tcPr>
          <w:p w14:paraId="45D58EDD"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c>
          <w:tcPr>
            <w:tcW w:w="0" w:type="auto"/>
            <w:hideMark/>
          </w:tcPr>
          <w:p w14:paraId="2CD68A4E"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0.187</w:t>
            </w:r>
          </w:p>
        </w:tc>
        <w:tc>
          <w:tcPr>
            <w:tcW w:w="0" w:type="auto"/>
            <w:hideMark/>
          </w:tcPr>
          <w:p w14:paraId="3D8499E5"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c>
          <w:tcPr>
            <w:tcW w:w="0" w:type="auto"/>
            <w:hideMark/>
          </w:tcPr>
          <w:p w14:paraId="2310AB94"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Weak</w:t>
            </w:r>
          </w:p>
        </w:tc>
      </w:tr>
      <w:tr w:rsidR="008C46B1" w:rsidRPr="008C46B1" w14:paraId="5D513AA6" w14:textId="77777777" w:rsidTr="008C46B1">
        <w:tc>
          <w:tcPr>
            <w:cnfStyle w:val="001000000000" w:firstRow="0" w:lastRow="0" w:firstColumn="1" w:lastColumn="0" w:oddVBand="0" w:evenVBand="0" w:oddHBand="0" w:evenHBand="0" w:firstRowFirstColumn="0" w:firstRowLastColumn="0" w:lastRowFirstColumn="0" w:lastRowLastColumn="0"/>
            <w:tcW w:w="0" w:type="auto"/>
            <w:hideMark/>
          </w:tcPr>
          <w:p w14:paraId="10A24F02"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Fans</w:t>
            </w:r>
          </w:p>
        </w:tc>
        <w:tc>
          <w:tcPr>
            <w:tcW w:w="0" w:type="auto"/>
            <w:hideMark/>
          </w:tcPr>
          <w:p w14:paraId="3DBDB467" w14:textId="2201DE9C"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Average rating</w:t>
            </w:r>
          </w:p>
        </w:tc>
        <w:tc>
          <w:tcPr>
            <w:tcW w:w="0" w:type="auto"/>
            <w:hideMark/>
          </w:tcPr>
          <w:p w14:paraId="31BEA17F"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c>
          <w:tcPr>
            <w:tcW w:w="0" w:type="auto"/>
            <w:hideMark/>
          </w:tcPr>
          <w:p w14:paraId="794642F3"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0.251</w:t>
            </w:r>
          </w:p>
        </w:tc>
        <w:tc>
          <w:tcPr>
            <w:tcW w:w="0" w:type="auto"/>
            <w:hideMark/>
          </w:tcPr>
          <w:p w14:paraId="17835EDD"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c>
          <w:tcPr>
            <w:tcW w:w="0" w:type="auto"/>
            <w:hideMark/>
          </w:tcPr>
          <w:p w14:paraId="25DAFE0F"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Weak</w:t>
            </w:r>
          </w:p>
        </w:tc>
      </w:tr>
      <w:tr w:rsidR="008C46B1" w:rsidRPr="008C46B1" w14:paraId="18A058DD"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43CACC"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Likes</w:t>
            </w:r>
          </w:p>
        </w:tc>
        <w:tc>
          <w:tcPr>
            <w:tcW w:w="0" w:type="auto"/>
            <w:hideMark/>
          </w:tcPr>
          <w:p w14:paraId="13C7BB72" w14:textId="0C460A28"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Average rating</w:t>
            </w:r>
          </w:p>
        </w:tc>
        <w:tc>
          <w:tcPr>
            <w:tcW w:w="0" w:type="auto"/>
            <w:hideMark/>
          </w:tcPr>
          <w:p w14:paraId="706EB4E4"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c>
          <w:tcPr>
            <w:tcW w:w="0" w:type="auto"/>
            <w:hideMark/>
          </w:tcPr>
          <w:p w14:paraId="621E7CAC"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0.290</w:t>
            </w:r>
          </w:p>
        </w:tc>
        <w:tc>
          <w:tcPr>
            <w:tcW w:w="0" w:type="auto"/>
            <w:hideMark/>
          </w:tcPr>
          <w:p w14:paraId="46A1B76A"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c>
          <w:tcPr>
            <w:tcW w:w="0" w:type="auto"/>
            <w:hideMark/>
          </w:tcPr>
          <w:p w14:paraId="45062AAF"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Weak</w:t>
            </w:r>
          </w:p>
        </w:tc>
      </w:tr>
    </w:tbl>
    <w:p w14:paraId="2A6908C4" w14:textId="77777777" w:rsidR="008C46B1" w:rsidRDefault="008C46B1" w:rsidP="008C46B1">
      <w:pPr>
        <w:pStyle w:val="NoSpacing"/>
        <w:spacing w:line="360" w:lineRule="auto"/>
        <w:jc w:val="both"/>
        <w:rPr>
          <w:rFonts w:ascii="Arial" w:hAnsi="Arial" w:cs="Arial"/>
          <w:b/>
          <w:bCs/>
          <w:sz w:val="24"/>
          <w:szCs w:val="24"/>
        </w:rPr>
      </w:pPr>
    </w:p>
    <w:p w14:paraId="6BDAEAE3" w14:textId="32D181B0" w:rsidR="008C46B1" w:rsidRPr="008C46B1" w:rsidRDefault="008C46B1" w:rsidP="008C46B1">
      <w:pPr>
        <w:pStyle w:val="NoSpacing"/>
        <w:spacing w:line="360" w:lineRule="auto"/>
        <w:jc w:val="both"/>
        <w:rPr>
          <w:rFonts w:ascii="Arial" w:hAnsi="Arial" w:cs="Arial"/>
          <w:b/>
          <w:bCs/>
          <w:sz w:val="24"/>
          <w:szCs w:val="24"/>
        </w:rPr>
      </w:pPr>
      <w:r w:rsidRPr="008C46B1">
        <w:rPr>
          <w:rFonts w:ascii="Arial" w:hAnsi="Arial" w:cs="Arial"/>
          <w:b/>
          <w:bCs/>
          <w:sz w:val="24"/>
          <w:szCs w:val="24"/>
        </w:rPr>
        <w:t>Figure 6: Correlation Table</w:t>
      </w:r>
    </w:p>
    <w:p w14:paraId="6A3D1EA8" w14:textId="77777777" w:rsidR="005D2E20" w:rsidRPr="005D2E20" w:rsidRDefault="005D2E20" w:rsidP="005D2E20">
      <w:pPr>
        <w:pStyle w:val="Heading3"/>
      </w:pPr>
      <w:bookmarkStart w:id="10" w:name="_Toc227415497"/>
      <w:r w:rsidRPr="005D2E20">
        <w:lastRenderedPageBreak/>
        <w:t>5.3 Regression analysis</w:t>
      </w:r>
      <w:bookmarkEnd w:id="10"/>
    </w:p>
    <w:p w14:paraId="0D9F5827" w14:textId="77777777"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A multiple regression was employed to determine whether fans, likes and runtime were predictive of average rating. Regression is useful since it approximates the overall effects of multiple predictors simultaneously to give a more realistic view compared to bivariate tests alone (Ali et al., 2022). The model proved to be significant statistically and explained 10.8% of change in average rating. The coefficients of the three predictors were all positive and this implies that higher fans, higher likes and longer runtime all led to slightly higher ratings. However, the explained variance was not large, and it demonstrates that the film ratings are influenced by other factors that are not covered by this data.</w:t>
      </w:r>
    </w:p>
    <w:tbl>
      <w:tblPr>
        <w:tblStyle w:val="GridTable4-Accent2"/>
        <w:tblW w:w="0" w:type="auto"/>
        <w:tblLook w:val="04A0" w:firstRow="1" w:lastRow="0" w:firstColumn="1" w:lastColumn="0" w:noHBand="0" w:noVBand="1"/>
      </w:tblPr>
      <w:tblGrid>
        <w:gridCol w:w="2497"/>
        <w:gridCol w:w="1084"/>
      </w:tblGrid>
      <w:tr w:rsidR="008C46B1" w:rsidRPr="008C46B1" w14:paraId="2ABD3879" w14:textId="77777777" w:rsidTr="008C46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ED4323"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Model summary</w:t>
            </w:r>
          </w:p>
        </w:tc>
        <w:tc>
          <w:tcPr>
            <w:tcW w:w="0" w:type="auto"/>
            <w:hideMark/>
          </w:tcPr>
          <w:p w14:paraId="7C357B04" w14:textId="77777777" w:rsidR="008C46B1" w:rsidRPr="008C46B1" w:rsidRDefault="008C46B1" w:rsidP="008C46B1">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Value</w:t>
            </w:r>
          </w:p>
        </w:tc>
      </w:tr>
      <w:tr w:rsidR="008C46B1" w:rsidRPr="008C46B1" w14:paraId="74FDA4F9"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C42B7"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Observations</w:t>
            </w:r>
          </w:p>
        </w:tc>
        <w:tc>
          <w:tcPr>
            <w:tcW w:w="0" w:type="auto"/>
            <w:hideMark/>
          </w:tcPr>
          <w:p w14:paraId="15082845"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10000</w:t>
            </w:r>
          </w:p>
        </w:tc>
      </w:tr>
      <w:tr w:rsidR="008C46B1" w:rsidRPr="008C46B1" w14:paraId="3183C232" w14:textId="77777777" w:rsidTr="008C46B1">
        <w:tc>
          <w:tcPr>
            <w:cnfStyle w:val="001000000000" w:firstRow="0" w:lastRow="0" w:firstColumn="1" w:lastColumn="0" w:oddVBand="0" w:evenVBand="0" w:oddHBand="0" w:evenHBand="0" w:firstRowFirstColumn="0" w:firstRowLastColumn="0" w:lastRowFirstColumn="0" w:lastRowLastColumn="0"/>
            <w:tcW w:w="0" w:type="auto"/>
            <w:hideMark/>
          </w:tcPr>
          <w:p w14:paraId="41AED05B"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R-squared</w:t>
            </w:r>
          </w:p>
        </w:tc>
        <w:tc>
          <w:tcPr>
            <w:tcW w:w="0" w:type="auto"/>
            <w:hideMark/>
          </w:tcPr>
          <w:p w14:paraId="6A7BFC1D"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0.108</w:t>
            </w:r>
          </w:p>
        </w:tc>
      </w:tr>
      <w:tr w:rsidR="008C46B1" w:rsidRPr="008C46B1" w14:paraId="4BCEEDD1"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BDD3F4"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Adjusted R-squared</w:t>
            </w:r>
          </w:p>
        </w:tc>
        <w:tc>
          <w:tcPr>
            <w:tcW w:w="0" w:type="auto"/>
            <w:hideMark/>
          </w:tcPr>
          <w:p w14:paraId="5B78FEAC"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0.108</w:t>
            </w:r>
          </w:p>
        </w:tc>
      </w:tr>
      <w:tr w:rsidR="008C46B1" w:rsidRPr="008C46B1" w14:paraId="7960E77F" w14:textId="77777777" w:rsidTr="008C46B1">
        <w:tc>
          <w:tcPr>
            <w:cnfStyle w:val="001000000000" w:firstRow="0" w:lastRow="0" w:firstColumn="1" w:lastColumn="0" w:oddVBand="0" w:evenVBand="0" w:oddHBand="0" w:evenHBand="0" w:firstRowFirstColumn="0" w:firstRowLastColumn="0" w:lastRowFirstColumn="0" w:lastRowLastColumn="0"/>
            <w:tcW w:w="0" w:type="auto"/>
            <w:hideMark/>
          </w:tcPr>
          <w:p w14:paraId="5C8642E4"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F-statistic</w:t>
            </w:r>
          </w:p>
        </w:tc>
        <w:tc>
          <w:tcPr>
            <w:tcW w:w="0" w:type="auto"/>
            <w:hideMark/>
          </w:tcPr>
          <w:p w14:paraId="25C1081C" w14:textId="77777777" w:rsidR="008C46B1" w:rsidRPr="008C46B1" w:rsidRDefault="008C46B1" w:rsidP="008C46B1">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C46B1">
              <w:rPr>
                <w:rFonts w:ascii="Arial" w:hAnsi="Arial" w:cs="Arial"/>
                <w:sz w:val="24"/>
                <w:szCs w:val="24"/>
              </w:rPr>
              <w:t>403.304</w:t>
            </w:r>
          </w:p>
        </w:tc>
      </w:tr>
      <w:tr w:rsidR="008C46B1" w:rsidRPr="008C46B1" w14:paraId="0F67E5AC" w14:textId="77777777" w:rsidTr="008C46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9DDE5D" w14:textId="77777777" w:rsidR="008C46B1" w:rsidRPr="008C46B1" w:rsidRDefault="008C46B1" w:rsidP="008C46B1">
            <w:pPr>
              <w:pStyle w:val="NoSpacing"/>
              <w:spacing w:line="360" w:lineRule="auto"/>
              <w:jc w:val="both"/>
              <w:rPr>
                <w:rFonts w:ascii="Arial" w:hAnsi="Arial" w:cs="Arial"/>
                <w:sz w:val="24"/>
                <w:szCs w:val="24"/>
              </w:rPr>
            </w:pPr>
            <w:r w:rsidRPr="008C46B1">
              <w:rPr>
                <w:rFonts w:ascii="Arial" w:hAnsi="Arial" w:cs="Arial"/>
                <w:sz w:val="24"/>
                <w:szCs w:val="24"/>
              </w:rPr>
              <w:t>Prob(F-statistic)</w:t>
            </w:r>
          </w:p>
        </w:tc>
        <w:tc>
          <w:tcPr>
            <w:tcW w:w="0" w:type="auto"/>
            <w:hideMark/>
          </w:tcPr>
          <w:p w14:paraId="64684690" w14:textId="77777777" w:rsidR="008C46B1" w:rsidRPr="008C46B1" w:rsidRDefault="008C46B1" w:rsidP="008C46B1">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C46B1">
              <w:rPr>
                <w:rFonts w:ascii="Arial" w:hAnsi="Arial" w:cs="Arial"/>
                <w:sz w:val="24"/>
                <w:szCs w:val="24"/>
              </w:rPr>
              <w:t>&lt;0.001</w:t>
            </w:r>
          </w:p>
        </w:tc>
      </w:tr>
    </w:tbl>
    <w:p w14:paraId="35059268" w14:textId="77777777" w:rsidR="005D2E20" w:rsidRPr="005D2E20" w:rsidRDefault="005D2E20" w:rsidP="005D2E20">
      <w:pPr>
        <w:pStyle w:val="NoSpacing"/>
        <w:spacing w:line="360" w:lineRule="auto"/>
        <w:jc w:val="both"/>
        <w:rPr>
          <w:rFonts w:ascii="Arial" w:hAnsi="Arial" w:cs="Arial"/>
          <w:sz w:val="24"/>
          <w:szCs w:val="24"/>
        </w:rPr>
      </w:pPr>
    </w:p>
    <w:p w14:paraId="74DA6DC4" w14:textId="053C6D7F" w:rsidR="005D2E20" w:rsidRPr="008C46B1" w:rsidRDefault="008C46B1" w:rsidP="005D2E20">
      <w:pPr>
        <w:pStyle w:val="NoSpacing"/>
        <w:spacing w:line="360" w:lineRule="auto"/>
        <w:jc w:val="both"/>
        <w:rPr>
          <w:rFonts w:ascii="Arial" w:hAnsi="Arial" w:cs="Arial"/>
          <w:b/>
          <w:bCs/>
          <w:sz w:val="24"/>
          <w:szCs w:val="24"/>
        </w:rPr>
      </w:pPr>
      <w:r w:rsidRPr="008C46B1">
        <w:rPr>
          <w:rFonts w:ascii="Arial" w:hAnsi="Arial" w:cs="Arial"/>
          <w:b/>
          <w:bCs/>
          <w:sz w:val="24"/>
          <w:szCs w:val="24"/>
        </w:rPr>
        <w:t>Figure 6: R</w:t>
      </w:r>
      <w:r w:rsidR="005D2E20" w:rsidRPr="008C46B1">
        <w:rPr>
          <w:rFonts w:ascii="Arial" w:hAnsi="Arial" w:cs="Arial"/>
          <w:b/>
          <w:bCs/>
          <w:sz w:val="24"/>
          <w:szCs w:val="24"/>
        </w:rPr>
        <w:t xml:space="preserve">egression model summary </w:t>
      </w:r>
      <w:r w:rsidRPr="008C46B1">
        <w:rPr>
          <w:rFonts w:ascii="Arial" w:hAnsi="Arial" w:cs="Arial"/>
          <w:b/>
          <w:bCs/>
          <w:sz w:val="24"/>
          <w:szCs w:val="24"/>
        </w:rPr>
        <w:t>Table</w:t>
      </w:r>
    </w:p>
    <w:p w14:paraId="05A68246" w14:textId="77777777" w:rsidR="008C46B1" w:rsidRPr="005D2E20" w:rsidRDefault="008C46B1" w:rsidP="005D2E20">
      <w:pPr>
        <w:pStyle w:val="NoSpacing"/>
        <w:spacing w:line="360" w:lineRule="auto"/>
        <w:jc w:val="both"/>
        <w:rPr>
          <w:rFonts w:ascii="Arial" w:hAnsi="Arial" w:cs="Arial"/>
          <w:sz w:val="24"/>
          <w:szCs w:val="24"/>
        </w:rPr>
      </w:pPr>
    </w:p>
    <w:p w14:paraId="15FB7D55" w14:textId="77777777" w:rsidR="005D2E20" w:rsidRPr="005D2E20" w:rsidRDefault="005D2E20" w:rsidP="005D2E20">
      <w:pPr>
        <w:pStyle w:val="Heading2"/>
      </w:pPr>
      <w:bookmarkStart w:id="11" w:name="_Toc227415498"/>
      <w:r w:rsidRPr="005D2E20">
        <w:t>6. Insights and Recommendations</w:t>
      </w:r>
      <w:bookmarkEnd w:id="11"/>
    </w:p>
    <w:p w14:paraId="6996D6A9" w14:textId="77777777" w:rsidR="005D2E20" w:rsidRPr="005D2E20" w:rsidRDefault="005D2E20" w:rsidP="005D2E20">
      <w:pPr>
        <w:pStyle w:val="Heading3"/>
      </w:pPr>
      <w:bookmarkStart w:id="12" w:name="_Toc227415499"/>
      <w:r w:rsidRPr="005D2E20">
        <w:t>6.1 Key insights</w:t>
      </w:r>
      <w:bookmarkEnd w:id="12"/>
    </w:p>
    <w:p w14:paraId="0C320092" w14:textId="77777777" w:rsidR="008C46B1"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 xml:space="preserve">This analysis indicates that there is no one variable that explains success in films in this dataset. Instead, the performance is a synthesis of content category, grouping by language, and behaviour of the audience. Descriptive and trend results indicated that there were certain genres with stronger ratings than others and the statistical tests indicated that the average rating of non-English films was significantly higher than that of English-language films. The best overall relationship was observed between watches and likes, which means that there is a shift between user exposure and positive reaction. </w:t>
      </w:r>
    </w:p>
    <w:p w14:paraId="1446FDD8" w14:textId="754C8F91"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 xml:space="preserve">Meanwhile, the regression model was only able to explain a relatively small portion of the rating variation, which implies that the audience judgement depends on other factors, not represented in the dataset. This is indicative of a broader business </w:t>
      </w:r>
      <w:r w:rsidRPr="005D2E20">
        <w:rPr>
          <w:rFonts w:ascii="Arial" w:hAnsi="Arial" w:cs="Arial"/>
          <w:sz w:val="24"/>
          <w:szCs w:val="24"/>
        </w:rPr>
        <w:lastRenderedPageBreak/>
        <w:t xml:space="preserve">analytics concept: valuable decisions are based not only on determining meaningful patterns, but on the identification of the limits of the available data (Ehrlinger and </w:t>
      </w:r>
      <w:proofErr w:type="spellStart"/>
      <w:r w:rsidRPr="005D2E20">
        <w:rPr>
          <w:rFonts w:ascii="Arial" w:hAnsi="Arial" w:cs="Arial"/>
          <w:sz w:val="24"/>
          <w:szCs w:val="24"/>
        </w:rPr>
        <w:t>Wöß</w:t>
      </w:r>
      <w:proofErr w:type="spellEnd"/>
      <w:r w:rsidRPr="005D2E20">
        <w:rPr>
          <w:rFonts w:ascii="Arial" w:hAnsi="Arial" w:cs="Arial"/>
          <w:sz w:val="24"/>
          <w:szCs w:val="24"/>
        </w:rPr>
        <w:t>, 2022).</w:t>
      </w:r>
    </w:p>
    <w:p w14:paraId="028511E0" w14:textId="77777777" w:rsidR="005D2E20" w:rsidRPr="005D2E20" w:rsidRDefault="005D2E20" w:rsidP="005D2E20">
      <w:pPr>
        <w:pStyle w:val="NoSpacing"/>
        <w:spacing w:line="360" w:lineRule="auto"/>
        <w:jc w:val="both"/>
        <w:rPr>
          <w:rFonts w:ascii="Arial" w:hAnsi="Arial" w:cs="Arial"/>
          <w:sz w:val="24"/>
          <w:szCs w:val="24"/>
        </w:rPr>
      </w:pPr>
    </w:p>
    <w:p w14:paraId="460B8003" w14:textId="77777777" w:rsidR="005D2E20" w:rsidRPr="005D2E20" w:rsidRDefault="005D2E20" w:rsidP="005D2E20">
      <w:pPr>
        <w:pStyle w:val="Heading2"/>
      </w:pPr>
      <w:bookmarkStart w:id="13" w:name="_Toc227415500"/>
      <w:r w:rsidRPr="005D2E20">
        <w:t>6.2 Recommendations and limitations</w:t>
      </w:r>
      <w:bookmarkEnd w:id="13"/>
    </w:p>
    <w:p w14:paraId="33D294CC" w14:textId="77777777" w:rsidR="008C46B1"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 xml:space="preserve">Practically, the findings indicate three actions that would be applicable in a business world. </w:t>
      </w:r>
    </w:p>
    <w:p w14:paraId="7DB2E31F" w14:textId="77777777" w:rsidR="008C46B1" w:rsidRDefault="005D2E20" w:rsidP="008C46B1">
      <w:pPr>
        <w:pStyle w:val="NoSpacing"/>
        <w:numPr>
          <w:ilvl w:val="0"/>
          <w:numId w:val="38"/>
        </w:numPr>
        <w:spacing w:line="360" w:lineRule="auto"/>
        <w:jc w:val="both"/>
        <w:rPr>
          <w:rFonts w:ascii="Arial" w:hAnsi="Arial" w:cs="Arial"/>
          <w:sz w:val="24"/>
          <w:szCs w:val="24"/>
        </w:rPr>
      </w:pPr>
      <w:r w:rsidRPr="005D2E20">
        <w:rPr>
          <w:rFonts w:ascii="Arial" w:hAnsi="Arial" w:cs="Arial"/>
          <w:sz w:val="24"/>
          <w:szCs w:val="24"/>
        </w:rPr>
        <w:t xml:space="preserve">First, cinemas and distributors are to pay attention to the genre performance in ratings instead of emphasizing on the largest content categories. </w:t>
      </w:r>
    </w:p>
    <w:p w14:paraId="2D9B23CB" w14:textId="77777777" w:rsidR="008C46B1" w:rsidRDefault="005D2E20" w:rsidP="008C46B1">
      <w:pPr>
        <w:pStyle w:val="NoSpacing"/>
        <w:numPr>
          <w:ilvl w:val="0"/>
          <w:numId w:val="38"/>
        </w:numPr>
        <w:spacing w:line="360" w:lineRule="auto"/>
        <w:jc w:val="both"/>
        <w:rPr>
          <w:rFonts w:ascii="Arial" w:hAnsi="Arial" w:cs="Arial"/>
          <w:sz w:val="24"/>
          <w:szCs w:val="24"/>
        </w:rPr>
      </w:pPr>
      <w:r w:rsidRPr="005D2E20">
        <w:rPr>
          <w:rFonts w:ascii="Arial" w:hAnsi="Arial" w:cs="Arial"/>
          <w:sz w:val="24"/>
          <w:szCs w:val="24"/>
        </w:rPr>
        <w:t xml:space="preserve">Second, non-English content must be considered as a strategy instead of a niche market and in particular where the appreciation of the audience is high. </w:t>
      </w:r>
    </w:p>
    <w:p w14:paraId="55C57174" w14:textId="77777777" w:rsidR="008C46B1" w:rsidRDefault="005D2E20" w:rsidP="008C46B1">
      <w:pPr>
        <w:pStyle w:val="NoSpacing"/>
        <w:numPr>
          <w:ilvl w:val="0"/>
          <w:numId w:val="38"/>
        </w:numPr>
        <w:spacing w:line="360" w:lineRule="auto"/>
        <w:jc w:val="both"/>
        <w:rPr>
          <w:rFonts w:ascii="Arial" w:hAnsi="Arial" w:cs="Arial"/>
          <w:sz w:val="24"/>
          <w:szCs w:val="24"/>
        </w:rPr>
      </w:pPr>
      <w:r w:rsidRPr="005D2E20">
        <w:rPr>
          <w:rFonts w:ascii="Arial" w:hAnsi="Arial" w:cs="Arial"/>
          <w:sz w:val="24"/>
          <w:szCs w:val="24"/>
        </w:rPr>
        <w:t xml:space="preserve">Third, watches and likes should be considered in conjunction when assessing title performance, as these indicators give a better understanding of behavioural signals than runtime. </w:t>
      </w:r>
    </w:p>
    <w:p w14:paraId="65812760" w14:textId="33B8DB65" w:rsidR="005D2E20" w:rsidRPr="005D2E20" w:rsidRDefault="005D2E20" w:rsidP="005D2E20">
      <w:pPr>
        <w:pStyle w:val="NoSpacing"/>
        <w:spacing w:line="360" w:lineRule="auto"/>
        <w:ind w:firstLine="720"/>
        <w:jc w:val="both"/>
        <w:rPr>
          <w:rFonts w:ascii="Arial" w:hAnsi="Arial" w:cs="Arial"/>
          <w:sz w:val="24"/>
          <w:szCs w:val="24"/>
        </w:rPr>
      </w:pPr>
      <w:r w:rsidRPr="005D2E20">
        <w:rPr>
          <w:rFonts w:ascii="Arial" w:hAnsi="Arial" w:cs="Arial"/>
          <w:sz w:val="24"/>
          <w:szCs w:val="24"/>
        </w:rPr>
        <w:t>However, the predictive capabilities are constrained by the variables included in the dataset, and the variables that may be incorporated in the future, like the release year, cast, budget, or the intensity of marketing could enhance the predictive strength (Huang et al., 2022).</w:t>
      </w:r>
    </w:p>
    <w:p w14:paraId="26D0737B" w14:textId="77777777" w:rsidR="005D2E20" w:rsidRDefault="005D2E20" w:rsidP="005D2E20">
      <w:pPr>
        <w:pStyle w:val="NoSpacing"/>
        <w:spacing w:line="360" w:lineRule="auto"/>
        <w:jc w:val="both"/>
        <w:rPr>
          <w:rFonts w:ascii="Arial" w:hAnsi="Arial" w:cs="Arial"/>
          <w:sz w:val="24"/>
          <w:szCs w:val="24"/>
        </w:rPr>
      </w:pPr>
    </w:p>
    <w:p w14:paraId="2EED370E" w14:textId="77777777" w:rsidR="005D2E20" w:rsidRDefault="005D2E20" w:rsidP="005D2E20">
      <w:pPr>
        <w:pStyle w:val="NoSpacing"/>
        <w:spacing w:line="360" w:lineRule="auto"/>
        <w:jc w:val="both"/>
        <w:rPr>
          <w:rFonts w:ascii="Arial" w:hAnsi="Arial" w:cs="Arial"/>
          <w:sz w:val="24"/>
          <w:szCs w:val="24"/>
        </w:rPr>
      </w:pPr>
    </w:p>
    <w:p w14:paraId="2723D447" w14:textId="77777777" w:rsidR="005D2E20" w:rsidRDefault="005D2E20" w:rsidP="005D2E20">
      <w:pPr>
        <w:pStyle w:val="NoSpacing"/>
        <w:spacing w:line="360" w:lineRule="auto"/>
        <w:jc w:val="both"/>
        <w:rPr>
          <w:rFonts w:ascii="Arial" w:hAnsi="Arial" w:cs="Arial"/>
          <w:sz w:val="24"/>
          <w:szCs w:val="24"/>
        </w:rPr>
      </w:pPr>
    </w:p>
    <w:p w14:paraId="13981E48" w14:textId="77777777" w:rsidR="00175FB9" w:rsidRDefault="00175FB9" w:rsidP="005D2E20">
      <w:pPr>
        <w:pStyle w:val="NoSpacing"/>
        <w:spacing w:line="360" w:lineRule="auto"/>
        <w:jc w:val="both"/>
        <w:rPr>
          <w:rFonts w:ascii="Arial" w:hAnsi="Arial" w:cs="Arial"/>
          <w:sz w:val="24"/>
          <w:szCs w:val="24"/>
        </w:rPr>
      </w:pPr>
    </w:p>
    <w:p w14:paraId="44F02E6D" w14:textId="77777777" w:rsidR="005D2E20" w:rsidRDefault="005D2E20" w:rsidP="005D2E20">
      <w:pPr>
        <w:pStyle w:val="NoSpacing"/>
        <w:spacing w:line="360" w:lineRule="auto"/>
        <w:jc w:val="both"/>
        <w:rPr>
          <w:rFonts w:ascii="Arial" w:hAnsi="Arial" w:cs="Arial"/>
          <w:sz w:val="24"/>
          <w:szCs w:val="24"/>
        </w:rPr>
      </w:pPr>
    </w:p>
    <w:p w14:paraId="5D887BBF" w14:textId="77777777" w:rsidR="008C46B1" w:rsidRDefault="008C46B1" w:rsidP="005D2E20">
      <w:pPr>
        <w:pStyle w:val="NoSpacing"/>
        <w:spacing w:line="360" w:lineRule="auto"/>
        <w:jc w:val="both"/>
        <w:rPr>
          <w:rFonts w:ascii="Arial" w:hAnsi="Arial" w:cs="Arial"/>
          <w:sz w:val="24"/>
          <w:szCs w:val="24"/>
        </w:rPr>
      </w:pPr>
    </w:p>
    <w:p w14:paraId="19D4A214" w14:textId="77777777" w:rsidR="008C46B1" w:rsidRDefault="008C46B1" w:rsidP="005D2E20">
      <w:pPr>
        <w:pStyle w:val="NoSpacing"/>
        <w:spacing w:line="360" w:lineRule="auto"/>
        <w:jc w:val="both"/>
        <w:rPr>
          <w:rFonts w:ascii="Arial" w:hAnsi="Arial" w:cs="Arial"/>
          <w:sz w:val="24"/>
          <w:szCs w:val="24"/>
        </w:rPr>
      </w:pPr>
    </w:p>
    <w:p w14:paraId="7098ECD9" w14:textId="77777777" w:rsidR="008C46B1" w:rsidRDefault="008C46B1" w:rsidP="005D2E20">
      <w:pPr>
        <w:pStyle w:val="NoSpacing"/>
        <w:spacing w:line="360" w:lineRule="auto"/>
        <w:jc w:val="both"/>
        <w:rPr>
          <w:rFonts w:ascii="Arial" w:hAnsi="Arial" w:cs="Arial"/>
          <w:sz w:val="24"/>
          <w:szCs w:val="24"/>
        </w:rPr>
      </w:pPr>
    </w:p>
    <w:p w14:paraId="00D3E0E8" w14:textId="77777777" w:rsidR="008C46B1" w:rsidRDefault="008C46B1" w:rsidP="005D2E20">
      <w:pPr>
        <w:pStyle w:val="NoSpacing"/>
        <w:spacing w:line="360" w:lineRule="auto"/>
        <w:jc w:val="both"/>
        <w:rPr>
          <w:rFonts w:ascii="Arial" w:hAnsi="Arial" w:cs="Arial"/>
          <w:sz w:val="24"/>
          <w:szCs w:val="24"/>
        </w:rPr>
      </w:pPr>
    </w:p>
    <w:p w14:paraId="76F95B67" w14:textId="77777777" w:rsidR="008C46B1" w:rsidRDefault="008C46B1" w:rsidP="005D2E20">
      <w:pPr>
        <w:pStyle w:val="NoSpacing"/>
        <w:spacing w:line="360" w:lineRule="auto"/>
        <w:jc w:val="both"/>
        <w:rPr>
          <w:rFonts w:ascii="Arial" w:hAnsi="Arial" w:cs="Arial"/>
          <w:sz w:val="24"/>
          <w:szCs w:val="24"/>
        </w:rPr>
      </w:pPr>
    </w:p>
    <w:p w14:paraId="6D1A2FE8" w14:textId="77777777" w:rsidR="008C46B1" w:rsidRDefault="008C46B1" w:rsidP="005D2E20">
      <w:pPr>
        <w:pStyle w:val="NoSpacing"/>
        <w:spacing w:line="360" w:lineRule="auto"/>
        <w:jc w:val="both"/>
        <w:rPr>
          <w:rFonts w:ascii="Arial" w:hAnsi="Arial" w:cs="Arial"/>
          <w:sz w:val="24"/>
          <w:szCs w:val="24"/>
        </w:rPr>
      </w:pPr>
    </w:p>
    <w:p w14:paraId="7014A41B" w14:textId="77777777" w:rsidR="008C46B1" w:rsidRDefault="008C46B1" w:rsidP="005D2E20">
      <w:pPr>
        <w:pStyle w:val="NoSpacing"/>
        <w:spacing w:line="360" w:lineRule="auto"/>
        <w:jc w:val="both"/>
        <w:rPr>
          <w:rFonts w:ascii="Arial" w:hAnsi="Arial" w:cs="Arial"/>
          <w:sz w:val="24"/>
          <w:szCs w:val="24"/>
        </w:rPr>
      </w:pPr>
    </w:p>
    <w:p w14:paraId="32BC0056" w14:textId="77777777" w:rsidR="008C46B1" w:rsidRPr="005D2E20" w:rsidRDefault="008C46B1" w:rsidP="005D2E20">
      <w:pPr>
        <w:pStyle w:val="NoSpacing"/>
        <w:spacing w:line="360" w:lineRule="auto"/>
        <w:jc w:val="both"/>
        <w:rPr>
          <w:rFonts w:ascii="Arial" w:hAnsi="Arial" w:cs="Arial"/>
          <w:sz w:val="24"/>
          <w:szCs w:val="24"/>
        </w:rPr>
      </w:pPr>
    </w:p>
    <w:p w14:paraId="25EAF4DA" w14:textId="77777777" w:rsidR="005D2E20" w:rsidRPr="005D2E20" w:rsidRDefault="005D2E20" w:rsidP="005D2E20">
      <w:pPr>
        <w:pStyle w:val="Heading1"/>
        <w:jc w:val="left"/>
        <w:rPr>
          <w:sz w:val="28"/>
          <w:szCs w:val="28"/>
        </w:rPr>
      </w:pPr>
      <w:bookmarkStart w:id="14" w:name="_Toc227415501"/>
      <w:r w:rsidRPr="005D2E20">
        <w:rPr>
          <w:sz w:val="28"/>
          <w:szCs w:val="28"/>
        </w:rPr>
        <w:lastRenderedPageBreak/>
        <w:t>References</w:t>
      </w:r>
      <w:bookmarkEnd w:id="14"/>
    </w:p>
    <w:p w14:paraId="7EE86A01" w14:textId="21D8AE55" w:rsidR="005D2E20" w:rsidRPr="00175FB9" w:rsidRDefault="005D2E20" w:rsidP="005D2E20">
      <w:pPr>
        <w:pStyle w:val="NoSpacing"/>
        <w:spacing w:line="360" w:lineRule="auto"/>
        <w:rPr>
          <w:rFonts w:ascii="Arial" w:hAnsi="Arial" w:cs="Arial"/>
          <w:sz w:val="23"/>
          <w:szCs w:val="23"/>
        </w:rPr>
      </w:pPr>
      <w:proofErr w:type="spellStart"/>
      <w:r w:rsidRPr="00175FB9">
        <w:rPr>
          <w:rFonts w:ascii="Arial" w:hAnsi="Arial" w:cs="Arial"/>
          <w:sz w:val="23"/>
          <w:szCs w:val="23"/>
        </w:rPr>
        <w:t>AbuHalimeh</w:t>
      </w:r>
      <w:proofErr w:type="spellEnd"/>
      <w:r w:rsidRPr="00175FB9">
        <w:rPr>
          <w:rFonts w:ascii="Arial" w:hAnsi="Arial" w:cs="Arial"/>
          <w:sz w:val="23"/>
          <w:szCs w:val="23"/>
        </w:rPr>
        <w:t xml:space="preserve">, A.A. (2022) ‘Improving data quality in clinical research informatics tools’, </w:t>
      </w:r>
      <w:r w:rsidRPr="00175FB9">
        <w:rPr>
          <w:rFonts w:ascii="Arial" w:hAnsi="Arial" w:cs="Arial"/>
          <w:i/>
          <w:iCs/>
          <w:sz w:val="23"/>
          <w:szCs w:val="23"/>
        </w:rPr>
        <w:t>Frontiers in Big Data</w:t>
      </w:r>
      <w:r w:rsidRPr="00175FB9">
        <w:rPr>
          <w:rFonts w:ascii="Arial" w:hAnsi="Arial" w:cs="Arial"/>
          <w:sz w:val="23"/>
          <w:szCs w:val="23"/>
        </w:rPr>
        <w:t xml:space="preserve">, 5, 871897. Available at: </w:t>
      </w:r>
      <w:hyperlink r:id="rId11" w:history="1">
        <w:r w:rsidRPr="00175FB9">
          <w:rPr>
            <w:rStyle w:val="Hyperlink"/>
            <w:rFonts w:ascii="Arial" w:hAnsi="Arial" w:cs="Arial"/>
            <w:sz w:val="23"/>
            <w:szCs w:val="23"/>
          </w:rPr>
          <w:t>https://doi.org/10.3389/fdata.2022.871897</w:t>
        </w:r>
      </w:hyperlink>
      <w:r w:rsidRPr="00175FB9">
        <w:rPr>
          <w:rFonts w:ascii="Arial" w:hAnsi="Arial" w:cs="Arial"/>
          <w:sz w:val="23"/>
          <w:szCs w:val="23"/>
        </w:rPr>
        <w:t xml:space="preserve"> </w:t>
      </w:r>
    </w:p>
    <w:p w14:paraId="3537B109" w14:textId="77777777" w:rsidR="005D2E20" w:rsidRPr="00175FB9" w:rsidRDefault="005D2E20" w:rsidP="005D2E20">
      <w:pPr>
        <w:pStyle w:val="NoSpacing"/>
        <w:spacing w:line="360" w:lineRule="auto"/>
        <w:rPr>
          <w:rFonts w:ascii="Arial" w:hAnsi="Arial" w:cs="Arial"/>
          <w:sz w:val="23"/>
          <w:szCs w:val="23"/>
        </w:rPr>
      </w:pPr>
    </w:p>
    <w:p w14:paraId="348F65BC" w14:textId="349FC9FB"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Ali, Y., Khalid, O., Khan, I.A., Hussain, S.S., Rehman, F., Siraj, S. and Nawaz, R. (2022) ‘A hybrid group-based movie recommendation framework with overlapping memberships’, </w:t>
      </w:r>
      <w:r w:rsidRPr="00175FB9">
        <w:rPr>
          <w:rFonts w:ascii="Arial" w:hAnsi="Arial" w:cs="Arial"/>
          <w:i/>
          <w:iCs/>
          <w:sz w:val="23"/>
          <w:szCs w:val="23"/>
        </w:rPr>
        <w:t>PLOS ONE</w:t>
      </w:r>
      <w:r w:rsidRPr="00175FB9">
        <w:rPr>
          <w:rFonts w:ascii="Arial" w:hAnsi="Arial" w:cs="Arial"/>
          <w:sz w:val="23"/>
          <w:szCs w:val="23"/>
        </w:rPr>
        <w:t xml:space="preserve">, 17(3), e0266103. Available at: </w:t>
      </w:r>
      <w:hyperlink r:id="rId12" w:history="1">
        <w:r w:rsidRPr="00175FB9">
          <w:rPr>
            <w:rStyle w:val="Hyperlink"/>
            <w:rFonts w:ascii="Arial" w:hAnsi="Arial" w:cs="Arial"/>
            <w:sz w:val="23"/>
            <w:szCs w:val="23"/>
          </w:rPr>
          <w:t>https://doi.org/10.1371/journal.pone.0266103</w:t>
        </w:r>
      </w:hyperlink>
      <w:r w:rsidRPr="00175FB9">
        <w:rPr>
          <w:rFonts w:ascii="Arial" w:hAnsi="Arial" w:cs="Arial"/>
          <w:sz w:val="23"/>
          <w:szCs w:val="23"/>
        </w:rPr>
        <w:t xml:space="preserve"> </w:t>
      </w:r>
    </w:p>
    <w:p w14:paraId="7C3EB15D" w14:textId="77777777" w:rsidR="005D2E20" w:rsidRPr="00175FB9" w:rsidRDefault="005D2E20" w:rsidP="005D2E20">
      <w:pPr>
        <w:pStyle w:val="NoSpacing"/>
        <w:spacing w:line="360" w:lineRule="auto"/>
        <w:rPr>
          <w:rFonts w:ascii="Arial" w:hAnsi="Arial" w:cs="Arial"/>
          <w:sz w:val="23"/>
          <w:szCs w:val="23"/>
        </w:rPr>
      </w:pPr>
    </w:p>
    <w:p w14:paraId="0C273559" w14:textId="3C5287C5"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Ehrlinger, L. and </w:t>
      </w:r>
      <w:proofErr w:type="spellStart"/>
      <w:r w:rsidRPr="00175FB9">
        <w:rPr>
          <w:rFonts w:ascii="Arial" w:hAnsi="Arial" w:cs="Arial"/>
          <w:sz w:val="23"/>
          <w:szCs w:val="23"/>
        </w:rPr>
        <w:t>Wöß</w:t>
      </w:r>
      <w:proofErr w:type="spellEnd"/>
      <w:r w:rsidRPr="00175FB9">
        <w:rPr>
          <w:rFonts w:ascii="Arial" w:hAnsi="Arial" w:cs="Arial"/>
          <w:sz w:val="23"/>
          <w:szCs w:val="23"/>
        </w:rPr>
        <w:t xml:space="preserve">, W. (2022) ‘A survey of data quality measurement and monitoring tools’, </w:t>
      </w:r>
      <w:r w:rsidRPr="00175FB9">
        <w:rPr>
          <w:rFonts w:ascii="Arial" w:hAnsi="Arial" w:cs="Arial"/>
          <w:i/>
          <w:iCs/>
          <w:sz w:val="23"/>
          <w:szCs w:val="23"/>
        </w:rPr>
        <w:t>Frontiers in Big Data</w:t>
      </w:r>
      <w:r w:rsidRPr="00175FB9">
        <w:rPr>
          <w:rFonts w:ascii="Arial" w:hAnsi="Arial" w:cs="Arial"/>
          <w:sz w:val="23"/>
          <w:szCs w:val="23"/>
        </w:rPr>
        <w:t xml:space="preserve">, 5, 850611. Available at: </w:t>
      </w:r>
      <w:hyperlink r:id="rId13" w:history="1">
        <w:r w:rsidRPr="00175FB9">
          <w:rPr>
            <w:rStyle w:val="Hyperlink"/>
            <w:rFonts w:ascii="Arial" w:hAnsi="Arial" w:cs="Arial"/>
            <w:sz w:val="23"/>
            <w:szCs w:val="23"/>
          </w:rPr>
          <w:t>https://doi.org/10.3389/fdata.2022.850611</w:t>
        </w:r>
      </w:hyperlink>
      <w:r w:rsidRPr="00175FB9">
        <w:rPr>
          <w:rFonts w:ascii="Arial" w:hAnsi="Arial" w:cs="Arial"/>
          <w:sz w:val="23"/>
          <w:szCs w:val="23"/>
        </w:rPr>
        <w:t xml:space="preserve"> </w:t>
      </w:r>
    </w:p>
    <w:p w14:paraId="573654D9" w14:textId="77777777" w:rsidR="005D2E20" w:rsidRPr="00175FB9" w:rsidRDefault="005D2E20" w:rsidP="005D2E20">
      <w:pPr>
        <w:pStyle w:val="NoSpacing"/>
        <w:spacing w:line="360" w:lineRule="auto"/>
        <w:rPr>
          <w:rFonts w:ascii="Arial" w:hAnsi="Arial" w:cs="Arial"/>
          <w:sz w:val="23"/>
          <w:szCs w:val="23"/>
        </w:rPr>
      </w:pPr>
    </w:p>
    <w:p w14:paraId="5A61E78A" w14:textId="49C1D311"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Gómez-Caicedo, M.I., Gaitán-Angulo, M., Bacca-Acosta, J.B., Briñez Torres, C.Y. and Cubillos Díaz, J. (2022) ‘Business analytics approach to artificial intelligence’, </w:t>
      </w:r>
      <w:r w:rsidRPr="00175FB9">
        <w:rPr>
          <w:rFonts w:ascii="Arial" w:hAnsi="Arial" w:cs="Arial"/>
          <w:i/>
          <w:iCs/>
          <w:sz w:val="23"/>
          <w:szCs w:val="23"/>
        </w:rPr>
        <w:t>Frontiers in Artificial Intelligence</w:t>
      </w:r>
      <w:r w:rsidRPr="00175FB9">
        <w:rPr>
          <w:rFonts w:ascii="Arial" w:hAnsi="Arial" w:cs="Arial"/>
          <w:sz w:val="23"/>
          <w:szCs w:val="23"/>
        </w:rPr>
        <w:t xml:space="preserve">, 5, 974180. Available at: </w:t>
      </w:r>
      <w:hyperlink r:id="rId14" w:history="1">
        <w:r w:rsidRPr="00175FB9">
          <w:rPr>
            <w:rStyle w:val="Hyperlink"/>
            <w:rFonts w:ascii="Arial" w:hAnsi="Arial" w:cs="Arial"/>
            <w:sz w:val="23"/>
            <w:szCs w:val="23"/>
          </w:rPr>
          <w:t>https://doi.org/10.3389/frai.2022.974180</w:t>
        </w:r>
      </w:hyperlink>
      <w:r w:rsidRPr="00175FB9">
        <w:rPr>
          <w:rFonts w:ascii="Arial" w:hAnsi="Arial" w:cs="Arial"/>
          <w:sz w:val="23"/>
          <w:szCs w:val="23"/>
        </w:rPr>
        <w:t xml:space="preserve"> </w:t>
      </w:r>
    </w:p>
    <w:p w14:paraId="78FC89BF" w14:textId="77777777" w:rsidR="005D2E20" w:rsidRPr="00175FB9" w:rsidRDefault="005D2E20" w:rsidP="005D2E20">
      <w:pPr>
        <w:pStyle w:val="NoSpacing"/>
        <w:spacing w:line="360" w:lineRule="auto"/>
        <w:rPr>
          <w:rFonts w:ascii="Arial" w:hAnsi="Arial" w:cs="Arial"/>
          <w:sz w:val="23"/>
          <w:szCs w:val="23"/>
        </w:rPr>
      </w:pPr>
    </w:p>
    <w:p w14:paraId="0B3D64D1" w14:textId="5D376365"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Gutzeit, L.J. and Tiberius, V. (2023) ‘Business and management research on the motion picture industry: A bibliometric analysis’, </w:t>
      </w:r>
      <w:r w:rsidRPr="00175FB9">
        <w:rPr>
          <w:rFonts w:ascii="Arial" w:hAnsi="Arial" w:cs="Arial"/>
          <w:i/>
          <w:iCs/>
          <w:sz w:val="23"/>
          <w:szCs w:val="23"/>
        </w:rPr>
        <w:t>Journalism and Media</w:t>
      </w:r>
      <w:r w:rsidRPr="00175FB9">
        <w:rPr>
          <w:rFonts w:ascii="Arial" w:hAnsi="Arial" w:cs="Arial"/>
          <w:sz w:val="23"/>
          <w:szCs w:val="23"/>
        </w:rPr>
        <w:t xml:space="preserve">, 4(4), pp. 1198–1210. Available at: </w:t>
      </w:r>
      <w:hyperlink r:id="rId15" w:history="1">
        <w:r w:rsidRPr="00175FB9">
          <w:rPr>
            <w:rStyle w:val="Hyperlink"/>
            <w:rFonts w:ascii="Arial" w:hAnsi="Arial" w:cs="Arial"/>
            <w:sz w:val="23"/>
            <w:szCs w:val="23"/>
          </w:rPr>
          <w:t>https://doi.org/10.3390/journalmedia4040076</w:t>
        </w:r>
      </w:hyperlink>
      <w:r w:rsidRPr="00175FB9">
        <w:rPr>
          <w:rFonts w:ascii="Arial" w:hAnsi="Arial" w:cs="Arial"/>
          <w:sz w:val="23"/>
          <w:szCs w:val="23"/>
        </w:rPr>
        <w:t xml:space="preserve"> </w:t>
      </w:r>
    </w:p>
    <w:p w14:paraId="4D51664A" w14:textId="77777777" w:rsidR="005D2E20" w:rsidRPr="00175FB9" w:rsidRDefault="005D2E20" w:rsidP="005D2E20">
      <w:pPr>
        <w:pStyle w:val="NoSpacing"/>
        <w:spacing w:line="360" w:lineRule="auto"/>
        <w:rPr>
          <w:rFonts w:ascii="Arial" w:hAnsi="Arial" w:cs="Arial"/>
          <w:sz w:val="23"/>
          <w:szCs w:val="23"/>
        </w:rPr>
      </w:pPr>
    </w:p>
    <w:p w14:paraId="46CDFFD8" w14:textId="510FF05D"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Huang, X., Yang, S., Wang, J., Lin, F. and Jiang, Y. (2022) ‘The influencing mechanism of big data analytics technology capability on enterprise’s operational performance: The mediating role of data-tool fit’, </w:t>
      </w:r>
      <w:r w:rsidRPr="00175FB9">
        <w:rPr>
          <w:rFonts w:ascii="Arial" w:hAnsi="Arial" w:cs="Arial"/>
          <w:i/>
          <w:iCs/>
          <w:sz w:val="23"/>
          <w:szCs w:val="23"/>
        </w:rPr>
        <w:t>Frontiers in Psychology</w:t>
      </w:r>
      <w:r w:rsidRPr="00175FB9">
        <w:rPr>
          <w:rFonts w:ascii="Arial" w:hAnsi="Arial" w:cs="Arial"/>
          <w:sz w:val="23"/>
          <w:szCs w:val="23"/>
        </w:rPr>
        <w:t xml:space="preserve">, 13, 948764. Available at: </w:t>
      </w:r>
      <w:hyperlink r:id="rId16" w:history="1">
        <w:r w:rsidRPr="00175FB9">
          <w:rPr>
            <w:rStyle w:val="Hyperlink"/>
            <w:rFonts w:ascii="Arial" w:hAnsi="Arial" w:cs="Arial"/>
            <w:sz w:val="23"/>
            <w:szCs w:val="23"/>
          </w:rPr>
          <w:t>https://doi.org/10.3389/fpsyg.2022.948764</w:t>
        </w:r>
      </w:hyperlink>
      <w:r w:rsidRPr="00175FB9">
        <w:rPr>
          <w:rFonts w:ascii="Arial" w:hAnsi="Arial" w:cs="Arial"/>
          <w:sz w:val="23"/>
          <w:szCs w:val="23"/>
        </w:rPr>
        <w:t xml:space="preserve"> </w:t>
      </w:r>
    </w:p>
    <w:p w14:paraId="67DCEEF0" w14:textId="77777777" w:rsidR="005D2E20" w:rsidRPr="00175FB9" w:rsidRDefault="005D2E20" w:rsidP="005D2E20">
      <w:pPr>
        <w:pStyle w:val="NoSpacing"/>
        <w:spacing w:line="360" w:lineRule="auto"/>
        <w:rPr>
          <w:rFonts w:ascii="Arial" w:hAnsi="Arial" w:cs="Arial"/>
          <w:sz w:val="23"/>
          <w:szCs w:val="23"/>
        </w:rPr>
      </w:pPr>
    </w:p>
    <w:p w14:paraId="21C7557D" w14:textId="3312161B"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Langen, H. and Huber, M. (2023) ‘How causal machine learning can leverage marketing strategies: Assessing and improving the performance of a coupon campaign’, </w:t>
      </w:r>
      <w:r w:rsidRPr="00175FB9">
        <w:rPr>
          <w:rFonts w:ascii="Arial" w:hAnsi="Arial" w:cs="Arial"/>
          <w:i/>
          <w:iCs/>
          <w:sz w:val="23"/>
          <w:szCs w:val="23"/>
        </w:rPr>
        <w:t>PLOS ONE,</w:t>
      </w:r>
      <w:r w:rsidRPr="00175FB9">
        <w:rPr>
          <w:rFonts w:ascii="Arial" w:hAnsi="Arial" w:cs="Arial"/>
          <w:sz w:val="23"/>
          <w:szCs w:val="23"/>
        </w:rPr>
        <w:t xml:space="preserve"> 18(1), e0278937. Available at: </w:t>
      </w:r>
      <w:hyperlink r:id="rId17" w:history="1">
        <w:r w:rsidRPr="00175FB9">
          <w:rPr>
            <w:rStyle w:val="Hyperlink"/>
            <w:rFonts w:ascii="Arial" w:hAnsi="Arial" w:cs="Arial"/>
            <w:sz w:val="23"/>
            <w:szCs w:val="23"/>
          </w:rPr>
          <w:t>https://doi.org/10.1371/journal.pone.0278937</w:t>
        </w:r>
      </w:hyperlink>
      <w:r w:rsidRPr="00175FB9">
        <w:rPr>
          <w:rFonts w:ascii="Arial" w:hAnsi="Arial" w:cs="Arial"/>
          <w:sz w:val="23"/>
          <w:szCs w:val="23"/>
        </w:rPr>
        <w:t xml:space="preserve"> </w:t>
      </w:r>
    </w:p>
    <w:p w14:paraId="77277040" w14:textId="77777777" w:rsidR="005D2E20" w:rsidRPr="00175FB9" w:rsidRDefault="005D2E20" w:rsidP="005D2E20">
      <w:pPr>
        <w:pStyle w:val="NoSpacing"/>
        <w:spacing w:line="360" w:lineRule="auto"/>
        <w:rPr>
          <w:rFonts w:ascii="Arial" w:hAnsi="Arial" w:cs="Arial"/>
          <w:sz w:val="23"/>
          <w:szCs w:val="23"/>
        </w:rPr>
      </w:pPr>
    </w:p>
    <w:p w14:paraId="3F0A5145" w14:textId="46DECB75"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Leem, S., Oh, J., So, D. and Moon, J. (2023) ‘Towards data-driven decision-making in the Korean film industry: An XAI model for box office analysis using dimension reduction, clustering, and classification’, </w:t>
      </w:r>
      <w:r w:rsidRPr="00175FB9">
        <w:rPr>
          <w:rFonts w:ascii="Arial" w:hAnsi="Arial" w:cs="Arial"/>
          <w:i/>
          <w:iCs/>
          <w:sz w:val="23"/>
          <w:szCs w:val="23"/>
        </w:rPr>
        <w:t>Entropy</w:t>
      </w:r>
      <w:r w:rsidRPr="00175FB9">
        <w:rPr>
          <w:rFonts w:ascii="Arial" w:hAnsi="Arial" w:cs="Arial"/>
          <w:sz w:val="23"/>
          <w:szCs w:val="23"/>
        </w:rPr>
        <w:t xml:space="preserve">, 25(4), 571. Available at: </w:t>
      </w:r>
      <w:hyperlink r:id="rId18" w:history="1">
        <w:r w:rsidRPr="00175FB9">
          <w:rPr>
            <w:rStyle w:val="Hyperlink"/>
            <w:rFonts w:ascii="Arial" w:hAnsi="Arial" w:cs="Arial"/>
            <w:sz w:val="23"/>
            <w:szCs w:val="23"/>
          </w:rPr>
          <w:t>https://doi.org/10.3390/e25040571</w:t>
        </w:r>
      </w:hyperlink>
      <w:r w:rsidRPr="00175FB9">
        <w:rPr>
          <w:rFonts w:ascii="Arial" w:hAnsi="Arial" w:cs="Arial"/>
          <w:sz w:val="23"/>
          <w:szCs w:val="23"/>
        </w:rPr>
        <w:t xml:space="preserve"> </w:t>
      </w:r>
    </w:p>
    <w:p w14:paraId="09DC8E06" w14:textId="77777777" w:rsidR="005D2E20" w:rsidRPr="00175FB9" w:rsidRDefault="005D2E20" w:rsidP="005D2E20">
      <w:pPr>
        <w:pStyle w:val="NoSpacing"/>
        <w:spacing w:line="360" w:lineRule="auto"/>
        <w:rPr>
          <w:rFonts w:ascii="Arial" w:hAnsi="Arial" w:cs="Arial"/>
          <w:sz w:val="23"/>
          <w:szCs w:val="23"/>
        </w:rPr>
      </w:pPr>
    </w:p>
    <w:p w14:paraId="6D413A5E" w14:textId="4A8969E8" w:rsidR="005D2E20" w:rsidRPr="00175FB9" w:rsidRDefault="005D2E20" w:rsidP="005D2E20">
      <w:pPr>
        <w:pStyle w:val="NoSpacing"/>
        <w:spacing w:line="360" w:lineRule="auto"/>
        <w:rPr>
          <w:rFonts w:ascii="Arial" w:hAnsi="Arial" w:cs="Arial"/>
          <w:sz w:val="23"/>
          <w:szCs w:val="23"/>
        </w:rPr>
      </w:pPr>
      <w:proofErr w:type="spellStart"/>
      <w:r w:rsidRPr="00175FB9">
        <w:rPr>
          <w:rFonts w:ascii="Arial" w:hAnsi="Arial" w:cs="Arial"/>
          <w:sz w:val="23"/>
          <w:szCs w:val="23"/>
        </w:rPr>
        <w:t>Lubos</w:t>
      </w:r>
      <w:proofErr w:type="spellEnd"/>
      <w:r w:rsidRPr="00175FB9">
        <w:rPr>
          <w:rFonts w:ascii="Arial" w:hAnsi="Arial" w:cs="Arial"/>
          <w:sz w:val="23"/>
          <w:szCs w:val="23"/>
        </w:rPr>
        <w:t xml:space="preserve">, S., </w:t>
      </w:r>
      <w:proofErr w:type="spellStart"/>
      <w:r w:rsidRPr="00175FB9">
        <w:rPr>
          <w:rFonts w:ascii="Arial" w:hAnsi="Arial" w:cs="Arial"/>
          <w:sz w:val="23"/>
          <w:szCs w:val="23"/>
        </w:rPr>
        <w:t>Felfernig</w:t>
      </w:r>
      <w:proofErr w:type="spellEnd"/>
      <w:r w:rsidRPr="00175FB9">
        <w:rPr>
          <w:rFonts w:ascii="Arial" w:hAnsi="Arial" w:cs="Arial"/>
          <w:sz w:val="23"/>
          <w:szCs w:val="23"/>
        </w:rPr>
        <w:t xml:space="preserve">, A. and </w:t>
      </w:r>
      <w:proofErr w:type="spellStart"/>
      <w:r w:rsidRPr="00175FB9">
        <w:rPr>
          <w:rFonts w:ascii="Arial" w:hAnsi="Arial" w:cs="Arial"/>
          <w:sz w:val="23"/>
          <w:szCs w:val="23"/>
        </w:rPr>
        <w:t>Tautschnig</w:t>
      </w:r>
      <w:proofErr w:type="spellEnd"/>
      <w:r w:rsidRPr="00175FB9">
        <w:rPr>
          <w:rFonts w:ascii="Arial" w:hAnsi="Arial" w:cs="Arial"/>
          <w:sz w:val="23"/>
          <w:szCs w:val="23"/>
        </w:rPr>
        <w:t xml:space="preserve">, M. (2023) ‘An overview of video recommender systems: State-of-the-art and research issues’, </w:t>
      </w:r>
      <w:r w:rsidRPr="00175FB9">
        <w:rPr>
          <w:rFonts w:ascii="Arial" w:hAnsi="Arial" w:cs="Arial"/>
          <w:i/>
          <w:iCs/>
          <w:sz w:val="23"/>
          <w:szCs w:val="23"/>
        </w:rPr>
        <w:t>Frontiers in Big Data</w:t>
      </w:r>
      <w:r w:rsidRPr="00175FB9">
        <w:rPr>
          <w:rFonts w:ascii="Arial" w:hAnsi="Arial" w:cs="Arial"/>
          <w:sz w:val="23"/>
          <w:szCs w:val="23"/>
        </w:rPr>
        <w:t xml:space="preserve">, 6, 1281614. Available at: </w:t>
      </w:r>
      <w:hyperlink r:id="rId19" w:history="1">
        <w:r w:rsidRPr="00175FB9">
          <w:rPr>
            <w:rStyle w:val="Hyperlink"/>
            <w:rFonts w:ascii="Arial" w:hAnsi="Arial" w:cs="Arial"/>
            <w:sz w:val="23"/>
            <w:szCs w:val="23"/>
          </w:rPr>
          <w:t>https://doi.org/10.3389/fdata.2023.1281614</w:t>
        </w:r>
      </w:hyperlink>
      <w:r w:rsidRPr="00175FB9">
        <w:rPr>
          <w:rFonts w:ascii="Arial" w:hAnsi="Arial" w:cs="Arial"/>
          <w:sz w:val="23"/>
          <w:szCs w:val="23"/>
        </w:rPr>
        <w:t xml:space="preserve"> </w:t>
      </w:r>
    </w:p>
    <w:p w14:paraId="7A691F35" w14:textId="77777777" w:rsidR="005D2E20" w:rsidRPr="00175FB9" w:rsidRDefault="005D2E20" w:rsidP="005D2E20">
      <w:pPr>
        <w:pStyle w:val="NoSpacing"/>
        <w:spacing w:line="360" w:lineRule="auto"/>
        <w:rPr>
          <w:rFonts w:ascii="Arial" w:hAnsi="Arial" w:cs="Arial"/>
          <w:sz w:val="23"/>
          <w:szCs w:val="23"/>
        </w:rPr>
      </w:pPr>
    </w:p>
    <w:p w14:paraId="2DDF2639" w14:textId="0BE6A53A"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Neri, G., Marshall, S., Chan, H.K.-H., Yaghi, A.Y., Tabor, D., Sinha, R. and Mazumdar, S.M. (2025) ‘Data visualization in AI-assisted decision-making: A systematic review’, </w:t>
      </w:r>
      <w:r w:rsidRPr="00175FB9">
        <w:rPr>
          <w:rFonts w:ascii="Arial" w:hAnsi="Arial" w:cs="Arial"/>
          <w:i/>
          <w:iCs/>
          <w:sz w:val="23"/>
          <w:szCs w:val="23"/>
        </w:rPr>
        <w:t>Frontiers in Communication</w:t>
      </w:r>
      <w:r w:rsidRPr="00175FB9">
        <w:rPr>
          <w:rFonts w:ascii="Arial" w:hAnsi="Arial" w:cs="Arial"/>
          <w:sz w:val="23"/>
          <w:szCs w:val="23"/>
        </w:rPr>
        <w:t xml:space="preserve">, 10, 1605655. Available at: </w:t>
      </w:r>
      <w:hyperlink r:id="rId20" w:history="1">
        <w:r w:rsidRPr="00175FB9">
          <w:rPr>
            <w:rStyle w:val="Hyperlink"/>
            <w:rFonts w:ascii="Arial" w:hAnsi="Arial" w:cs="Arial"/>
            <w:sz w:val="23"/>
            <w:szCs w:val="23"/>
          </w:rPr>
          <w:t>https://doi.org/10.3389/fcomm.2025.1605655</w:t>
        </w:r>
      </w:hyperlink>
      <w:r w:rsidRPr="00175FB9">
        <w:rPr>
          <w:rFonts w:ascii="Arial" w:hAnsi="Arial" w:cs="Arial"/>
          <w:sz w:val="23"/>
          <w:szCs w:val="23"/>
        </w:rPr>
        <w:t xml:space="preserve"> </w:t>
      </w:r>
    </w:p>
    <w:p w14:paraId="64CA16D2" w14:textId="77777777" w:rsidR="005D2E20" w:rsidRPr="00175FB9" w:rsidRDefault="005D2E20" w:rsidP="005D2E20">
      <w:pPr>
        <w:pStyle w:val="NoSpacing"/>
        <w:spacing w:line="360" w:lineRule="auto"/>
        <w:rPr>
          <w:rFonts w:ascii="Arial" w:hAnsi="Arial" w:cs="Arial"/>
          <w:sz w:val="23"/>
          <w:szCs w:val="23"/>
        </w:rPr>
      </w:pPr>
    </w:p>
    <w:p w14:paraId="37DA6662" w14:textId="207B0C71" w:rsidR="005D2E20" w:rsidRPr="00175FB9" w:rsidRDefault="005D2E20" w:rsidP="005D2E20">
      <w:pPr>
        <w:pStyle w:val="NoSpacing"/>
        <w:spacing w:line="360" w:lineRule="auto"/>
        <w:rPr>
          <w:rFonts w:ascii="Arial" w:hAnsi="Arial" w:cs="Arial"/>
          <w:sz w:val="23"/>
          <w:szCs w:val="23"/>
        </w:rPr>
      </w:pPr>
      <w:proofErr w:type="spellStart"/>
      <w:r w:rsidRPr="00175FB9">
        <w:rPr>
          <w:rFonts w:ascii="Arial" w:hAnsi="Arial" w:cs="Arial"/>
          <w:sz w:val="23"/>
          <w:szCs w:val="23"/>
        </w:rPr>
        <w:t>Orankiewicz</w:t>
      </w:r>
      <w:proofErr w:type="spellEnd"/>
      <w:r w:rsidRPr="00175FB9">
        <w:rPr>
          <w:rFonts w:ascii="Arial" w:hAnsi="Arial" w:cs="Arial"/>
          <w:sz w:val="23"/>
          <w:szCs w:val="23"/>
        </w:rPr>
        <w:t xml:space="preserve">, A. and Bartosiewicz, A. (2023) ‘The COVID-19 pandemic and the adoption factors of film distribution business models in the context of sustainability’, </w:t>
      </w:r>
      <w:r w:rsidRPr="00175FB9">
        <w:rPr>
          <w:rFonts w:ascii="Arial" w:hAnsi="Arial" w:cs="Arial"/>
          <w:i/>
          <w:iCs/>
          <w:sz w:val="23"/>
          <w:szCs w:val="23"/>
        </w:rPr>
        <w:t>Sustainability</w:t>
      </w:r>
      <w:r w:rsidRPr="00175FB9">
        <w:rPr>
          <w:rFonts w:ascii="Arial" w:hAnsi="Arial" w:cs="Arial"/>
          <w:sz w:val="23"/>
          <w:szCs w:val="23"/>
        </w:rPr>
        <w:t xml:space="preserve">, 15(15), 11721. Available at: </w:t>
      </w:r>
      <w:hyperlink r:id="rId21" w:history="1">
        <w:r w:rsidRPr="00175FB9">
          <w:rPr>
            <w:rStyle w:val="Hyperlink"/>
            <w:rFonts w:ascii="Arial" w:hAnsi="Arial" w:cs="Arial"/>
            <w:sz w:val="23"/>
            <w:szCs w:val="23"/>
          </w:rPr>
          <w:t>https://doi.org/10.3390/su151511721</w:t>
        </w:r>
      </w:hyperlink>
      <w:r w:rsidRPr="00175FB9">
        <w:rPr>
          <w:rFonts w:ascii="Arial" w:hAnsi="Arial" w:cs="Arial"/>
          <w:sz w:val="23"/>
          <w:szCs w:val="23"/>
        </w:rPr>
        <w:t xml:space="preserve"> </w:t>
      </w:r>
    </w:p>
    <w:p w14:paraId="50968D40" w14:textId="77777777" w:rsidR="005D2E20" w:rsidRPr="00175FB9" w:rsidRDefault="005D2E20" w:rsidP="005D2E20">
      <w:pPr>
        <w:pStyle w:val="NoSpacing"/>
        <w:spacing w:line="360" w:lineRule="auto"/>
        <w:rPr>
          <w:rFonts w:ascii="Arial" w:hAnsi="Arial" w:cs="Arial"/>
          <w:sz w:val="23"/>
          <w:szCs w:val="23"/>
        </w:rPr>
      </w:pPr>
    </w:p>
    <w:p w14:paraId="3AB5AD50" w14:textId="2F35791D"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Pierce, E. (2022) ‘A balanced scorecard for maximizing data performance’, </w:t>
      </w:r>
      <w:r w:rsidRPr="00175FB9">
        <w:rPr>
          <w:rFonts w:ascii="Arial" w:hAnsi="Arial" w:cs="Arial"/>
          <w:i/>
          <w:iCs/>
          <w:sz w:val="23"/>
          <w:szCs w:val="23"/>
        </w:rPr>
        <w:t>Frontiers in Big Data</w:t>
      </w:r>
      <w:r w:rsidRPr="00175FB9">
        <w:rPr>
          <w:rFonts w:ascii="Arial" w:hAnsi="Arial" w:cs="Arial"/>
          <w:sz w:val="23"/>
          <w:szCs w:val="23"/>
        </w:rPr>
        <w:t xml:space="preserve">, 5, 821103. Available at: </w:t>
      </w:r>
      <w:hyperlink r:id="rId22" w:history="1">
        <w:r w:rsidRPr="00175FB9">
          <w:rPr>
            <w:rStyle w:val="Hyperlink"/>
            <w:rFonts w:ascii="Arial" w:hAnsi="Arial" w:cs="Arial"/>
            <w:sz w:val="23"/>
            <w:szCs w:val="23"/>
          </w:rPr>
          <w:t>https://doi.org/10.3389/fdata.2022.821103</w:t>
        </w:r>
      </w:hyperlink>
      <w:r w:rsidRPr="00175FB9">
        <w:rPr>
          <w:rFonts w:ascii="Arial" w:hAnsi="Arial" w:cs="Arial"/>
          <w:sz w:val="23"/>
          <w:szCs w:val="23"/>
        </w:rPr>
        <w:t xml:space="preserve"> </w:t>
      </w:r>
    </w:p>
    <w:p w14:paraId="66C6A077" w14:textId="77777777" w:rsidR="005D2E20" w:rsidRPr="00175FB9" w:rsidRDefault="005D2E20" w:rsidP="005D2E20">
      <w:pPr>
        <w:pStyle w:val="NoSpacing"/>
        <w:spacing w:line="360" w:lineRule="auto"/>
        <w:rPr>
          <w:rFonts w:ascii="Arial" w:hAnsi="Arial" w:cs="Arial"/>
          <w:sz w:val="23"/>
          <w:szCs w:val="23"/>
        </w:rPr>
      </w:pPr>
    </w:p>
    <w:p w14:paraId="6D06DD3A" w14:textId="3A58FD4B"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Santini, J.F., Sacco Capurro, F., Rogger, D., Lundy, T., Kim, G., de León Miranda, J., </w:t>
      </w:r>
      <w:proofErr w:type="spellStart"/>
      <w:r w:rsidRPr="00175FB9">
        <w:rPr>
          <w:rFonts w:ascii="Arial" w:hAnsi="Arial" w:cs="Arial"/>
          <w:sz w:val="23"/>
          <w:szCs w:val="23"/>
        </w:rPr>
        <w:t>Cocciolo</w:t>
      </w:r>
      <w:proofErr w:type="spellEnd"/>
      <w:r w:rsidRPr="00175FB9">
        <w:rPr>
          <w:rFonts w:ascii="Arial" w:hAnsi="Arial" w:cs="Arial"/>
          <w:sz w:val="23"/>
          <w:szCs w:val="23"/>
        </w:rPr>
        <w:t xml:space="preserve">, S. and Casanova, C. (2024) </w:t>
      </w:r>
      <w:r w:rsidRPr="00175FB9">
        <w:rPr>
          <w:rFonts w:ascii="Arial" w:hAnsi="Arial" w:cs="Arial"/>
          <w:i/>
          <w:iCs/>
          <w:sz w:val="23"/>
          <w:szCs w:val="23"/>
        </w:rPr>
        <w:t>Data for Better Governance: Building Government Analytics Ecosystems in Latin America and the Caribbean</w:t>
      </w:r>
      <w:r w:rsidRPr="00175FB9">
        <w:rPr>
          <w:rFonts w:ascii="Arial" w:hAnsi="Arial" w:cs="Arial"/>
          <w:sz w:val="23"/>
          <w:szCs w:val="23"/>
        </w:rPr>
        <w:t xml:space="preserve">. Washington, DC: World Bank. Available at: </w:t>
      </w:r>
      <w:hyperlink r:id="rId23" w:history="1">
        <w:r w:rsidRPr="00175FB9">
          <w:rPr>
            <w:rStyle w:val="Hyperlink"/>
            <w:rFonts w:ascii="Arial" w:hAnsi="Arial" w:cs="Arial"/>
            <w:sz w:val="23"/>
            <w:szCs w:val="23"/>
          </w:rPr>
          <w:t>https://documents1.worldbank.org/curated/en/099112524084036561/pdf/P180454-6d9c7489-4a0a-401e-b09c-5b2d218d6628.pdf</w:t>
        </w:r>
      </w:hyperlink>
      <w:r w:rsidRPr="00175FB9">
        <w:rPr>
          <w:rFonts w:ascii="Arial" w:hAnsi="Arial" w:cs="Arial"/>
          <w:sz w:val="23"/>
          <w:szCs w:val="23"/>
        </w:rPr>
        <w:t xml:space="preserve"> </w:t>
      </w:r>
    </w:p>
    <w:p w14:paraId="3B61FEC5" w14:textId="77777777" w:rsidR="005D2E20" w:rsidRPr="00175FB9" w:rsidRDefault="005D2E20" w:rsidP="005D2E20">
      <w:pPr>
        <w:pStyle w:val="NoSpacing"/>
        <w:spacing w:line="360" w:lineRule="auto"/>
        <w:rPr>
          <w:rFonts w:ascii="Arial" w:hAnsi="Arial" w:cs="Arial"/>
          <w:sz w:val="23"/>
          <w:szCs w:val="23"/>
        </w:rPr>
      </w:pPr>
    </w:p>
    <w:p w14:paraId="3977996B" w14:textId="773CA33D" w:rsidR="005D2E20"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Su, Z., Yang, H. and Ai, J. (2023) ‘FPLV: Enhancing recommender systems with fuzzy preference, vector similarity, and user community for rating prediction’, </w:t>
      </w:r>
      <w:r w:rsidRPr="00175FB9">
        <w:rPr>
          <w:rFonts w:ascii="Arial" w:hAnsi="Arial" w:cs="Arial"/>
          <w:i/>
          <w:iCs/>
          <w:sz w:val="23"/>
          <w:szCs w:val="23"/>
        </w:rPr>
        <w:t>PLOS ONE</w:t>
      </w:r>
      <w:r w:rsidRPr="00175FB9">
        <w:rPr>
          <w:rFonts w:ascii="Arial" w:hAnsi="Arial" w:cs="Arial"/>
          <w:sz w:val="23"/>
          <w:szCs w:val="23"/>
        </w:rPr>
        <w:t xml:space="preserve">, 18(8), e0290622. Available at: </w:t>
      </w:r>
      <w:hyperlink r:id="rId24" w:history="1">
        <w:r w:rsidRPr="00175FB9">
          <w:rPr>
            <w:rStyle w:val="Hyperlink"/>
            <w:rFonts w:ascii="Arial" w:hAnsi="Arial" w:cs="Arial"/>
            <w:sz w:val="23"/>
            <w:szCs w:val="23"/>
          </w:rPr>
          <w:t>https://doi.org/10.1371/journal.pone.0290622</w:t>
        </w:r>
      </w:hyperlink>
      <w:r w:rsidRPr="00175FB9">
        <w:rPr>
          <w:rFonts w:ascii="Arial" w:hAnsi="Arial" w:cs="Arial"/>
          <w:sz w:val="23"/>
          <w:szCs w:val="23"/>
        </w:rPr>
        <w:t xml:space="preserve"> </w:t>
      </w:r>
    </w:p>
    <w:p w14:paraId="3C456D25" w14:textId="77777777" w:rsidR="005D2E20" w:rsidRPr="00175FB9" w:rsidRDefault="005D2E20" w:rsidP="005D2E20">
      <w:pPr>
        <w:pStyle w:val="NoSpacing"/>
        <w:spacing w:line="360" w:lineRule="auto"/>
        <w:rPr>
          <w:rFonts w:ascii="Arial" w:hAnsi="Arial" w:cs="Arial"/>
          <w:sz w:val="23"/>
          <w:szCs w:val="23"/>
        </w:rPr>
      </w:pPr>
    </w:p>
    <w:p w14:paraId="4579DAF1" w14:textId="07B657F4" w:rsidR="00A15A56" w:rsidRPr="00175FB9" w:rsidRDefault="005D2E20" w:rsidP="005D2E20">
      <w:pPr>
        <w:pStyle w:val="NoSpacing"/>
        <w:spacing w:line="360" w:lineRule="auto"/>
        <w:rPr>
          <w:rFonts w:ascii="Arial" w:hAnsi="Arial" w:cs="Arial"/>
          <w:sz w:val="23"/>
          <w:szCs w:val="23"/>
        </w:rPr>
      </w:pPr>
      <w:r w:rsidRPr="00175FB9">
        <w:rPr>
          <w:rFonts w:ascii="Arial" w:hAnsi="Arial" w:cs="Arial"/>
          <w:sz w:val="23"/>
          <w:szCs w:val="23"/>
        </w:rPr>
        <w:t xml:space="preserve">Syed, R., Eden, R., Makasi, T., Chukwudi, I., </w:t>
      </w:r>
      <w:proofErr w:type="spellStart"/>
      <w:r w:rsidRPr="00175FB9">
        <w:rPr>
          <w:rFonts w:ascii="Arial" w:hAnsi="Arial" w:cs="Arial"/>
          <w:sz w:val="23"/>
          <w:szCs w:val="23"/>
        </w:rPr>
        <w:t>Mamudu</w:t>
      </w:r>
      <w:proofErr w:type="spellEnd"/>
      <w:r w:rsidRPr="00175FB9">
        <w:rPr>
          <w:rFonts w:ascii="Arial" w:hAnsi="Arial" w:cs="Arial"/>
          <w:sz w:val="23"/>
          <w:szCs w:val="23"/>
        </w:rPr>
        <w:t xml:space="preserve">, A., </w:t>
      </w:r>
      <w:proofErr w:type="spellStart"/>
      <w:r w:rsidRPr="00175FB9">
        <w:rPr>
          <w:rFonts w:ascii="Arial" w:hAnsi="Arial" w:cs="Arial"/>
          <w:sz w:val="23"/>
          <w:szCs w:val="23"/>
        </w:rPr>
        <w:t>Kamalpour</w:t>
      </w:r>
      <w:proofErr w:type="spellEnd"/>
      <w:r w:rsidRPr="00175FB9">
        <w:rPr>
          <w:rFonts w:ascii="Arial" w:hAnsi="Arial" w:cs="Arial"/>
          <w:sz w:val="23"/>
          <w:szCs w:val="23"/>
        </w:rPr>
        <w:t xml:space="preserve">, M., </w:t>
      </w:r>
      <w:proofErr w:type="spellStart"/>
      <w:r w:rsidRPr="00175FB9">
        <w:rPr>
          <w:rFonts w:ascii="Arial" w:hAnsi="Arial" w:cs="Arial"/>
          <w:sz w:val="23"/>
          <w:szCs w:val="23"/>
        </w:rPr>
        <w:t>Kapugama</w:t>
      </w:r>
      <w:proofErr w:type="spellEnd"/>
      <w:r w:rsidRPr="00175FB9">
        <w:rPr>
          <w:rFonts w:ascii="Arial" w:hAnsi="Arial" w:cs="Arial"/>
          <w:sz w:val="23"/>
          <w:szCs w:val="23"/>
        </w:rPr>
        <w:t xml:space="preserve"> </w:t>
      </w:r>
      <w:proofErr w:type="spellStart"/>
      <w:r w:rsidRPr="00175FB9">
        <w:rPr>
          <w:rFonts w:ascii="Arial" w:hAnsi="Arial" w:cs="Arial"/>
          <w:sz w:val="23"/>
          <w:szCs w:val="23"/>
        </w:rPr>
        <w:t>Geeganage</w:t>
      </w:r>
      <w:proofErr w:type="spellEnd"/>
      <w:r w:rsidRPr="00175FB9">
        <w:rPr>
          <w:rFonts w:ascii="Arial" w:hAnsi="Arial" w:cs="Arial"/>
          <w:sz w:val="23"/>
          <w:szCs w:val="23"/>
        </w:rPr>
        <w:t xml:space="preserve">, D., </w:t>
      </w:r>
      <w:proofErr w:type="spellStart"/>
      <w:r w:rsidRPr="00175FB9">
        <w:rPr>
          <w:rFonts w:ascii="Arial" w:hAnsi="Arial" w:cs="Arial"/>
          <w:sz w:val="23"/>
          <w:szCs w:val="23"/>
        </w:rPr>
        <w:t>Sadeghianasl</w:t>
      </w:r>
      <w:proofErr w:type="spellEnd"/>
      <w:r w:rsidRPr="00175FB9">
        <w:rPr>
          <w:rFonts w:ascii="Arial" w:hAnsi="Arial" w:cs="Arial"/>
          <w:sz w:val="23"/>
          <w:szCs w:val="23"/>
        </w:rPr>
        <w:t xml:space="preserve">, S., Leemans, S.J.J., Goel, K., Andrews, R., Wynn, M.T., ter Hofstede, A. and Myers, T. (2023) ‘Digital health data quality issues: Systematic review’, </w:t>
      </w:r>
      <w:r w:rsidRPr="00175FB9">
        <w:rPr>
          <w:rFonts w:ascii="Arial" w:hAnsi="Arial" w:cs="Arial"/>
          <w:i/>
          <w:iCs/>
          <w:sz w:val="23"/>
          <w:szCs w:val="23"/>
        </w:rPr>
        <w:t>Journal of Medical Internet Research</w:t>
      </w:r>
      <w:r w:rsidRPr="00175FB9">
        <w:rPr>
          <w:rFonts w:ascii="Arial" w:hAnsi="Arial" w:cs="Arial"/>
          <w:sz w:val="23"/>
          <w:szCs w:val="23"/>
        </w:rPr>
        <w:t xml:space="preserve">, 25, e42615. Available at: </w:t>
      </w:r>
      <w:hyperlink r:id="rId25" w:history="1">
        <w:r w:rsidRPr="00175FB9">
          <w:rPr>
            <w:rStyle w:val="Hyperlink"/>
            <w:rFonts w:ascii="Arial" w:hAnsi="Arial" w:cs="Arial"/>
            <w:sz w:val="23"/>
            <w:szCs w:val="23"/>
          </w:rPr>
          <w:t>https://doi.org/10.2196/42615</w:t>
        </w:r>
      </w:hyperlink>
      <w:r w:rsidRPr="00175FB9">
        <w:rPr>
          <w:rFonts w:ascii="Arial" w:hAnsi="Arial" w:cs="Arial"/>
          <w:sz w:val="23"/>
          <w:szCs w:val="23"/>
        </w:rPr>
        <w:t xml:space="preserve"> </w:t>
      </w:r>
    </w:p>
    <w:sectPr w:rsidR="00A15A56" w:rsidRPr="00175FB9" w:rsidSect="003C7A54">
      <w:headerReference w:type="default" r:id="rId26"/>
      <w:pgSz w:w="11906" w:h="16838"/>
      <w:pgMar w:top="1440" w:right="1440" w:bottom="1440" w:left="1440" w:header="10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00767" w14:textId="77777777" w:rsidR="00781804" w:rsidRDefault="00781804">
      <w:pPr>
        <w:spacing w:after="0" w:line="240" w:lineRule="auto"/>
      </w:pPr>
      <w:r>
        <w:separator/>
      </w:r>
    </w:p>
  </w:endnote>
  <w:endnote w:type="continuationSeparator" w:id="0">
    <w:p w14:paraId="5843732E" w14:textId="77777777" w:rsidR="00781804" w:rsidRDefault="00781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EC6C2" w14:textId="77777777" w:rsidR="00781804" w:rsidRDefault="00781804">
      <w:pPr>
        <w:spacing w:after="0" w:line="240" w:lineRule="auto"/>
      </w:pPr>
      <w:r>
        <w:rPr>
          <w:color w:val="000000"/>
        </w:rPr>
        <w:separator/>
      </w:r>
    </w:p>
  </w:footnote>
  <w:footnote w:type="continuationSeparator" w:id="0">
    <w:p w14:paraId="1F3FA57E" w14:textId="77777777" w:rsidR="00781804" w:rsidRDefault="00781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9986D" w14:textId="44FF027F" w:rsidR="000214EA" w:rsidRDefault="003C7A54">
    <w:pPr>
      <w:pStyle w:val="Header"/>
    </w:pPr>
    <w:r w:rsidRPr="003C7A54">
      <w:rPr>
        <w:noProof/>
      </w:rPr>
      <w:drawing>
        <wp:anchor distT="0" distB="0" distL="114300" distR="114300" simplePos="0" relativeHeight="251658240" behindDoc="1" locked="0" layoutInCell="1" allowOverlap="1" wp14:anchorId="060F8D85" wp14:editId="41E05FED">
          <wp:simplePos x="0" y="0"/>
          <wp:positionH relativeFrom="margin">
            <wp:posOffset>4794766</wp:posOffset>
          </wp:positionH>
          <wp:positionV relativeFrom="paragraph">
            <wp:posOffset>-386080</wp:posOffset>
          </wp:positionV>
          <wp:extent cx="1605915" cy="641985"/>
          <wp:effectExtent l="0" t="0" r="0" b="5715"/>
          <wp:wrapTight wrapText="bothSides">
            <wp:wrapPolygon edited="0">
              <wp:start x="0" y="0"/>
              <wp:lineTo x="0" y="14742"/>
              <wp:lineTo x="2050" y="21151"/>
              <wp:lineTo x="17936" y="21151"/>
              <wp:lineTo x="21267" y="16024"/>
              <wp:lineTo x="21267" y="11537"/>
              <wp:lineTo x="19986" y="11537"/>
              <wp:lineTo x="20498" y="3205"/>
              <wp:lineTo x="19473" y="1282"/>
              <wp:lineTo x="15374" y="0"/>
              <wp:lineTo x="0" y="0"/>
            </wp:wrapPolygon>
          </wp:wrapTight>
          <wp:docPr id="947294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94786" name=""/>
                  <pic:cNvPicPr/>
                </pic:nvPicPr>
                <pic:blipFill>
                  <a:blip r:embed="rId1">
                    <a:extLst>
                      <a:ext uri="{28A0092B-C50C-407E-A947-70E740481C1C}">
                        <a14:useLocalDpi xmlns:a14="http://schemas.microsoft.com/office/drawing/2010/main" val="0"/>
                      </a:ext>
                    </a:extLst>
                  </a:blip>
                  <a:stretch>
                    <a:fillRect/>
                  </a:stretch>
                </pic:blipFill>
                <pic:spPr>
                  <a:xfrm>
                    <a:off x="0" y="0"/>
                    <a:ext cx="1605915" cy="6419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ECA"/>
    <w:multiLevelType w:val="hybridMultilevel"/>
    <w:tmpl w:val="91BC5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B01D1"/>
    <w:multiLevelType w:val="hybridMultilevel"/>
    <w:tmpl w:val="E0884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80C52"/>
    <w:multiLevelType w:val="hybridMultilevel"/>
    <w:tmpl w:val="9632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715238"/>
    <w:multiLevelType w:val="hybridMultilevel"/>
    <w:tmpl w:val="CDE6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12E71"/>
    <w:multiLevelType w:val="hybridMultilevel"/>
    <w:tmpl w:val="5756F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77BE"/>
    <w:multiLevelType w:val="multilevel"/>
    <w:tmpl w:val="05223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9020A67"/>
    <w:multiLevelType w:val="hybridMultilevel"/>
    <w:tmpl w:val="784C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81DCA"/>
    <w:multiLevelType w:val="hybridMultilevel"/>
    <w:tmpl w:val="1D7A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17D84"/>
    <w:multiLevelType w:val="hybridMultilevel"/>
    <w:tmpl w:val="0914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76933"/>
    <w:multiLevelType w:val="hybridMultilevel"/>
    <w:tmpl w:val="1952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44D23"/>
    <w:multiLevelType w:val="hybridMultilevel"/>
    <w:tmpl w:val="77B4D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F3691"/>
    <w:multiLevelType w:val="hybridMultilevel"/>
    <w:tmpl w:val="4AD6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35691B"/>
    <w:multiLevelType w:val="hybridMultilevel"/>
    <w:tmpl w:val="24649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B2E93"/>
    <w:multiLevelType w:val="hybridMultilevel"/>
    <w:tmpl w:val="D7BA7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10BD0"/>
    <w:multiLevelType w:val="hybridMultilevel"/>
    <w:tmpl w:val="ACE0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531C6"/>
    <w:multiLevelType w:val="hybridMultilevel"/>
    <w:tmpl w:val="53EE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C1D76"/>
    <w:multiLevelType w:val="hybridMultilevel"/>
    <w:tmpl w:val="CCF67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C20262"/>
    <w:multiLevelType w:val="hybridMultilevel"/>
    <w:tmpl w:val="127A2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B4547"/>
    <w:multiLevelType w:val="hybridMultilevel"/>
    <w:tmpl w:val="E9A6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455B0"/>
    <w:multiLevelType w:val="hybridMultilevel"/>
    <w:tmpl w:val="12908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C612BB"/>
    <w:multiLevelType w:val="hybridMultilevel"/>
    <w:tmpl w:val="96D87AA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8685248"/>
    <w:multiLevelType w:val="hybridMultilevel"/>
    <w:tmpl w:val="B570F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0655BC8"/>
    <w:multiLevelType w:val="hybridMultilevel"/>
    <w:tmpl w:val="A73A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1342F"/>
    <w:multiLevelType w:val="hybridMultilevel"/>
    <w:tmpl w:val="4CBAD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2565743"/>
    <w:multiLevelType w:val="hybridMultilevel"/>
    <w:tmpl w:val="CD32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E5F40"/>
    <w:multiLevelType w:val="hybridMultilevel"/>
    <w:tmpl w:val="DB6A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905F2B"/>
    <w:multiLevelType w:val="hybridMultilevel"/>
    <w:tmpl w:val="8F342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6D40FEB"/>
    <w:multiLevelType w:val="hybridMultilevel"/>
    <w:tmpl w:val="BCC2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E2073C"/>
    <w:multiLevelType w:val="hybridMultilevel"/>
    <w:tmpl w:val="91A29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B64830"/>
    <w:multiLevelType w:val="hybridMultilevel"/>
    <w:tmpl w:val="374842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0E3584"/>
    <w:multiLevelType w:val="hybridMultilevel"/>
    <w:tmpl w:val="9B06B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F01590"/>
    <w:multiLevelType w:val="hybridMultilevel"/>
    <w:tmpl w:val="F478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1523F2"/>
    <w:multiLevelType w:val="hybridMultilevel"/>
    <w:tmpl w:val="4B80D7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843919"/>
    <w:multiLevelType w:val="hybridMultilevel"/>
    <w:tmpl w:val="BD84E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701998"/>
    <w:multiLevelType w:val="hybridMultilevel"/>
    <w:tmpl w:val="07DE3C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15A05"/>
    <w:multiLevelType w:val="hybridMultilevel"/>
    <w:tmpl w:val="76DE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6F01BB"/>
    <w:multiLevelType w:val="hybridMultilevel"/>
    <w:tmpl w:val="FE3C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330A62"/>
    <w:multiLevelType w:val="hybridMultilevel"/>
    <w:tmpl w:val="F7B4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724910">
    <w:abstractNumId w:val="5"/>
  </w:num>
  <w:num w:numId="2" w16cid:durableId="1130628685">
    <w:abstractNumId w:val="15"/>
  </w:num>
  <w:num w:numId="3" w16cid:durableId="1580093966">
    <w:abstractNumId w:val="36"/>
  </w:num>
  <w:num w:numId="4" w16cid:durableId="1613514985">
    <w:abstractNumId w:val="35"/>
  </w:num>
  <w:num w:numId="5" w16cid:durableId="1055008887">
    <w:abstractNumId w:val="0"/>
  </w:num>
  <w:num w:numId="6" w16cid:durableId="1430390323">
    <w:abstractNumId w:val="25"/>
  </w:num>
  <w:num w:numId="7" w16cid:durableId="1848015997">
    <w:abstractNumId w:val="28"/>
  </w:num>
  <w:num w:numId="8" w16cid:durableId="231744384">
    <w:abstractNumId w:val="3"/>
  </w:num>
  <w:num w:numId="9" w16cid:durableId="2036618022">
    <w:abstractNumId w:val="24"/>
  </w:num>
  <w:num w:numId="10" w16cid:durableId="69088462">
    <w:abstractNumId w:val="9"/>
  </w:num>
  <w:num w:numId="11" w16cid:durableId="472724330">
    <w:abstractNumId w:val="14"/>
  </w:num>
  <w:num w:numId="12" w16cid:durableId="780148309">
    <w:abstractNumId w:val="16"/>
  </w:num>
  <w:num w:numId="13" w16cid:durableId="435366508">
    <w:abstractNumId w:val="7"/>
  </w:num>
  <w:num w:numId="14" w16cid:durableId="678508822">
    <w:abstractNumId w:val="19"/>
  </w:num>
  <w:num w:numId="15" w16cid:durableId="240331735">
    <w:abstractNumId w:val="27"/>
  </w:num>
  <w:num w:numId="16" w16cid:durableId="596836986">
    <w:abstractNumId w:val="37"/>
  </w:num>
  <w:num w:numId="17" w16cid:durableId="1005086405">
    <w:abstractNumId w:val="11"/>
  </w:num>
  <w:num w:numId="18" w16cid:durableId="91631892">
    <w:abstractNumId w:val="33"/>
  </w:num>
  <w:num w:numId="19" w16cid:durableId="1584299570">
    <w:abstractNumId w:val="8"/>
  </w:num>
  <w:num w:numId="20" w16cid:durableId="2056617973">
    <w:abstractNumId w:val="1"/>
  </w:num>
  <w:num w:numId="21" w16cid:durableId="1759860333">
    <w:abstractNumId w:val="22"/>
  </w:num>
  <w:num w:numId="22" w16cid:durableId="1378165744">
    <w:abstractNumId w:val="4"/>
  </w:num>
  <w:num w:numId="23" w16cid:durableId="1379010053">
    <w:abstractNumId w:val="10"/>
  </w:num>
  <w:num w:numId="24" w16cid:durableId="1015233356">
    <w:abstractNumId w:val="12"/>
  </w:num>
  <w:num w:numId="25" w16cid:durableId="1529368890">
    <w:abstractNumId w:val="6"/>
  </w:num>
  <w:num w:numId="26" w16cid:durableId="1284076898">
    <w:abstractNumId w:val="13"/>
  </w:num>
  <w:num w:numId="27" w16cid:durableId="462305821">
    <w:abstractNumId w:val="18"/>
  </w:num>
  <w:num w:numId="28" w16cid:durableId="1102456946">
    <w:abstractNumId w:val="34"/>
  </w:num>
  <w:num w:numId="29" w16cid:durableId="612708411">
    <w:abstractNumId w:val="17"/>
  </w:num>
  <w:num w:numId="30" w16cid:durableId="855271582">
    <w:abstractNumId w:val="32"/>
  </w:num>
  <w:num w:numId="31" w16cid:durableId="767770132">
    <w:abstractNumId w:val="29"/>
  </w:num>
  <w:num w:numId="32" w16cid:durableId="2082553938">
    <w:abstractNumId w:val="31"/>
  </w:num>
  <w:num w:numId="33" w16cid:durableId="1126584074">
    <w:abstractNumId w:val="2"/>
  </w:num>
  <w:num w:numId="34" w16cid:durableId="1489328352">
    <w:abstractNumId w:val="23"/>
  </w:num>
  <w:num w:numId="35" w16cid:durableId="825048653">
    <w:abstractNumId w:val="21"/>
  </w:num>
  <w:num w:numId="36" w16cid:durableId="1728604409">
    <w:abstractNumId w:val="26"/>
  </w:num>
  <w:num w:numId="37" w16cid:durableId="1224681597">
    <w:abstractNumId w:val="30"/>
  </w:num>
  <w:num w:numId="38" w16cid:durableId="6389937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D4"/>
    <w:rsid w:val="00000F0A"/>
    <w:rsid w:val="000114F4"/>
    <w:rsid w:val="000214EA"/>
    <w:rsid w:val="00053588"/>
    <w:rsid w:val="00110789"/>
    <w:rsid w:val="00115AD8"/>
    <w:rsid w:val="00175FB9"/>
    <w:rsid w:val="001E5FDA"/>
    <w:rsid w:val="00211DDB"/>
    <w:rsid w:val="00245F11"/>
    <w:rsid w:val="002505C2"/>
    <w:rsid w:val="00294019"/>
    <w:rsid w:val="002D1C85"/>
    <w:rsid w:val="0032696C"/>
    <w:rsid w:val="00336CB6"/>
    <w:rsid w:val="003402E9"/>
    <w:rsid w:val="00342C95"/>
    <w:rsid w:val="00346EB6"/>
    <w:rsid w:val="0039374C"/>
    <w:rsid w:val="003B43B6"/>
    <w:rsid w:val="003C7A54"/>
    <w:rsid w:val="0041619E"/>
    <w:rsid w:val="00451AB0"/>
    <w:rsid w:val="004719A0"/>
    <w:rsid w:val="00471C9E"/>
    <w:rsid w:val="00495DDC"/>
    <w:rsid w:val="005315FA"/>
    <w:rsid w:val="005C4E7E"/>
    <w:rsid w:val="005D2E20"/>
    <w:rsid w:val="005D3634"/>
    <w:rsid w:val="005E3304"/>
    <w:rsid w:val="005E363A"/>
    <w:rsid w:val="005F50F2"/>
    <w:rsid w:val="005F6CFD"/>
    <w:rsid w:val="00666CAC"/>
    <w:rsid w:val="00686CE4"/>
    <w:rsid w:val="006C07D4"/>
    <w:rsid w:val="00762785"/>
    <w:rsid w:val="00781804"/>
    <w:rsid w:val="00793D9F"/>
    <w:rsid w:val="007A1FD8"/>
    <w:rsid w:val="007D1A6D"/>
    <w:rsid w:val="00802DE7"/>
    <w:rsid w:val="0085192F"/>
    <w:rsid w:val="008C46B1"/>
    <w:rsid w:val="008F6E33"/>
    <w:rsid w:val="00924885"/>
    <w:rsid w:val="009427DB"/>
    <w:rsid w:val="009770E5"/>
    <w:rsid w:val="009D0806"/>
    <w:rsid w:val="009E76E7"/>
    <w:rsid w:val="00A15A56"/>
    <w:rsid w:val="00A22998"/>
    <w:rsid w:val="00A27929"/>
    <w:rsid w:val="00A36105"/>
    <w:rsid w:val="00AC3983"/>
    <w:rsid w:val="00AD2076"/>
    <w:rsid w:val="00AF5FF8"/>
    <w:rsid w:val="00B07F0E"/>
    <w:rsid w:val="00B372B8"/>
    <w:rsid w:val="00B40DE8"/>
    <w:rsid w:val="00B65F11"/>
    <w:rsid w:val="00B75941"/>
    <w:rsid w:val="00BC79C4"/>
    <w:rsid w:val="00BF3A53"/>
    <w:rsid w:val="00C077A9"/>
    <w:rsid w:val="00C12ECC"/>
    <w:rsid w:val="00C5079D"/>
    <w:rsid w:val="00C720DF"/>
    <w:rsid w:val="00CC35AC"/>
    <w:rsid w:val="00CC414E"/>
    <w:rsid w:val="00DB02CE"/>
    <w:rsid w:val="00E62593"/>
    <w:rsid w:val="00E745F1"/>
    <w:rsid w:val="00F473C8"/>
    <w:rsid w:val="00F91EA9"/>
    <w:rsid w:val="00FC55C6"/>
    <w:rsid w:val="00FD2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10CD5"/>
  <w15:docId w15:val="{8721FB1E-911D-418F-9203-2EE0A4C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Heading2"/>
    <w:next w:val="Normal"/>
    <w:link w:val="Heading1Char"/>
    <w:uiPriority w:val="9"/>
    <w:qFormat/>
    <w:rsid w:val="005D2E20"/>
    <w:pPr>
      <w:jc w:val="center"/>
      <w:outlineLvl w:val="0"/>
    </w:pPr>
    <w:rPr>
      <w:b/>
    </w:rPr>
  </w:style>
  <w:style w:type="paragraph" w:styleId="Heading2">
    <w:name w:val="heading 2"/>
    <w:basedOn w:val="Normal"/>
    <w:next w:val="Normal"/>
    <w:link w:val="Heading2Char"/>
    <w:uiPriority w:val="9"/>
    <w:unhideWhenUsed/>
    <w:qFormat/>
    <w:rsid w:val="005D2E20"/>
    <w:pPr>
      <w:spacing w:line="360" w:lineRule="auto"/>
      <w:outlineLvl w:val="1"/>
    </w:pPr>
    <w:rPr>
      <w:rFonts w:ascii="Arial" w:hAnsi="Arial" w:cs="Arial"/>
      <w:sz w:val="30"/>
      <w:szCs w:val="30"/>
      <w:u w:val="single"/>
    </w:rPr>
  </w:style>
  <w:style w:type="paragraph" w:styleId="Heading3">
    <w:name w:val="heading 3"/>
    <w:basedOn w:val="Normal"/>
    <w:next w:val="Normal"/>
    <w:link w:val="Heading3Char"/>
    <w:uiPriority w:val="9"/>
    <w:unhideWhenUsed/>
    <w:qFormat/>
    <w:rsid w:val="00110789"/>
    <w:pPr>
      <w:keepNext/>
      <w:keepLines/>
      <w:spacing w:before="40" w:after="0" w:line="360" w:lineRule="auto"/>
      <w:outlineLvl w:val="2"/>
    </w:pPr>
    <w:rPr>
      <w:rFonts w:asciiTheme="majorHAnsi" w:eastAsiaTheme="majorEastAsia" w:hAnsiTheme="majorHAnsi" w:cstheme="majorBidi"/>
      <w:b/>
      <w:bCs/>
      <w:sz w:val="28"/>
      <w:szCs w:val="2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customStyle="1" w:styleId="Heading2Char">
    <w:name w:val="Heading 2 Char"/>
    <w:basedOn w:val="DefaultParagraphFont"/>
    <w:link w:val="Heading2"/>
    <w:uiPriority w:val="9"/>
    <w:rsid w:val="005D2E20"/>
    <w:rPr>
      <w:rFonts w:ascii="Arial" w:hAnsi="Arial" w:cs="Arial"/>
      <w:sz w:val="30"/>
      <w:szCs w:val="30"/>
      <w:u w:val="single"/>
    </w:rPr>
  </w:style>
  <w:style w:type="character" w:customStyle="1" w:styleId="Heading1Char">
    <w:name w:val="Heading 1 Char"/>
    <w:basedOn w:val="DefaultParagraphFont"/>
    <w:link w:val="Heading1"/>
    <w:uiPriority w:val="9"/>
    <w:rsid w:val="005D2E20"/>
    <w:rPr>
      <w:rFonts w:ascii="Arial" w:hAnsi="Arial" w:cs="Arial"/>
      <w:b/>
      <w:sz w:val="32"/>
      <w:szCs w:val="20"/>
      <w:u w:val="single"/>
    </w:rPr>
  </w:style>
  <w:style w:type="character" w:customStyle="1" w:styleId="Heading3Char">
    <w:name w:val="Heading 3 Char"/>
    <w:basedOn w:val="DefaultParagraphFont"/>
    <w:link w:val="Heading3"/>
    <w:uiPriority w:val="9"/>
    <w:rsid w:val="00110789"/>
    <w:rPr>
      <w:rFonts w:asciiTheme="majorHAnsi" w:eastAsiaTheme="majorEastAsia" w:hAnsiTheme="majorHAnsi" w:cstheme="majorBidi"/>
      <w:b/>
      <w:bCs/>
      <w:sz w:val="28"/>
      <w:szCs w:val="28"/>
      <w:u w:val="single"/>
    </w:rPr>
  </w:style>
  <w:style w:type="paragraph" w:styleId="TOCHeading">
    <w:name w:val="TOC Heading"/>
    <w:basedOn w:val="Heading1"/>
    <w:next w:val="Normal"/>
    <w:uiPriority w:val="39"/>
    <w:unhideWhenUsed/>
    <w:qFormat/>
    <w:rsid w:val="00C720DF"/>
    <w:pPr>
      <w:suppressAutoHyphens w:val="0"/>
      <w:autoSpaceDN/>
      <w:spacing w:line="259" w:lineRule="auto"/>
      <w:textAlignment w:val="auto"/>
      <w:outlineLvl w:val="9"/>
    </w:pPr>
    <w:rPr>
      <w:kern w:val="0"/>
      <w:lang w:val="en-US"/>
    </w:rPr>
  </w:style>
  <w:style w:type="paragraph" w:styleId="TOC2">
    <w:name w:val="toc 2"/>
    <w:basedOn w:val="Normal"/>
    <w:next w:val="Normal"/>
    <w:autoRedefine/>
    <w:uiPriority w:val="39"/>
    <w:unhideWhenUsed/>
    <w:rsid w:val="00C720DF"/>
    <w:pPr>
      <w:spacing w:after="100"/>
      <w:ind w:left="220"/>
    </w:pPr>
  </w:style>
  <w:style w:type="paragraph" w:styleId="TOC1">
    <w:name w:val="toc 1"/>
    <w:basedOn w:val="Normal"/>
    <w:next w:val="Normal"/>
    <w:autoRedefine/>
    <w:uiPriority w:val="39"/>
    <w:unhideWhenUsed/>
    <w:rsid w:val="008C46B1"/>
    <w:pPr>
      <w:tabs>
        <w:tab w:val="right" w:leader="dot" w:pos="9016"/>
      </w:tabs>
      <w:spacing w:after="100"/>
    </w:pPr>
  </w:style>
  <w:style w:type="paragraph" w:styleId="TOC3">
    <w:name w:val="toc 3"/>
    <w:basedOn w:val="Normal"/>
    <w:next w:val="Normal"/>
    <w:autoRedefine/>
    <w:uiPriority w:val="39"/>
    <w:unhideWhenUsed/>
    <w:rsid w:val="00C720DF"/>
    <w:pPr>
      <w:spacing w:after="100"/>
      <w:ind w:left="440"/>
    </w:pPr>
  </w:style>
  <w:style w:type="character" w:styleId="Hyperlink">
    <w:name w:val="Hyperlink"/>
    <w:basedOn w:val="DefaultParagraphFont"/>
    <w:uiPriority w:val="99"/>
    <w:unhideWhenUsed/>
    <w:rsid w:val="00C720DF"/>
    <w:rPr>
      <w:color w:val="0563C1" w:themeColor="hyperlink"/>
      <w:u w:val="single"/>
    </w:rPr>
  </w:style>
  <w:style w:type="character" w:styleId="UnresolvedMention">
    <w:name w:val="Unresolved Mention"/>
    <w:basedOn w:val="DefaultParagraphFont"/>
    <w:uiPriority w:val="99"/>
    <w:semiHidden/>
    <w:unhideWhenUsed/>
    <w:rsid w:val="00110789"/>
    <w:rPr>
      <w:color w:val="605E5C"/>
      <w:shd w:val="clear" w:color="auto" w:fill="E1DFDD"/>
    </w:rPr>
  </w:style>
  <w:style w:type="table" w:styleId="GridTable5Dark-Accent5">
    <w:name w:val="Grid Table 5 Dark Accent 5"/>
    <w:basedOn w:val="TableNormal"/>
    <w:uiPriority w:val="50"/>
    <w:rsid w:val="00B65F11"/>
    <w:pPr>
      <w:autoSpaceDN/>
      <w:spacing w:after="0" w:line="240" w:lineRule="auto"/>
      <w:textAlignment w:val="auto"/>
    </w:pPr>
    <w:rPr>
      <w:rFonts w:asciiTheme="minorHAnsi" w:eastAsiaTheme="minorHAnsi" w:hAnsiTheme="minorHAnsi" w:cstheme="minorBidi"/>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NoSpacing">
    <w:name w:val="No Spacing"/>
    <w:uiPriority w:val="1"/>
    <w:qFormat/>
    <w:rsid w:val="00B65F11"/>
    <w:pPr>
      <w:suppressAutoHyphens/>
      <w:spacing w:after="0" w:line="240" w:lineRule="auto"/>
    </w:pPr>
  </w:style>
  <w:style w:type="table" w:styleId="GridTable4-Accent2">
    <w:name w:val="Grid Table 4 Accent 2"/>
    <w:basedOn w:val="TableNormal"/>
    <w:uiPriority w:val="49"/>
    <w:rsid w:val="008C46B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89/fdata.2022.850611" TargetMode="External"/><Relationship Id="rId18" Type="http://schemas.openxmlformats.org/officeDocument/2006/relationships/hyperlink" Target="https://doi.org/10.3390/e2504057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3390/su151511721" TargetMode="External"/><Relationship Id="rId7" Type="http://schemas.openxmlformats.org/officeDocument/2006/relationships/image" Target="media/image1.png"/><Relationship Id="rId12" Type="http://schemas.openxmlformats.org/officeDocument/2006/relationships/hyperlink" Target="https://doi.org/10.1371/journal.pone.0266103" TargetMode="External"/><Relationship Id="rId17" Type="http://schemas.openxmlformats.org/officeDocument/2006/relationships/hyperlink" Target="https://doi.org/10.1371/journal.pone.0278937" TargetMode="External"/><Relationship Id="rId25" Type="http://schemas.openxmlformats.org/officeDocument/2006/relationships/hyperlink" Target="https://doi.org/10.2196/42615" TargetMode="External"/><Relationship Id="rId2" Type="http://schemas.openxmlformats.org/officeDocument/2006/relationships/styles" Target="styles.xml"/><Relationship Id="rId16" Type="http://schemas.openxmlformats.org/officeDocument/2006/relationships/hyperlink" Target="https://doi.org/10.3389/fpsyg.2022.948764" TargetMode="External"/><Relationship Id="rId20" Type="http://schemas.openxmlformats.org/officeDocument/2006/relationships/hyperlink" Target="https://doi.org/10.3389/fcomm.2025.16056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data.2022.871897" TargetMode="External"/><Relationship Id="rId24" Type="http://schemas.openxmlformats.org/officeDocument/2006/relationships/hyperlink" Target="https://doi.org/10.1371/journal.pone.0290622" TargetMode="External"/><Relationship Id="rId5" Type="http://schemas.openxmlformats.org/officeDocument/2006/relationships/footnotes" Target="footnotes.xml"/><Relationship Id="rId15" Type="http://schemas.openxmlformats.org/officeDocument/2006/relationships/hyperlink" Target="https://doi.org/10.3390/journalmedia4040076" TargetMode="External"/><Relationship Id="rId23" Type="http://schemas.openxmlformats.org/officeDocument/2006/relationships/hyperlink" Target="https://documents1.worldbank.org/curated/en/099112524084036561/pdf/P180454-6d9c7489-4a0a-401e-b09c-5b2d218d6628.pdf"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3389/fdata.2023.128161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89/frai.2022.974180" TargetMode="External"/><Relationship Id="rId22" Type="http://schemas.openxmlformats.org/officeDocument/2006/relationships/hyperlink" Target="https://doi.org/10.3389/fdata.2022.821103"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2899</Words>
  <Characters>16526</Characters>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terms:created xsi:type="dcterms:W3CDTF">2026-03-15T13:16:00Z</dcterms:created>
  <dcterms:modified xsi:type="dcterms:W3CDTF">2026-04-18T11:38:00Z</dcterms:modified>
</cp:coreProperties>
</file>