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header.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337A25" w:rsidRDefault="00BB558E" w14:paraId="4248179B" w14:textId="43C01BE2">
      <w:pPr>
        <w:spacing w:before="240" w:after="240" w:line="360" w:lineRule="auto"/>
        <w:jc w:val="center"/>
        <w:rPr>
          <w:b w:val="1"/>
          <w:bCs w:val="1"/>
        </w:rPr>
      </w:pPr>
      <w:r w:rsidRPr="00A406E5">
        <w:rPr>
          <w:noProof/>
        </w:rPr>
        <w:drawing>
          <wp:anchor distT="0" distB="0" distL="114300" distR="114300" simplePos="0" relativeHeight="251659264" behindDoc="0" locked="0" layoutInCell="1" allowOverlap="1" wp14:anchorId="7A5EFD35" wp14:editId="0A63B7CF">
            <wp:simplePos x="0" y="0"/>
            <wp:positionH relativeFrom="column">
              <wp:posOffset>1860550</wp:posOffset>
            </wp:positionH>
            <wp:positionV relativeFrom="paragraph">
              <wp:posOffset>0</wp:posOffset>
            </wp:positionV>
            <wp:extent cx="4567882" cy="1608447"/>
            <wp:effectExtent l="152400" t="38100" r="328295" b="182880"/>
            <wp:wrapSquare wrapText="bothSides"/>
            <wp:docPr id="1143831632" name="Picture 1143831632" descr="Discover University of Wales Trinity Saint David"/>
            <wp:cNvGraphicFramePr/>
            <a:graphic xmlns:a="http://schemas.openxmlformats.org/drawingml/2006/main">
              <a:graphicData xmlns:a="http://schemas.openxmlformats.org/drawingml/2006/main" uri="http://schemas.openxmlformats.org/drawingml/2006/picture">
                <pic:pic xmlns:pic="http://schemas.openxmlformats.org/drawingml/2006/picture">
                  <pic:nvPicPr>
                    <pic:cNvPr id="1" name="Picture 1" descr="Discover University of Wales Trinity Saint David"/>
                    <pic:cNvPicPr/>
                  </pic:nvPicPr>
                  <pic:blipFill>
                    <a:blip xmlns:r="http://schemas.openxmlformats.org/officeDocument/2006/relationships" r:embed="rId11">
                      <a:extLst>
                        <a:ext uri="{28A0092B-C50C-407E-A947-70E740481C1C}">
                          <a14:useLocalDpi xmlns:a14="http://schemas.microsoft.com/office/drawing/2010/main" val="0"/>
                        </a:ext>
                      </a:extLst>
                    </a:blip>
                    <a:srcRect/>
                    <a:stretch>
                      <a:fillRect/>
                    </a:stretch>
                  </pic:blipFill>
                  <pic:spPr bwMode="auto">
                    <a:xfrm>
                      <a:off x="0" y="0"/>
                      <a:ext cx="4567882" cy="1608447"/>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rsidR="00BB558E" w:rsidRDefault="00BB558E" w14:paraId="6FEB4042" w14:textId="1DCFB5D5">
      <w:pPr>
        <w:spacing w:before="240" w:after="240" w:line="360" w:lineRule="auto"/>
        <w:jc w:val="center"/>
        <w:rPr>
          <w:b w:val="1"/>
          <w:bCs w:val="1"/>
          <w:sz w:val="32"/>
          <w:szCs w:val="32"/>
        </w:rPr>
      </w:pPr>
      <w:r w:rsidRPr="0B074D18" w:rsidR="00124A78">
        <w:rPr>
          <w:b w:val="1"/>
          <w:bCs w:val="1"/>
          <w:sz w:val="32"/>
          <w:szCs w:val="32"/>
        </w:rPr>
        <w:t xml:space="preserve"> </w:t>
      </w:r>
      <w:r w:rsidRPr="0B074D18" w:rsidR="000670ED">
        <w:rPr>
          <w:b w:val="1"/>
          <w:bCs w:val="1"/>
          <w:sz w:val="32"/>
          <w:szCs w:val="32"/>
        </w:rPr>
        <w:t xml:space="preserve">Module: </w:t>
      </w:r>
      <w:r w:rsidRPr="0B074D18" w:rsidR="00124A78">
        <w:rPr>
          <w:b w:val="0"/>
          <w:bCs w:val="0"/>
          <w:sz w:val="32"/>
          <w:szCs w:val="32"/>
        </w:rPr>
        <w:t>Introduction to Independent Research Skills</w:t>
      </w:r>
    </w:p>
    <w:p w:rsidR="00BB558E" w:rsidP="0B074D18" w:rsidRDefault="00BB558E" w14:paraId="206EF8D1" w14:textId="6F224129">
      <w:pPr>
        <w:spacing w:before="240" w:after="240" w:line="360" w:lineRule="auto"/>
        <w:jc w:val="center"/>
        <w:rPr>
          <w:sz w:val="32"/>
          <w:szCs w:val="32"/>
          <w:lang w:val="en-US"/>
        </w:rPr>
      </w:pPr>
      <w:r w:rsidRPr="0B074D18" w:rsidR="38F5D56B">
        <w:rPr>
          <w:b w:val="1"/>
          <w:bCs w:val="1"/>
          <w:sz w:val="32"/>
          <w:szCs w:val="32"/>
          <w:lang w:val="en-US"/>
        </w:rPr>
        <w:t xml:space="preserve">Assignment Title: </w:t>
      </w:r>
      <w:r w:rsidRPr="0B074D18" w:rsidR="00124A78">
        <w:rPr>
          <w:b w:val="0"/>
          <w:bCs w:val="0"/>
          <w:sz w:val="32"/>
          <w:szCs w:val="32"/>
          <w:lang w:val="en-US"/>
        </w:rPr>
        <w:t>Component</w:t>
      </w:r>
      <w:r w:rsidRPr="0B074D18" w:rsidR="00124A78">
        <w:rPr>
          <w:b w:val="0"/>
          <w:bCs w:val="0"/>
          <w:sz w:val="32"/>
          <w:szCs w:val="32"/>
          <w:lang w:val="en-US"/>
        </w:rPr>
        <w:t xml:space="preserve"> 2:</w:t>
      </w:r>
      <w:r w:rsidRPr="0B074D18" w:rsidR="00124A78">
        <w:rPr>
          <w:b w:val="1"/>
          <w:bCs w:val="1"/>
          <w:sz w:val="32"/>
          <w:szCs w:val="32"/>
          <w:lang w:val="en-US"/>
        </w:rPr>
        <w:t xml:space="preserve"> </w:t>
      </w:r>
      <w:r w:rsidRPr="0B074D18" w:rsidR="00124A78">
        <w:rPr>
          <w:sz w:val="32"/>
          <w:szCs w:val="32"/>
          <w:lang w:val="en-US"/>
        </w:rPr>
        <w:t>Written Assignment (Research Report)</w:t>
      </w:r>
    </w:p>
    <w:p w:rsidR="00337A25" w:rsidP="23EE1487" w:rsidRDefault="00124A78" w14:paraId="09060BF9" w14:textId="7EAB3881">
      <w:pPr>
        <w:spacing w:before="240" w:after="240" w:line="360" w:lineRule="auto"/>
        <w:jc w:val="center"/>
        <w:rPr>
          <w:sz w:val="32"/>
          <w:szCs w:val="32"/>
        </w:rPr>
      </w:pPr>
      <w:r w:rsidRPr="23EE1487" w:rsidR="00124A78">
        <w:rPr>
          <w:b w:val="1"/>
          <w:bCs w:val="1"/>
          <w:sz w:val="32"/>
          <w:szCs w:val="32"/>
        </w:rPr>
        <w:t xml:space="preserve">Student Name: </w:t>
      </w:r>
      <w:r w:rsidRPr="23EE1487" w:rsidR="00124A78">
        <w:rPr>
          <w:sz w:val="32"/>
          <w:szCs w:val="32"/>
        </w:rPr>
        <w:t>Robert Nzeyimana</w:t>
      </w:r>
    </w:p>
    <w:p w:rsidR="00337A25" w:rsidP="4CBDD32D" w:rsidRDefault="00124A78" w14:paraId="424817A2" w14:textId="329B36FD">
      <w:pPr>
        <w:spacing w:before="240" w:after="240" w:line="360" w:lineRule="auto"/>
        <w:jc w:val="center"/>
        <w:rPr>
          <w:b w:val="1"/>
          <w:bCs w:val="1"/>
          <w:sz w:val="28"/>
          <w:szCs w:val="28"/>
        </w:rPr>
      </w:pPr>
      <w:r w:rsidRPr="0B074D18" w:rsidR="6D2F5AE5">
        <w:rPr>
          <w:b w:val="1"/>
          <w:bCs w:val="1"/>
          <w:sz w:val="28"/>
          <w:szCs w:val="28"/>
        </w:rPr>
        <w:t>Stu</w:t>
      </w:r>
      <w:r w:rsidRPr="0B074D18" w:rsidR="00124A78">
        <w:rPr>
          <w:b w:val="1"/>
          <w:bCs w:val="1"/>
          <w:sz w:val="28"/>
          <w:szCs w:val="28"/>
        </w:rPr>
        <w:t>dent Number:</w:t>
      </w:r>
      <w:r w:rsidRPr="0B074D18" w:rsidR="7E3A4A24">
        <w:rPr>
          <w:b w:val="1"/>
          <w:bCs w:val="1"/>
          <w:sz w:val="28"/>
          <w:szCs w:val="28"/>
        </w:rPr>
        <w:t xml:space="preserve"> </w:t>
      </w:r>
      <w:r w:rsidRPr="0B074D18" w:rsidR="13F9981F">
        <w:rPr>
          <w:b w:val="0"/>
          <w:bCs w:val="0"/>
          <w:sz w:val="28"/>
          <w:szCs w:val="28"/>
        </w:rPr>
        <w:t>2</w:t>
      </w:r>
      <w:r w:rsidRPr="0B074D18" w:rsidR="13F9981F">
        <w:rPr>
          <w:b w:val="0"/>
          <w:bCs w:val="0"/>
          <w:sz w:val="28"/>
          <w:szCs w:val="28"/>
        </w:rPr>
        <w:t>329949</w:t>
      </w:r>
      <w:r w:rsidRPr="0B074D18" w:rsidR="13F9981F">
        <w:rPr>
          <w:b w:val="1"/>
          <w:bCs w:val="1"/>
          <w:sz w:val="28"/>
          <w:szCs w:val="28"/>
        </w:rPr>
        <w:t xml:space="preserve">          </w:t>
      </w:r>
    </w:p>
    <w:p w:rsidR="00BB558E" w:rsidP="0B074D18" w:rsidRDefault="00BB558E" w14:paraId="32AE8E11" w14:textId="2D010359">
      <w:pPr>
        <w:spacing w:before="240" w:after="240" w:line="360" w:lineRule="auto"/>
        <w:jc w:val="center"/>
        <w:rPr>
          <w:b w:val="1"/>
          <w:bCs w:val="1"/>
          <w:sz w:val="36"/>
          <w:szCs w:val="36"/>
          <w:lang w:val="en-US"/>
        </w:rPr>
      </w:pPr>
      <w:r w:rsidRPr="0B074D18" w:rsidR="2C005E39">
        <w:rPr>
          <w:b w:val="1"/>
          <w:bCs w:val="1"/>
          <w:sz w:val="28"/>
          <w:szCs w:val="28"/>
          <w:lang w:val="en-US"/>
        </w:rPr>
        <w:t>Le</w:t>
      </w:r>
      <w:r w:rsidRPr="0B074D18" w:rsidR="11399FE3">
        <w:rPr>
          <w:b w:val="1"/>
          <w:bCs w:val="1"/>
          <w:sz w:val="28"/>
          <w:szCs w:val="28"/>
          <w:lang w:val="en-US"/>
        </w:rPr>
        <w:t>c</w:t>
      </w:r>
      <w:r w:rsidRPr="0B074D18" w:rsidR="3166BE13">
        <w:rPr>
          <w:b w:val="1"/>
          <w:bCs w:val="1"/>
          <w:sz w:val="28"/>
          <w:szCs w:val="28"/>
          <w:lang w:val="en-US"/>
        </w:rPr>
        <w:t>turer</w:t>
      </w:r>
      <w:r w:rsidRPr="0B074D18" w:rsidR="2CAF4C9C">
        <w:rPr>
          <w:b w:val="1"/>
          <w:bCs w:val="1"/>
          <w:sz w:val="28"/>
          <w:szCs w:val="28"/>
          <w:lang w:val="en-US"/>
        </w:rPr>
        <w:t xml:space="preserve"> </w:t>
      </w:r>
      <w:r w:rsidRPr="0B074D18" w:rsidR="3166BE13">
        <w:rPr>
          <w:b w:val="1"/>
          <w:bCs w:val="1"/>
          <w:sz w:val="28"/>
          <w:szCs w:val="28"/>
          <w:lang w:val="en-US"/>
        </w:rPr>
        <w:t>Name:</w:t>
      </w:r>
      <w:r w:rsidRPr="0B074D18" w:rsidR="40F10429">
        <w:rPr>
          <w:b w:val="1"/>
          <w:bCs w:val="1"/>
          <w:sz w:val="28"/>
          <w:szCs w:val="28"/>
          <w:lang w:val="en-US"/>
        </w:rPr>
        <w:t xml:space="preserve"> </w:t>
      </w:r>
      <w:r w:rsidRPr="0B074D18" w:rsidR="40F10429">
        <w:rPr>
          <w:b w:val="0"/>
          <w:bCs w:val="0"/>
          <w:sz w:val="28"/>
          <w:szCs w:val="28"/>
          <w:lang w:val="en-US"/>
        </w:rPr>
        <w:t>Rizwan Nadim</w:t>
      </w:r>
    </w:p>
    <w:p w:rsidR="00BB558E" w:rsidP="0B074D18" w:rsidRDefault="00BB558E" w14:paraId="38093505" w14:textId="0480FC8B">
      <w:pPr>
        <w:pStyle w:val="Normal"/>
        <w:spacing w:before="240" w:after="240" w:line="360" w:lineRule="auto"/>
        <w:jc w:val="center"/>
        <w:rPr>
          <w:b w:val="1"/>
          <w:bCs w:val="1"/>
          <w:sz w:val="28"/>
          <w:szCs w:val="28"/>
          <w:lang w:val="en-US"/>
        </w:rPr>
      </w:pPr>
      <w:r w:rsidRPr="0B074D18" w:rsidR="7C3F34BB">
        <w:rPr>
          <w:b w:val="1"/>
          <w:bCs w:val="1"/>
          <w:sz w:val="28"/>
          <w:szCs w:val="28"/>
          <w:lang w:val="en-US"/>
        </w:rPr>
        <w:t xml:space="preserve">Module code: </w:t>
      </w:r>
      <w:r w:rsidRPr="0B074D18" w:rsidR="7C3F34BB">
        <w:rPr>
          <w:b w:val="0"/>
          <w:bCs w:val="0"/>
          <w:sz w:val="28"/>
          <w:szCs w:val="28"/>
          <w:lang w:val="en-US"/>
        </w:rPr>
        <w:t>BMHP5019</w:t>
      </w:r>
    </w:p>
    <w:p w:rsidR="00BB558E" w:rsidP="0B074D18" w:rsidRDefault="00BB558E" w14:paraId="160B7627" w14:textId="3E367396">
      <w:pPr>
        <w:pStyle w:val="Normal"/>
        <w:spacing w:before="240" w:after="240" w:line="360" w:lineRule="auto"/>
        <w:jc w:val="center"/>
        <w:rPr>
          <w:b w:val="1"/>
          <w:bCs w:val="1"/>
          <w:sz w:val="28"/>
          <w:szCs w:val="28"/>
          <w:lang w:val="en-US"/>
        </w:rPr>
      </w:pPr>
      <w:r w:rsidRPr="0B074D18" w:rsidR="7C3F34BB">
        <w:rPr>
          <w:b w:val="1"/>
          <w:bCs w:val="1"/>
          <w:sz w:val="28"/>
          <w:szCs w:val="28"/>
          <w:lang w:val="en-US"/>
        </w:rPr>
        <w:t xml:space="preserve">Submission Deadline: </w:t>
      </w:r>
      <w:r w:rsidRPr="0B074D18" w:rsidR="721396C5">
        <w:rPr>
          <w:b w:val="0"/>
          <w:bCs w:val="0"/>
          <w:sz w:val="28"/>
          <w:szCs w:val="28"/>
          <w:lang w:val="en-US"/>
        </w:rPr>
        <w:t>29</w:t>
      </w:r>
      <w:r w:rsidRPr="0B074D18" w:rsidR="721396C5">
        <w:rPr>
          <w:b w:val="0"/>
          <w:bCs w:val="0"/>
          <w:sz w:val="28"/>
          <w:szCs w:val="28"/>
          <w:vertAlign w:val="superscript"/>
          <w:lang w:val="en-US"/>
        </w:rPr>
        <w:t>th</w:t>
      </w:r>
      <w:r w:rsidRPr="0B074D18" w:rsidR="721396C5">
        <w:rPr>
          <w:b w:val="0"/>
          <w:bCs w:val="0"/>
          <w:sz w:val="28"/>
          <w:szCs w:val="28"/>
          <w:lang w:val="en-US"/>
        </w:rPr>
        <w:t xml:space="preserve"> March 202</w:t>
      </w:r>
      <w:r w:rsidRPr="0B074D18" w:rsidR="721396C5">
        <w:rPr>
          <w:b w:val="0"/>
          <w:bCs w:val="0"/>
          <w:sz w:val="28"/>
          <w:szCs w:val="28"/>
          <w:lang w:val="en-US"/>
        </w:rPr>
        <w:t>6</w:t>
      </w:r>
    </w:p>
    <w:p w:rsidR="00BB558E" w:rsidP="23EE1487" w:rsidRDefault="00BB558E" w14:paraId="2F48ED71" w14:textId="519A51C0">
      <w:pPr>
        <w:spacing w:before="240" w:after="240" w:line="360" w:lineRule="auto"/>
        <w:jc w:val="center"/>
        <w:rPr>
          <w:b w:val="1"/>
          <w:bCs w:val="1"/>
          <w:sz w:val="36"/>
          <w:szCs w:val="36"/>
          <w:lang w:val="en-US"/>
        </w:rPr>
      </w:pPr>
      <w:r w:rsidRPr="0B074D18" w:rsidR="7C3F34BB">
        <w:rPr>
          <w:b w:val="1"/>
          <w:bCs w:val="1"/>
          <w:sz w:val="28"/>
          <w:szCs w:val="28"/>
          <w:lang w:val="en-US"/>
        </w:rPr>
        <w:t xml:space="preserve">    </w:t>
      </w:r>
      <w:r w:rsidRPr="0B074D18" w:rsidR="40F10429">
        <w:rPr>
          <w:b w:val="1"/>
          <w:bCs w:val="1"/>
          <w:sz w:val="28"/>
          <w:szCs w:val="28"/>
          <w:lang w:val="en-US"/>
        </w:rPr>
        <w:t xml:space="preserve"> </w:t>
      </w:r>
      <w:r w:rsidRPr="0B074D18" w:rsidR="096B447A">
        <w:rPr>
          <w:b w:val="1"/>
          <w:bCs w:val="1"/>
          <w:sz w:val="28"/>
          <w:szCs w:val="28"/>
          <w:lang w:val="en-US"/>
        </w:rPr>
        <w:t xml:space="preserve">    </w:t>
      </w:r>
      <w:r w:rsidRPr="0B074D18" w:rsidR="3FCECCF2">
        <w:rPr>
          <w:b w:val="1"/>
          <w:bCs w:val="1"/>
          <w:sz w:val="32"/>
          <w:szCs w:val="32"/>
          <w:lang w:val="en-US"/>
        </w:rPr>
        <w:t xml:space="preserve">     </w:t>
      </w:r>
      <w:r w:rsidRPr="0B074D18" w:rsidR="44106E75">
        <w:rPr>
          <w:b w:val="1"/>
          <w:bCs w:val="1"/>
          <w:sz w:val="32"/>
          <w:szCs w:val="32"/>
          <w:lang w:val="en-US"/>
        </w:rPr>
        <w:t xml:space="preserve"> </w:t>
      </w:r>
      <w:r w:rsidRPr="0B074D18" w:rsidR="722DE9A1">
        <w:rPr>
          <w:b w:val="1"/>
          <w:bCs w:val="1"/>
          <w:sz w:val="32"/>
          <w:szCs w:val="32"/>
          <w:lang w:val="en-US"/>
        </w:rPr>
        <w:t xml:space="preserve">         </w:t>
      </w:r>
      <w:r w:rsidRPr="0B074D18" w:rsidR="19387758">
        <w:rPr>
          <w:b w:val="1"/>
          <w:bCs w:val="1"/>
          <w:sz w:val="28"/>
          <w:szCs w:val="28"/>
          <w:lang w:val="en-US"/>
        </w:rPr>
        <w:t xml:space="preserve"> </w:t>
      </w:r>
      <w:r w:rsidRPr="0B074D18" w:rsidR="44106E75">
        <w:rPr>
          <w:b w:val="1"/>
          <w:bCs w:val="1"/>
          <w:sz w:val="32"/>
          <w:szCs w:val="32"/>
          <w:lang w:val="en-US"/>
        </w:rPr>
        <w:t xml:space="preserve">                                         </w:t>
      </w:r>
    </w:p>
    <w:p w:rsidR="23EE1487" w:rsidP="23EE1487" w:rsidRDefault="23EE1487" w14:paraId="5A68621B" w14:textId="32F6D871">
      <w:pPr>
        <w:spacing w:before="240" w:after="240" w:line="360" w:lineRule="auto"/>
        <w:jc w:val="center"/>
        <w:rPr>
          <w:b w:val="1"/>
          <w:bCs w:val="1"/>
          <w:sz w:val="32"/>
          <w:szCs w:val="32"/>
          <w:lang w:val="en-US"/>
        </w:rPr>
      </w:pPr>
    </w:p>
    <w:p w:rsidR="00BB558E" w:rsidRDefault="00BB558E" w14:paraId="26B2EA21" w14:textId="77777777">
      <w:pPr>
        <w:spacing w:before="240" w:after="240" w:line="360" w:lineRule="auto"/>
        <w:jc w:val="center"/>
        <w:rPr>
          <w:b w:val="1"/>
          <w:bCs w:val="1"/>
          <w:sz w:val="32"/>
          <w:szCs w:val="32"/>
        </w:rPr>
      </w:pPr>
    </w:p>
    <w:p w:rsidR="0B074D18" w:rsidP="0B074D18" w:rsidRDefault="0B074D18" w14:paraId="6C8A5A6D" w14:textId="6A2710AC">
      <w:pPr>
        <w:spacing w:before="240" w:after="240" w:line="360" w:lineRule="auto"/>
        <w:jc w:val="center"/>
        <w:rPr>
          <w:b w:val="1"/>
          <w:bCs w:val="1"/>
          <w:sz w:val="32"/>
          <w:szCs w:val="32"/>
        </w:rPr>
      </w:pPr>
    </w:p>
    <w:p w:rsidR="00337A25" w:rsidRDefault="00124A78" w14:paraId="424817A3" w14:textId="1BC9C5B8">
      <w:pPr>
        <w:spacing w:before="240" w:after="240" w:line="360" w:lineRule="auto"/>
        <w:jc w:val="center"/>
        <w:rPr>
          <w:i/>
          <w:iCs/>
          <w:sz w:val="32"/>
          <w:szCs w:val="32"/>
        </w:rPr>
      </w:pPr>
      <w:r>
        <w:rPr>
          <w:b/>
          <w:bCs/>
          <w:sz w:val="32"/>
          <w:szCs w:val="32"/>
        </w:rPr>
        <w:t xml:space="preserve">Research Title: </w:t>
      </w:r>
      <w:r>
        <w:rPr>
          <w:i/>
          <w:iCs/>
          <w:sz w:val="32"/>
          <w:szCs w:val="32"/>
        </w:rPr>
        <w:t>Evaluation of Dementia care in UK social and healthcare services: A Basic Thematic Analysis of Aveyard to Identify Themes</w:t>
      </w:r>
    </w:p>
    <w:p w:rsidR="00AC3738" w:rsidRDefault="00AC3738" w14:paraId="4F06D353" w14:textId="53E60106">
      <w:pPr>
        <w:rPr>
          <w:i/>
          <w:iCs/>
          <w:sz w:val="32"/>
          <w:szCs w:val="32"/>
        </w:rPr>
      </w:pPr>
      <w:r>
        <w:rPr>
          <w:i/>
          <w:iCs/>
          <w:sz w:val="32"/>
          <w:szCs w:val="32"/>
        </w:rPr>
        <w:br w:type="page"/>
      </w:r>
    </w:p>
    <w:sdt>
      <w:sdtPr>
        <w:rPr>
          <w:rFonts w:ascii="Arial" w:hAnsi="Arial" w:eastAsia="Arial" w:cs="Arial"/>
          <w:color w:val="auto"/>
          <w:sz w:val="22"/>
          <w:szCs w:val="22"/>
          <w:lang w:val="en"/>
        </w:rPr>
        <w:id w:val="115189489"/>
        <w:docPartObj>
          <w:docPartGallery w:val="Table of Contents"/>
          <w:docPartUnique/>
        </w:docPartObj>
      </w:sdtPr>
      <w:sdtEndPr>
        <w:rPr>
          <w:rFonts w:ascii="Arial" w:hAnsi="Arial" w:eastAsia="Arial" w:cs="Arial"/>
          <w:b w:val="1"/>
          <w:bCs w:val="1"/>
          <w:noProof/>
          <w:color w:val="auto"/>
          <w:sz w:val="22"/>
          <w:szCs w:val="22"/>
          <w:lang w:val="en"/>
        </w:rPr>
      </w:sdtEndPr>
      <w:sdtContent>
        <w:p w:rsidRPr="00AC3738" w:rsidR="00AC3738" w:rsidP="00AC3738" w:rsidRDefault="00AC3738" w14:paraId="243FD2C5" w14:textId="4E334D4C">
          <w:pPr>
            <w:pStyle w:val="TOCHeading"/>
            <w:spacing w:line="360" w:lineRule="auto"/>
            <w:jc w:val="center"/>
            <w:rPr>
              <w:rFonts w:ascii="Arial" w:hAnsi="Arial" w:cs="Arial"/>
              <w:b/>
              <w:bCs/>
              <w:color w:val="000000" w:themeColor="text1"/>
              <w:sz w:val="28"/>
              <w:szCs w:val="28"/>
              <w:u w:val="single"/>
            </w:rPr>
          </w:pPr>
          <w:r w:rsidRPr="00AC3738">
            <w:rPr>
              <w:rFonts w:ascii="Arial" w:hAnsi="Arial" w:cs="Arial"/>
              <w:b/>
              <w:bCs/>
              <w:color w:val="000000" w:themeColor="text1"/>
              <w:sz w:val="28"/>
              <w:szCs w:val="28"/>
              <w:u w:val="single"/>
            </w:rPr>
            <w:t>Table of Contents</w:t>
          </w:r>
        </w:p>
        <w:p w:rsidRPr="00AC3738" w:rsidR="00AC3738" w:rsidP="00AC3738" w:rsidRDefault="00AC3738" w14:paraId="18330A2D" w14:textId="779DE124">
          <w:pPr>
            <w:pStyle w:val="TOC1"/>
            <w:tabs>
              <w:tab w:val="right" w:leader="dot" w:pos="9350"/>
            </w:tabs>
            <w:spacing w:line="360" w:lineRule="auto"/>
            <w:jc w:val="both"/>
            <w:rPr>
              <w:noProof/>
              <w:color w:val="000000" w:themeColor="text1"/>
            </w:rPr>
          </w:pPr>
          <w:r w:rsidRPr="00AC3738">
            <w:rPr>
              <w:color w:val="000000" w:themeColor="text1"/>
            </w:rPr>
            <w:fldChar w:fldCharType="begin"/>
          </w:r>
          <w:r w:rsidRPr="00AC3738">
            <w:rPr>
              <w:color w:val="000000" w:themeColor="text1"/>
            </w:rPr>
            <w:instrText xml:space="preserve"> TOC \o "1-3" \h \z \u </w:instrText>
          </w:r>
          <w:r w:rsidRPr="00AC3738">
            <w:rPr>
              <w:color w:val="000000" w:themeColor="text1"/>
            </w:rPr>
            <w:fldChar w:fldCharType="separate"/>
          </w:r>
          <w:hyperlink w:history="1" w:anchor="_Toc223451488">
            <w:r w:rsidRPr="00AC3738">
              <w:rPr>
                <w:rStyle w:val="Hyperlink"/>
                <w:noProof/>
                <w:color w:val="000000" w:themeColor="text1"/>
                <w:lang w:val="en-GB"/>
              </w:rPr>
              <w:t>1. Introduction</w:t>
            </w:r>
            <w:r w:rsidRPr="00AC3738">
              <w:rPr>
                <w:noProof/>
                <w:webHidden/>
                <w:color w:val="000000" w:themeColor="text1"/>
              </w:rPr>
              <w:tab/>
            </w:r>
            <w:r w:rsidRPr="00AC3738">
              <w:rPr>
                <w:noProof/>
                <w:webHidden/>
                <w:color w:val="000000" w:themeColor="text1"/>
              </w:rPr>
              <w:fldChar w:fldCharType="begin"/>
            </w:r>
            <w:r w:rsidRPr="00AC3738">
              <w:rPr>
                <w:noProof/>
                <w:webHidden/>
                <w:color w:val="000000" w:themeColor="text1"/>
              </w:rPr>
              <w:instrText xml:space="preserve"> PAGEREF _Toc223451488 \h </w:instrText>
            </w:r>
            <w:r w:rsidRPr="00AC3738">
              <w:rPr>
                <w:noProof/>
                <w:webHidden/>
                <w:color w:val="000000" w:themeColor="text1"/>
              </w:rPr>
            </w:r>
            <w:r w:rsidRPr="00AC3738">
              <w:rPr>
                <w:noProof/>
                <w:webHidden/>
                <w:color w:val="000000" w:themeColor="text1"/>
              </w:rPr>
              <w:fldChar w:fldCharType="separate"/>
            </w:r>
            <w:r w:rsidRPr="00AC3738">
              <w:rPr>
                <w:noProof/>
                <w:webHidden/>
                <w:color w:val="000000" w:themeColor="text1"/>
              </w:rPr>
              <w:t>3</w:t>
            </w:r>
            <w:r w:rsidRPr="00AC3738">
              <w:rPr>
                <w:noProof/>
                <w:webHidden/>
                <w:color w:val="000000" w:themeColor="text1"/>
              </w:rPr>
              <w:fldChar w:fldCharType="end"/>
            </w:r>
          </w:hyperlink>
        </w:p>
        <w:p w:rsidRPr="00AC3738" w:rsidR="00AC3738" w:rsidP="00AC3738" w:rsidRDefault="00AC3738" w14:paraId="791A2F05" w14:textId="0213D5B9">
          <w:pPr>
            <w:pStyle w:val="TOC2"/>
            <w:tabs>
              <w:tab w:val="right" w:leader="dot" w:pos="9350"/>
            </w:tabs>
            <w:spacing w:line="360" w:lineRule="auto"/>
            <w:jc w:val="both"/>
            <w:rPr>
              <w:noProof/>
              <w:color w:val="000000" w:themeColor="text1"/>
            </w:rPr>
          </w:pPr>
          <w:hyperlink w:history="1" w:anchor="_Toc223451489">
            <w:r w:rsidRPr="00AC3738">
              <w:rPr>
                <w:rStyle w:val="Hyperlink"/>
                <w:noProof/>
                <w:color w:val="000000" w:themeColor="text1"/>
                <w:lang w:val="en-GB"/>
              </w:rPr>
              <w:t>1.1 Define key concepts</w:t>
            </w:r>
            <w:r w:rsidRPr="00AC3738">
              <w:rPr>
                <w:noProof/>
                <w:webHidden/>
                <w:color w:val="000000" w:themeColor="text1"/>
              </w:rPr>
              <w:tab/>
            </w:r>
            <w:r w:rsidRPr="00AC3738">
              <w:rPr>
                <w:noProof/>
                <w:webHidden/>
                <w:color w:val="000000" w:themeColor="text1"/>
              </w:rPr>
              <w:fldChar w:fldCharType="begin"/>
            </w:r>
            <w:r w:rsidRPr="00AC3738">
              <w:rPr>
                <w:noProof/>
                <w:webHidden/>
                <w:color w:val="000000" w:themeColor="text1"/>
              </w:rPr>
              <w:instrText xml:space="preserve"> PAGEREF _Toc223451489 \h </w:instrText>
            </w:r>
            <w:r w:rsidRPr="00AC3738">
              <w:rPr>
                <w:noProof/>
                <w:webHidden/>
                <w:color w:val="000000" w:themeColor="text1"/>
              </w:rPr>
            </w:r>
            <w:r w:rsidRPr="00AC3738">
              <w:rPr>
                <w:noProof/>
                <w:webHidden/>
                <w:color w:val="000000" w:themeColor="text1"/>
              </w:rPr>
              <w:fldChar w:fldCharType="separate"/>
            </w:r>
            <w:r w:rsidRPr="00AC3738">
              <w:rPr>
                <w:noProof/>
                <w:webHidden/>
                <w:color w:val="000000" w:themeColor="text1"/>
              </w:rPr>
              <w:t>3</w:t>
            </w:r>
            <w:r w:rsidRPr="00AC3738">
              <w:rPr>
                <w:noProof/>
                <w:webHidden/>
                <w:color w:val="000000" w:themeColor="text1"/>
              </w:rPr>
              <w:fldChar w:fldCharType="end"/>
            </w:r>
          </w:hyperlink>
        </w:p>
        <w:p w:rsidRPr="00AC3738" w:rsidR="00AC3738" w:rsidP="00AC3738" w:rsidRDefault="00AC3738" w14:paraId="7C8AC860" w14:textId="27615EE4">
          <w:pPr>
            <w:pStyle w:val="TOC2"/>
            <w:tabs>
              <w:tab w:val="right" w:leader="dot" w:pos="9350"/>
            </w:tabs>
            <w:spacing w:line="360" w:lineRule="auto"/>
            <w:jc w:val="both"/>
            <w:rPr>
              <w:noProof/>
              <w:color w:val="000000" w:themeColor="text1"/>
            </w:rPr>
          </w:pPr>
          <w:hyperlink w:history="1" w:anchor="_Toc223451490">
            <w:r w:rsidRPr="00AC3738">
              <w:rPr>
                <w:rStyle w:val="Hyperlink"/>
                <w:noProof/>
                <w:color w:val="000000" w:themeColor="text1"/>
                <w:lang w:val="en-GB"/>
              </w:rPr>
              <w:t>1.2 Rationale</w:t>
            </w:r>
            <w:r w:rsidRPr="00AC3738">
              <w:rPr>
                <w:noProof/>
                <w:webHidden/>
                <w:color w:val="000000" w:themeColor="text1"/>
              </w:rPr>
              <w:tab/>
            </w:r>
            <w:r w:rsidRPr="00AC3738">
              <w:rPr>
                <w:noProof/>
                <w:webHidden/>
                <w:color w:val="000000" w:themeColor="text1"/>
              </w:rPr>
              <w:fldChar w:fldCharType="begin"/>
            </w:r>
            <w:r w:rsidRPr="00AC3738">
              <w:rPr>
                <w:noProof/>
                <w:webHidden/>
                <w:color w:val="000000" w:themeColor="text1"/>
              </w:rPr>
              <w:instrText xml:space="preserve"> PAGEREF _Toc223451490 \h </w:instrText>
            </w:r>
            <w:r w:rsidRPr="00AC3738">
              <w:rPr>
                <w:noProof/>
                <w:webHidden/>
                <w:color w:val="000000" w:themeColor="text1"/>
              </w:rPr>
            </w:r>
            <w:r w:rsidRPr="00AC3738">
              <w:rPr>
                <w:noProof/>
                <w:webHidden/>
                <w:color w:val="000000" w:themeColor="text1"/>
              </w:rPr>
              <w:fldChar w:fldCharType="separate"/>
            </w:r>
            <w:r w:rsidRPr="00AC3738">
              <w:rPr>
                <w:noProof/>
                <w:webHidden/>
                <w:color w:val="000000" w:themeColor="text1"/>
              </w:rPr>
              <w:t>3</w:t>
            </w:r>
            <w:r w:rsidRPr="00AC3738">
              <w:rPr>
                <w:noProof/>
                <w:webHidden/>
                <w:color w:val="000000" w:themeColor="text1"/>
              </w:rPr>
              <w:fldChar w:fldCharType="end"/>
            </w:r>
          </w:hyperlink>
        </w:p>
        <w:p w:rsidRPr="00AC3738" w:rsidR="00AC3738" w:rsidP="00AC3738" w:rsidRDefault="00AC3738" w14:paraId="73360AED" w14:textId="640AE68B">
          <w:pPr>
            <w:pStyle w:val="TOC2"/>
            <w:tabs>
              <w:tab w:val="right" w:leader="dot" w:pos="9350"/>
            </w:tabs>
            <w:spacing w:line="360" w:lineRule="auto"/>
            <w:jc w:val="both"/>
            <w:rPr>
              <w:noProof/>
              <w:color w:val="000000" w:themeColor="text1"/>
            </w:rPr>
          </w:pPr>
          <w:hyperlink w:history="1" w:anchor="_Toc223451491">
            <w:r w:rsidRPr="00AC3738">
              <w:rPr>
                <w:rStyle w:val="Hyperlink"/>
                <w:noProof/>
                <w:color w:val="000000" w:themeColor="text1"/>
                <w:lang w:val="en-GB"/>
              </w:rPr>
              <w:t>1.3 Review Question</w:t>
            </w:r>
            <w:r w:rsidRPr="00AC3738">
              <w:rPr>
                <w:noProof/>
                <w:webHidden/>
                <w:color w:val="000000" w:themeColor="text1"/>
              </w:rPr>
              <w:tab/>
            </w:r>
            <w:r w:rsidRPr="00AC3738">
              <w:rPr>
                <w:noProof/>
                <w:webHidden/>
                <w:color w:val="000000" w:themeColor="text1"/>
              </w:rPr>
              <w:fldChar w:fldCharType="begin"/>
            </w:r>
            <w:r w:rsidRPr="00AC3738">
              <w:rPr>
                <w:noProof/>
                <w:webHidden/>
                <w:color w:val="000000" w:themeColor="text1"/>
              </w:rPr>
              <w:instrText xml:space="preserve"> PAGEREF _Toc223451491 \h </w:instrText>
            </w:r>
            <w:r w:rsidRPr="00AC3738">
              <w:rPr>
                <w:noProof/>
                <w:webHidden/>
                <w:color w:val="000000" w:themeColor="text1"/>
              </w:rPr>
            </w:r>
            <w:r w:rsidRPr="00AC3738">
              <w:rPr>
                <w:noProof/>
                <w:webHidden/>
                <w:color w:val="000000" w:themeColor="text1"/>
              </w:rPr>
              <w:fldChar w:fldCharType="separate"/>
            </w:r>
            <w:r w:rsidRPr="00AC3738">
              <w:rPr>
                <w:noProof/>
                <w:webHidden/>
                <w:color w:val="000000" w:themeColor="text1"/>
              </w:rPr>
              <w:t>5</w:t>
            </w:r>
            <w:r w:rsidRPr="00AC3738">
              <w:rPr>
                <w:noProof/>
                <w:webHidden/>
                <w:color w:val="000000" w:themeColor="text1"/>
              </w:rPr>
              <w:fldChar w:fldCharType="end"/>
            </w:r>
          </w:hyperlink>
        </w:p>
        <w:p w:rsidRPr="00AC3738" w:rsidR="00AC3738" w:rsidP="00AC3738" w:rsidRDefault="00AC3738" w14:paraId="7B4E1045" w14:textId="2BC53B8A">
          <w:pPr>
            <w:pStyle w:val="TOC2"/>
            <w:tabs>
              <w:tab w:val="right" w:leader="dot" w:pos="9350"/>
            </w:tabs>
            <w:spacing w:line="360" w:lineRule="auto"/>
            <w:jc w:val="both"/>
            <w:rPr>
              <w:noProof/>
              <w:color w:val="000000" w:themeColor="text1"/>
            </w:rPr>
          </w:pPr>
          <w:hyperlink w:history="1" w:anchor="_Toc223451492">
            <w:r w:rsidRPr="00AC3738">
              <w:rPr>
                <w:rStyle w:val="Hyperlink"/>
                <w:noProof/>
                <w:color w:val="000000" w:themeColor="text1"/>
                <w:lang w:val="en-GB"/>
              </w:rPr>
              <w:t>1.4 Research Objectives</w:t>
            </w:r>
            <w:r w:rsidRPr="00AC3738">
              <w:rPr>
                <w:noProof/>
                <w:webHidden/>
                <w:color w:val="000000" w:themeColor="text1"/>
              </w:rPr>
              <w:tab/>
            </w:r>
            <w:r w:rsidRPr="00AC3738">
              <w:rPr>
                <w:noProof/>
                <w:webHidden/>
                <w:color w:val="000000" w:themeColor="text1"/>
              </w:rPr>
              <w:fldChar w:fldCharType="begin"/>
            </w:r>
            <w:r w:rsidRPr="00AC3738">
              <w:rPr>
                <w:noProof/>
                <w:webHidden/>
                <w:color w:val="000000" w:themeColor="text1"/>
              </w:rPr>
              <w:instrText xml:space="preserve"> PAGEREF _Toc223451492 \h </w:instrText>
            </w:r>
            <w:r w:rsidRPr="00AC3738">
              <w:rPr>
                <w:noProof/>
                <w:webHidden/>
                <w:color w:val="000000" w:themeColor="text1"/>
              </w:rPr>
            </w:r>
            <w:r w:rsidRPr="00AC3738">
              <w:rPr>
                <w:noProof/>
                <w:webHidden/>
                <w:color w:val="000000" w:themeColor="text1"/>
              </w:rPr>
              <w:fldChar w:fldCharType="separate"/>
            </w:r>
            <w:r w:rsidRPr="00AC3738">
              <w:rPr>
                <w:noProof/>
                <w:webHidden/>
                <w:color w:val="000000" w:themeColor="text1"/>
              </w:rPr>
              <w:t>5</w:t>
            </w:r>
            <w:r w:rsidRPr="00AC3738">
              <w:rPr>
                <w:noProof/>
                <w:webHidden/>
                <w:color w:val="000000" w:themeColor="text1"/>
              </w:rPr>
              <w:fldChar w:fldCharType="end"/>
            </w:r>
          </w:hyperlink>
        </w:p>
        <w:p w:rsidRPr="00AC3738" w:rsidR="00AC3738" w:rsidP="00AC3738" w:rsidRDefault="00AC3738" w14:paraId="7CD30FBD" w14:textId="6F8123E0">
          <w:pPr>
            <w:pStyle w:val="TOC1"/>
            <w:tabs>
              <w:tab w:val="right" w:leader="dot" w:pos="9350"/>
            </w:tabs>
            <w:spacing w:line="360" w:lineRule="auto"/>
            <w:jc w:val="both"/>
            <w:rPr>
              <w:noProof/>
              <w:color w:val="000000" w:themeColor="text1"/>
            </w:rPr>
          </w:pPr>
          <w:hyperlink w:history="1" w:anchor="_Toc223451493">
            <w:r w:rsidRPr="00AC3738">
              <w:rPr>
                <w:rStyle w:val="Hyperlink"/>
                <w:noProof/>
                <w:color w:val="000000" w:themeColor="text1"/>
                <w:lang w:val="en-GB"/>
              </w:rPr>
              <w:t>2. Background</w:t>
            </w:r>
            <w:r w:rsidRPr="00AC3738">
              <w:rPr>
                <w:noProof/>
                <w:webHidden/>
                <w:color w:val="000000" w:themeColor="text1"/>
              </w:rPr>
              <w:tab/>
            </w:r>
            <w:r w:rsidRPr="00AC3738">
              <w:rPr>
                <w:noProof/>
                <w:webHidden/>
                <w:color w:val="000000" w:themeColor="text1"/>
              </w:rPr>
              <w:fldChar w:fldCharType="begin"/>
            </w:r>
            <w:r w:rsidRPr="00AC3738">
              <w:rPr>
                <w:noProof/>
                <w:webHidden/>
                <w:color w:val="000000" w:themeColor="text1"/>
              </w:rPr>
              <w:instrText xml:space="preserve"> PAGEREF _Toc223451493 \h </w:instrText>
            </w:r>
            <w:r w:rsidRPr="00AC3738">
              <w:rPr>
                <w:noProof/>
                <w:webHidden/>
                <w:color w:val="000000" w:themeColor="text1"/>
              </w:rPr>
            </w:r>
            <w:r w:rsidRPr="00AC3738">
              <w:rPr>
                <w:noProof/>
                <w:webHidden/>
                <w:color w:val="000000" w:themeColor="text1"/>
              </w:rPr>
              <w:fldChar w:fldCharType="separate"/>
            </w:r>
            <w:r w:rsidRPr="00AC3738">
              <w:rPr>
                <w:noProof/>
                <w:webHidden/>
                <w:color w:val="000000" w:themeColor="text1"/>
              </w:rPr>
              <w:t>5</w:t>
            </w:r>
            <w:r w:rsidRPr="00AC3738">
              <w:rPr>
                <w:noProof/>
                <w:webHidden/>
                <w:color w:val="000000" w:themeColor="text1"/>
              </w:rPr>
              <w:fldChar w:fldCharType="end"/>
            </w:r>
          </w:hyperlink>
        </w:p>
        <w:p w:rsidRPr="00AC3738" w:rsidR="00AC3738" w:rsidP="00AC3738" w:rsidRDefault="00AC3738" w14:paraId="480FBC6C" w14:textId="65678095">
          <w:pPr>
            <w:pStyle w:val="TOC2"/>
            <w:tabs>
              <w:tab w:val="right" w:leader="dot" w:pos="9350"/>
            </w:tabs>
            <w:spacing w:line="360" w:lineRule="auto"/>
            <w:jc w:val="both"/>
            <w:rPr>
              <w:noProof/>
              <w:color w:val="000000" w:themeColor="text1"/>
            </w:rPr>
          </w:pPr>
          <w:hyperlink w:history="1" w:anchor="_Toc223451494">
            <w:r w:rsidRPr="00AC3738">
              <w:rPr>
                <w:rStyle w:val="Hyperlink"/>
                <w:noProof/>
                <w:color w:val="000000" w:themeColor="text1"/>
                <w:lang w:val="en-GB"/>
              </w:rPr>
              <w:t>2.1 Current Policies and Legislation</w:t>
            </w:r>
            <w:r w:rsidRPr="00AC3738">
              <w:rPr>
                <w:noProof/>
                <w:webHidden/>
                <w:color w:val="000000" w:themeColor="text1"/>
              </w:rPr>
              <w:tab/>
            </w:r>
            <w:r w:rsidRPr="00AC3738">
              <w:rPr>
                <w:noProof/>
                <w:webHidden/>
                <w:color w:val="000000" w:themeColor="text1"/>
              </w:rPr>
              <w:fldChar w:fldCharType="begin"/>
            </w:r>
            <w:r w:rsidRPr="00AC3738">
              <w:rPr>
                <w:noProof/>
                <w:webHidden/>
                <w:color w:val="000000" w:themeColor="text1"/>
              </w:rPr>
              <w:instrText xml:space="preserve"> PAGEREF _Toc223451494 \h </w:instrText>
            </w:r>
            <w:r w:rsidRPr="00AC3738">
              <w:rPr>
                <w:noProof/>
                <w:webHidden/>
                <w:color w:val="000000" w:themeColor="text1"/>
              </w:rPr>
            </w:r>
            <w:r w:rsidRPr="00AC3738">
              <w:rPr>
                <w:noProof/>
                <w:webHidden/>
                <w:color w:val="000000" w:themeColor="text1"/>
              </w:rPr>
              <w:fldChar w:fldCharType="separate"/>
            </w:r>
            <w:r w:rsidRPr="00AC3738">
              <w:rPr>
                <w:noProof/>
                <w:webHidden/>
                <w:color w:val="000000" w:themeColor="text1"/>
              </w:rPr>
              <w:t>5</w:t>
            </w:r>
            <w:r w:rsidRPr="00AC3738">
              <w:rPr>
                <w:noProof/>
                <w:webHidden/>
                <w:color w:val="000000" w:themeColor="text1"/>
              </w:rPr>
              <w:fldChar w:fldCharType="end"/>
            </w:r>
          </w:hyperlink>
        </w:p>
        <w:p w:rsidRPr="00AC3738" w:rsidR="00AC3738" w:rsidP="00AC3738" w:rsidRDefault="00AC3738" w14:paraId="1EBC5154" w14:textId="391CE13D">
          <w:pPr>
            <w:pStyle w:val="TOC2"/>
            <w:tabs>
              <w:tab w:val="right" w:leader="dot" w:pos="9350"/>
            </w:tabs>
            <w:spacing w:line="360" w:lineRule="auto"/>
            <w:jc w:val="both"/>
            <w:rPr>
              <w:noProof/>
              <w:color w:val="000000" w:themeColor="text1"/>
            </w:rPr>
          </w:pPr>
          <w:hyperlink w:history="1" w:anchor="_Toc223451495">
            <w:r w:rsidRPr="00AC3738">
              <w:rPr>
                <w:rStyle w:val="Hyperlink"/>
                <w:noProof/>
                <w:color w:val="000000" w:themeColor="text1"/>
                <w:lang w:val="en-GB"/>
              </w:rPr>
              <w:t>2.2 Existing Services and Practice</w:t>
            </w:r>
            <w:r w:rsidRPr="00AC3738">
              <w:rPr>
                <w:noProof/>
                <w:webHidden/>
                <w:color w:val="000000" w:themeColor="text1"/>
              </w:rPr>
              <w:tab/>
            </w:r>
            <w:r w:rsidRPr="00AC3738">
              <w:rPr>
                <w:noProof/>
                <w:webHidden/>
                <w:color w:val="000000" w:themeColor="text1"/>
              </w:rPr>
              <w:fldChar w:fldCharType="begin"/>
            </w:r>
            <w:r w:rsidRPr="00AC3738">
              <w:rPr>
                <w:noProof/>
                <w:webHidden/>
                <w:color w:val="000000" w:themeColor="text1"/>
              </w:rPr>
              <w:instrText xml:space="preserve"> PAGEREF _Toc223451495 \h </w:instrText>
            </w:r>
            <w:r w:rsidRPr="00AC3738">
              <w:rPr>
                <w:noProof/>
                <w:webHidden/>
                <w:color w:val="000000" w:themeColor="text1"/>
              </w:rPr>
            </w:r>
            <w:r w:rsidRPr="00AC3738">
              <w:rPr>
                <w:noProof/>
                <w:webHidden/>
                <w:color w:val="000000" w:themeColor="text1"/>
              </w:rPr>
              <w:fldChar w:fldCharType="separate"/>
            </w:r>
            <w:r w:rsidRPr="00AC3738">
              <w:rPr>
                <w:noProof/>
                <w:webHidden/>
                <w:color w:val="000000" w:themeColor="text1"/>
              </w:rPr>
              <w:t>6</w:t>
            </w:r>
            <w:r w:rsidRPr="00AC3738">
              <w:rPr>
                <w:noProof/>
                <w:webHidden/>
                <w:color w:val="000000" w:themeColor="text1"/>
              </w:rPr>
              <w:fldChar w:fldCharType="end"/>
            </w:r>
          </w:hyperlink>
        </w:p>
        <w:p w:rsidRPr="00AC3738" w:rsidR="00AC3738" w:rsidP="00AC3738" w:rsidRDefault="00AC3738" w14:paraId="3988D20B" w14:textId="3D31B010">
          <w:pPr>
            <w:pStyle w:val="TOC2"/>
            <w:tabs>
              <w:tab w:val="right" w:leader="dot" w:pos="9350"/>
            </w:tabs>
            <w:spacing w:line="360" w:lineRule="auto"/>
            <w:jc w:val="both"/>
            <w:rPr>
              <w:noProof/>
              <w:color w:val="000000" w:themeColor="text1"/>
            </w:rPr>
          </w:pPr>
          <w:hyperlink w:history="1" w:anchor="_Toc223451496">
            <w:r w:rsidRPr="00AC3738">
              <w:rPr>
                <w:rStyle w:val="Hyperlink"/>
                <w:noProof/>
                <w:color w:val="000000" w:themeColor="text1"/>
                <w:lang w:val="en-GB"/>
              </w:rPr>
              <w:t>2.3 Key Challenges and Issues</w:t>
            </w:r>
            <w:r w:rsidRPr="00AC3738">
              <w:rPr>
                <w:noProof/>
                <w:webHidden/>
                <w:color w:val="000000" w:themeColor="text1"/>
              </w:rPr>
              <w:tab/>
            </w:r>
            <w:r w:rsidRPr="00AC3738">
              <w:rPr>
                <w:noProof/>
                <w:webHidden/>
                <w:color w:val="000000" w:themeColor="text1"/>
              </w:rPr>
              <w:fldChar w:fldCharType="begin"/>
            </w:r>
            <w:r w:rsidRPr="00AC3738">
              <w:rPr>
                <w:noProof/>
                <w:webHidden/>
                <w:color w:val="000000" w:themeColor="text1"/>
              </w:rPr>
              <w:instrText xml:space="preserve"> PAGEREF _Toc223451496 \h </w:instrText>
            </w:r>
            <w:r w:rsidRPr="00AC3738">
              <w:rPr>
                <w:noProof/>
                <w:webHidden/>
                <w:color w:val="000000" w:themeColor="text1"/>
              </w:rPr>
            </w:r>
            <w:r w:rsidRPr="00AC3738">
              <w:rPr>
                <w:noProof/>
                <w:webHidden/>
                <w:color w:val="000000" w:themeColor="text1"/>
              </w:rPr>
              <w:fldChar w:fldCharType="separate"/>
            </w:r>
            <w:r w:rsidRPr="00AC3738">
              <w:rPr>
                <w:noProof/>
                <w:webHidden/>
                <w:color w:val="000000" w:themeColor="text1"/>
              </w:rPr>
              <w:t>6</w:t>
            </w:r>
            <w:r w:rsidRPr="00AC3738">
              <w:rPr>
                <w:noProof/>
                <w:webHidden/>
                <w:color w:val="000000" w:themeColor="text1"/>
              </w:rPr>
              <w:fldChar w:fldCharType="end"/>
            </w:r>
          </w:hyperlink>
        </w:p>
        <w:p w:rsidRPr="00AC3738" w:rsidR="00AC3738" w:rsidP="00AC3738" w:rsidRDefault="00AC3738" w14:paraId="50EEB142" w14:textId="3CAC9A79">
          <w:pPr>
            <w:pStyle w:val="TOC1"/>
            <w:tabs>
              <w:tab w:val="right" w:leader="dot" w:pos="9350"/>
            </w:tabs>
            <w:spacing w:line="360" w:lineRule="auto"/>
            <w:jc w:val="both"/>
            <w:rPr>
              <w:noProof/>
              <w:color w:val="000000" w:themeColor="text1"/>
            </w:rPr>
          </w:pPr>
          <w:hyperlink w:history="1" w:anchor="_Toc223451497">
            <w:r w:rsidRPr="00AC3738">
              <w:rPr>
                <w:rStyle w:val="Hyperlink"/>
                <w:noProof/>
                <w:color w:val="000000" w:themeColor="text1"/>
                <w:lang w:val="en-GB"/>
              </w:rPr>
              <w:t>3. Methods</w:t>
            </w:r>
            <w:r w:rsidRPr="00AC3738">
              <w:rPr>
                <w:noProof/>
                <w:webHidden/>
                <w:color w:val="000000" w:themeColor="text1"/>
              </w:rPr>
              <w:tab/>
            </w:r>
            <w:r w:rsidRPr="00AC3738">
              <w:rPr>
                <w:noProof/>
                <w:webHidden/>
                <w:color w:val="000000" w:themeColor="text1"/>
              </w:rPr>
              <w:fldChar w:fldCharType="begin"/>
            </w:r>
            <w:r w:rsidRPr="00AC3738">
              <w:rPr>
                <w:noProof/>
                <w:webHidden/>
                <w:color w:val="000000" w:themeColor="text1"/>
              </w:rPr>
              <w:instrText xml:space="preserve"> PAGEREF _Toc223451497 \h </w:instrText>
            </w:r>
            <w:r w:rsidRPr="00AC3738">
              <w:rPr>
                <w:noProof/>
                <w:webHidden/>
                <w:color w:val="000000" w:themeColor="text1"/>
              </w:rPr>
            </w:r>
            <w:r w:rsidRPr="00AC3738">
              <w:rPr>
                <w:noProof/>
                <w:webHidden/>
                <w:color w:val="000000" w:themeColor="text1"/>
              </w:rPr>
              <w:fldChar w:fldCharType="separate"/>
            </w:r>
            <w:r w:rsidRPr="00AC3738">
              <w:rPr>
                <w:noProof/>
                <w:webHidden/>
                <w:color w:val="000000" w:themeColor="text1"/>
              </w:rPr>
              <w:t>7</w:t>
            </w:r>
            <w:r w:rsidRPr="00AC3738">
              <w:rPr>
                <w:noProof/>
                <w:webHidden/>
                <w:color w:val="000000" w:themeColor="text1"/>
              </w:rPr>
              <w:fldChar w:fldCharType="end"/>
            </w:r>
          </w:hyperlink>
        </w:p>
        <w:p w:rsidRPr="00AC3738" w:rsidR="00AC3738" w:rsidP="00AC3738" w:rsidRDefault="00AC3738" w14:paraId="701312D5" w14:textId="0358FA24">
          <w:pPr>
            <w:pStyle w:val="TOC2"/>
            <w:tabs>
              <w:tab w:val="right" w:leader="dot" w:pos="9350"/>
            </w:tabs>
            <w:spacing w:line="360" w:lineRule="auto"/>
            <w:jc w:val="both"/>
            <w:rPr>
              <w:noProof/>
              <w:color w:val="000000" w:themeColor="text1"/>
            </w:rPr>
          </w:pPr>
          <w:hyperlink w:history="1" w:anchor="_Toc223451498">
            <w:r w:rsidRPr="00AC3738">
              <w:rPr>
                <w:rStyle w:val="Hyperlink"/>
                <w:noProof/>
                <w:color w:val="000000" w:themeColor="text1"/>
                <w:lang w:val="en-GB"/>
              </w:rPr>
              <w:t>3.1 Data Collection Approach</w:t>
            </w:r>
            <w:r w:rsidRPr="00AC3738">
              <w:rPr>
                <w:noProof/>
                <w:webHidden/>
                <w:color w:val="000000" w:themeColor="text1"/>
              </w:rPr>
              <w:tab/>
            </w:r>
            <w:r w:rsidRPr="00AC3738">
              <w:rPr>
                <w:noProof/>
                <w:webHidden/>
                <w:color w:val="000000" w:themeColor="text1"/>
              </w:rPr>
              <w:fldChar w:fldCharType="begin"/>
            </w:r>
            <w:r w:rsidRPr="00AC3738">
              <w:rPr>
                <w:noProof/>
                <w:webHidden/>
                <w:color w:val="000000" w:themeColor="text1"/>
              </w:rPr>
              <w:instrText xml:space="preserve"> PAGEREF _Toc223451498 \h </w:instrText>
            </w:r>
            <w:r w:rsidRPr="00AC3738">
              <w:rPr>
                <w:noProof/>
                <w:webHidden/>
                <w:color w:val="000000" w:themeColor="text1"/>
              </w:rPr>
            </w:r>
            <w:r w:rsidRPr="00AC3738">
              <w:rPr>
                <w:noProof/>
                <w:webHidden/>
                <w:color w:val="000000" w:themeColor="text1"/>
              </w:rPr>
              <w:fldChar w:fldCharType="separate"/>
            </w:r>
            <w:r w:rsidRPr="00AC3738">
              <w:rPr>
                <w:noProof/>
                <w:webHidden/>
                <w:color w:val="000000" w:themeColor="text1"/>
              </w:rPr>
              <w:t>7</w:t>
            </w:r>
            <w:r w:rsidRPr="00AC3738">
              <w:rPr>
                <w:noProof/>
                <w:webHidden/>
                <w:color w:val="000000" w:themeColor="text1"/>
              </w:rPr>
              <w:fldChar w:fldCharType="end"/>
            </w:r>
          </w:hyperlink>
        </w:p>
        <w:p w:rsidRPr="00AC3738" w:rsidR="00AC3738" w:rsidP="00AC3738" w:rsidRDefault="00AC3738" w14:paraId="26C657C3" w14:textId="79D8228E">
          <w:pPr>
            <w:pStyle w:val="TOC2"/>
            <w:tabs>
              <w:tab w:val="right" w:leader="dot" w:pos="9350"/>
            </w:tabs>
            <w:spacing w:line="360" w:lineRule="auto"/>
            <w:jc w:val="both"/>
            <w:rPr>
              <w:noProof/>
              <w:color w:val="000000" w:themeColor="text1"/>
            </w:rPr>
          </w:pPr>
          <w:hyperlink w:history="1" w:anchor="_Toc223451499">
            <w:r w:rsidRPr="00AC3738">
              <w:rPr>
                <w:rStyle w:val="Hyperlink"/>
                <w:noProof/>
                <w:color w:val="000000" w:themeColor="text1"/>
                <w:lang w:val="en-GB"/>
              </w:rPr>
              <w:t>3.2 Data Analysis Approach</w:t>
            </w:r>
            <w:r w:rsidRPr="00AC3738">
              <w:rPr>
                <w:noProof/>
                <w:webHidden/>
                <w:color w:val="000000" w:themeColor="text1"/>
              </w:rPr>
              <w:tab/>
            </w:r>
            <w:r w:rsidRPr="00AC3738">
              <w:rPr>
                <w:noProof/>
                <w:webHidden/>
                <w:color w:val="000000" w:themeColor="text1"/>
              </w:rPr>
              <w:fldChar w:fldCharType="begin"/>
            </w:r>
            <w:r w:rsidRPr="00AC3738">
              <w:rPr>
                <w:noProof/>
                <w:webHidden/>
                <w:color w:val="000000" w:themeColor="text1"/>
              </w:rPr>
              <w:instrText xml:space="preserve"> PAGEREF _Toc223451499 \h </w:instrText>
            </w:r>
            <w:r w:rsidRPr="00AC3738">
              <w:rPr>
                <w:noProof/>
                <w:webHidden/>
                <w:color w:val="000000" w:themeColor="text1"/>
              </w:rPr>
            </w:r>
            <w:r w:rsidRPr="00AC3738">
              <w:rPr>
                <w:noProof/>
                <w:webHidden/>
                <w:color w:val="000000" w:themeColor="text1"/>
              </w:rPr>
              <w:fldChar w:fldCharType="separate"/>
            </w:r>
            <w:r w:rsidRPr="00AC3738">
              <w:rPr>
                <w:noProof/>
                <w:webHidden/>
                <w:color w:val="000000" w:themeColor="text1"/>
              </w:rPr>
              <w:t>7</w:t>
            </w:r>
            <w:r w:rsidRPr="00AC3738">
              <w:rPr>
                <w:noProof/>
                <w:webHidden/>
                <w:color w:val="000000" w:themeColor="text1"/>
              </w:rPr>
              <w:fldChar w:fldCharType="end"/>
            </w:r>
          </w:hyperlink>
        </w:p>
        <w:p w:rsidRPr="00AC3738" w:rsidR="00AC3738" w:rsidP="00AC3738" w:rsidRDefault="00AC3738" w14:paraId="22219A59" w14:textId="23EA971B">
          <w:pPr>
            <w:pStyle w:val="TOC2"/>
            <w:tabs>
              <w:tab w:val="right" w:leader="dot" w:pos="9350"/>
            </w:tabs>
            <w:spacing w:line="360" w:lineRule="auto"/>
            <w:jc w:val="both"/>
            <w:rPr>
              <w:noProof/>
              <w:color w:val="000000" w:themeColor="text1"/>
            </w:rPr>
          </w:pPr>
          <w:hyperlink w:history="1" w:anchor="_Toc223451500">
            <w:r w:rsidRPr="00AC3738">
              <w:rPr>
                <w:rStyle w:val="Hyperlink"/>
                <w:noProof/>
                <w:color w:val="000000" w:themeColor="text1"/>
                <w:lang w:val="en-GB"/>
              </w:rPr>
              <w:t>3.3 Ethical Considerations</w:t>
            </w:r>
            <w:r w:rsidRPr="00AC3738">
              <w:rPr>
                <w:noProof/>
                <w:webHidden/>
                <w:color w:val="000000" w:themeColor="text1"/>
              </w:rPr>
              <w:tab/>
            </w:r>
            <w:r w:rsidRPr="00AC3738">
              <w:rPr>
                <w:noProof/>
                <w:webHidden/>
                <w:color w:val="000000" w:themeColor="text1"/>
              </w:rPr>
              <w:fldChar w:fldCharType="begin"/>
            </w:r>
            <w:r w:rsidRPr="00AC3738">
              <w:rPr>
                <w:noProof/>
                <w:webHidden/>
                <w:color w:val="000000" w:themeColor="text1"/>
              </w:rPr>
              <w:instrText xml:space="preserve"> PAGEREF _Toc223451500 \h </w:instrText>
            </w:r>
            <w:r w:rsidRPr="00AC3738">
              <w:rPr>
                <w:noProof/>
                <w:webHidden/>
                <w:color w:val="000000" w:themeColor="text1"/>
              </w:rPr>
            </w:r>
            <w:r w:rsidRPr="00AC3738">
              <w:rPr>
                <w:noProof/>
                <w:webHidden/>
                <w:color w:val="000000" w:themeColor="text1"/>
              </w:rPr>
              <w:fldChar w:fldCharType="separate"/>
            </w:r>
            <w:r w:rsidRPr="00AC3738">
              <w:rPr>
                <w:noProof/>
                <w:webHidden/>
                <w:color w:val="000000" w:themeColor="text1"/>
              </w:rPr>
              <w:t>8</w:t>
            </w:r>
            <w:r w:rsidRPr="00AC3738">
              <w:rPr>
                <w:noProof/>
                <w:webHidden/>
                <w:color w:val="000000" w:themeColor="text1"/>
              </w:rPr>
              <w:fldChar w:fldCharType="end"/>
            </w:r>
          </w:hyperlink>
        </w:p>
        <w:p w:rsidRPr="00AC3738" w:rsidR="00AC3738" w:rsidP="00AC3738" w:rsidRDefault="00AC3738" w14:paraId="7E2B1F3F" w14:textId="7AC82D77">
          <w:pPr>
            <w:pStyle w:val="TOC1"/>
            <w:tabs>
              <w:tab w:val="right" w:leader="dot" w:pos="9350"/>
            </w:tabs>
            <w:spacing w:line="360" w:lineRule="auto"/>
            <w:jc w:val="both"/>
            <w:rPr>
              <w:noProof/>
              <w:color w:val="000000" w:themeColor="text1"/>
            </w:rPr>
          </w:pPr>
          <w:hyperlink w:history="1" w:anchor="_Toc223451501">
            <w:r w:rsidRPr="00AC3738">
              <w:rPr>
                <w:rStyle w:val="Hyperlink"/>
                <w:noProof/>
                <w:color w:val="000000" w:themeColor="text1"/>
                <w:lang w:val="en-GB"/>
              </w:rPr>
              <w:t>4. Results</w:t>
            </w:r>
            <w:r w:rsidRPr="00AC3738">
              <w:rPr>
                <w:noProof/>
                <w:webHidden/>
                <w:color w:val="000000" w:themeColor="text1"/>
              </w:rPr>
              <w:tab/>
            </w:r>
            <w:r w:rsidRPr="00AC3738">
              <w:rPr>
                <w:noProof/>
                <w:webHidden/>
                <w:color w:val="000000" w:themeColor="text1"/>
              </w:rPr>
              <w:fldChar w:fldCharType="begin"/>
            </w:r>
            <w:r w:rsidRPr="00AC3738">
              <w:rPr>
                <w:noProof/>
                <w:webHidden/>
                <w:color w:val="000000" w:themeColor="text1"/>
              </w:rPr>
              <w:instrText xml:space="preserve"> PAGEREF _Toc223451501 \h </w:instrText>
            </w:r>
            <w:r w:rsidRPr="00AC3738">
              <w:rPr>
                <w:noProof/>
                <w:webHidden/>
                <w:color w:val="000000" w:themeColor="text1"/>
              </w:rPr>
            </w:r>
            <w:r w:rsidRPr="00AC3738">
              <w:rPr>
                <w:noProof/>
                <w:webHidden/>
                <w:color w:val="000000" w:themeColor="text1"/>
              </w:rPr>
              <w:fldChar w:fldCharType="separate"/>
            </w:r>
            <w:r w:rsidRPr="00AC3738">
              <w:rPr>
                <w:noProof/>
                <w:webHidden/>
                <w:color w:val="000000" w:themeColor="text1"/>
              </w:rPr>
              <w:t>8</w:t>
            </w:r>
            <w:r w:rsidRPr="00AC3738">
              <w:rPr>
                <w:noProof/>
                <w:webHidden/>
                <w:color w:val="000000" w:themeColor="text1"/>
              </w:rPr>
              <w:fldChar w:fldCharType="end"/>
            </w:r>
          </w:hyperlink>
        </w:p>
        <w:p w:rsidRPr="00AC3738" w:rsidR="00AC3738" w:rsidP="00AC3738" w:rsidRDefault="00AC3738" w14:paraId="575AA8B3" w14:textId="48E95163">
          <w:pPr>
            <w:pStyle w:val="TOC2"/>
            <w:tabs>
              <w:tab w:val="right" w:leader="dot" w:pos="9350"/>
            </w:tabs>
            <w:spacing w:line="360" w:lineRule="auto"/>
            <w:jc w:val="both"/>
            <w:rPr>
              <w:noProof/>
              <w:color w:val="000000" w:themeColor="text1"/>
            </w:rPr>
          </w:pPr>
          <w:hyperlink w:history="1" w:anchor="_Toc223451502">
            <w:r w:rsidRPr="00AC3738">
              <w:rPr>
                <w:rStyle w:val="Hyperlink"/>
                <w:noProof/>
                <w:color w:val="000000" w:themeColor="text1"/>
                <w:lang w:val="en-GB"/>
              </w:rPr>
              <w:t>4.1 Summary Tables</w:t>
            </w:r>
            <w:r w:rsidRPr="00AC3738">
              <w:rPr>
                <w:noProof/>
                <w:webHidden/>
                <w:color w:val="000000" w:themeColor="text1"/>
              </w:rPr>
              <w:tab/>
            </w:r>
            <w:r w:rsidRPr="00AC3738">
              <w:rPr>
                <w:noProof/>
                <w:webHidden/>
                <w:color w:val="000000" w:themeColor="text1"/>
              </w:rPr>
              <w:fldChar w:fldCharType="begin"/>
            </w:r>
            <w:r w:rsidRPr="00AC3738">
              <w:rPr>
                <w:noProof/>
                <w:webHidden/>
                <w:color w:val="000000" w:themeColor="text1"/>
              </w:rPr>
              <w:instrText xml:space="preserve"> PAGEREF _Toc223451502 \h </w:instrText>
            </w:r>
            <w:r w:rsidRPr="00AC3738">
              <w:rPr>
                <w:noProof/>
                <w:webHidden/>
                <w:color w:val="000000" w:themeColor="text1"/>
              </w:rPr>
            </w:r>
            <w:r w:rsidRPr="00AC3738">
              <w:rPr>
                <w:noProof/>
                <w:webHidden/>
                <w:color w:val="000000" w:themeColor="text1"/>
              </w:rPr>
              <w:fldChar w:fldCharType="separate"/>
            </w:r>
            <w:r w:rsidRPr="00AC3738">
              <w:rPr>
                <w:noProof/>
                <w:webHidden/>
                <w:color w:val="000000" w:themeColor="text1"/>
              </w:rPr>
              <w:t>8</w:t>
            </w:r>
            <w:r w:rsidRPr="00AC3738">
              <w:rPr>
                <w:noProof/>
                <w:webHidden/>
                <w:color w:val="000000" w:themeColor="text1"/>
              </w:rPr>
              <w:fldChar w:fldCharType="end"/>
            </w:r>
          </w:hyperlink>
        </w:p>
        <w:p w:rsidRPr="00AC3738" w:rsidR="00AC3738" w:rsidP="00AC3738" w:rsidRDefault="00AC3738" w14:paraId="4C06BBC2" w14:textId="7E34E7E3">
          <w:pPr>
            <w:pStyle w:val="TOC2"/>
            <w:tabs>
              <w:tab w:val="right" w:leader="dot" w:pos="9350"/>
            </w:tabs>
            <w:spacing w:line="360" w:lineRule="auto"/>
            <w:jc w:val="both"/>
            <w:rPr>
              <w:noProof/>
              <w:color w:val="000000" w:themeColor="text1"/>
            </w:rPr>
          </w:pPr>
          <w:hyperlink w:history="1" w:anchor="_Toc223451503">
            <w:r w:rsidRPr="00AC3738">
              <w:rPr>
                <w:rStyle w:val="Hyperlink"/>
                <w:noProof/>
                <w:color w:val="000000" w:themeColor="text1"/>
                <w:lang w:val="en-GB"/>
              </w:rPr>
              <w:t>4.2 Thematic Analysis</w:t>
            </w:r>
            <w:r w:rsidRPr="00AC3738">
              <w:rPr>
                <w:noProof/>
                <w:webHidden/>
                <w:color w:val="000000" w:themeColor="text1"/>
              </w:rPr>
              <w:tab/>
            </w:r>
            <w:r w:rsidRPr="00AC3738">
              <w:rPr>
                <w:noProof/>
                <w:webHidden/>
                <w:color w:val="000000" w:themeColor="text1"/>
              </w:rPr>
              <w:fldChar w:fldCharType="begin"/>
            </w:r>
            <w:r w:rsidRPr="00AC3738">
              <w:rPr>
                <w:noProof/>
                <w:webHidden/>
                <w:color w:val="000000" w:themeColor="text1"/>
              </w:rPr>
              <w:instrText xml:space="preserve"> PAGEREF _Toc223451503 \h </w:instrText>
            </w:r>
            <w:r w:rsidRPr="00AC3738">
              <w:rPr>
                <w:noProof/>
                <w:webHidden/>
                <w:color w:val="000000" w:themeColor="text1"/>
              </w:rPr>
            </w:r>
            <w:r w:rsidRPr="00AC3738">
              <w:rPr>
                <w:noProof/>
                <w:webHidden/>
                <w:color w:val="000000" w:themeColor="text1"/>
              </w:rPr>
              <w:fldChar w:fldCharType="separate"/>
            </w:r>
            <w:r w:rsidRPr="00AC3738">
              <w:rPr>
                <w:noProof/>
                <w:webHidden/>
                <w:color w:val="000000" w:themeColor="text1"/>
              </w:rPr>
              <w:t>11</w:t>
            </w:r>
            <w:r w:rsidRPr="00AC3738">
              <w:rPr>
                <w:noProof/>
                <w:webHidden/>
                <w:color w:val="000000" w:themeColor="text1"/>
              </w:rPr>
              <w:fldChar w:fldCharType="end"/>
            </w:r>
          </w:hyperlink>
        </w:p>
        <w:p w:rsidRPr="00AC3738" w:rsidR="00AC3738" w:rsidP="00AC3738" w:rsidRDefault="00AC3738" w14:paraId="395DEE6C" w14:textId="71B129DA">
          <w:pPr>
            <w:pStyle w:val="TOC1"/>
            <w:tabs>
              <w:tab w:val="right" w:leader="dot" w:pos="9350"/>
            </w:tabs>
            <w:spacing w:line="360" w:lineRule="auto"/>
            <w:jc w:val="both"/>
            <w:rPr>
              <w:noProof/>
              <w:color w:val="000000" w:themeColor="text1"/>
            </w:rPr>
          </w:pPr>
          <w:hyperlink w:history="1" w:anchor="_Toc223451504">
            <w:r w:rsidRPr="00AC3738">
              <w:rPr>
                <w:rStyle w:val="Hyperlink"/>
                <w:noProof/>
                <w:color w:val="000000" w:themeColor="text1"/>
                <w:lang w:val="en-GB"/>
              </w:rPr>
              <w:t>5. Discussion</w:t>
            </w:r>
            <w:r w:rsidRPr="00AC3738">
              <w:rPr>
                <w:noProof/>
                <w:webHidden/>
                <w:color w:val="000000" w:themeColor="text1"/>
              </w:rPr>
              <w:tab/>
            </w:r>
            <w:r w:rsidRPr="00AC3738">
              <w:rPr>
                <w:noProof/>
                <w:webHidden/>
                <w:color w:val="000000" w:themeColor="text1"/>
              </w:rPr>
              <w:fldChar w:fldCharType="begin"/>
            </w:r>
            <w:r w:rsidRPr="00AC3738">
              <w:rPr>
                <w:noProof/>
                <w:webHidden/>
                <w:color w:val="000000" w:themeColor="text1"/>
              </w:rPr>
              <w:instrText xml:space="preserve"> PAGEREF _Toc223451504 \h </w:instrText>
            </w:r>
            <w:r w:rsidRPr="00AC3738">
              <w:rPr>
                <w:noProof/>
                <w:webHidden/>
                <w:color w:val="000000" w:themeColor="text1"/>
              </w:rPr>
            </w:r>
            <w:r w:rsidRPr="00AC3738">
              <w:rPr>
                <w:noProof/>
                <w:webHidden/>
                <w:color w:val="000000" w:themeColor="text1"/>
              </w:rPr>
              <w:fldChar w:fldCharType="separate"/>
            </w:r>
            <w:r w:rsidRPr="00AC3738">
              <w:rPr>
                <w:noProof/>
                <w:webHidden/>
                <w:color w:val="000000" w:themeColor="text1"/>
              </w:rPr>
              <w:t>14</w:t>
            </w:r>
            <w:r w:rsidRPr="00AC3738">
              <w:rPr>
                <w:noProof/>
                <w:webHidden/>
                <w:color w:val="000000" w:themeColor="text1"/>
              </w:rPr>
              <w:fldChar w:fldCharType="end"/>
            </w:r>
          </w:hyperlink>
        </w:p>
        <w:p w:rsidRPr="00AC3738" w:rsidR="00AC3738" w:rsidP="00AC3738" w:rsidRDefault="00AC3738" w14:paraId="6390831E" w14:textId="67D551D6">
          <w:pPr>
            <w:pStyle w:val="TOC2"/>
            <w:tabs>
              <w:tab w:val="right" w:leader="dot" w:pos="9350"/>
            </w:tabs>
            <w:spacing w:line="360" w:lineRule="auto"/>
            <w:jc w:val="both"/>
            <w:rPr>
              <w:noProof/>
              <w:color w:val="000000" w:themeColor="text1"/>
            </w:rPr>
          </w:pPr>
          <w:hyperlink w:history="1" w:anchor="_Toc223451505">
            <w:r w:rsidRPr="00AC3738">
              <w:rPr>
                <w:rStyle w:val="Hyperlink"/>
                <w:noProof/>
                <w:color w:val="000000" w:themeColor="text1"/>
                <w:lang w:val="en-GB"/>
              </w:rPr>
              <w:t xml:space="preserve">5.1 Compare and </w:t>
            </w:r>
            <w:r w:rsidRPr="00AC3738">
              <w:rPr>
                <w:rStyle w:val="Hyperlink"/>
                <w:noProof/>
                <w:color w:val="000000" w:themeColor="text1"/>
              </w:rPr>
              <w:t>contrast</w:t>
            </w:r>
            <w:r w:rsidRPr="00AC3738">
              <w:rPr>
                <w:rStyle w:val="Hyperlink"/>
                <w:noProof/>
                <w:color w:val="000000" w:themeColor="text1"/>
                <w:lang w:val="en-GB"/>
              </w:rPr>
              <w:t xml:space="preserve"> findings</w:t>
            </w:r>
            <w:r w:rsidRPr="00AC3738">
              <w:rPr>
                <w:noProof/>
                <w:webHidden/>
                <w:color w:val="000000" w:themeColor="text1"/>
              </w:rPr>
              <w:tab/>
            </w:r>
            <w:r w:rsidRPr="00AC3738">
              <w:rPr>
                <w:noProof/>
                <w:webHidden/>
                <w:color w:val="000000" w:themeColor="text1"/>
              </w:rPr>
              <w:fldChar w:fldCharType="begin"/>
            </w:r>
            <w:r w:rsidRPr="00AC3738">
              <w:rPr>
                <w:noProof/>
                <w:webHidden/>
                <w:color w:val="000000" w:themeColor="text1"/>
              </w:rPr>
              <w:instrText xml:space="preserve"> PAGEREF _Toc223451505 \h </w:instrText>
            </w:r>
            <w:r w:rsidRPr="00AC3738">
              <w:rPr>
                <w:noProof/>
                <w:webHidden/>
                <w:color w:val="000000" w:themeColor="text1"/>
              </w:rPr>
            </w:r>
            <w:r w:rsidRPr="00AC3738">
              <w:rPr>
                <w:noProof/>
                <w:webHidden/>
                <w:color w:val="000000" w:themeColor="text1"/>
              </w:rPr>
              <w:fldChar w:fldCharType="separate"/>
            </w:r>
            <w:r w:rsidRPr="00AC3738">
              <w:rPr>
                <w:noProof/>
                <w:webHidden/>
                <w:color w:val="000000" w:themeColor="text1"/>
              </w:rPr>
              <w:t>14</w:t>
            </w:r>
            <w:r w:rsidRPr="00AC3738">
              <w:rPr>
                <w:noProof/>
                <w:webHidden/>
                <w:color w:val="000000" w:themeColor="text1"/>
              </w:rPr>
              <w:fldChar w:fldCharType="end"/>
            </w:r>
          </w:hyperlink>
        </w:p>
        <w:p w:rsidRPr="00AC3738" w:rsidR="00AC3738" w:rsidP="00AC3738" w:rsidRDefault="00AC3738" w14:paraId="3A030697" w14:textId="1CC78271">
          <w:pPr>
            <w:pStyle w:val="TOC2"/>
            <w:tabs>
              <w:tab w:val="right" w:leader="dot" w:pos="9350"/>
            </w:tabs>
            <w:spacing w:line="360" w:lineRule="auto"/>
            <w:jc w:val="both"/>
            <w:rPr>
              <w:noProof/>
              <w:color w:val="000000" w:themeColor="text1"/>
            </w:rPr>
          </w:pPr>
          <w:hyperlink w:history="1" w:anchor="_Toc223451506">
            <w:r w:rsidRPr="00AC3738">
              <w:rPr>
                <w:rStyle w:val="Hyperlink"/>
                <w:noProof/>
                <w:color w:val="000000" w:themeColor="text1"/>
                <w:lang w:val="en-GB"/>
              </w:rPr>
              <w:t>5.2 Explain gaps in the research</w:t>
            </w:r>
            <w:r w:rsidRPr="00AC3738">
              <w:rPr>
                <w:noProof/>
                <w:webHidden/>
                <w:color w:val="000000" w:themeColor="text1"/>
              </w:rPr>
              <w:tab/>
            </w:r>
            <w:r w:rsidRPr="00AC3738">
              <w:rPr>
                <w:noProof/>
                <w:webHidden/>
                <w:color w:val="000000" w:themeColor="text1"/>
              </w:rPr>
              <w:fldChar w:fldCharType="begin"/>
            </w:r>
            <w:r w:rsidRPr="00AC3738">
              <w:rPr>
                <w:noProof/>
                <w:webHidden/>
                <w:color w:val="000000" w:themeColor="text1"/>
              </w:rPr>
              <w:instrText xml:space="preserve"> PAGEREF _Toc223451506 \h </w:instrText>
            </w:r>
            <w:r w:rsidRPr="00AC3738">
              <w:rPr>
                <w:noProof/>
                <w:webHidden/>
                <w:color w:val="000000" w:themeColor="text1"/>
              </w:rPr>
            </w:r>
            <w:r w:rsidRPr="00AC3738">
              <w:rPr>
                <w:noProof/>
                <w:webHidden/>
                <w:color w:val="000000" w:themeColor="text1"/>
              </w:rPr>
              <w:fldChar w:fldCharType="separate"/>
            </w:r>
            <w:r w:rsidRPr="00AC3738">
              <w:rPr>
                <w:noProof/>
                <w:webHidden/>
                <w:color w:val="000000" w:themeColor="text1"/>
              </w:rPr>
              <w:t>15</w:t>
            </w:r>
            <w:r w:rsidRPr="00AC3738">
              <w:rPr>
                <w:noProof/>
                <w:webHidden/>
                <w:color w:val="000000" w:themeColor="text1"/>
              </w:rPr>
              <w:fldChar w:fldCharType="end"/>
            </w:r>
          </w:hyperlink>
        </w:p>
        <w:p w:rsidRPr="00AC3738" w:rsidR="00AC3738" w:rsidP="00AC3738" w:rsidRDefault="00AC3738" w14:paraId="2120AFE4" w14:textId="407E0B73">
          <w:pPr>
            <w:pStyle w:val="TOC2"/>
            <w:tabs>
              <w:tab w:val="right" w:leader="dot" w:pos="9350"/>
            </w:tabs>
            <w:spacing w:line="360" w:lineRule="auto"/>
            <w:jc w:val="both"/>
            <w:rPr>
              <w:noProof/>
              <w:color w:val="000000" w:themeColor="text1"/>
            </w:rPr>
          </w:pPr>
          <w:hyperlink w:history="1" w:anchor="_Toc223451507">
            <w:r w:rsidRPr="00AC3738">
              <w:rPr>
                <w:rStyle w:val="Hyperlink"/>
                <w:noProof/>
                <w:color w:val="000000" w:themeColor="text1"/>
                <w:lang w:val="en-GB"/>
              </w:rPr>
              <w:t>5.3 Theoretical and practical implications</w:t>
            </w:r>
            <w:r w:rsidRPr="00AC3738">
              <w:rPr>
                <w:noProof/>
                <w:webHidden/>
                <w:color w:val="000000" w:themeColor="text1"/>
              </w:rPr>
              <w:tab/>
            </w:r>
            <w:r w:rsidRPr="00AC3738">
              <w:rPr>
                <w:noProof/>
                <w:webHidden/>
                <w:color w:val="000000" w:themeColor="text1"/>
              </w:rPr>
              <w:fldChar w:fldCharType="begin"/>
            </w:r>
            <w:r w:rsidRPr="00AC3738">
              <w:rPr>
                <w:noProof/>
                <w:webHidden/>
                <w:color w:val="000000" w:themeColor="text1"/>
              </w:rPr>
              <w:instrText xml:space="preserve"> PAGEREF _Toc223451507 \h </w:instrText>
            </w:r>
            <w:r w:rsidRPr="00AC3738">
              <w:rPr>
                <w:noProof/>
                <w:webHidden/>
                <w:color w:val="000000" w:themeColor="text1"/>
              </w:rPr>
            </w:r>
            <w:r w:rsidRPr="00AC3738">
              <w:rPr>
                <w:noProof/>
                <w:webHidden/>
                <w:color w:val="000000" w:themeColor="text1"/>
              </w:rPr>
              <w:fldChar w:fldCharType="separate"/>
            </w:r>
            <w:r w:rsidRPr="00AC3738">
              <w:rPr>
                <w:noProof/>
                <w:webHidden/>
                <w:color w:val="000000" w:themeColor="text1"/>
              </w:rPr>
              <w:t>15</w:t>
            </w:r>
            <w:r w:rsidRPr="00AC3738">
              <w:rPr>
                <w:noProof/>
                <w:webHidden/>
                <w:color w:val="000000" w:themeColor="text1"/>
              </w:rPr>
              <w:fldChar w:fldCharType="end"/>
            </w:r>
          </w:hyperlink>
        </w:p>
        <w:p w:rsidRPr="00AC3738" w:rsidR="00AC3738" w:rsidP="00AC3738" w:rsidRDefault="00AC3738" w14:paraId="7E0879EB" w14:textId="5484A934">
          <w:pPr>
            <w:pStyle w:val="TOC1"/>
            <w:tabs>
              <w:tab w:val="right" w:leader="dot" w:pos="9350"/>
            </w:tabs>
            <w:spacing w:line="360" w:lineRule="auto"/>
            <w:jc w:val="both"/>
            <w:rPr>
              <w:noProof/>
              <w:color w:val="000000" w:themeColor="text1"/>
            </w:rPr>
          </w:pPr>
          <w:hyperlink w:history="1" w:anchor="_Toc223451508">
            <w:r w:rsidRPr="00AC3738">
              <w:rPr>
                <w:rStyle w:val="Hyperlink"/>
                <w:noProof/>
                <w:color w:val="000000" w:themeColor="text1"/>
                <w:lang w:val="en-GB"/>
              </w:rPr>
              <w:t>6. Conclusion and Recommendations</w:t>
            </w:r>
            <w:r w:rsidRPr="00AC3738">
              <w:rPr>
                <w:noProof/>
                <w:webHidden/>
                <w:color w:val="000000" w:themeColor="text1"/>
              </w:rPr>
              <w:tab/>
            </w:r>
            <w:r w:rsidRPr="00AC3738">
              <w:rPr>
                <w:noProof/>
                <w:webHidden/>
                <w:color w:val="000000" w:themeColor="text1"/>
              </w:rPr>
              <w:fldChar w:fldCharType="begin"/>
            </w:r>
            <w:r w:rsidRPr="00AC3738">
              <w:rPr>
                <w:noProof/>
                <w:webHidden/>
                <w:color w:val="000000" w:themeColor="text1"/>
              </w:rPr>
              <w:instrText xml:space="preserve"> PAGEREF _Toc223451508 \h </w:instrText>
            </w:r>
            <w:r w:rsidRPr="00AC3738">
              <w:rPr>
                <w:noProof/>
                <w:webHidden/>
                <w:color w:val="000000" w:themeColor="text1"/>
              </w:rPr>
            </w:r>
            <w:r w:rsidRPr="00AC3738">
              <w:rPr>
                <w:noProof/>
                <w:webHidden/>
                <w:color w:val="000000" w:themeColor="text1"/>
              </w:rPr>
              <w:fldChar w:fldCharType="separate"/>
            </w:r>
            <w:r w:rsidRPr="00AC3738">
              <w:rPr>
                <w:noProof/>
                <w:webHidden/>
                <w:color w:val="000000" w:themeColor="text1"/>
              </w:rPr>
              <w:t>16</w:t>
            </w:r>
            <w:r w:rsidRPr="00AC3738">
              <w:rPr>
                <w:noProof/>
                <w:webHidden/>
                <w:color w:val="000000" w:themeColor="text1"/>
              </w:rPr>
              <w:fldChar w:fldCharType="end"/>
            </w:r>
          </w:hyperlink>
        </w:p>
        <w:p w:rsidRPr="00AC3738" w:rsidR="00AC3738" w:rsidP="00AC3738" w:rsidRDefault="00AC3738" w14:paraId="263A2023" w14:textId="68D3BB3D">
          <w:pPr>
            <w:pStyle w:val="TOC2"/>
            <w:tabs>
              <w:tab w:val="right" w:leader="dot" w:pos="9350"/>
            </w:tabs>
            <w:spacing w:line="360" w:lineRule="auto"/>
            <w:jc w:val="both"/>
            <w:rPr>
              <w:noProof/>
              <w:color w:val="000000" w:themeColor="text1"/>
            </w:rPr>
          </w:pPr>
          <w:hyperlink w:history="1" w:anchor="_Toc223451509">
            <w:r w:rsidRPr="00AC3738">
              <w:rPr>
                <w:rStyle w:val="Hyperlink"/>
                <w:noProof/>
                <w:color w:val="000000" w:themeColor="text1"/>
                <w:lang w:val="en-GB"/>
              </w:rPr>
              <w:t>6.1 Key takeaways</w:t>
            </w:r>
            <w:r w:rsidRPr="00AC3738">
              <w:rPr>
                <w:noProof/>
                <w:webHidden/>
                <w:color w:val="000000" w:themeColor="text1"/>
              </w:rPr>
              <w:tab/>
            </w:r>
            <w:r w:rsidRPr="00AC3738">
              <w:rPr>
                <w:noProof/>
                <w:webHidden/>
                <w:color w:val="000000" w:themeColor="text1"/>
              </w:rPr>
              <w:fldChar w:fldCharType="begin"/>
            </w:r>
            <w:r w:rsidRPr="00AC3738">
              <w:rPr>
                <w:noProof/>
                <w:webHidden/>
                <w:color w:val="000000" w:themeColor="text1"/>
              </w:rPr>
              <w:instrText xml:space="preserve"> PAGEREF _Toc223451509 \h </w:instrText>
            </w:r>
            <w:r w:rsidRPr="00AC3738">
              <w:rPr>
                <w:noProof/>
                <w:webHidden/>
                <w:color w:val="000000" w:themeColor="text1"/>
              </w:rPr>
            </w:r>
            <w:r w:rsidRPr="00AC3738">
              <w:rPr>
                <w:noProof/>
                <w:webHidden/>
                <w:color w:val="000000" w:themeColor="text1"/>
              </w:rPr>
              <w:fldChar w:fldCharType="separate"/>
            </w:r>
            <w:r w:rsidRPr="00AC3738">
              <w:rPr>
                <w:noProof/>
                <w:webHidden/>
                <w:color w:val="000000" w:themeColor="text1"/>
              </w:rPr>
              <w:t>16</w:t>
            </w:r>
            <w:r w:rsidRPr="00AC3738">
              <w:rPr>
                <w:noProof/>
                <w:webHidden/>
                <w:color w:val="000000" w:themeColor="text1"/>
              </w:rPr>
              <w:fldChar w:fldCharType="end"/>
            </w:r>
          </w:hyperlink>
        </w:p>
        <w:p w:rsidRPr="00AC3738" w:rsidR="00AC3738" w:rsidP="00AC3738" w:rsidRDefault="00AC3738" w14:paraId="1EEFAA9F" w14:textId="5B9D66F3">
          <w:pPr>
            <w:pStyle w:val="TOC2"/>
            <w:tabs>
              <w:tab w:val="right" w:leader="dot" w:pos="9350"/>
            </w:tabs>
            <w:spacing w:line="360" w:lineRule="auto"/>
            <w:jc w:val="both"/>
            <w:rPr>
              <w:noProof/>
              <w:color w:val="000000" w:themeColor="text1"/>
            </w:rPr>
          </w:pPr>
          <w:hyperlink w:history="1" w:anchor="_Toc223451510">
            <w:r w:rsidRPr="00AC3738">
              <w:rPr>
                <w:rStyle w:val="Hyperlink"/>
                <w:noProof/>
                <w:color w:val="000000" w:themeColor="text1"/>
                <w:lang w:val="en-GB"/>
              </w:rPr>
              <w:t>6.2 Recommendations for future research</w:t>
            </w:r>
            <w:r w:rsidRPr="00AC3738">
              <w:rPr>
                <w:noProof/>
                <w:webHidden/>
                <w:color w:val="000000" w:themeColor="text1"/>
              </w:rPr>
              <w:tab/>
            </w:r>
            <w:r w:rsidRPr="00AC3738">
              <w:rPr>
                <w:noProof/>
                <w:webHidden/>
                <w:color w:val="000000" w:themeColor="text1"/>
              </w:rPr>
              <w:fldChar w:fldCharType="begin"/>
            </w:r>
            <w:r w:rsidRPr="00AC3738">
              <w:rPr>
                <w:noProof/>
                <w:webHidden/>
                <w:color w:val="000000" w:themeColor="text1"/>
              </w:rPr>
              <w:instrText xml:space="preserve"> PAGEREF _Toc223451510 \h </w:instrText>
            </w:r>
            <w:r w:rsidRPr="00AC3738">
              <w:rPr>
                <w:noProof/>
                <w:webHidden/>
                <w:color w:val="000000" w:themeColor="text1"/>
              </w:rPr>
            </w:r>
            <w:r w:rsidRPr="00AC3738">
              <w:rPr>
                <w:noProof/>
                <w:webHidden/>
                <w:color w:val="000000" w:themeColor="text1"/>
              </w:rPr>
              <w:fldChar w:fldCharType="separate"/>
            </w:r>
            <w:r w:rsidRPr="00AC3738">
              <w:rPr>
                <w:noProof/>
                <w:webHidden/>
                <w:color w:val="000000" w:themeColor="text1"/>
              </w:rPr>
              <w:t>17</w:t>
            </w:r>
            <w:r w:rsidRPr="00AC3738">
              <w:rPr>
                <w:noProof/>
                <w:webHidden/>
                <w:color w:val="000000" w:themeColor="text1"/>
              </w:rPr>
              <w:fldChar w:fldCharType="end"/>
            </w:r>
          </w:hyperlink>
        </w:p>
        <w:p w:rsidRPr="00AC3738" w:rsidR="00AC3738" w:rsidP="00AC3738" w:rsidRDefault="00AC3738" w14:paraId="6B71494F" w14:textId="0DAF2400">
          <w:pPr>
            <w:pStyle w:val="TOC2"/>
            <w:tabs>
              <w:tab w:val="right" w:leader="dot" w:pos="9350"/>
            </w:tabs>
            <w:spacing w:line="360" w:lineRule="auto"/>
            <w:jc w:val="both"/>
            <w:rPr>
              <w:noProof/>
              <w:color w:val="000000" w:themeColor="text1"/>
            </w:rPr>
          </w:pPr>
          <w:hyperlink w:history="1" w:anchor="_Toc223451511">
            <w:r w:rsidRPr="00AC3738">
              <w:rPr>
                <w:rStyle w:val="Hyperlink"/>
                <w:noProof/>
                <w:color w:val="000000" w:themeColor="text1"/>
                <w:lang w:val="en-GB"/>
              </w:rPr>
              <w:t>6.3 Recommendations for policy and practice</w:t>
            </w:r>
            <w:r w:rsidRPr="00AC3738">
              <w:rPr>
                <w:noProof/>
                <w:webHidden/>
                <w:color w:val="000000" w:themeColor="text1"/>
              </w:rPr>
              <w:tab/>
            </w:r>
            <w:r w:rsidRPr="00AC3738">
              <w:rPr>
                <w:noProof/>
                <w:webHidden/>
                <w:color w:val="000000" w:themeColor="text1"/>
              </w:rPr>
              <w:fldChar w:fldCharType="begin"/>
            </w:r>
            <w:r w:rsidRPr="00AC3738">
              <w:rPr>
                <w:noProof/>
                <w:webHidden/>
                <w:color w:val="000000" w:themeColor="text1"/>
              </w:rPr>
              <w:instrText xml:space="preserve"> PAGEREF _Toc223451511 \h </w:instrText>
            </w:r>
            <w:r w:rsidRPr="00AC3738">
              <w:rPr>
                <w:noProof/>
                <w:webHidden/>
                <w:color w:val="000000" w:themeColor="text1"/>
              </w:rPr>
            </w:r>
            <w:r w:rsidRPr="00AC3738">
              <w:rPr>
                <w:noProof/>
                <w:webHidden/>
                <w:color w:val="000000" w:themeColor="text1"/>
              </w:rPr>
              <w:fldChar w:fldCharType="separate"/>
            </w:r>
            <w:r w:rsidRPr="00AC3738">
              <w:rPr>
                <w:noProof/>
                <w:webHidden/>
                <w:color w:val="000000" w:themeColor="text1"/>
              </w:rPr>
              <w:t>17</w:t>
            </w:r>
            <w:r w:rsidRPr="00AC3738">
              <w:rPr>
                <w:noProof/>
                <w:webHidden/>
                <w:color w:val="000000" w:themeColor="text1"/>
              </w:rPr>
              <w:fldChar w:fldCharType="end"/>
            </w:r>
          </w:hyperlink>
        </w:p>
        <w:p w:rsidRPr="00AC3738" w:rsidR="00AC3738" w:rsidP="00AC3738" w:rsidRDefault="00AC3738" w14:paraId="74165AB3" w14:textId="376B7BC1">
          <w:pPr>
            <w:pStyle w:val="TOC1"/>
            <w:tabs>
              <w:tab w:val="right" w:leader="dot" w:pos="9350"/>
            </w:tabs>
            <w:spacing w:line="360" w:lineRule="auto"/>
            <w:jc w:val="both"/>
            <w:rPr>
              <w:noProof/>
              <w:color w:val="000000" w:themeColor="text1"/>
            </w:rPr>
          </w:pPr>
          <w:hyperlink w:history="1" w:anchor="_Toc223451512">
            <w:r w:rsidRPr="00AC3738">
              <w:rPr>
                <w:rStyle w:val="Hyperlink"/>
                <w:noProof/>
                <w:color w:val="000000" w:themeColor="text1"/>
              </w:rPr>
              <w:t>Reference List</w:t>
            </w:r>
            <w:r w:rsidRPr="00AC3738">
              <w:rPr>
                <w:noProof/>
                <w:webHidden/>
                <w:color w:val="000000" w:themeColor="text1"/>
              </w:rPr>
              <w:tab/>
            </w:r>
            <w:r w:rsidRPr="00AC3738">
              <w:rPr>
                <w:noProof/>
                <w:webHidden/>
                <w:color w:val="000000" w:themeColor="text1"/>
              </w:rPr>
              <w:fldChar w:fldCharType="begin"/>
            </w:r>
            <w:r w:rsidRPr="00AC3738">
              <w:rPr>
                <w:noProof/>
                <w:webHidden/>
                <w:color w:val="000000" w:themeColor="text1"/>
              </w:rPr>
              <w:instrText xml:space="preserve"> PAGEREF _Toc223451512 \h </w:instrText>
            </w:r>
            <w:r w:rsidRPr="00AC3738">
              <w:rPr>
                <w:noProof/>
                <w:webHidden/>
                <w:color w:val="000000" w:themeColor="text1"/>
              </w:rPr>
            </w:r>
            <w:r w:rsidRPr="00AC3738">
              <w:rPr>
                <w:noProof/>
                <w:webHidden/>
                <w:color w:val="000000" w:themeColor="text1"/>
              </w:rPr>
              <w:fldChar w:fldCharType="separate"/>
            </w:r>
            <w:r w:rsidRPr="00AC3738">
              <w:rPr>
                <w:noProof/>
                <w:webHidden/>
                <w:color w:val="000000" w:themeColor="text1"/>
              </w:rPr>
              <w:t>19</w:t>
            </w:r>
            <w:r w:rsidRPr="00AC3738">
              <w:rPr>
                <w:noProof/>
                <w:webHidden/>
                <w:color w:val="000000" w:themeColor="text1"/>
              </w:rPr>
              <w:fldChar w:fldCharType="end"/>
            </w:r>
          </w:hyperlink>
        </w:p>
        <w:p w:rsidR="00AC3738" w:rsidP="00AC3738" w:rsidRDefault="00AC3738" w14:paraId="3F858FDB" w14:textId="317770E8">
          <w:pPr>
            <w:spacing w:line="360" w:lineRule="auto"/>
            <w:jc w:val="both"/>
          </w:pPr>
          <w:r w:rsidRPr="00AC3738">
            <w:rPr>
              <w:b/>
              <w:bCs/>
              <w:noProof/>
              <w:color w:val="000000" w:themeColor="text1"/>
            </w:rPr>
            <w:fldChar w:fldCharType="end"/>
          </w:r>
        </w:p>
      </w:sdtContent>
    </w:sdt>
    <w:p w:rsidRPr="00AC3738" w:rsidR="00AC3738" w:rsidP="00AC3738" w:rsidRDefault="00AC3738" w14:paraId="39C23645" w14:textId="77777777">
      <w:pPr>
        <w:spacing w:before="240" w:after="240" w:line="360" w:lineRule="auto"/>
        <w:jc w:val="both"/>
        <w:rPr>
          <w:sz w:val="24"/>
          <w:szCs w:val="24"/>
        </w:rPr>
      </w:pPr>
    </w:p>
    <w:p w:rsidR="00337A25" w:rsidRDefault="00124A78" w14:paraId="424817A4" w14:textId="77777777">
      <w:pPr>
        <w:spacing w:before="240" w:after="240" w:line="360" w:lineRule="auto"/>
        <w:jc w:val="center"/>
        <w:rPr>
          <w:b/>
          <w:bCs/>
          <w:sz w:val="32"/>
          <w:szCs w:val="32"/>
        </w:rPr>
      </w:pPr>
      <w:r>
        <w:br w:type="page"/>
      </w:r>
    </w:p>
    <w:p w:rsidRPr="00823D42" w:rsidR="00337A25" w:rsidP="006879AB" w:rsidRDefault="00124A78" w14:paraId="424817A5" w14:textId="77777777">
      <w:pPr>
        <w:pStyle w:val="Heading1"/>
        <w:rPr>
          <w:lang w:val="en-GB"/>
        </w:rPr>
      </w:pPr>
      <w:bookmarkStart w:name="_Toc223451488" w:id="0"/>
      <w:r w:rsidRPr="00823D42">
        <w:rPr>
          <w:lang w:val="en-GB"/>
        </w:rPr>
        <w:lastRenderedPageBreak/>
        <w:t>1. Introduction</w:t>
      </w:r>
      <w:bookmarkEnd w:id="0"/>
    </w:p>
    <w:p w:rsidRPr="00823D42" w:rsidR="00337A25" w:rsidP="006879AB" w:rsidRDefault="00124A78" w14:paraId="424817A6" w14:textId="77777777">
      <w:pPr>
        <w:pStyle w:val="Heading2"/>
        <w:rPr>
          <w:lang w:val="en-GB"/>
        </w:rPr>
      </w:pPr>
      <w:bookmarkStart w:name="_Toc223451489" w:id="1"/>
      <w:r w:rsidRPr="00823D42">
        <w:rPr>
          <w:lang w:val="en-GB"/>
        </w:rPr>
        <w:t>1.1 Define key concepts</w:t>
      </w:r>
      <w:bookmarkEnd w:id="1"/>
    </w:p>
    <w:p w:rsidRPr="00823D42" w:rsidR="00337A25" w:rsidP="00823D42" w:rsidRDefault="00124A78" w14:paraId="424817A7" w14:textId="77777777">
      <w:pPr>
        <w:spacing w:line="360" w:lineRule="auto"/>
        <w:jc w:val="both"/>
        <w:rPr>
          <w:lang w:val="en-GB"/>
        </w:rPr>
      </w:pPr>
      <w:r w:rsidRPr="00823D42">
        <w:rPr>
          <w:lang w:val="en-GB"/>
        </w:rPr>
        <w:t xml:space="preserve">Dementia is a chronic illness, which involves the impairment of memory, thinking, behaviour and daily functioning, and it is a predominant illness among older people in the UK. Dementia care is the term used to describe health and social care support that is intended to enhance the quality of life, safety and dignity. A scoping review is a process that is systematic to map and give a review of the existing studies on a subject matter and to establish the areas of significance (McCullough </w:t>
      </w:r>
      <w:r w:rsidRPr="00823D42">
        <w:rPr>
          <w:i/>
          <w:iCs/>
          <w:lang w:val="en-GB"/>
        </w:rPr>
        <w:t>et al</w:t>
      </w:r>
      <w:r w:rsidRPr="00823D42">
        <w:rPr>
          <w:lang w:val="en-GB"/>
        </w:rPr>
        <w:t>., 2023). Thematic analysis is a technique where similar ideas are pooled together within studies. Helen Aveyard's simplified approach facilitates thematic development, which is systematic.</w:t>
      </w:r>
    </w:p>
    <w:p w:rsidRPr="00823D42" w:rsidR="00337A25" w:rsidP="006879AB" w:rsidRDefault="00124A78" w14:paraId="424817A8" w14:textId="77777777">
      <w:pPr>
        <w:pStyle w:val="Heading2"/>
        <w:rPr>
          <w:lang w:val="en-GB"/>
        </w:rPr>
      </w:pPr>
      <w:bookmarkStart w:name="_Toc223451490" w:id="2"/>
      <w:r w:rsidRPr="00823D42">
        <w:rPr>
          <w:lang w:val="en-GB"/>
        </w:rPr>
        <w:t>1.2 Rationale</w:t>
      </w:r>
      <w:bookmarkEnd w:id="2"/>
    </w:p>
    <w:p w:rsidRPr="00823D42" w:rsidR="00337A25" w:rsidP="00823D42" w:rsidRDefault="00124A78" w14:paraId="424817A9" w14:textId="77777777">
      <w:pPr>
        <w:spacing w:line="360" w:lineRule="auto"/>
        <w:jc w:val="both"/>
        <w:rPr>
          <w:lang w:val="en-GB"/>
        </w:rPr>
      </w:pPr>
      <w:r w:rsidRPr="00823D42">
        <w:rPr>
          <w:lang w:val="en-GB"/>
        </w:rPr>
        <w:t xml:space="preserve">Dementia is a condition that is becoming common among an increasing number of individuals in the UK, and this continues to increase with age. Individuals with dementia usually require continuous assistance provided by both health and social care providers, though it has been established that the quality and consistency of food and care may differ significantly (NHS England, 2023). Such diversity may result in the poor well-being of individuals, elevated hospitalisation rates, and heightened family and carer stress (Duran-Kiraç </w:t>
      </w:r>
      <w:r w:rsidRPr="00823D42">
        <w:rPr>
          <w:i/>
          <w:iCs/>
          <w:lang w:val="en-GB"/>
        </w:rPr>
        <w:t>et al</w:t>
      </w:r>
      <w:r w:rsidRPr="00823D42">
        <w:rPr>
          <w:lang w:val="en-GB"/>
        </w:rPr>
        <w:t>., 2022). Assessment of dementia care is also necessary to learn how the services are delivered to meet the requirements of individuals with dementia and what lapses exist in practice.</w:t>
      </w:r>
    </w:p>
    <w:p w:rsidRPr="00823D42" w:rsidR="00337A25" w:rsidP="00823D42" w:rsidRDefault="00124A78" w14:paraId="424817AA" w14:textId="77777777">
      <w:pPr>
        <w:spacing w:line="360" w:lineRule="auto"/>
        <w:jc w:val="both"/>
        <w:rPr>
          <w:lang w:val="en-GB"/>
        </w:rPr>
      </w:pPr>
      <w:r w:rsidRPr="00823D42">
        <w:rPr>
          <w:noProof/>
          <w:lang w:val="en-GB"/>
        </w:rPr>
        <w:lastRenderedPageBreak/>
        <w:drawing>
          <wp:inline distT="114300" distB="114300" distL="114300" distR="114300" wp14:anchorId="42481847" wp14:editId="42481848">
            <wp:extent cx="5943600" cy="593090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5" name="image5.png"/>
                    <pic:cNvPicPr/>
                  </pic:nvPicPr>
                  <pic:blipFill>
                    <a:blip r:embed="rId13"/>
                    <a:stretch>
                      <a:fillRect/>
                    </a:stretch>
                  </pic:blipFill>
                  <pic:spPr>
                    <a:xfrm>
                      <a:off x="0" y="0"/>
                      <a:ext cx="5943600" cy="5930900"/>
                    </a:xfrm>
                    <a:prstGeom prst="rect">
                      <a:avLst/>
                    </a:prstGeom>
                  </pic:spPr>
                </pic:pic>
              </a:graphicData>
            </a:graphic>
          </wp:inline>
        </w:drawing>
      </w:r>
    </w:p>
    <w:p w:rsidRPr="00823D42" w:rsidR="00337A25" w:rsidP="006879AB" w:rsidRDefault="00124A78" w14:paraId="424817AB" w14:textId="73EFCD44">
      <w:pPr>
        <w:spacing w:line="360" w:lineRule="auto"/>
        <w:jc w:val="center"/>
        <w:rPr>
          <w:b/>
          <w:bCs/>
          <w:lang w:val="en-GB"/>
        </w:rPr>
      </w:pPr>
      <w:r w:rsidRPr="00823D42">
        <w:rPr>
          <w:b/>
          <w:bCs/>
          <w:lang w:val="en-GB"/>
        </w:rPr>
        <w:t>Figure</w:t>
      </w:r>
      <w:r w:rsidR="006B5C38">
        <w:rPr>
          <w:b/>
          <w:bCs/>
          <w:lang w:val="en-GB"/>
        </w:rPr>
        <w:t xml:space="preserve"> 1</w:t>
      </w:r>
      <w:r w:rsidRPr="00823D42">
        <w:rPr>
          <w:b/>
          <w:bCs/>
          <w:lang w:val="en-GB"/>
        </w:rPr>
        <w:t>: Gaps in healthcare areas</w:t>
      </w:r>
    </w:p>
    <w:p w:rsidRPr="00823D42" w:rsidR="00337A25" w:rsidP="006879AB" w:rsidRDefault="00124A78" w14:paraId="424817AC" w14:textId="77777777">
      <w:pPr>
        <w:spacing w:line="360" w:lineRule="auto"/>
        <w:jc w:val="center"/>
        <w:rPr>
          <w:lang w:val="en-GB"/>
        </w:rPr>
      </w:pPr>
      <w:r w:rsidRPr="00823D42">
        <w:rPr>
          <w:lang w:val="en-GB"/>
        </w:rPr>
        <w:t xml:space="preserve">(Source: </w:t>
      </w:r>
      <w:proofErr w:type="spellStart"/>
      <w:r w:rsidRPr="00823D42">
        <w:rPr>
          <w:lang w:val="en-GB"/>
        </w:rPr>
        <w:t>Schmachtenberg</w:t>
      </w:r>
      <w:proofErr w:type="spellEnd"/>
      <w:r w:rsidRPr="00823D42">
        <w:rPr>
          <w:lang w:val="en-GB"/>
        </w:rPr>
        <w:t xml:space="preserve"> </w:t>
      </w:r>
      <w:r w:rsidRPr="00823D42">
        <w:rPr>
          <w:i/>
          <w:iCs/>
          <w:lang w:val="en-GB"/>
        </w:rPr>
        <w:t>et al</w:t>
      </w:r>
      <w:r w:rsidRPr="00823D42">
        <w:rPr>
          <w:lang w:val="en-GB"/>
        </w:rPr>
        <w:t>., 2022)</w:t>
      </w:r>
    </w:p>
    <w:p w:rsidRPr="00823D42" w:rsidR="00337A25" w:rsidP="00823D42" w:rsidRDefault="00124A78" w14:paraId="424817AD" w14:textId="77777777">
      <w:pPr>
        <w:spacing w:line="360" w:lineRule="auto"/>
        <w:jc w:val="both"/>
        <w:rPr>
          <w:lang w:val="en-GB"/>
        </w:rPr>
      </w:pPr>
      <w:r w:rsidRPr="00823D42">
        <w:rPr>
          <w:lang w:val="en-GB"/>
        </w:rPr>
        <w:t xml:space="preserve">The research can be conducted using a scoping review and thematic analysis with reference to the methodology proposed by Aveyard, enabling him to find common themes in existing studies (NHS England, 2023). This can be used to enlighten policymakers, practitioners, and service planners in the UK on effective practices in care and possible areas of service failure (Boyle </w:t>
      </w:r>
      <w:r w:rsidRPr="00823D42">
        <w:rPr>
          <w:i/>
          <w:iCs/>
          <w:lang w:val="en-GB"/>
        </w:rPr>
        <w:t>et al</w:t>
      </w:r>
      <w:r w:rsidRPr="00823D42">
        <w:rPr>
          <w:lang w:val="en-GB"/>
        </w:rPr>
        <w:t>., 2022). Finally, the research may inform improved future care planning, the enhancement of the outcomes of individuals with dementia, and future research priorities in the UK health and social care.</w:t>
      </w:r>
    </w:p>
    <w:p w:rsidRPr="00823D42" w:rsidR="00337A25" w:rsidP="006879AB" w:rsidRDefault="00124A78" w14:paraId="424817AE" w14:textId="77777777">
      <w:pPr>
        <w:pStyle w:val="Heading2"/>
        <w:rPr>
          <w:lang w:val="en-GB"/>
        </w:rPr>
      </w:pPr>
      <w:bookmarkStart w:name="_Toc223451491" w:id="3"/>
      <w:r w:rsidRPr="00823D42">
        <w:rPr>
          <w:lang w:val="en-GB"/>
        </w:rPr>
        <w:lastRenderedPageBreak/>
        <w:t>1.3 Review Question</w:t>
      </w:r>
      <w:bookmarkEnd w:id="3"/>
    </w:p>
    <w:p w:rsidRPr="00823D42" w:rsidR="00337A25" w:rsidP="00823D42" w:rsidRDefault="00124A78" w14:paraId="424817AF" w14:textId="77777777">
      <w:pPr>
        <w:spacing w:line="360" w:lineRule="auto"/>
        <w:jc w:val="both"/>
        <w:rPr>
          <w:lang w:val="en-GB"/>
        </w:rPr>
      </w:pPr>
      <w:r w:rsidRPr="00823D42">
        <w:rPr>
          <w:lang w:val="en-GB"/>
        </w:rPr>
        <w:t>What are the main themes of dementia care in the UK health and social care practice as observed in peer-reviewed literature?</w:t>
      </w:r>
    </w:p>
    <w:p w:rsidRPr="00823D42" w:rsidR="00337A25" w:rsidP="006879AB" w:rsidRDefault="00124A78" w14:paraId="424817B0" w14:textId="77777777">
      <w:pPr>
        <w:pStyle w:val="Heading2"/>
        <w:rPr>
          <w:lang w:val="en-GB"/>
        </w:rPr>
      </w:pPr>
      <w:bookmarkStart w:name="_Toc223451492" w:id="4"/>
      <w:r w:rsidRPr="00823D42">
        <w:rPr>
          <w:lang w:val="en-GB"/>
        </w:rPr>
        <w:t>1.4 Research Objectives</w:t>
      </w:r>
      <w:bookmarkEnd w:id="4"/>
    </w:p>
    <w:p w:rsidRPr="00823D42" w:rsidR="00337A25" w:rsidP="00823D42" w:rsidRDefault="00124A78" w14:paraId="424817B1" w14:textId="77777777">
      <w:pPr>
        <w:numPr>
          <w:ilvl w:val="0"/>
          <w:numId w:val="4"/>
        </w:numPr>
        <w:spacing w:line="360" w:lineRule="auto"/>
        <w:jc w:val="both"/>
        <w:rPr>
          <w:lang w:val="en-GB"/>
        </w:rPr>
      </w:pPr>
      <w:r w:rsidRPr="00823D42">
        <w:rPr>
          <w:lang w:val="en-GB"/>
        </w:rPr>
        <w:t>To determine and classify the major themes in the UK dementia care</w:t>
      </w:r>
    </w:p>
    <w:p w:rsidRPr="00823D42" w:rsidR="00337A25" w:rsidP="00823D42" w:rsidRDefault="00124A78" w14:paraId="424817B2" w14:textId="77777777">
      <w:pPr>
        <w:numPr>
          <w:ilvl w:val="0"/>
          <w:numId w:val="4"/>
        </w:numPr>
        <w:spacing w:line="360" w:lineRule="auto"/>
        <w:jc w:val="both"/>
        <w:rPr>
          <w:lang w:val="en-GB"/>
        </w:rPr>
      </w:pPr>
      <w:r w:rsidRPr="00823D42">
        <w:rPr>
          <w:lang w:val="en-GB"/>
        </w:rPr>
        <w:t>To review methods and models of dementia care as reported in the UK health and social care</w:t>
      </w:r>
    </w:p>
    <w:p w:rsidRPr="00823D42" w:rsidR="00337A25" w:rsidP="00823D42" w:rsidRDefault="00124A78" w14:paraId="424817B3" w14:textId="77777777">
      <w:pPr>
        <w:numPr>
          <w:ilvl w:val="0"/>
          <w:numId w:val="4"/>
        </w:numPr>
        <w:spacing w:line="360" w:lineRule="auto"/>
        <w:jc w:val="both"/>
        <w:rPr>
          <w:lang w:val="en-GB"/>
        </w:rPr>
      </w:pPr>
      <w:r w:rsidRPr="00823D42">
        <w:rPr>
          <w:lang w:val="en-GB"/>
        </w:rPr>
        <w:t>To examine how the current research findings can be applied in health and social care practice and policy</w:t>
      </w:r>
    </w:p>
    <w:p w:rsidRPr="00823D42" w:rsidR="00337A25" w:rsidP="00823D42" w:rsidRDefault="00124A78" w14:paraId="424817B4" w14:textId="77777777">
      <w:pPr>
        <w:numPr>
          <w:ilvl w:val="0"/>
          <w:numId w:val="4"/>
        </w:numPr>
        <w:spacing w:line="360" w:lineRule="auto"/>
        <w:jc w:val="both"/>
        <w:rPr>
          <w:lang w:val="en-GB"/>
        </w:rPr>
      </w:pPr>
      <w:r w:rsidRPr="00823D42">
        <w:rPr>
          <w:lang w:val="en-GB"/>
        </w:rPr>
        <w:t>To evaluate the relevance of the existing UK practices of dementia care to the concepts of person-centred and integrated care</w:t>
      </w:r>
    </w:p>
    <w:p w:rsidRPr="00823D42" w:rsidR="00337A25" w:rsidP="006879AB" w:rsidRDefault="00124A78" w14:paraId="424817B5" w14:textId="77777777">
      <w:pPr>
        <w:pStyle w:val="Heading1"/>
        <w:rPr>
          <w:lang w:val="en-GB"/>
        </w:rPr>
      </w:pPr>
      <w:bookmarkStart w:name="_Toc223451493" w:id="5"/>
      <w:r w:rsidRPr="00823D42">
        <w:rPr>
          <w:lang w:val="en-GB"/>
        </w:rPr>
        <w:t>2. Background</w:t>
      </w:r>
      <w:bookmarkEnd w:id="5"/>
    </w:p>
    <w:p w:rsidRPr="00823D42" w:rsidR="00337A25" w:rsidP="006879AB" w:rsidRDefault="00124A78" w14:paraId="424817B6" w14:textId="77777777">
      <w:pPr>
        <w:pStyle w:val="Heading2"/>
        <w:rPr>
          <w:lang w:val="en-GB"/>
        </w:rPr>
      </w:pPr>
      <w:bookmarkStart w:name="_Toc223451494" w:id="6"/>
      <w:r w:rsidRPr="00823D42">
        <w:rPr>
          <w:lang w:val="en-GB"/>
        </w:rPr>
        <w:t>2.1 Current Policies and Legislation</w:t>
      </w:r>
      <w:bookmarkEnd w:id="6"/>
    </w:p>
    <w:p w:rsidRPr="00823D42" w:rsidR="00337A25" w:rsidP="00823D42" w:rsidRDefault="00124A78" w14:paraId="424817B7" w14:textId="20D744D0">
      <w:pPr>
        <w:spacing w:line="360" w:lineRule="auto"/>
        <w:jc w:val="both"/>
        <w:rPr>
          <w:lang w:val="en-GB"/>
        </w:rPr>
      </w:pPr>
      <w:r w:rsidRPr="2AAB5048" w:rsidR="00124A78">
        <w:rPr>
          <w:highlight w:val="white"/>
          <w:lang w:val="en-GB"/>
        </w:rPr>
        <w:t xml:space="preserve">According to Frank </w:t>
      </w:r>
      <w:r w:rsidRPr="2AAB5048" w:rsidR="00124A78">
        <w:rPr>
          <w:i w:val="1"/>
          <w:iCs w:val="1"/>
          <w:highlight w:val="white"/>
          <w:lang w:val="en-GB"/>
        </w:rPr>
        <w:t>et al</w:t>
      </w:r>
      <w:r w:rsidRPr="2AAB5048" w:rsidR="00124A78">
        <w:rPr>
          <w:highlight w:val="white"/>
          <w:lang w:val="en-GB"/>
        </w:rPr>
        <w:t xml:space="preserve">. (2026), the current UK policies and legislation provide the legal and practice framework of dementia care and support. This is because the </w:t>
      </w:r>
      <w:r w:rsidRPr="2AAB5048" w:rsidR="00124A78">
        <w:rPr>
          <w:b w:val="1"/>
          <w:bCs w:val="1"/>
          <w:i w:val="1"/>
          <w:iCs w:val="1"/>
          <w:highlight w:val="white"/>
          <w:lang w:val="en-GB"/>
        </w:rPr>
        <w:t>Care Act 2014</w:t>
      </w:r>
      <w:r w:rsidRPr="2AAB5048" w:rsidR="00124A78">
        <w:rPr>
          <w:highlight w:val="white"/>
          <w:lang w:val="en-GB"/>
        </w:rPr>
        <w:t xml:space="preserve"> obliges local authorities to assess and fulfil care needs, prevent adult abuse, and combine health and social care services for individuals with dementia and their </w:t>
      </w:r>
      <w:r w:rsidRPr="2AAB5048" w:rsidR="006879AB">
        <w:rPr>
          <w:highlight w:val="white"/>
          <w:lang w:val="en-GB"/>
        </w:rPr>
        <w:t>careers</w:t>
      </w:r>
      <w:r w:rsidRPr="2AAB5048" w:rsidR="00124A78">
        <w:rPr>
          <w:highlight w:val="white"/>
          <w:lang w:val="en-GB"/>
        </w:rPr>
        <w:t>. It also entails statutory guidance which focuses on person-centred care planning and protection (</w:t>
      </w:r>
      <w:r w:rsidRPr="2AAB5048" w:rsidR="00124A78">
        <w:rPr>
          <w:lang w:val="en-GB"/>
        </w:rPr>
        <w:t>NHS England, 2023</w:t>
      </w:r>
      <w:r w:rsidRPr="2AAB5048" w:rsidR="00124A78">
        <w:rPr>
          <w:highlight w:val="white"/>
          <w:lang w:val="en-GB"/>
        </w:rPr>
        <w:t xml:space="preserve">). The </w:t>
      </w:r>
      <w:r w:rsidRPr="2AAB5048" w:rsidR="00124A78">
        <w:rPr>
          <w:b w:val="1"/>
          <w:bCs w:val="1"/>
          <w:i w:val="1"/>
          <w:iCs w:val="1"/>
          <w:highlight w:val="white"/>
          <w:lang w:val="en-GB"/>
        </w:rPr>
        <w:t>Mental Capacity Act 2005</w:t>
      </w:r>
      <w:r w:rsidRPr="2AAB5048" w:rsidR="00124A78">
        <w:rPr>
          <w:highlight w:val="white"/>
          <w:lang w:val="en-GB"/>
        </w:rPr>
        <w:t xml:space="preserve"> offers legal safeguards to adults who lack decision-making capacity, which influences the decisions in their best interests, and offers safeguards to </w:t>
      </w:r>
      <w:bookmarkStart w:name="_Int_x8X5Oucq" w:id="1409509875"/>
      <w:r w:rsidRPr="2AAB5048" w:rsidR="00124A78">
        <w:rPr>
          <w:highlight w:val="white"/>
          <w:lang w:val="en-GB"/>
        </w:rPr>
        <w:t>the majority of</w:t>
      </w:r>
      <w:bookmarkEnd w:id="1409509875"/>
      <w:r w:rsidRPr="2AAB5048" w:rsidR="00124A78">
        <w:rPr>
          <w:highlight w:val="white"/>
          <w:lang w:val="en-GB"/>
        </w:rPr>
        <w:t xml:space="preserve"> people with dementia. As per the views of Arsenault-Lapierre </w:t>
      </w:r>
      <w:r w:rsidRPr="2AAB5048" w:rsidR="00124A78">
        <w:rPr>
          <w:i w:val="1"/>
          <w:iCs w:val="1"/>
          <w:highlight w:val="white"/>
          <w:lang w:val="en-GB"/>
        </w:rPr>
        <w:t>et al</w:t>
      </w:r>
      <w:r w:rsidRPr="2AAB5048" w:rsidR="00124A78">
        <w:rPr>
          <w:highlight w:val="white"/>
          <w:lang w:val="en-GB"/>
        </w:rPr>
        <w:t xml:space="preserve">. (2023), the </w:t>
      </w:r>
      <w:r w:rsidRPr="2AAB5048" w:rsidR="00124A78">
        <w:rPr>
          <w:b w:val="1"/>
          <w:bCs w:val="1"/>
          <w:i w:val="1"/>
          <w:iCs w:val="1"/>
          <w:highlight w:val="white"/>
          <w:lang w:val="en-GB"/>
        </w:rPr>
        <w:t>Health and Care Act 2022</w:t>
      </w:r>
      <w:r w:rsidRPr="2AAB5048" w:rsidR="00124A78">
        <w:rPr>
          <w:highlight w:val="white"/>
          <w:lang w:val="en-GB"/>
        </w:rPr>
        <w:t xml:space="preserve"> </w:t>
      </w:r>
      <w:r w:rsidRPr="2AAB5048" w:rsidR="006879AB">
        <w:rPr>
          <w:highlight w:val="white"/>
          <w:lang w:val="en-GB"/>
        </w:rPr>
        <w:t>facilitate</w:t>
      </w:r>
      <w:r w:rsidRPr="2AAB5048" w:rsidR="00124A78">
        <w:rPr>
          <w:highlight w:val="white"/>
          <w:lang w:val="en-GB"/>
        </w:rPr>
        <w:t xml:space="preserve"> integration of health and social care and forms the basis of the implementation of national NHS plans. Such national frameworks as the guidance on dementia care implementation by </w:t>
      </w:r>
      <w:r w:rsidRPr="2AAB5048" w:rsidR="00124A78">
        <w:rPr>
          <w:i w:val="1"/>
          <w:iCs w:val="1"/>
          <w:highlight w:val="white"/>
          <w:lang w:val="en-GB"/>
        </w:rPr>
        <w:t>NHS England</w:t>
      </w:r>
      <w:r w:rsidRPr="2AAB5048" w:rsidR="00124A78">
        <w:rPr>
          <w:highlight w:val="white"/>
          <w:lang w:val="en-GB"/>
        </w:rPr>
        <w:t xml:space="preserve"> define the standards of the </w:t>
      </w:r>
      <w:r w:rsidRPr="2AAB5048" w:rsidR="00124A78">
        <w:rPr>
          <w:highlight w:val="white"/>
          <w:lang w:val="en-GB"/>
        </w:rPr>
        <w:t>timely</w:t>
      </w:r>
      <w:r w:rsidRPr="2AAB5048" w:rsidR="00124A78">
        <w:rPr>
          <w:highlight w:val="white"/>
          <w:lang w:val="en-GB"/>
        </w:rPr>
        <w:t xml:space="preserve"> diagnosis, post-diagnostic support, and quality care delivery. The 10-Year Health Plan of England, provided by the UK Government, </w:t>
      </w:r>
      <w:r w:rsidRPr="2AAB5048" w:rsidR="00124A78">
        <w:rPr>
          <w:highlight w:val="white"/>
          <w:lang w:val="en-GB"/>
        </w:rPr>
        <w:t>contains</w:t>
      </w:r>
      <w:r w:rsidRPr="2AAB5048" w:rsidR="00124A78">
        <w:rPr>
          <w:highlight w:val="white"/>
          <w:lang w:val="en-GB"/>
        </w:rPr>
        <w:t xml:space="preserve"> the promises of enhancing the availability of dementia care, commissioning, and coordination.</w:t>
      </w:r>
    </w:p>
    <w:p w:rsidRPr="00823D42" w:rsidR="00337A25" w:rsidP="006879AB" w:rsidRDefault="00124A78" w14:paraId="424817B8" w14:textId="77777777">
      <w:pPr>
        <w:pStyle w:val="Heading2"/>
        <w:rPr>
          <w:lang w:val="en-GB"/>
        </w:rPr>
      </w:pPr>
      <w:bookmarkStart w:name="_Toc223451495" w:id="7"/>
      <w:r w:rsidRPr="00823D42">
        <w:rPr>
          <w:lang w:val="en-GB"/>
        </w:rPr>
        <w:lastRenderedPageBreak/>
        <w:t>2.2 Existing Services and Practice</w:t>
      </w:r>
      <w:bookmarkEnd w:id="7"/>
    </w:p>
    <w:p w:rsidR="00ED1747" w:rsidP="00823D42" w:rsidRDefault="00124A78" w14:paraId="358063D9" w14:textId="19833FA5">
      <w:pPr>
        <w:spacing w:line="360" w:lineRule="auto"/>
        <w:jc w:val="both"/>
        <w:rPr>
          <w:highlight w:val="white"/>
          <w:lang w:val="en-GB"/>
        </w:rPr>
      </w:pPr>
      <w:r w:rsidRPr="00823D42">
        <w:rPr>
          <w:highlight w:val="white"/>
          <w:lang w:val="en-GB"/>
        </w:rPr>
        <w:t xml:space="preserve">According to Treder </w:t>
      </w:r>
      <w:r w:rsidRPr="00823D42">
        <w:rPr>
          <w:i/>
          <w:iCs/>
          <w:highlight w:val="white"/>
          <w:lang w:val="en-GB"/>
        </w:rPr>
        <w:t>et al</w:t>
      </w:r>
      <w:r w:rsidRPr="00823D42">
        <w:rPr>
          <w:highlight w:val="white"/>
          <w:lang w:val="en-GB"/>
        </w:rPr>
        <w:t xml:space="preserve">. (2024), dementia care services in the UK cover various health, social and community-based services, which are aimed at addressing the requirements of individuals living with dementia and their </w:t>
      </w:r>
      <w:r w:rsidRPr="00823D42" w:rsidR="006879AB">
        <w:rPr>
          <w:highlight w:val="white"/>
          <w:lang w:val="en-GB"/>
        </w:rPr>
        <w:t>careers</w:t>
      </w:r>
      <w:r w:rsidRPr="00823D42">
        <w:rPr>
          <w:highlight w:val="white"/>
          <w:lang w:val="en-GB"/>
        </w:rPr>
        <w:t>. Once diagnosed, individuals are typically referred to memory assessment services where they are evaluated by specialists who discuss their symptoms and follow-up treatment, but the waiting time may differ significantly across regions (</w:t>
      </w:r>
      <w:r w:rsidRPr="00823D42">
        <w:rPr>
          <w:lang w:val="en-GB"/>
        </w:rPr>
        <w:t>NHS England, 2023</w:t>
      </w:r>
      <w:r w:rsidRPr="00823D42">
        <w:rPr>
          <w:highlight w:val="white"/>
          <w:lang w:val="en-GB"/>
        </w:rPr>
        <w:t xml:space="preserve">). NHS care planning focuses on person-centred care, which implies that care is provided based on the needs of an individual and is reviewed regularly. </w:t>
      </w:r>
      <w:r w:rsidRPr="00823D42">
        <w:rPr>
          <w:b/>
          <w:bCs/>
          <w:i/>
          <w:iCs/>
          <w:highlight w:val="white"/>
          <w:lang w:val="en-GB"/>
        </w:rPr>
        <w:t>Integrated Care Systems</w:t>
      </w:r>
      <w:r w:rsidRPr="00823D42">
        <w:rPr>
          <w:highlight w:val="white"/>
          <w:lang w:val="en-GB"/>
        </w:rPr>
        <w:t xml:space="preserve"> (ICSs) assist with facilitating care coordination and bring together health services, local authorities, and voluntary groups to provide joined-up care routes so that community support, primary care and specialist services can pass on to each other more easily.</w:t>
      </w:r>
    </w:p>
    <w:p w:rsidR="00ED1747" w:rsidP="00823D42" w:rsidRDefault="00ED1747" w14:paraId="76A93110" w14:textId="4124FB09">
      <w:pPr>
        <w:spacing w:line="360" w:lineRule="auto"/>
        <w:jc w:val="both"/>
        <w:rPr>
          <w:highlight w:val="white"/>
          <w:lang w:val="en-GB"/>
        </w:rPr>
      </w:pPr>
      <w:r>
        <w:rPr>
          <w:noProof/>
        </w:rPr>
        <w:drawing>
          <wp:inline distT="0" distB="0" distL="0" distR="0" wp14:anchorId="42BF6F85" wp14:editId="09FD4947">
            <wp:extent cx="5943600" cy="2698750"/>
            <wp:effectExtent l="0" t="0" r="0" b="6350"/>
            <wp:docPr id="20994349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434941" name=""/>
                    <pic:cNvPicPr/>
                  </pic:nvPicPr>
                  <pic:blipFill>
                    <a:blip r:embed="rId14"/>
                    <a:stretch>
                      <a:fillRect/>
                    </a:stretch>
                  </pic:blipFill>
                  <pic:spPr>
                    <a:xfrm>
                      <a:off x="0" y="0"/>
                      <a:ext cx="5943600" cy="2698750"/>
                    </a:xfrm>
                    <a:prstGeom prst="rect">
                      <a:avLst/>
                    </a:prstGeom>
                  </pic:spPr>
                </pic:pic>
              </a:graphicData>
            </a:graphic>
          </wp:inline>
        </w:drawing>
      </w:r>
    </w:p>
    <w:p w:rsidRPr="00D97B36" w:rsidR="00ED1747" w:rsidP="00D97B36" w:rsidRDefault="00ED1747" w14:paraId="36E03902" w14:textId="78F10792">
      <w:pPr>
        <w:spacing w:line="360" w:lineRule="auto"/>
        <w:jc w:val="center"/>
        <w:rPr>
          <w:b/>
          <w:bCs/>
          <w:highlight w:val="white"/>
          <w:lang w:val="en-GB"/>
        </w:rPr>
      </w:pPr>
      <w:r w:rsidRPr="00D97B36">
        <w:rPr>
          <w:b/>
          <w:bCs/>
          <w:highlight w:val="white"/>
          <w:lang w:val="en-GB"/>
        </w:rPr>
        <w:t xml:space="preserve">Figure: Dementia </w:t>
      </w:r>
      <w:r w:rsidRPr="00D97B36" w:rsidR="00D97B36">
        <w:rPr>
          <w:b/>
          <w:bCs/>
          <w:highlight w:val="white"/>
          <w:lang w:val="en-GB"/>
        </w:rPr>
        <w:t>prevalence</w:t>
      </w:r>
      <w:r w:rsidRPr="00D97B36">
        <w:rPr>
          <w:b/>
          <w:bCs/>
          <w:highlight w:val="white"/>
          <w:lang w:val="en-GB"/>
        </w:rPr>
        <w:t xml:space="preserve"> </w:t>
      </w:r>
      <w:r w:rsidRPr="00D97B36" w:rsidR="00E56226">
        <w:rPr>
          <w:b/>
          <w:bCs/>
          <w:highlight w:val="white"/>
          <w:lang w:val="en-GB"/>
        </w:rPr>
        <w:t>by gender differences</w:t>
      </w:r>
    </w:p>
    <w:p w:rsidRPr="00D97B36" w:rsidR="00E56226" w:rsidP="00D97B36" w:rsidRDefault="00E56226" w14:paraId="63859130" w14:textId="44A4527A">
      <w:pPr>
        <w:spacing w:line="360" w:lineRule="auto"/>
        <w:jc w:val="center"/>
        <w:rPr>
          <w:highlight w:val="white"/>
          <w:lang w:val="en-GB"/>
        </w:rPr>
      </w:pPr>
      <w:r w:rsidRPr="00D97B36">
        <w:rPr>
          <w:highlight w:val="white"/>
          <w:lang w:val="en-GB"/>
        </w:rPr>
        <w:t>(Source:</w:t>
      </w:r>
      <w:r w:rsidRPr="00D97B36" w:rsidR="00D97B36">
        <w:rPr>
          <w:highlight w:val="white"/>
          <w:lang w:val="en-GB"/>
        </w:rPr>
        <w:t xml:space="preserve"> </w:t>
      </w:r>
      <w:r w:rsidRPr="00D97B36" w:rsidR="00D97B36">
        <w:rPr>
          <w:lang w:val="en-IN"/>
        </w:rPr>
        <w:t>Baker, 2016</w:t>
      </w:r>
      <w:r w:rsidRPr="00D97B36">
        <w:rPr>
          <w:highlight w:val="white"/>
          <w:lang w:val="en-GB"/>
        </w:rPr>
        <w:t>)</w:t>
      </w:r>
    </w:p>
    <w:p w:rsidRPr="00823D42" w:rsidR="00337A25" w:rsidP="00823D42" w:rsidRDefault="00124A78" w14:paraId="424817B9" w14:textId="73FFC047">
      <w:pPr>
        <w:spacing w:line="360" w:lineRule="auto"/>
        <w:jc w:val="both"/>
        <w:rPr>
          <w:lang w:val="en-GB"/>
        </w:rPr>
      </w:pPr>
      <w:r w:rsidRPr="00823D42">
        <w:rPr>
          <w:highlight w:val="white"/>
          <w:lang w:val="en-GB"/>
        </w:rPr>
        <w:t xml:space="preserve">As per the opinion of Singh </w:t>
      </w:r>
      <w:r w:rsidRPr="00823D42">
        <w:rPr>
          <w:i/>
          <w:iCs/>
          <w:highlight w:val="white"/>
          <w:lang w:val="en-GB"/>
        </w:rPr>
        <w:t>et al</w:t>
      </w:r>
      <w:r w:rsidRPr="00823D42">
        <w:rPr>
          <w:highlight w:val="white"/>
          <w:lang w:val="en-GB"/>
        </w:rPr>
        <w:t>. (2022), social services are the means of getting practical assistance at home, like personal care, day centres, equipment and respite breaks, many of which are often means-tested. The role of the charities is also significant as it provides professional training, resources on admiral nurse support, and expert advice.</w:t>
      </w:r>
    </w:p>
    <w:p w:rsidRPr="00823D42" w:rsidR="00337A25" w:rsidP="006879AB" w:rsidRDefault="00124A78" w14:paraId="424817BA" w14:textId="77777777">
      <w:pPr>
        <w:pStyle w:val="Heading2"/>
        <w:rPr>
          <w:lang w:val="en-GB"/>
        </w:rPr>
      </w:pPr>
      <w:bookmarkStart w:name="_Toc223451496" w:id="8"/>
      <w:r w:rsidRPr="00823D42">
        <w:rPr>
          <w:lang w:val="en-GB"/>
        </w:rPr>
        <w:t>2.3 Key Challenges and Issues</w:t>
      </w:r>
      <w:bookmarkEnd w:id="8"/>
    </w:p>
    <w:p w:rsidRPr="00823D42" w:rsidR="00337A25" w:rsidP="00823D42" w:rsidRDefault="00124A78" w14:paraId="424817BB" w14:textId="77777777">
      <w:pPr>
        <w:spacing w:line="360" w:lineRule="auto"/>
        <w:jc w:val="both"/>
        <w:rPr>
          <w:lang w:val="en-GB"/>
        </w:rPr>
      </w:pPr>
      <w:r w:rsidRPr="2AAB5048" w:rsidR="00124A78">
        <w:rPr>
          <w:highlight w:val="white"/>
          <w:lang w:val="en-GB"/>
        </w:rPr>
        <w:t xml:space="preserve">According to Wang </w:t>
      </w:r>
      <w:r w:rsidRPr="2AAB5048" w:rsidR="00124A78">
        <w:rPr>
          <w:i w:val="1"/>
          <w:iCs w:val="1"/>
          <w:highlight w:val="white"/>
          <w:lang w:val="en-GB"/>
        </w:rPr>
        <w:t>et al</w:t>
      </w:r>
      <w:r w:rsidRPr="2AAB5048" w:rsidR="00124A78">
        <w:rPr>
          <w:highlight w:val="white"/>
          <w:lang w:val="en-GB"/>
        </w:rPr>
        <w:t xml:space="preserve">. (2023), the UK dementia care has several challenges, which </w:t>
      </w:r>
      <w:r w:rsidRPr="2AAB5048" w:rsidR="00124A78">
        <w:rPr>
          <w:highlight w:val="white"/>
          <w:lang w:val="en-GB"/>
        </w:rPr>
        <w:t>demonstrate</w:t>
      </w:r>
      <w:r w:rsidRPr="2AAB5048" w:rsidR="00124A78">
        <w:rPr>
          <w:highlight w:val="white"/>
          <w:lang w:val="en-GB"/>
        </w:rPr>
        <w:t xml:space="preserve"> why a specialised review is </w:t>
      </w:r>
      <w:r w:rsidRPr="2AAB5048" w:rsidR="00124A78">
        <w:rPr>
          <w:highlight w:val="white"/>
          <w:lang w:val="en-GB"/>
        </w:rPr>
        <w:t>required</w:t>
      </w:r>
      <w:r w:rsidRPr="2AAB5048" w:rsidR="00124A78">
        <w:rPr>
          <w:highlight w:val="white"/>
          <w:lang w:val="en-GB"/>
        </w:rPr>
        <w:t xml:space="preserve">. There are delays in diagnosis, and it has been </w:t>
      </w:r>
      <w:r w:rsidRPr="2AAB5048" w:rsidR="00124A78">
        <w:rPr>
          <w:highlight w:val="white"/>
          <w:lang w:val="en-GB"/>
        </w:rPr>
        <w:t>reported that of the individuals with dementia, only between 50-60% are diagnosed formally, and some wait several months before being assessed and receiving further care (</w:t>
      </w:r>
      <w:r w:rsidRPr="2AAB5048" w:rsidR="00124A78">
        <w:rPr>
          <w:lang w:val="en-GB"/>
        </w:rPr>
        <w:t>NHS England, 2023</w:t>
      </w:r>
      <w:r w:rsidRPr="2AAB5048" w:rsidR="00124A78">
        <w:rPr>
          <w:highlight w:val="white"/>
          <w:lang w:val="en-GB"/>
        </w:rPr>
        <w:t xml:space="preserve">). Such stalling </w:t>
      </w:r>
      <w:bookmarkStart w:name="_Int_45QKF5YF" w:id="271353969"/>
      <w:r w:rsidRPr="2AAB5048" w:rsidR="00124A78">
        <w:rPr>
          <w:highlight w:val="white"/>
          <w:lang w:val="en-GB"/>
        </w:rPr>
        <w:t>is capable of lowering</w:t>
      </w:r>
      <w:bookmarkEnd w:id="271353969"/>
      <w:r w:rsidRPr="2AAB5048" w:rsidR="00124A78">
        <w:rPr>
          <w:highlight w:val="white"/>
          <w:lang w:val="en-GB"/>
        </w:rPr>
        <w:t xml:space="preserve"> access to early support and treatment. Provision of services to regions is also uneven; rural and deprived areas tend to have fewer specialist dementia support services. Studies </w:t>
      </w:r>
      <w:r w:rsidRPr="2AAB5048" w:rsidR="00124A78">
        <w:rPr>
          <w:highlight w:val="white"/>
          <w:lang w:val="en-GB"/>
        </w:rPr>
        <w:t>indicate</w:t>
      </w:r>
      <w:r w:rsidRPr="2AAB5048" w:rsidR="00124A78">
        <w:rPr>
          <w:highlight w:val="white"/>
          <w:lang w:val="en-GB"/>
        </w:rPr>
        <w:t xml:space="preserve"> integration lapses in health and social care that may result in fragmentation of care planning, redundancy of assessment and lack of communication among care providers. As </w:t>
      </w:r>
      <w:r w:rsidRPr="2AAB5048" w:rsidR="00124A78">
        <w:rPr>
          <w:highlight w:val="white"/>
          <w:lang w:val="en-GB"/>
        </w:rPr>
        <w:t>stated</w:t>
      </w:r>
      <w:r w:rsidRPr="2AAB5048" w:rsidR="00124A78">
        <w:rPr>
          <w:highlight w:val="white"/>
          <w:lang w:val="en-GB"/>
        </w:rPr>
        <w:t xml:space="preserve"> by Akinyemi </w:t>
      </w:r>
      <w:r w:rsidRPr="2AAB5048" w:rsidR="00124A78">
        <w:rPr>
          <w:i w:val="1"/>
          <w:iCs w:val="1"/>
          <w:highlight w:val="white"/>
          <w:lang w:val="en-GB"/>
        </w:rPr>
        <w:t>et al</w:t>
      </w:r>
      <w:r w:rsidRPr="2AAB5048" w:rsidR="00124A78">
        <w:rPr>
          <w:highlight w:val="white"/>
          <w:lang w:val="en-GB"/>
        </w:rPr>
        <w:t xml:space="preserve">. (2022), post-diagnostic support is of variable quality; not everyone is provided with a structured support plan, and not all carers receive training or respite. Some studies </w:t>
      </w:r>
      <w:r w:rsidRPr="2AAB5048" w:rsidR="00124A78">
        <w:rPr>
          <w:highlight w:val="white"/>
          <w:lang w:val="en-GB"/>
        </w:rPr>
        <w:t>demonstrate</w:t>
      </w:r>
      <w:r w:rsidRPr="2AAB5048" w:rsidR="00124A78">
        <w:rPr>
          <w:highlight w:val="white"/>
          <w:lang w:val="en-GB"/>
        </w:rPr>
        <w:t xml:space="preserve"> the issue of the workforce, such as a lack of dementia special training of staff in both the healthcare and social care industries, which influences staff confidence and quality of care provision. The effects of these gaps on outcomes have </w:t>
      </w:r>
      <w:r w:rsidRPr="2AAB5048" w:rsidR="00124A78">
        <w:rPr>
          <w:highlight w:val="white"/>
          <w:lang w:val="en-GB"/>
        </w:rPr>
        <w:t>very little</w:t>
      </w:r>
      <w:r w:rsidRPr="2AAB5048" w:rsidR="00124A78">
        <w:rPr>
          <w:highlight w:val="white"/>
          <w:lang w:val="en-GB"/>
        </w:rPr>
        <w:t xml:space="preserve"> research available on them in real-world contexts.</w:t>
      </w:r>
    </w:p>
    <w:p w:rsidRPr="00823D42" w:rsidR="00337A25" w:rsidP="006879AB" w:rsidRDefault="00124A78" w14:paraId="424817BC" w14:textId="77777777">
      <w:pPr>
        <w:pStyle w:val="Heading1"/>
        <w:rPr>
          <w:lang w:val="en-GB"/>
        </w:rPr>
      </w:pPr>
      <w:bookmarkStart w:name="_Toc223451497" w:id="9"/>
      <w:r w:rsidRPr="00823D42">
        <w:rPr>
          <w:lang w:val="en-GB"/>
        </w:rPr>
        <w:t>3. Methods</w:t>
      </w:r>
      <w:bookmarkEnd w:id="9"/>
    </w:p>
    <w:p w:rsidRPr="00823D42" w:rsidR="00337A25" w:rsidP="006879AB" w:rsidRDefault="00124A78" w14:paraId="424817BD" w14:textId="77777777">
      <w:pPr>
        <w:pStyle w:val="Heading2"/>
        <w:rPr>
          <w:lang w:val="en-GB"/>
        </w:rPr>
      </w:pPr>
      <w:bookmarkStart w:name="_Toc223451498" w:id="10"/>
      <w:r w:rsidRPr="00823D42">
        <w:rPr>
          <w:lang w:val="en-GB"/>
        </w:rPr>
        <w:t>3.1 Data Collection Approach</w:t>
      </w:r>
      <w:bookmarkEnd w:id="10"/>
    </w:p>
    <w:p w:rsidRPr="00823D42" w:rsidR="00337A25" w:rsidP="00823D42" w:rsidRDefault="00124A78" w14:paraId="424817BE" w14:textId="77777777">
      <w:pPr>
        <w:spacing w:line="360" w:lineRule="auto"/>
        <w:jc w:val="both"/>
        <w:rPr>
          <w:highlight w:val="white"/>
          <w:lang w:val="en-GB"/>
        </w:rPr>
      </w:pPr>
      <w:r w:rsidRPr="2AAB5048" w:rsidR="00124A78">
        <w:rPr>
          <w:highlight w:val="white"/>
          <w:lang w:val="en-GB"/>
        </w:rPr>
        <w:t xml:space="preserve">In the case of the data collection method, the selection of the relevant academic databases was done to ensure that the research on dementia care in the United Kingdom is well covered. Such databases consisted of </w:t>
      </w:r>
      <w:r w:rsidRPr="2AAB5048" w:rsidR="00124A78">
        <w:rPr>
          <w:b w:val="1"/>
          <w:bCs w:val="1"/>
          <w:i w:val="1"/>
          <w:iCs w:val="1"/>
          <w:highlight w:val="white"/>
          <w:lang w:val="en-GB"/>
        </w:rPr>
        <w:t xml:space="preserve">PubMed, CINAHL, Scopus, PsycINFO </w:t>
      </w:r>
      <w:r w:rsidRPr="2AAB5048" w:rsidR="00124A78">
        <w:rPr>
          <w:highlight w:val="white"/>
          <w:lang w:val="en-GB"/>
        </w:rPr>
        <w:t>and</w:t>
      </w:r>
      <w:r w:rsidRPr="2AAB5048" w:rsidR="00124A78">
        <w:rPr>
          <w:b w:val="1"/>
          <w:bCs w:val="1"/>
          <w:i w:val="1"/>
          <w:iCs w:val="1"/>
          <w:highlight w:val="white"/>
          <w:lang w:val="en-GB"/>
        </w:rPr>
        <w:t xml:space="preserve"> the UWTSD Library</w:t>
      </w:r>
      <w:r w:rsidRPr="2AAB5048" w:rsidR="00124A78">
        <w:rPr>
          <w:highlight w:val="white"/>
          <w:lang w:val="en-GB"/>
        </w:rPr>
        <w:t xml:space="preserve">. The </w:t>
      </w:r>
      <w:r w:rsidRPr="2AAB5048" w:rsidR="00124A78">
        <w:rPr>
          <w:highlight w:val="white"/>
          <w:lang w:val="en-GB"/>
        </w:rPr>
        <w:t>selection</w:t>
      </w:r>
      <w:r w:rsidRPr="2AAB5048" w:rsidR="00124A78">
        <w:rPr>
          <w:highlight w:val="white"/>
          <w:lang w:val="en-GB"/>
        </w:rPr>
        <w:t xml:space="preserve"> of these sources is </w:t>
      </w:r>
      <w:bookmarkStart w:name="_Int_jXmMNYNy" w:id="19847546"/>
      <w:r w:rsidRPr="2AAB5048" w:rsidR="00124A78">
        <w:rPr>
          <w:highlight w:val="white"/>
          <w:lang w:val="en-GB"/>
        </w:rPr>
        <w:t>based on the fact that</w:t>
      </w:r>
      <w:bookmarkEnd w:id="19847546"/>
      <w:r w:rsidRPr="2AAB5048" w:rsidR="00124A78">
        <w:rPr>
          <w:highlight w:val="white"/>
          <w:lang w:val="en-GB"/>
        </w:rPr>
        <w:t xml:space="preserve"> they index peer-reviewed journals in the spheres of health, social care, nursing, and psychology, which are the focus of dementia care (Littlejohn </w:t>
      </w:r>
      <w:r w:rsidRPr="2AAB5048" w:rsidR="00124A78">
        <w:rPr>
          <w:i w:val="1"/>
          <w:iCs w:val="1"/>
          <w:highlight w:val="white"/>
          <w:lang w:val="en-GB"/>
        </w:rPr>
        <w:t>et al</w:t>
      </w:r>
      <w:r w:rsidRPr="2AAB5048" w:rsidR="00124A78">
        <w:rPr>
          <w:highlight w:val="white"/>
          <w:lang w:val="en-GB"/>
        </w:rPr>
        <w:t xml:space="preserve">., 2022). The combinations of key terms that </w:t>
      </w:r>
      <w:r w:rsidRPr="2AAB5048" w:rsidR="00124A78">
        <w:rPr>
          <w:highlight w:val="white"/>
          <w:lang w:val="en-GB"/>
        </w:rPr>
        <w:t>represented</w:t>
      </w:r>
      <w:r w:rsidRPr="2AAB5048" w:rsidR="00124A78">
        <w:rPr>
          <w:highlight w:val="white"/>
          <w:lang w:val="en-GB"/>
        </w:rPr>
        <w:t xml:space="preserve"> the major concepts of the review were used to carry out searches.</w:t>
      </w:r>
    </w:p>
    <w:p w:rsidRPr="00823D42" w:rsidR="00337A25" w:rsidP="00823D42" w:rsidRDefault="00124A78" w14:paraId="424817BF" w14:textId="77777777">
      <w:pPr>
        <w:spacing w:line="360" w:lineRule="auto"/>
        <w:jc w:val="both"/>
        <w:rPr>
          <w:highlight w:val="white"/>
          <w:lang w:val="en-GB"/>
        </w:rPr>
      </w:pPr>
      <w:r w:rsidRPr="00823D42">
        <w:rPr>
          <w:highlight w:val="white"/>
          <w:lang w:val="en-GB"/>
        </w:rPr>
        <w:t xml:space="preserve">The search through the databases involved the use of keywords and Boolean operators to identify the search results that were closely related to the research question. Keywords were the variation of dementia care </w:t>
      </w:r>
      <w:r w:rsidRPr="00823D42">
        <w:rPr>
          <w:i/>
          <w:iCs/>
          <w:highlight w:val="white"/>
          <w:lang w:val="en-GB"/>
        </w:rPr>
        <w:t>AND UK</w:t>
      </w:r>
      <w:r w:rsidRPr="00823D42">
        <w:rPr>
          <w:highlight w:val="white"/>
          <w:lang w:val="en-GB"/>
        </w:rPr>
        <w:t xml:space="preserve">, dementia support AND health services, post-diagnostic support AND social care, and integrated care </w:t>
      </w:r>
      <w:r w:rsidRPr="00823D42">
        <w:rPr>
          <w:i/>
          <w:iCs/>
          <w:highlight w:val="white"/>
          <w:lang w:val="en-GB"/>
        </w:rPr>
        <w:t>AND</w:t>
      </w:r>
      <w:r w:rsidRPr="00823D42">
        <w:rPr>
          <w:highlight w:val="white"/>
          <w:lang w:val="en-GB"/>
        </w:rPr>
        <w:t xml:space="preserve"> dementia. Connection between key concepts was carried out using Boolean operators like </w:t>
      </w:r>
      <w:r w:rsidRPr="00823D42">
        <w:rPr>
          <w:b/>
          <w:bCs/>
          <w:i/>
          <w:iCs/>
          <w:highlight w:val="white"/>
          <w:lang w:val="en-GB"/>
        </w:rPr>
        <w:t xml:space="preserve">AND </w:t>
      </w:r>
      <w:proofErr w:type="spellStart"/>
      <w:r w:rsidRPr="00823D42">
        <w:rPr>
          <w:highlight w:val="white"/>
          <w:lang w:val="en-GB"/>
        </w:rPr>
        <w:t>and</w:t>
      </w:r>
      <w:proofErr w:type="spellEnd"/>
      <w:r w:rsidRPr="00823D42">
        <w:rPr>
          <w:b/>
          <w:bCs/>
          <w:i/>
          <w:iCs/>
          <w:highlight w:val="white"/>
          <w:lang w:val="en-GB"/>
        </w:rPr>
        <w:t xml:space="preserve"> OR,</w:t>
      </w:r>
      <w:r w:rsidRPr="00823D42">
        <w:rPr>
          <w:highlight w:val="white"/>
          <w:lang w:val="en-GB"/>
        </w:rPr>
        <w:t xml:space="preserve"> where synonyms or related terms were required to expand the search (Brent, 2023). Such combinations assisted in retrieving as much as possible peer-reviewed research that was relevant.</w:t>
      </w:r>
    </w:p>
    <w:p w:rsidRPr="00823D42" w:rsidR="00337A25" w:rsidP="00823D42" w:rsidRDefault="00124A78" w14:paraId="424817C0" w14:textId="77777777">
      <w:pPr>
        <w:spacing w:line="360" w:lineRule="auto"/>
        <w:jc w:val="both"/>
        <w:rPr>
          <w:lang w:val="en-GB"/>
        </w:rPr>
      </w:pPr>
      <w:r w:rsidRPr="00823D42">
        <w:rPr>
          <w:highlight w:val="white"/>
          <w:lang w:val="en-GB"/>
        </w:rPr>
        <w:t xml:space="preserve">Inclusion criteria were developed such that they targeted high-quality and recent studies. Peer-reviewed articles in the English language were considered only in the past ten years. Research articles were required to provide primary or secondary research results on dementia care </w:t>
      </w:r>
      <w:r w:rsidRPr="00823D42">
        <w:rPr>
          <w:highlight w:val="white"/>
          <w:lang w:val="en-GB"/>
        </w:rPr>
        <w:lastRenderedPageBreak/>
        <w:t>practices, service or outcome within the UK setting. The exclusion criteria eliminated non-research articles (</w:t>
      </w:r>
      <w:proofErr w:type="spellStart"/>
      <w:r w:rsidRPr="00823D42">
        <w:rPr>
          <w:highlight w:val="white"/>
          <w:lang w:val="en-GB"/>
        </w:rPr>
        <w:t>Bacsu</w:t>
      </w:r>
      <w:proofErr w:type="spellEnd"/>
      <w:r w:rsidRPr="00823D42">
        <w:rPr>
          <w:highlight w:val="white"/>
          <w:lang w:val="en-GB"/>
        </w:rPr>
        <w:t xml:space="preserve"> </w:t>
      </w:r>
      <w:r w:rsidRPr="00823D42">
        <w:rPr>
          <w:i/>
          <w:iCs/>
          <w:highlight w:val="white"/>
          <w:lang w:val="en-GB"/>
        </w:rPr>
        <w:t>et al</w:t>
      </w:r>
      <w:r w:rsidRPr="00823D42">
        <w:rPr>
          <w:highlight w:val="white"/>
          <w:lang w:val="en-GB"/>
        </w:rPr>
        <w:t>., 2022). Articles that were not related to the UK population or articles that did not explicitly tackle dementia care services were filtered out as well.</w:t>
      </w:r>
    </w:p>
    <w:p w:rsidRPr="00823D42" w:rsidR="00337A25" w:rsidP="006879AB" w:rsidRDefault="00124A78" w14:paraId="424817C1" w14:textId="77777777">
      <w:pPr>
        <w:pStyle w:val="Heading2"/>
        <w:rPr>
          <w:lang w:val="en-GB"/>
        </w:rPr>
      </w:pPr>
      <w:bookmarkStart w:name="_Toc223451499" w:id="11"/>
      <w:r w:rsidRPr="00823D42">
        <w:rPr>
          <w:lang w:val="en-GB"/>
        </w:rPr>
        <w:t>3.2 Data Analysis Approach</w:t>
      </w:r>
      <w:bookmarkEnd w:id="11"/>
    </w:p>
    <w:p w:rsidRPr="00823D42" w:rsidR="00337A25" w:rsidP="00823D42" w:rsidRDefault="00124A78" w14:paraId="424817C2" w14:textId="77777777">
      <w:pPr>
        <w:spacing w:line="360" w:lineRule="auto"/>
        <w:jc w:val="both"/>
        <w:rPr>
          <w:highlight w:val="white"/>
          <w:lang w:val="en-GB"/>
        </w:rPr>
      </w:pPr>
      <w:r w:rsidRPr="2AAB5048" w:rsidR="00124A78">
        <w:rPr>
          <w:highlight w:val="white"/>
          <w:lang w:val="en-GB"/>
        </w:rPr>
        <w:t xml:space="preserve">To analyse the selected works, they were initially examined to </w:t>
      </w:r>
      <w:r w:rsidRPr="2AAB5048" w:rsidR="00124A78">
        <w:rPr>
          <w:highlight w:val="white"/>
          <w:lang w:val="en-GB"/>
        </w:rPr>
        <w:t>determine</w:t>
      </w:r>
      <w:r w:rsidRPr="2AAB5048" w:rsidR="00124A78">
        <w:rPr>
          <w:highlight w:val="white"/>
          <w:lang w:val="en-GB"/>
        </w:rPr>
        <w:t xml:space="preserve"> the primary focus, the </w:t>
      </w:r>
      <w:r w:rsidRPr="2AAB5048" w:rsidR="00124A78">
        <w:rPr>
          <w:highlight w:val="white"/>
          <w:lang w:val="en-GB"/>
        </w:rPr>
        <w:t>methodology</w:t>
      </w:r>
      <w:r w:rsidRPr="2AAB5048" w:rsidR="00124A78">
        <w:rPr>
          <w:highlight w:val="white"/>
          <w:lang w:val="en-GB"/>
        </w:rPr>
        <w:t>, and the results associated with dementia care in the UK. The articles were read, and the main information was gathered, such as the purpose of the study, the setting of the service, the characteristics of the participants, and the results (</w:t>
      </w:r>
      <w:r w:rsidRPr="2AAB5048" w:rsidR="00124A78">
        <w:rPr>
          <w:lang w:val="en-GB"/>
        </w:rPr>
        <w:t>NHS, 2025</w:t>
      </w:r>
      <w:r w:rsidRPr="2AAB5048" w:rsidR="00124A78">
        <w:rPr>
          <w:highlight w:val="white"/>
          <w:lang w:val="en-GB"/>
        </w:rPr>
        <w:t xml:space="preserve">). This data was prepared in a summary table, which </w:t>
      </w:r>
      <w:r w:rsidRPr="2AAB5048" w:rsidR="00124A78">
        <w:rPr>
          <w:highlight w:val="white"/>
          <w:lang w:val="en-GB"/>
        </w:rPr>
        <w:t>assisted</w:t>
      </w:r>
      <w:r w:rsidRPr="2AAB5048" w:rsidR="00124A78">
        <w:rPr>
          <w:highlight w:val="white"/>
          <w:lang w:val="en-GB"/>
        </w:rPr>
        <w:t xml:space="preserve"> in comparing the research and </w:t>
      </w:r>
      <w:r w:rsidRPr="2AAB5048" w:rsidR="00124A78">
        <w:rPr>
          <w:highlight w:val="white"/>
          <w:lang w:val="en-GB"/>
        </w:rPr>
        <w:t>identifying</w:t>
      </w:r>
      <w:r w:rsidRPr="2AAB5048" w:rsidR="00124A78">
        <w:rPr>
          <w:highlight w:val="white"/>
          <w:lang w:val="en-GB"/>
        </w:rPr>
        <w:t xml:space="preserve"> trends (Gadsby </w:t>
      </w:r>
      <w:r w:rsidRPr="2AAB5048" w:rsidR="00124A78">
        <w:rPr>
          <w:i w:val="1"/>
          <w:iCs w:val="1"/>
          <w:highlight w:val="white"/>
          <w:lang w:val="en-GB"/>
        </w:rPr>
        <w:t>et al</w:t>
      </w:r>
      <w:r w:rsidRPr="2AAB5048" w:rsidR="00124A78">
        <w:rPr>
          <w:highlight w:val="white"/>
          <w:lang w:val="en-GB"/>
        </w:rPr>
        <w:t xml:space="preserve">., 2022). Concepts and findings </w:t>
      </w:r>
      <w:bookmarkStart w:name="_Int_vlzu3VGg" w:id="863358717"/>
      <w:r w:rsidRPr="2AAB5048" w:rsidR="00124A78">
        <w:rPr>
          <w:highlight w:val="white"/>
          <w:lang w:val="en-GB"/>
        </w:rPr>
        <w:t>similar to</w:t>
      </w:r>
      <w:bookmarkEnd w:id="863358717"/>
      <w:r w:rsidRPr="2AAB5048" w:rsidR="00124A78">
        <w:rPr>
          <w:highlight w:val="white"/>
          <w:lang w:val="en-GB"/>
        </w:rPr>
        <w:t xml:space="preserve"> those of other studies were clustered, including the themes of service access, quality of post-diagnostic care, integration of care, and effects on carers.</w:t>
      </w:r>
    </w:p>
    <w:p w:rsidRPr="00823D42" w:rsidR="00337A25" w:rsidP="00823D42" w:rsidRDefault="00124A78" w14:paraId="424817C3" w14:textId="0FDC3F56">
      <w:pPr>
        <w:spacing w:line="360" w:lineRule="auto"/>
        <w:jc w:val="both"/>
        <w:rPr>
          <w:lang w:val="en-GB"/>
        </w:rPr>
      </w:pPr>
      <w:r w:rsidRPr="482345EF" w:rsidR="00124A78">
        <w:rPr>
          <w:highlight w:val="white"/>
          <w:lang w:val="en-GB"/>
        </w:rPr>
        <w:t xml:space="preserve">The method used to synthesise findings was thematic analysis since it enables the researcher to recognise and explain common ideas and topics that recur in two or more studies systematically (Bernstein Sideman </w:t>
      </w:r>
      <w:r w:rsidRPr="482345EF" w:rsidR="00124A78">
        <w:rPr>
          <w:i w:val="1"/>
          <w:iCs w:val="1"/>
          <w:highlight w:val="white"/>
          <w:lang w:val="en-GB"/>
        </w:rPr>
        <w:t>et al</w:t>
      </w:r>
      <w:r w:rsidRPr="482345EF" w:rsidR="00124A78">
        <w:rPr>
          <w:highlight w:val="white"/>
          <w:lang w:val="en-GB"/>
        </w:rPr>
        <w:t xml:space="preserve">., 2022). The thematic analysis allows going beyond simple description and makes it possible to understand what the research tells in general about the practice of dementia care. The analysis can </w:t>
      </w:r>
      <w:r w:rsidRPr="482345EF" w:rsidR="00124A78">
        <w:rPr>
          <w:highlight w:val="white"/>
          <w:lang w:val="en-GB"/>
        </w:rPr>
        <w:t>demonstrate</w:t>
      </w:r>
      <w:r w:rsidRPr="482345EF" w:rsidR="00124A78">
        <w:rPr>
          <w:highlight w:val="white"/>
          <w:lang w:val="en-GB"/>
        </w:rPr>
        <w:t xml:space="preserve"> the connection between the evidence patterns and practice gaps, care quality, and service outcomes by using themes (</w:t>
      </w:r>
      <w:r w:rsidRPr="482345EF" w:rsidR="00124A78">
        <w:rPr>
          <w:highlight w:val="white"/>
          <w:lang w:val="en-GB"/>
        </w:rPr>
        <w:t>Duchowny</w:t>
      </w:r>
      <w:r w:rsidRPr="482345EF" w:rsidR="00124A78">
        <w:rPr>
          <w:highlight w:val="white"/>
          <w:lang w:val="en-GB"/>
        </w:rPr>
        <w:t xml:space="preserve"> </w:t>
      </w:r>
      <w:r w:rsidRPr="482345EF" w:rsidR="00124A78">
        <w:rPr>
          <w:i w:val="1"/>
          <w:iCs w:val="1"/>
          <w:highlight w:val="white"/>
          <w:lang w:val="en-GB"/>
        </w:rPr>
        <w:t>et al</w:t>
      </w:r>
      <w:r w:rsidRPr="482345EF" w:rsidR="00124A78">
        <w:rPr>
          <w:highlight w:val="white"/>
          <w:lang w:val="en-GB"/>
        </w:rPr>
        <w:t xml:space="preserve">., 2022). This is </w:t>
      </w:r>
      <w:r w:rsidRPr="482345EF" w:rsidR="00124A78">
        <w:rPr>
          <w:highlight w:val="white"/>
          <w:lang w:val="en-GB"/>
        </w:rPr>
        <w:t>an appropriate method</w:t>
      </w:r>
      <w:r w:rsidRPr="482345EF" w:rsidR="00124A78">
        <w:rPr>
          <w:highlight w:val="white"/>
          <w:lang w:val="en-GB"/>
        </w:rPr>
        <w:t xml:space="preserve"> when conducting a scoping review since it </w:t>
      </w:r>
      <w:r w:rsidRPr="482345EF" w:rsidR="2A317DE6">
        <w:rPr>
          <w:highlight w:val="white"/>
          <w:lang w:val="en-GB"/>
        </w:rPr>
        <w:t>can</w:t>
      </w:r>
      <w:r w:rsidRPr="482345EF" w:rsidR="00124A78">
        <w:rPr>
          <w:highlight w:val="white"/>
          <w:lang w:val="en-GB"/>
        </w:rPr>
        <w:t xml:space="preserve"> accommodate the various research designs and findings, and hence easier to pull out meaningful lessons and priorities in future research, </w:t>
      </w:r>
      <w:r w:rsidRPr="482345EF" w:rsidR="00124A78">
        <w:rPr>
          <w:highlight w:val="white"/>
          <w:lang w:val="en-GB"/>
        </w:rPr>
        <w:t>policy</w:t>
      </w:r>
      <w:r w:rsidRPr="482345EF" w:rsidR="00124A78">
        <w:rPr>
          <w:highlight w:val="white"/>
          <w:lang w:val="en-GB"/>
        </w:rPr>
        <w:t xml:space="preserve"> and practice.</w:t>
      </w:r>
    </w:p>
    <w:p w:rsidRPr="00823D42" w:rsidR="00337A25" w:rsidP="006879AB" w:rsidRDefault="00124A78" w14:paraId="424817C4" w14:textId="77777777">
      <w:pPr>
        <w:pStyle w:val="Heading2"/>
        <w:rPr>
          <w:lang w:val="en-GB"/>
        </w:rPr>
      </w:pPr>
      <w:bookmarkStart w:name="_Toc223451500" w:id="12"/>
      <w:r w:rsidRPr="00823D42">
        <w:rPr>
          <w:lang w:val="en-GB"/>
        </w:rPr>
        <w:t>3.3 Ethical Considerations</w:t>
      </w:r>
      <w:bookmarkEnd w:id="12"/>
    </w:p>
    <w:p w:rsidRPr="00823D42" w:rsidR="00337A25" w:rsidP="00823D42" w:rsidRDefault="00124A78" w14:paraId="424817C5" w14:textId="77777777">
      <w:pPr>
        <w:spacing w:line="360" w:lineRule="auto"/>
        <w:jc w:val="both"/>
        <w:rPr>
          <w:lang w:val="en-GB"/>
        </w:rPr>
      </w:pPr>
      <w:r w:rsidRPr="00823D42">
        <w:rPr>
          <w:highlight w:val="white"/>
          <w:lang w:val="en-GB"/>
        </w:rPr>
        <w:t xml:space="preserve">In this secondary research study, the ethical concern regards the responsible and just utilisation of the current research, without participating in any human subjects in the study. The selection and analysis of the studies should avoid bias to make sure that the review is representative of the existing evidence on dementia care in the UK. This involves the application of clear inclusion and exclusion criteria, multiple academic databases, and the consideration of all the relevant studies equally to minimise selection bias (Burton </w:t>
      </w:r>
      <w:r w:rsidRPr="00823D42">
        <w:rPr>
          <w:i/>
          <w:iCs/>
          <w:highlight w:val="white"/>
          <w:lang w:val="en-GB"/>
        </w:rPr>
        <w:t>et al</w:t>
      </w:r>
      <w:r w:rsidRPr="00823D42">
        <w:rPr>
          <w:highlight w:val="white"/>
          <w:lang w:val="en-GB"/>
        </w:rPr>
        <w:t>., 2022). This assists others in knowing how the findings were arrived at, and it also gives credence to the findings. During the review, ethical rules of research reporting, including honesty in interpretation and misrepresentation, are observed (</w:t>
      </w:r>
      <w:r w:rsidRPr="00823D42">
        <w:rPr>
          <w:lang w:val="en-GB"/>
        </w:rPr>
        <w:t>NHS, 2025</w:t>
      </w:r>
      <w:r w:rsidRPr="00823D42">
        <w:rPr>
          <w:highlight w:val="white"/>
          <w:lang w:val="en-GB"/>
        </w:rPr>
        <w:t xml:space="preserve">). The limitations or ambiguities of the data are also noted, and it is understood that </w:t>
      </w:r>
      <w:r w:rsidRPr="00823D42">
        <w:rPr>
          <w:highlight w:val="white"/>
          <w:lang w:val="en-GB"/>
        </w:rPr>
        <w:lastRenderedPageBreak/>
        <w:t xml:space="preserve">secondary research relies on the quality and the extent of the existing studies (Loveys </w:t>
      </w:r>
      <w:r w:rsidRPr="00823D42">
        <w:rPr>
          <w:i/>
          <w:iCs/>
          <w:highlight w:val="white"/>
          <w:lang w:val="en-GB"/>
        </w:rPr>
        <w:t>et al</w:t>
      </w:r>
      <w:r w:rsidRPr="00823D42">
        <w:rPr>
          <w:highlight w:val="white"/>
          <w:lang w:val="en-GB"/>
        </w:rPr>
        <w:t>., 2022). These ethical concerns will ensure that the research is credible and of integrity, and they provide valuable evidence to inform the policy process, practice, and future studies in dementia care.</w:t>
      </w:r>
    </w:p>
    <w:p w:rsidRPr="00823D42" w:rsidR="00337A25" w:rsidP="006879AB" w:rsidRDefault="00124A78" w14:paraId="424817C6" w14:textId="77777777">
      <w:pPr>
        <w:pStyle w:val="Heading1"/>
        <w:rPr>
          <w:lang w:val="en-GB"/>
        </w:rPr>
      </w:pPr>
      <w:bookmarkStart w:name="_Toc223451501" w:id="13"/>
      <w:r w:rsidRPr="00823D42">
        <w:rPr>
          <w:lang w:val="en-GB"/>
        </w:rPr>
        <w:t>4. Results</w:t>
      </w:r>
      <w:bookmarkEnd w:id="13"/>
    </w:p>
    <w:p w:rsidRPr="00823D42" w:rsidR="00337A25" w:rsidP="006879AB" w:rsidRDefault="00124A78" w14:paraId="424817C7" w14:textId="77777777">
      <w:pPr>
        <w:pStyle w:val="Heading2"/>
        <w:rPr>
          <w:lang w:val="en-GB"/>
        </w:rPr>
      </w:pPr>
      <w:bookmarkStart w:name="_Toc223451502" w:id="14"/>
      <w:r w:rsidRPr="00823D42">
        <w:rPr>
          <w:lang w:val="en-GB"/>
        </w:rPr>
        <w:t>4.1 Summary Tables</w:t>
      </w:r>
      <w:bookmarkEnd w:id="14"/>
    </w:p>
    <w:tbl>
      <w:tblPr>
        <w:tblStyle w:val="Table1"/>
        <w:tblW w:w="936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872"/>
        <w:gridCol w:w="1872"/>
        <w:gridCol w:w="1872"/>
        <w:gridCol w:w="1872"/>
        <w:gridCol w:w="1872"/>
      </w:tblGrid>
      <w:tr w:rsidRPr="00823D42" w:rsidR="00337A25" w14:paraId="424817CD" w14:textId="77777777">
        <w:tc>
          <w:tcPr>
            <w:tcW w:w="1872" w:type="dxa"/>
            <w:tcMar>
              <w:top w:w="100" w:type="dxa"/>
              <w:left w:w="100" w:type="dxa"/>
              <w:bottom w:w="100" w:type="dxa"/>
              <w:right w:w="100" w:type="dxa"/>
            </w:tcMar>
          </w:tcPr>
          <w:p w:rsidRPr="00823D42" w:rsidR="00337A25" w:rsidP="00823D42" w:rsidRDefault="00124A78" w14:paraId="424817C8" w14:textId="77777777">
            <w:pPr>
              <w:widowControl w:val="0"/>
              <w:pBdr>
                <w:top w:val="nil"/>
                <w:left w:val="nil"/>
                <w:bottom w:val="nil"/>
                <w:right w:val="nil"/>
                <w:between w:val="nil"/>
              </w:pBdr>
              <w:spacing w:line="360" w:lineRule="auto"/>
              <w:jc w:val="both"/>
              <w:rPr>
                <w:b/>
                <w:bCs/>
                <w:lang w:val="en-GB"/>
              </w:rPr>
            </w:pPr>
            <w:r w:rsidRPr="00823D42">
              <w:rPr>
                <w:b/>
                <w:bCs/>
                <w:lang w:val="en-GB"/>
              </w:rPr>
              <w:t>Authors, Year</w:t>
            </w:r>
          </w:p>
        </w:tc>
        <w:tc>
          <w:tcPr>
            <w:tcW w:w="1872" w:type="dxa"/>
            <w:tcMar>
              <w:top w:w="100" w:type="dxa"/>
              <w:left w:w="100" w:type="dxa"/>
              <w:bottom w:w="100" w:type="dxa"/>
              <w:right w:w="100" w:type="dxa"/>
            </w:tcMar>
          </w:tcPr>
          <w:p w:rsidRPr="00823D42" w:rsidR="00337A25" w:rsidP="00823D42" w:rsidRDefault="00124A78" w14:paraId="424817C9" w14:textId="77777777">
            <w:pPr>
              <w:widowControl w:val="0"/>
              <w:pBdr>
                <w:top w:val="nil"/>
                <w:left w:val="nil"/>
                <w:bottom w:val="nil"/>
                <w:right w:val="nil"/>
                <w:between w:val="nil"/>
              </w:pBdr>
              <w:spacing w:line="360" w:lineRule="auto"/>
              <w:jc w:val="both"/>
              <w:rPr>
                <w:b/>
                <w:bCs/>
                <w:lang w:val="en-GB"/>
              </w:rPr>
            </w:pPr>
            <w:r w:rsidRPr="00823D42">
              <w:rPr>
                <w:b/>
                <w:bCs/>
                <w:lang w:val="en-GB"/>
              </w:rPr>
              <w:t>Research Objectives</w:t>
            </w:r>
          </w:p>
        </w:tc>
        <w:tc>
          <w:tcPr>
            <w:tcW w:w="1872" w:type="dxa"/>
            <w:tcMar>
              <w:top w:w="100" w:type="dxa"/>
              <w:left w:w="100" w:type="dxa"/>
              <w:bottom w:w="100" w:type="dxa"/>
              <w:right w:w="100" w:type="dxa"/>
            </w:tcMar>
          </w:tcPr>
          <w:p w:rsidRPr="00823D42" w:rsidR="00337A25" w:rsidP="00823D42" w:rsidRDefault="00124A78" w14:paraId="424817CA" w14:textId="77777777">
            <w:pPr>
              <w:widowControl w:val="0"/>
              <w:pBdr>
                <w:top w:val="nil"/>
                <w:left w:val="nil"/>
                <w:bottom w:val="nil"/>
                <w:right w:val="nil"/>
                <w:between w:val="nil"/>
              </w:pBdr>
              <w:spacing w:line="360" w:lineRule="auto"/>
              <w:jc w:val="both"/>
              <w:rPr>
                <w:b/>
                <w:bCs/>
                <w:lang w:val="en-GB"/>
              </w:rPr>
            </w:pPr>
            <w:r w:rsidRPr="00823D42">
              <w:rPr>
                <w:b/>
                <w:bCs/>
                <w:lang w:val="en-GB"/>
              </w:rPr>
              <w:t>Methods</w:t>
            </w:r>
          </w:p>
        </w:tc>
        <w:tc>
          <w:tcPr>
            <w:tcW w:w="1872" w:type="dxa"/>
            <w:tcMar>
              <w:top w:w="100" w:type="dxa"/>
              <w:left w:w="100" w:type="dxa"/>
              <w:bottom w:w="100" w:type="dxa"/>
              <w:right w:w="100" w:type="dxa"/>
            </w:tcMar>
          </w:tcPr>
          <w:p w:rsidRPr="00823D42" w:rsidR="00337A25" w:rsidP="00823D42" w:rsidRDefault="00124A78" w14:paraId="424817CB" w14:textId="77777777">
            <w:pPr>
              <w:widowControl w:val="0"/>
              <w:pBdr>
                <w:top w:val="nil"/>
                <w:left w:val="nil"/>
                <w:bottom w:val="nil"/>
                <w:right w:val="nil"/>
                <w:between w:val="nil"/>
              </w:pBdr>
              <w:spacing w:line="360" w:lineRule="auto"/>
              <w:jc w:val="both"/>
              <w:rPr>
                <w:b/>
                <w:bCs/>
                <w:lang w:val="en-GB"/>
              </w:rPr>
            </w:pPr>
            <w:r w:rsidRPr="00823D42">
              <w:rPr>
                <w:b/>
                <w:bCs/>
                <w:lang w:val="en-GB"/>
              </w:rPr>
              <w:t>Key Findings</w:t>
            </w:r>
          </w:p>
        </w:tc>
        <w:tc>
          <w:tcPr>
            <w:tcW w:w="1872" w:type="dxa"/>
            <w:tcMar>
              <w:top w:w="100" w:type="dxa"/>
              <w:left w:w="100" w:type="dxa"/>
              <w:bottom w:w="100" w:type="dxa"/>
              <w:right w:w="100" w:type="dxa"/>
            </w:tcMar>
          </w:tcPr>
          <w:p w:rsidRPr="00823D42" w:rsidR="00337A25" w:rsidP="00823D42" w:rsidRDefault="00124A78" w14:paraId="424817CC" w14:textId="77777777">
            <w:pPr>
              <w:widowControl w:val="0"/>
              <w:pBdr>
                <w:top w:val="nil"/>
                <w:left w:val="nil"/>
                <w:bottom w:val="nil"/>
                <w:right w:val="nil"/>
                <w:between w:val="nil"/>
              </w:pBdr>
              <w:spacing w:line="360" w:lineRule="auto"/>
              <w:jc w:val="both"/>
              <w:rPr>
                <w:b/>
                <w:bCs/>
                <w:lang w:val="en-GB"/>
              </w:rPr>
            </w:pPr>
            <w:r w:rsidRPr="00823D42">
              <w:rPr>
                <w:b/>
                <w:bCs/>
                <w:lang w:val="en-GB"/>
              </w:rPr>
              <w:t>Relevance to Review Question</w:t>
            </w:r>
          </w:p>
        </w:tc>
      </w:tr>
      <w:tr w:rsidRPr="00823D42" w:rsidR="00337A25" w14:paraId="424817D3" w14:textId="77777777">
        <w:tc>
          <w:tcPr>
            <w:tcW w:w="1872" w:type="dxa"/>
            <w:tcMar>
              <w:top w:w="100" w:type="dxa"/>
              <w:left w:w="100" w:type="dxa"/>
              <w:bottom w:w="100" w:type="dxa"/>
              <w:right w:w="100" w:type="dxa"/>
            </w:tcMar>
          </w:tcPr>
          <w:p w:rsidRPr="00823D42" w:rsidR="00337A25" w:rsidP="00823D42" w:rsidRDefault="00124A78" w14:paraId="424817CE" w14:textId="77777777">
            <w:pPr>
              <w:spacing w:line="360" w:lineRule="auto"/>
              <w:jc w:val="both"/>
              <w:rPr>
                <w:lang w:val="en-GB"/>
              </w:rPr>
            </w:pPr>
            <w:r w:rsidRPr="00823D42">
              <w:rPr>
                <w:lang w:val="en-GB"/>
              </w:rPr>
              <w:t>Giebel, C., Hanna, K., Watson, J., Faulkner, T., O’Connell, L., Smith, S. and Donnellan, W.J. (2024)</w:t>
            </w:r>
          </w:p>
        </w:tc>
        <w:tc>
          <w:tcPr>
            <w:tcW w:w="1872" w:type="dxa"/>
            <w:tcMar>
              <w:top w:w="100" w:type="dxa"/>
              <w:left w:w="100" w:type="dxa"/>
              <w:bottom w:w="100" w:type="dxa"/>
              <w:right w:w="100" w:type="dxa"/>
            </w:tcMar>
          </w:tcPr>
          <w:p w:rsidRPr="00823D42" w:rsidR="00337A25" w:rsidP="00823D42" w:rsidRDefault="00124A78" w14:paraId="424817CF" w14:textId="77777777">
            <w:pPr>
              <w:spacing w:line="360" w:lineRule="auto"/>
              <w:jc w:val="both"/>
              <w:rPr>
                <w:lang w:val="en-GB"/>
              </w:rPr>
            </w:pPr>
            <w:r w:rsidRPr="00823D42">
              <w:rPr>
                <w:lang w:val="en-GB"/>
              </w:rPr>
              <w:t>To investigate disparities in access and utilisation of community-based social care by people with dementia.</w:t>
            </w:r>
          </w:p>
        </w:tc>
        <w:tc>
          <w:tcPr>
            <w:tcW w:w="1872" w:type="dxa"/>
            <w:tcMar>
              <w:top w:w="100" w:type="dxa"/>
              <w:left w:w="100" w:type="dxa"/>
              <w:bottom w:w="100" w:type="dxa"/>
              <w:right w:w="100" w:type="dxa"/>
            </w:tcMar>
          </w:tcPr>
          <w:p w:rsidRPr="00823D42" w:rsidR="00337A25" w:rsidP="00823D42" w:rsidRDefault="00124A78" w14:paraId="424817D0" w14:textId="77777777">
            <w:pPr>
              <w:spacing w:line="360" w:lineRule="auto"/>
              <w:jc w:val="both"/>
              <w:rPr>
                <w:lang w:val="en-GB"/>
              </w:rPr>
            </w:pPr>
            <w:r w:rsidRPr="00823D42">
              <w:rPr>
                <w:lang w:val="en-GB"/>
              </w:rPr>
              <w:t>The systematic review of peer-reviewed articles about dementia and social care access.</w:t>
            </w:r>
          </w:p>
        </w:tc>
        <w:tc>
          <w:tcPr>
            <w:tcW w:w="1872" w:type="dxa"/>
            <w:tcMar>
              <w:top w:w="100" w:type="dxa"/>
              <w:left w:w="100" w:type="dxa"/>
              <w:bottom w:w="100" w:type="dxa"/>
              <w:right w:w="100" w:type="dxa"/>
            </w:tcMar>
          </w:tcPr>
          <w:p w:rsidRPr="00823D42" w:rsidR="00337A25" w:rsidP="00823D42" w:rsidRDefault="00124A78" w14:paraId="424817D1" w14:textId="77777777">
            <w:pPr>
              <w:spacing w:line="360" w:lineRule="auto"/>
              <w:jc w:val="both"/>
              <w:rPr>
                <w:lang w:val="en-GB"/>
              </w:rPr>
            </w:pPr>
            <w:r w:rsidRPr="00823D42">
              <w:rPr>
                <w:lang w:val="en-GB"/>
              </w:rPr>
              <w:t>The review discovered that there was good evidence of inequalities that were associated with income, geography, ethnicity, and the availability of services. The disadvantaged in deprived areas and the minority populations had worse access to support.</w:t>
            </w:r>
          </w:p>
        </w:tc>
        <w:tc>
          <w:tcPr>
            <w:tcW w:w="1872" w:type="dxa"/>
            <w:tcMar>
              <w:top w:w="100" w:type="dxa"/>
              <w:left w:w="100" w:type="dxa"/>
              <w:bottom w:w="100" w:type="dxa"/>
              <w:right w:w="100" w:type="dxa"/>
            </w:tcMar>
          </w:tcPr>
          <w:p w:rsidRPr="00823D42" w:rsidR="00337A25" w:rsidP="00823D42" w:rsidRDefault="00124A78" w14:paraId="424817D2" w14:textId="77777777">
            <w:pPr>
              <w:spacing w:line="360" w:lineRule="auto"/>
              <w:jc w:val="both"/>
              <w:rPr>
                <w:lang w:val="en-GB"/>
              </w:rPr>
            </w:pPr>
            <w:r w:rsidRPr="00823D42">
              <w:rPr>
                <w:lang w:val="en-GB"/>
              </w:rPr>
              <w:t>The article presents the absence of dementia care access in the community services, which makes a direct contribution to themes on inequality and service variability in UK dementia care.</w:t>
            </w:r>
          </w:p>
        </w:tc>
      </w:tr>
      <w:tr w:rsidRPr="00823D42" w:rsidR="00337A25" w14:paraId="424817D9" w14:textId="77777777">
        <w:tc>
          <w:tcPr>
            <w:tcW w:w="1872" w:type="dxa"/>
            <w:tcMar>
              <w:top w:w="100" w:type="dxa"/>
              <w:left w:w="100" w:type="dxa"/>
              <w:bottom w:w="100" w:type="dxa"/>
              <w:right w:w="100" w:type="dxa"/>
            </w:tcMar>
          </w:tcPr>
          <w:p w:rsidRPr="00823D42" w:rsidR="00337A25" w:rsidP="00823D42" w:rsidRDefault="00124A78" w14:paraId="424817D4" w14:textId="77777777">
            <w:pPr>
              <w:spacing w:line="360" w:lineRule="auto"/>
              <w:jc w:val="both"/>
              <w:rPr>
                <w:lang w:val="en-GB"/>
              </w:rPr>
            </w:pPr>
            <w:r w:rsidRPr="00823D42">
              <w:rPr>
                <w:lang w:val="en-GB"/>
              </w:rPr>
              <w:t xml:space="preserve">Hampel, H., </w:t>
            </w:r>
            <w:proofErr w:type="spellStart"/>
            <w:r w:rsidRPr="00823D42">
              <w:rPr>
                <w:lang w:val="en-GB"/>
              </w:rPr>
              <w:t>Vergallo</w:t>
            </w:r>
            <w:proofErr w:type="spellEnd"/>
            <w:r w:rsidRPr="00823D42">
              <w:rPr>
                <w:lang w:val="en-GB"/>
              </w:rPr>
              <w:t xml:space="preserve">, A., </w:t>
            </w:r>
            <w:proofErr w:type="spellStart"/>
            <w:r w:rsidRPr="00823D42">
              <w:rPr>
                <w:lang w:val="en-GB"/>
              </w:rPr>
              <w:t>Iwatsubo</w:t>
            </w:r>
            <w:proofErr w:type="spellEnd"/>
            <w:r w:rsidRPr="00823D42">
              <w:rPr>
                <w:lang w:val="en-GB"/>
              </w:rPr>
              <w:t xml:space="preserve">, T., </w:t>
            </w:r>
            <w:r w:rsidRPr="00823D42">
              <w:rPr>
                <w:lang w:val="en-GB"/>
              </w:rPr>
              <w:lastRenderedPageBreak/>
              <w:t>Cho, M., Kurokawa, K., Wang, H., Kurzman, H.R. and Chen, C. (2022)</w:t>
            </w:r>
          </w:p>
        </w:tc>
        <w:tc>
          <w:tcPr>
            <w:tcW w:w="1872" w:type="dxa"/>
            <w:tcMar>
              <w:top w:w="100" w:type="dxa"/>
              <w:left w:w="100" w:type="dxa"/>
              <w:bottom w:w="100" w:type="dxa"/>
              <w:right w:w="100" w:type="dxa"/>
            </w:tcMar>
          </w:tcPr>
          <w:p w:rsidRPr="00823D42" w:rsidR="00337A25" w:rsidP="00823D42" w:rsidRDefault="00124A78" w14:paraId="424817D5" w14:textId="77777777">
            <w:pPr>
              <w:spacing w:line="360" w:lineRule="auto"/>
              <w:jc w:val="both"/>
              <w:rPr>
                <w:lang w:val="en-GB"/>
              </w:rPr>
            </w:pPr>
            <w:r w:rsidRPr="00823D42">
              <w:rPr>
                <w:lang w:val="en-GB"/>
              </w:rPr>
              <w:lastRenderedPageBreak/>
              <w:t xml:space="preserve">To assess the national policies and health </w:t>
            </w:r>
            <w:r w:rsidRPr="00823D42">
              <w:rPr>
                <w:lang w:val="en-GB"/>
              </w:rPr>
              <w:lastRenderedPageBreak/>
              <w:t>system preparedness to act early and provide care to people with dementia.</w:t>
            </w:r>
          </w:p>
        </w:tc>
        <w:tc>
          <w:tcPr>
            <w:tcW w:w="1872" w:type="dxa"/>
            <w:tcMar>
              <w:top w:w="100" w:type="dxa"/>
              <w:left w:w="100" w:type="dxa"/>
              <w:bottom w:w="100" w:type="dxa"/>
              <w:right w:w="100" w:type="dxa"/>
            </w:tcMar>
          </w:tcPr>
          <w:p w:rsidRPr="00823D42" w:rsidR="00337A25" w:rsidP="00823D42" w:rsidRDefault="00124A78" w14:paraId="424817D6" w14:textId="77777777">
            <w:pPr>
              <w:spacing w:line="360" w:lineRule="auto"/>
              <w:jc w:val="both"/>
              <w:rPr>
                <w:lang w:val="en-GB"/>
              </w:rPr>
            </w:pPr>
            <w:r w:rsidRPr="00823D42">
              <w:rPr>
                <w:lang w:val="en-GB"/>
              </w:rPr>
              <w:lastRenderedPageBreak/>
              <w:t xml:space="preserve">A comparative policy and systems analysis </w:t>
            </w:r>
            <w:r w:rsidRPr="00823D42">
              <w:rPr>
                <w:lang w:val="en-GB"/>
              </w:rPr>
              <w:lastRenderedPageBreak/>
              <w:t>based on international data.</w:t>
            </w:r>
          </w:p>
        </w:tc>
        <w:tc>
          <w:tcPr>
            <w:tcW w:w="1872" w:type="dxa"/>
            <w:tcMar>
              <w:top w:w="100" w:type="dxa"/>
              <w:left w:w="100" w:type="dxa"/>
              <w:bottom w:w="100" w:type="dxa"/>
              <w:right w:w="100" w:type="dxa"/>
            </w:tcMar>
          </w:tcPr>
          <w:p w:rsidRPr="00823D42" w:rsidR="00337A25" w:rsidP="00823D42" w:rsidRDefault="00124A78" w14:paraId="424817D7" w14:textId="77777777">
            <w:pPr>
              <w:spacing w:line="360" w:lineRule="auto"/>
              <w:jc w:val="both"/>
              <w:rPr>
                <w:lang w:val="en-GB"/>
              </w:rPr>
            </w:pPr>
            <w:r w:rsidRPr="00823D42">
              <w:rPr>
                <w:lang w:val="en-GB"/>
              </w:rPr>
              <w:lastRenderedPageBreak/>
              <w:t xml:space="preserve">This research indicated that there are </w:t>
            </w:r>
            <w:r w:rsidRPr="00823D42">
              <w:rPr>
                <w:lang w:val="en-GB"/>
              </w:rPr>
              <w:lastRenderedPageBreak/>
              <w:t>significant variations across countries in policy strength, the early diagnosis system, and care coordination. There were systems which were unprepared to provide care to dementia at early stages.</w:t>
            </w:r>
          </w:p>
        </w:tc>
        <w:tc>
          <w:tcPr>
            <w:tcW w:w="1872" w:type="dxa"/>
            <w:tcMar>
              <w:top w:w="100" w:type="dxa"/>
              <w:left w:w="100" w:type="dxa"/>
              <w:bottom w:w="100" w:type="dxa"/>
              <w:right w:w="100" w:type="dxa"/>
            </w:tcMar>
          </w:tcPr>
          <w:p w:rsidRPr="00823D42" w:rsidR="00337A25" w:rsidP="00823D42" w:rsidRDefault="00124A78" w14:paraId="424817D8" w14:textId="77777777">
            <w:pPr>
              <w:spacing w:line="360" w:lineRule="auto"/>
              <w:jc w:val="both"/>
              <w:rPr>
                <w:lang w:val="en-GB"/>
              </w:rPr>
            </w:pPr>
            <w:r w:rsidRPr="00823D42">
              <w:rPr>
                <w:lang w:val="en-GB"/>
              </w:rPr>
              <w:lastRenderedPageBreak/>
              <w:t xml:space="preserve">The research contributes to a discussion of the </w:t>
            </w:r>
            <w:r w:rsidRPr="00823D42">
              <w:rPr>
                <w:lang w:val="en-GB"/>
              </w:rPr>
              <w:lastRenderedPageBreak/>
              <w:t>effect of the policy and system preparedness on the quality and consistency of dementia care in health services.</w:t>
            </w:r>
          </w:p>
        </w:tc>
      </w:tr>
      <w:tr w:rsidRPr="00823D42" w:rsidR="00337A25" w14:paraId="424817DF" w14:textId="77777777">
        <w:tc>
          <w:tcPr>
            <w:tcW w:w="1872" w:type="dxa"/>
            <w:tcMar>
              <w:top w:w="100" w:type="dxa"/>
              <w:left w:w="100" w:type="dxa"/>
              <w:bottom w:w="100" w:type="dxa"/>
              <w:right w:w="100" w:type="dxa"/>
            </w:tcMar>
          </w:tcPr>
          <w:p w:rsidRPr="00823D42" w:rsidR="00337A25" w:rsidP="00823D42" w:rsidRDefault="00124A78" w14:paraId="424817DA" w14:textId="77777777">
            <w:pPr>
              <w:spacing w:line="360" w:lineRule="auto"/>
              <w:jc w:val="both"/>
              <w:rPr>
                <w:lang w:val="en-GB"/>
              </w:rPr>
            </w:pPr>
            <w:r w:rsidRPr="00823D42">
              <w:rPr>
                <w:lang w:val="en-GB"/>
              </w:rPr>
              <w:lastRenderedPageBreak/>
              <w:t>Duran-Kiraç, G., Uysal-</w:t>
            </w:r>
            <w:proofErr w:type="spellStart"/>
            <w:r w:rsidRPr="00823D42">
              <w:rPr>
                <w:lang w:val="en-GB"/>
              </w:rPr>
              <w:t>Bozkir</w:t>
            </w:r>
            <w:proofErr w:type="spellEnd"/>
            <w:r w:rsidRPr="00823D42">
              <w:rPr>
                <w:lang w:val="en-GB"/>
              </w:rPr>
              <w:t xml:space="preserve">, Ö., </w:t>
            </w:r>
            <w:proofErr w:type="spellStart"/>
            <w:r w:rsidRPr="00823D42">
              <w:rPr>
                <w:lang w:val="en-GB"/>
              </w:rPr>
              <w:t>Uittenbroek</w:t>
            </w:r>
            <w:proofErr w:type="spellEnd"/>
            <w:r w:rsidRPr="00823D42">
              <w:rPr>
                <w:lang w:val="en-GB"/>
              </w:rPr>
              <w:t xml:space="preserve">, R., van Hout, H. and </w:t>
            </w:r>
            <w:proofErr w:type="spellStart"/>
            <w:r w:rsidRPr="00823D42">
              <w:rPr>
                <w:lang w:val="en-GB"/>
              </w:rPr>
              <w:t>Broese</w:t>
            </w:r>
            <w:proofErr w:type="spellEnd"/>
            <w:r w:rsidRPr="00823D42">
              <w:rPr>
                <w:lang w:val="en-GB"/>
              </w:rPr>
              <w:t xml:space="preserve"> van </w:t>
            </w:r>
            <w:proofErr w:type="spellStart"/>
            <w:r w:rsidRPr="00823D42">
              <w:rPr>
                <w:lang w:val="en-GB"/>
              </w:rPr>
              <w:t>Groenou</w:t>
            </w:r>
            <w:proofErr w:type="spellEnd"/>
            <w:r w:rsidRPr="00823D42">
              <w:rPr>
                <w:lang w:val="en-GB"/>
              </w:rPr>
              <w:t>, M.I. (2022)</w:t>
            </w:r>
          </w:p>
        </w:tc>
        <w:tc>
          <w:tcPr>
            <w:tcW w:w="1872" w:type="dxa"/>
            <w:tcMar>
              <w:top w:w="100" w:type="dxa"/>
              <w:left w:w="100" w:type="dxa"/>
              <w:bottom w:w="100" w:type="dxa"/>
              <w:right w:w="100" w:type="dxa"/>
            </w:tcMar>
          </w:tcPr>
          <w:p w:rsidRPr="00823D42" w:rsidR="00337A25" w:rsidP="00823D42" w:rsidRDefault="00124A78" w14:paraId="424817DB" w14:textId="77777777">
            <w:pPr>
              <w:spacing w:line="360" w:lineRule="auto"/>
              <w:jc w:val="both"/>
              <w:rPr>
                <w:lang w:val="en-GB"/>
              </w:rPr>
            </w:pPr>
            <w:r w:rsidRPr="00823D42">
              <w:rPr>
                <w:lang w:val="en-GB"/>
              </w:rPr>
              <w:t>To investigate the accessibility of healthcare among people with dementia of ethnic minorities.</w:t>
            </w:r>
          </w:p>
        </w:tc>
        <w:tc>
          <w:tcPr>
            <w:tcW w:w="1872" w:type="dxa"/>
            <w:tcMar>
              <w:top w:w="100" w:type="dxa"/>
              <w:left w:w="100" w:type="dxa"/>
              <w:bottom w:w="100" w:type="dxa"/>
              <w:right w:w="100" w:type="dxa"/>
            </w:tcMar>
          </w:tcPr>
          <w:p w:rsidRPr="00823D42" w:rsidR="00337A25" w:rsidP="00823D42" w:rsidRDefault="00124A78" w14:paraId="424817DC" w14:textId="77777777">
            <w:pPr>
              <w:spacing w:line="360" w:lineRule="auto"/>
              <w:jc w:val="both"/>
              <w:rPr>
                <w:lang w:val="en-GB"/>
              </w:rPr>
            </w:pPr>
            <w:r w:rsidRPr="00823D42">
              <w:rPr>
                <w:lang w:val="en-GB"/>
              </w:rPr>
              <w:t>European research study scoping review.</w:t>
            </w:r>
          </w:p>
        </w:tc>
        <w:tc>
          <w:tcPr>
            <w:tcW w:w="1872" w:type="dxa"/>
            <w:tcMar>
              <w:top w:w="100" w:type="dxa"/>
              <w:left w:w="100" w:type="dxa"/>
              <w:bottom w:w="100" w:type="dxa"/>
              <w:right w:w="100" w:type="dxa"/>
            </w:tcMar>
          </w:tcPr>
          <w:p w:rsidRPr="00823D42" w:rsidR="00337A25" w:rsidP="00823D42" w:rsidRDefault="00124A78" w14:paraId="424817DD" w14:textId="77777777">
            <w:pPr>
              <w:spacing w:line="360" w:lineRule="auto"/>
              <w:jc w:val="both"/>
              <w:rPr>
                <w:lang w:val="en-GB"/>
              </w:rPr>
            </w:pPr>
            <w:r w:rsidRPr="00823D42">
              <w:rPr>
                <w:lang w:val="en-GB"/>
              </w:rPr>
              <w:t>Results indicated that language, cultural miscommunication, and lack of awareness of good services minimised access to care by the minority groups.</w:t>
            </w:r>
          </w:p>
        </w:tc>
        <w:tc>
          <w:tcPr>
            <w:tcW w:w="1872" w:type="dxa"/>
            <w:tcMar>
              <w:top w:w="100" w:type="dxa"/>
              <w:left w:w="100" w:type="dxa"/>
              <w:bottom w:w="100" w:type="dxa"/>
              <w:right w:w="100" w:type="dxa"/>
            </w:tcMar>
          </w:tcPr>
          <w:p w:rsidRPr="00823D42" w:rsidR="00337A25" w:rsidP="00823D42" w:rsidRDefault="00124A78" w14:paraId="424817DE" w14:textId="77777777">
            <w:pPr>
              <w:spacing w:line="360" w:lineRule="auto"/>
              <w:jc w:val="both"/>
              <w:rPr>
                <w:lang w:val="en-GB"/>
              </w:rPr>
            </w:pPr>
            <w:r w:rsidRPr="00823D42">
              <w:rPr>
                <w:lang w:val="en-GB"/>
              </w:rPr>
              <w:t>This research enlightens themes of equity, inclusion and culturally sensitive care of dementia among health and social care services.</w:t>
            </w:r>
          </w:p>
        </w:tc>
      </w:tr>
      <w:tr w:rsidRPr="00823D42" w:rsidR="00337A25" w14:paraId="424817E5" w14:textId="77777777">
        <w:tc>
          <w:tcPr>
            <w:tcW w:w="1872" w:type="dxa"/>
            <w:tcMar>
              <w:top w:w="100" w:type="dxa"/>
              <w:left w:w="100" w:type="dxa"/>
              <w:bottom w:w="100" w:type="dxa"/>
              <w:right w:w="100" w:type="dxa"/>
            </w:tcMar>
          </w:tcPr>
          <w:p w:rsidRPr="00823D42" w:rsidR="00337A25" w:rsidP="00823D42" w:rsidRDefault="00124A78" w14:paraId="424817E0" w14:textId="77777777">
            <w:pPr>
              <w:spacing w:line="360" w:lineRule="auto"/>
              <w:jc w:val="both"/>
              <w:rPr>
                <w:lang w:val="en-GB"/>
              </w:rPr>
            </w:pPr>
            <w:r w:rsidRPr="00823D42">
              <w:rPr>
                <w:lang w:val="en-GB"/>
              </w:rPr>
              <w:t>Bergqvist, M., Bastholm-</w:t>
            </w:r>
            <w:proofErr w:type="spellStart"/>
            <w:r w:rsidRPr="00823D42">
              <w:rPr>
                <w:lang w:val="en-GB"/>
              </w:rPr>
              <w:t>Rahmner</w:t>
            </w:r>
            <w:proofErr w:type="spellEnd"/>
            <w:r w:rsidRPr="00823D42">
              <w:rPr>
                <w:lang w:val="en-GB"/>
              </w:rPr>
              <w:t>, P., Modig, K. and Schmidt-Mende, K. (2026)</w:t>
            </w:r>
          </w:p>
        </w:tc>
        <w:tc>
          <w:tcPr>
            <w:tcW w:w="1872" w:type="dxa"/>
            <w:tcMar>
              <w:top w:w="100" w:type="dxa"/>
              <w:left w:w="100" w:type="dxa"/>
              <w:bottom w:w="100" w:type="dxa"/>
              <w:right w:w="100" w:type="dxa"/>
            </w:tcMar>
          </w:tcPr>
          <w:p w:rsidRPr="00823D42" w:rsidR="00337A25" w:rsidP="00823D42" w:rsidRDefault="00124A78" w14:paraId="424817E1" w14:textId="77777777">
            <w:pPr>
              <w:spacing w:line="360" w:lineRule="auto"/>
              <w:jc w:val="both"/>
              <w:rPr>
                <w:lang w:val="en-GB"/>
              </w:rPr>
            </w:pPr>
            <w:r w:rsidRPr="00823D42">
              <w:rPr>
                <w:lang w:val="en-GB"/>
              </w:rPr>
              <w:t>To investigate care requirements and the issue of diagnosis through follow-</w:t>
            </w:r>
            <w:r w:rsidRPr="00823D42">
              <w:rPr>
                <w:lang w:val="en-GB"/>
              </w:rPr>
              <w:lastRenderedPageBreak/>
              <w:t>up in the primary care setting.</w:t>
            </w:r>
          </w:p>
        </w:tc>
        <w:tc>
          <w:tcPr>
            <w:tcW w:w="1872" w:type="dxa"/>
            <w:tcMar>
              <w:top w:w="100" w:type="dxa"/>
              <w:left w:w="100" w:type="dxa"/>
              <w:bottom w:w="100" w:type="dxa"/>
              <w:right w:w="100" w:type="dxa"/>
            </w:tcMar>
          </w:tcPr>
          <w:p w:rsidRPr="00823D42" w:rsidR="00337A25" w:rsidP="00823D42" w:rsidRDefault="00124A78" w14:paraId="424817E2" w14:textId="77777777">
            <w:pPr>
              <w:spacing w:line="360" w:lineRule="auto"/>
              <w:jc w:val="both"/>
              <w:rPr>
                <w:lang w:val="en-GB"/>
              </w:rPr>
            </w:pPr>
            <w:r w:rsidRPr="00823D42">
              <w:rPr>
                <w:lang w:val="en-GB"/>
              </w:rPr>
              <w:lastRenderedPageBreak/>
              <w:t>Qualitative interviews with individuals with dementia and family carers.</w:t>
            </w:r>
          </w:p>
        </w:tc>
        <w:tc>
          <w:tcPr>
            <w:tcW w:w="1872" w:type="dxa"/>
            <w:tcMar>
              <w:top w:w="100" w:type="dxa"/>
              <w:left w:w="100" w:type="dxa"/>
              <w:bottom w:w="100" w:type="dxa"/>
              <w:right w:w="100" w:type="dxa"/>
            </w:tcMar>
          </w:tcPr>
          <w:p w:rsidRPr="00823D42" w:rsidR="00337A25" w:rsidP="00823D42" w:rsidRDefault="00124A78" w14:paraId="424817E3" w14:textId="77777777">
            <w:pPr>
              <w:spacing w:line="360" w:lineRule="auto"/>
              <w:jc w:val="both"/>
              <w:rPr>
                <w:lang w:val="en-GB"/>
              </w:rPr>
            </w:pPr>
            <w:r w:rsidRPr="00823D42">
              <w:rPr>
                <w:lang w:val="en-GB"/>
              </w:rPr>
              <w:t>The participants complained of poor follow-up, little information and continuity of care after diagnosis.</w:t>
            </w:r>
          </w:p>
        </w:tc>
        <w:tc>
          <w:tcPr>
            <w:tcW w:w="1872" w:type="dxa"/>
            <w:tcMar>
              <w:top w:w="100" w:type="dxa"/>
              <w:left w:w="100" w:type="dxa"/>
              <w:bottom w:w="100" w:type="dxa"/>
              <w:right w:w="100" w:type="dxa"/>
            </w:tcMar>
          </w:tcPr>
          <w:p w:rsidRPr="00823D42" w:rsidR="00337A25" w:rsidP="00823D42" w:rsidRDefault="00124A78" w14:paraId="424817E4" w14:textId="77777777">
            <w:pPr>
              <w:spacing w:line="360" w:lineRule="auto"/>
              <w:jc w:val="both"/>
              <w:rPr>
                <w:lang w:val="en-GB"/>
              </w:rPr>
            </w:pPr>
            <w:r w:rsidRPr="00823D42">
              <w:rPr>
                <w:lang w:val="en-GB"/>
              </w:rPr>
              <w:t xml:space="preserve">The journal paper contributes to the themes of post-diagnostic support and the gaps in further </w:t>
            </w:r>
            <w:r w:rsidRPr="00823D42">
              <w:rPr>
                <w:lang w:val="en-GB"/>
              </w:rPr>
              <w:lastRenderedPageBreak/>
              <w:t>care, which are practical in the dementia care practice.</w:t>
            </w:r>
          </w:p>
        </w:tc>
      </w:tr>
      <w:tr w:rsidRPr="00823D42" w:rsidR="00337A25" w14:paraId="424817EB" w14:textId="77777777">
        <w:tc>
          <w:tcPr>
            <w:tcW w:w="1872" w:type="dxa"/>
            <w:tcMar>
              <w:top w:w="100" w:type="dxa"/>
              <w:left w:w="100" w:type="dxa"/>
              <w:bottom w:w="100" w:type="dxa"/>
              <w:right w:w="100" w:type="dxa"/>
            </w:tcMar>
          </w:tcPr>
          <w:p w:rsidRPr="00823D42" w:rsidR="00337A25" w:rsidP="00823D42" w:rsidRDefault="00124A78" w14:paraId="424817E6" w14:textId="77777777">
            <w:pPr>
              <w:spacing w:line="360" w:lineRule="auto"/>
              <w:jc w:val="both"/>
              <w:rPr>
                <w:lang w:val="en-GB"/>
              </w:rPr>
            </w:pPr>
            <w:r w:rsidRPr="00823D42">
              <w:rPr>
                <w:lang w:val="en-GB"/>
              </w:rPr>
              <w:lastRenderedPageBreak/>
              <w:t>Frank, P., Singh-</w:t>
            </w:r>
            <w:proofErr w:type="spellStart"/>
            <w:r w:rsidRPr="00823D42">
              <w:rPr>
                <w:lang w:val="en-GB"/>
              </w:rPr>
              <w:t>Manoux</w:t>
            </w:r>
            <w:proofErr w:type="spellEnd"/>
            <w:r w:rsidRPr="00823D42">
              <w:rPr>
                <w:lang w:val="en-GB"/>
              </w:rPr>
              <w:t xml:space="preserve">, A., Pentti, J., Batty, G.D., </w:t>
            </w:r>
            <w:proofErr w:type="spellStart"/>
            <w:r w:rsidRPr="00823D42">
              <w:rPr>
                <w:lang w:val="en-GB"/>
              </w:rPr>
              <w:t>Sommerlad</w:t>
            </w:r>
            <w:proofErr w:type="spellEnd"/>
            <w:r w:rsidRPr="00823D42">
              <w:rPr>
                <w:lang w:val="en-GB"/>
              </w:rPr>
              <w:t>, A., Steptoe, A., Livingston, G., Howard, R. and Kivimäki, M. (2026)</w:t>
            </w:r>
          </w:p>
        </w:tc>
        <w:tc>
          <w:tcPr>
            <w:tcW w:w="1872" w:type="dxa"/>
            <w:tcMar>
              <w:top w:w="100" w:type="dxa"/>
              <w:left w:w="100" w:type="dxa"/>
              <w:bottom w:w="100" w:type="dxa"/>
              <w:right w:w="100" w:type="dxa"/>
            </w:tcMar>
          </w:tcPr>
          <w:p w:rsidRPr="00823D42" w:rsidR="00337A25" w:rsidP="00823D42" w:rsidRDefault="00124A78" w14:paraId="424817E7" w14:textId="77777777">
            <w:pPr>
              <w:spacing w:line="360" w:lineRule="auto"/>
              <w:jc w:val="both"/>
              <w:rPr>
                <w:lang w:val="en-GB"/>
              </w:rPr>
            </w:pPr>
            <w:r w:rsidRPr="00823D42">
              <w:rPr>
                <w:lang w:val="en-GB"/>
              </w:rPr>
              <w:t>To test associations between depression during middle age and dementia risk in the long term.</w:t>
            </w:r>
          </w:p>
        </w:tc>
        <w:tc>
          <w:tcPr>
            <w:tcW w:w="1872" w:type="dxa"/>
            <w:tcMar>
              <w:top w:w="100" w:type="dxa"/>
              <w:left w:w="100" w:type="dxa"/>
              <w:bottom w:w="100" w:type="dxa"/>
              <w:right w:w="100" w:type="dxa"/>
            </w:tcMar>
          </w:tcPr>
          <w:p w:rsidRPr="00823D42" w:rsidR="00337A25" w:rsidP="00823D42" w:rsidRDefault="00124A78" w14:paraId="424817E8" w14:textId="77777777">
            <w:pPr>
              <w:spacing w:line="360" w:lineRule="auto"/>
              <w:jc w:val="both"/>
              <w:rPr>
                <w:lang w:val="en-GB"/>
              </w:rPr>
            </w:pPr>
            <w:r w:rsidRPr="00823D42">
              <w:rPr>
                <w:lang w:val="en-GB"/>
              </w:rPr>
              <w:t>Prospective cohort study in the UK over 23 years.</w:t>
            </w:r>
          </w:p>
        </w:tc>
        <w:tc>
          <w:tcPr>
            <w:tcW w:w="1872" w:type="dxa"/>
            <w:tcMar>
              <w:top w:w="100" w:type="dxa"/>
              <w:left w:w="100" w:type="dxa"/>
              <w:bottom w:w="100" w:type="dxa"/>
              <w:right w:w="100" w:type="dxa"/>
            </w:tcMar>
          </w:tcPr>
          <w:p w:rsidRPr="00823D42" w:rsidR="00337A25" w:rsidP="00823D42" w:rsidRDefault="00124A78" w14:paraId="424817E9" w14:textId="77777777">
            <w:pPr>
              <w:spacing w:line="360" w:lineRule="auto"/>
              <w:jc w:val="both"/>
              <w:rPr>
                <w:lang w:val="en-GB"/>
              </w:rPr>
            </w:pPr>
            <w:r w:rsidRPr="00823D42">
              <w:rPr>
                <w:lang w:val="en-GB"/>
              </w:rPr>
              <w:t>Some of the depressive factors during middle life were closely associated with the risk of dementia in later life.</w:t>
            </w:r>
          </w:p>
        </w:tc>
        <w:tc>
          <w:tcPr>
            <w:tcW w:w="1872" w:type="dxa"/>
            <w:tcMar>
              <w:top w:w="100" w:type="dxa"/>
              <w:left w:w="100" w:type="dxa"/>
              <w:bottom w:w="100" w:type="dxa"/>
              <w:right w:w="100" w:type="dxa"/>
            </w:tcMar>
          </w:tcPr>
          <w:p w:rsidRPr="00823D42" w:rsidR="00337A25" w:rsidP="00823D42" w:rsidRDefault="00124A78" w14:paraId="424817EA" w14:textId="77777777">
            <w:pPr>
              <w:spacing w:line="360" w:lineRule="auto"/>
              <w:jc w:val="both"/>
              <w:rPr>
                <w:lang w:val="en-GB"/>
              </w:rPr>
            </w:pPr>
            <w:r w:rsidRPr="00823D42">
              <w:rPr>
                <w:lang w:val="en-GB"/>
              </w:rPr>
              <w:t>This research contributes to the information on preventive measures and early risk factors, contributing to the general picture of dementia treatment and early intervention requirements.</w:t>
            </w:r>
          </w:p>
        </w:tc>
      </w:tr>
    </w:tbl>
    <w:p w:rsidRPr="00823D42" w:rsidR="00337A25" w:rsidP="006879AB" w:rsidRDefault="00124A78" w14:paraId="424817EC" w14:textId="77777777">
      <w:pPr>
        <w:spacing w:line="360" w:lineRule="auto"/>
        <w:jc w:val="center"/>
        <w:rPr>
          <w:b/>
          <w:bCs/>
          <w:lang w:val="en-GB"/>
        </w:rPr>
      </w:pPr>
      <w:r w:rsidRPr="00823D42">
        <w:rPr>
          <w:b/>
          <w:bCs/>
          <w:lang w:val="en-GB"/>
        </w:rPr>
        <w:t>Table: Summary Tables of Results</w:t>
      </w:r>
    </w:p>
    <w:p w:rsidRPr="00823D42" w:rsidR="00337A25" w:rsidP="006879AB" w:rsidRDefault="00124A78" w14:paraId="424817ED" w14:textId="77777777">
      <w:pPr>
        <w:spacing w:line="360" w:lineRule="auto"/>
        <w:jc w:val="center"/>
        <w:rPr>
          <w:lang w:val="en-GB"/>
        </w:rPr>
      </w:pPr>
      <w:r w:rsidRPr="00823D42">
        <w:rPr>
          <w:lang w:val="en-GB"/>
        </w:rPr>
        <w:t>(Source: Author)</w:t>
      </w:r>
    </w:p>
    <w:p w:rsidRPr="00823D42" w:rsidR="00337A25" w:rsidP="006879AB" w:rsidRDefault="00124A78" w14:paraId="424817EE" w14:textId="77777777">
      <w:pPr>
        <w:pStyle w:val="Heading2"/>
        <w:rPr>
          <w:lang w:val="en-GB"/>
        </w:rPr>
      </w:pPr>
      <w:bookmarkStart w:name="_Toc223451503" w:id="15"/>
      <w:r w:rsidRPr="00823D42">
        <w:rPr>
          <w:lang w:val="en-GB"/>
        </w:rPr>
        <w:t>4.2 Thematic Analysis</w:t>
      </w:r>
      <w:bookmarkEnd w:id="15"/>
    </w:p>
    <w:p w:rsidRPr="00823D42" w:rsidR="00337A25" w:rsidP="00823D42" w:rsidRDefault="00124A78" w14:paraId="424817EF" w14:textId="77777777">
      <w:pPr>
        <w:spacing w:line="360" w:lineRule="auto"/>
        <w:jc w:val="both"/>
        <w:rPr>
          <w:b/>
          <w:bCs/>
          <w:i/>
          <w:iCs/>
          <w:lang w:val="en-GB"/>
        </w:rPr>
      </w:pPr>
      <w:r w:rsidRPr="00823D42">
        <w:rPr>
          <w:b/>
          <w:bCs/>
          <w:i/>
          <w:iCs/>
          <w:lang w:val="en-GB"/>
        </w:rPr>
        <w:t>Theme 1: Inequality and Variation in Access to Dementia Care Services</w:t>
      </w:r>
    </w:p>
    <w:p w:rsidRPr="00823D42" w:rsidR="00337A25" w:rsidP="00823D42" w:rsidRDefault="00124A78" w14:paraId="424817F0" w14:textId="77777777">
      <w:pPr>
        <w:spacing w:line="360" w:lineRule="auto"/>
        <w:jc w:val="both"/>
        <w:rPr>
          <w:highlight w:val="white"/>
          <w:lang w:val="en-GB"/>
        </w:rPr>
      </w:pPr>
      <w:r w:rsidRPr="2AAB5048" w:rsidR="00124A78">
        <w:rPr>
          <w:highlight w:val="white"/>
          <w:lang w:val="en-GB"/>
        </w:rPr>
        <w:t xml:space="preserve">Disparity in access to these services of dementia care in the UK </w:t>
      </w:r>
      <w:r w:rsidRPr="2AAB5048" w:rsidR="00124A78">
        <w:rPr>
          <w:highlight w:val="white"/>
          <w:lang w:val="en-GB"/>
        </w:rPr>
        <w:t>demonstrates</w:t>
      </w:r>
      <w:r w:rsidRPr="2AAB5048" w:rsidR="00124A78">
        <w:rPr>
          <w:highlight w:val="white"/>
          <w:lang w:val="en-GB"/>
        </w:rPr>
        <w:t xml:space="preserve"> both strengths and issues. There are some regions where people can receive a diagnosis and care planning on time because memory clinics and community support are well-developed (Biondo </w:t>
      </w:r>
      <w:r w:rsidRPr="2AAB5048" w:rsidR="00124A78">
        <w:rPr>
          <w:i w:val="1"/>
          <w:iCs w:val="1"/>
          <w:highlight w:val="white"/>
          <w:lang w:val="en-GB"/>
        </w:rPr>
        <w:t>et al</w:t>
      </w:r>
      <w:r w:rsidRPr="2AAB5048" w:rsidR="00124A78">
        <w:rPr>
          <w:highlight w:val="white"/>
          <w:lang w:val="en-GB"/>
        </w:rPr>
        <w:t xml:space="preserve">., 2022). Nevertheless, it has been </w:t>
      </w:r>
      <w:r w:rsidRPr="2AAB5048" w:rsidR="00124A78">
        <w:rPr>
          <w:highlight w:val="white"/>
          <w:lang w:val="en-GB"/>
        </w:rPr>
        <w:t>demonstrated</w:t>
      </w:r>
      <w:r w:rsidRPr="2AAB5048" w:rsidR="00124A78">
        <w:rPr>
          <w:highlight w:val="white"/>
          <w:lang w:val="en-GB"/>
        </w:rPr>
        <w:t xml:space="preserve"> that </w:t>
      </w:r>
      <w:r w:rsidRPr="2AAB5048" w:rsidR="00124A78">
        <w:rPr>
          <w:highlight w:val="white"/>
          <w:lang w:val="en-GB"/>
        </w:rPr>
        <w:t>approximately 50-60% of</w:t>
      </w:r>
      <w:r w:rsidRPr="2AAB5048" w:rsidR="00124A78">
        <w:rPr>
          <w:highlight w:val="white"/>
          <w:lang w:val="en-GB"/>
        </w:rPr>
        <w:t xml:space="preserve"> individuals with dementia are given a formal diagnosis, and most of them </w:t>
      </w:r>
      <w:bookmarkStart w:name="_Int_tWVPsBxG" w:id="308725224"/>
      <w:r w:rsidRPr="2AAB5048" w:rsidR="00124A78">
        <w:rPr>
          <w:highlight w:val="white"/>
          <w:lang w:val="en-GB"/>
        </w:rPr>
        <w:t>have to</w:t>
      </w:r>
      <w:bookmarkEnd w:id="308725224"/>
      <w:r w:rsidRPr="2AAB5048" w:rsidR="00124A78">
        <w:rPr>
          <w:highlight w:val="white"/>
          <w:lang w:val="en-GB"/>
        </w:rPr>
        <w:t xml:space="preserve"> wait a long time to get assessed and provided with post-diagnostic services.</w:t>
      </w:r>
    </w:p>
    <w:p w:rsidRPr="00823D42" w:rsidR="00337A25" w:rsidP="00823D42" w:rsidRDefault="00124A78" w14:paraId="424817F1" w14:textId="77777777">
      <w:pPr>
        <w:spacing w:line="360" w:lineRule="auto"/>
        <w:jc w:val="both"/>
        <w:rPr>
          <w:highlight w:val="white"/>
          <w:lang w:val="en-GB"/>
        </w:rPr>
      </w:pPr>
      <w:r w:rsidRPr="00823D42">
        <w:rPr>
          <w:noProof/>
          <w:highlight w:val="white"/>
          <w:lang w:val="en-GB"/>
        </w:rPr>
        <w:lastRenderedPageBreak/>
        <w:drawing>
          <wp:inline distT="114300" distB="114300" distL="114300" distR="114300" wp14:anchorId="42481849" wp14:editId="4248184A">
            <wp:extent cx="5734050" cy="292417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15"/>
                    <a:stretch>
                      <a:fillRect/>
                    </a:stretch>
                  </pic:blipFill>
                  <pic:spPr>
                    <a:xfrm>
                      <a:off x="0" y="0"/>
                      <a:ext cx="5734050" cy="2924175"/>
                    </a:xfrm>
                    <a:prstGeom prst="rect">
                      <a:avLst/>
                    </a:prstGeom>
                  </pic:spPr>
                </pic:pic>
              </a:graphicData>
            </a:graphic>
          </wp:inline>
        </w:drawing>
      </w:r>
    </w:p>
    <w:p w:rsidRPr="00823D42" w:rsidR="00337A25" w:rsidP="006879AB" w:rsidRDefault="00124A78" w14:paraId="424817F2" w14:textId="67EA0033">
      <w:pPr>
        <w:spacing w:line="360" w:lineRule="auto"/>
        <w:jc w:val="center"/>
        <w:rPr>
          <w:b/>
          <w:bCs/>
          <w:highlight w:val="white"/>
          <w:lang w:val="en-GB"/>
        </w:rPr>
      </w:pPr>
      <w:r w:rsidRPr="00823D42">
        <w:rPr>
          <w:b/>
          <w:bCs/>
          <w:highlight w:val="white"/>
          <w:lang w:val="en-GB"/>
        </w:rPr>
        <w:t>Figure</w:t>
      </w:r>
      <w:r w:rsidR="006B5C38">
        <w:rPr>
          <w:b/>
          <w:bCs/>
          <w:highlight w:val="white"/>
          <w:lang w:val="en-GB"/>
        </w:rPr>
        <w:t xml:space="preserve"> 2</w:t>
      </w:r>
      <w:r w:rsidRPr="00823D42">
        <w:rPr>
          <w:b/>
          <w:bCs/>
          <w:highlight w:val="white"/>
          <w:lang w:val="en-GB"/>
        </w:rPr>
        <w:t>: Global perspectives of Dementia care services</w:t>
      </w:r>
    </w:p>
    <w:p w:rsidRPr="00823D42" w:rsidR="00337A25" w:rsidP="006879AB" w:rsidRDefault="00124A78" w14:paraId="424817F3" w14:textId="77777777">
      <w:pPr>
        <w:spacing w:line="360" w:lineRule="auto"/>
        <w:jc w:val="center"/>
        <w:rPr>
          <w:highlight w:val="white"/>
          <w:lang w:val="en-GB"/>
        </w:rPr>
      </w:pPr>
      <w:r w:rsidRPr="00823D42">
        <w:rPr>
          <w:highlight w:val="white"/>
          <w:lang w:val="en-GB"/>
        </w:rPr>
        <w:t xml:space="preserve">(Source: </w:t>
      </w:r>
      <w:r w:rsidRPr="00823D42">
        <w:rPr>
          <w:lang w:val="en-GB"/>
        </w:rPr>
        <w:t xml:space="preserve">Mukherjee </w:t>
      </w:r>
      <w:r w:rsidRPr="00823D42">
        <w:rPr>
          <w:i/>
          <w:iCs/>
          <w:lang w:val="en-GB"/>
        </w:rPr>
        <w:t>et al</w:t>
      </w:r>
      <w:r w:rsidRPr="00823D42">
        <w:rPr>
          <w:lang w:val="en-GB"/>
        </w:rPr>
        <w:t>., 2025</w:t>
      </w:r>
      <w:r w:rsidRPr="00823D42">
        <w:rPr>
          <w:highlight w:val="white"/>
          <w:lang w:val="en-GB"/>
        </w:rPr>
        <w:t>)</w:t>
      </w:r>
    </w:p>
    <w:p w:rsidRPr="00823D42" w:rsidR="00337A25" w:rsidP="00823D42" w:rsidRDefault="00124A78" w14:paraId="424817F4" w14:textId="77777777">
      <w:pPr>
        <w:spacing w:line="360" w:lineRule="auto"/>
        <w:jc w:val="both"/>
        <w:rPr>
          <w:lang w:val="en-GB"/>
        </w:rPr>
      </w:pPr>
      <w:r w:rsidRPr="00823D42">
        <w:rPr>
          <w:highlight w:val="white"/>
          <w:lang w:val="en-GB"/>
        </w:rPr>
        <w:t>Citizens in rural or deprived communities and ethnic minorities usually access services and information at lower rates. Such gaps may cause delayed care, family stress, and unfair results, which underscores the necessity of enhancing equity and uniformity in the provision of dementia care.</w:t>
      </w:r>
    </w:p>
    <w:p w:rsidRPr="00823D42" w:rsidR="00337A25" w:rsidP="00823D42" w:rsidRDefault="00124A78" w14:paraId="424817F5" w14:textId="77777777">
      <w:pPr>
        <w:spacing w:line="360" w:lineRule="auto"/>
        <w:jc w:val="both"/>
        <w:rPr>
          <w:b/>
          <w:bCs/>
          <w:i/>
          <w:iCs/>
          <w:lang w:val="en-GB"/>
        </w:rPr>
      </w:pPr>
      <w:r w:rsidRPr="00823D42">
        <w:rPr>
          <w:b/>
          <w:bCs/>
          <w:i/>
          <w:iCs/>
          <w:lang w:val="en-GB"/>
        </w:rPr>
        <w:t>Theme 2: Models and Methods of Dementia Care in Health and Social Care Systems</w:t>
      </w:r>
    </w:p>
    <w:p w:rsidRPr="00823D42" w:rsidR="00337A25" w:rsidP="00823D42" w:rsidRDefault="00124A78" w14:paraId="424817F6" w14:textId="77777777">
      <w:pPr>
        <w:spacing w:line="360" w:lineRule="auto"/>
        <w:jc w:val="both"/>
        <w:rPr>
          <w:highlight w:val="white"/>
          <w:lang w:val="en-GB"/>
        </w:rPr>
      </w:pPr>
      <w:r w:rsidRPr="2AAB5048" w:rsidR="00124A78">
        <w:rPr>
          <w:highlight w:val="white"/>
          <w:lang w:val="en-GB"/>
        </w:rPr>
        <w:t xml:space="preserve">There are mixed results of models and methods of dementia care within the UK health and social care. Certain strategies, such as the service of memory assessment and multidisciplinary teams, </w:t>
      </w:r>
      <w:r w:rsidRPr="2AAB5048" w:rsidR="00124A78">
        <w:rPr>
          <w:highlight w:val="white"/>
          <w:lang w:val="en-GB"/>
        </w:rPr>
        <w:t>facilitate</w:t>
      </w:r>
      <w:r w:rsidRPr="2AAB5048" w:rsidR="00124A78">
        <w:rPr>
          <w:highlight w:val="white"/>
          <w:lang w:val="en-GB"/>
        </w:rPr>
        <w:t xml:space="preserve"> early diagnosis and care planning. Integrated care systems have the intention of integrating health and social care services, and this </w:t>
      </w:r>
      <w:bookmarkStart w:name="_Int_12Eg7MxO" w:id="344929739"/>
      <w:r w:rsidRPr="2AAB5048" w:rsidR="00124A78">
        <w:rPr>
          <w:highlight w:val="white"/>
          <w:lang w:val="en-GB"/>
        </w:rPr>
        <w:t>is capable of enhancing</w:t>
      </w:r>
      <w:bookmarkEnd w:id="344929739"/>
      <w:r w:rsidRPr="2AAB5048" w:rsidR="00124A78">
        <w:rPr>
          <w:highlight w:val="white"/>
          <w:lang w:val="en-GB"/>
        </w:rPr>
        <w:t xml:space="preserve"> communication and continuity of services across organisations (Wang </w:t>
      </w:r>
      <w:r w:rsidRPr="2AAB5048" w:rsidR="00124A78">
        <w:rPr>
          <w:i w:val="1"/>
          <w:iCs w:val="1"/>
          <w:highlight w:val="white"/>
          <w:lang w:val="en-GB"/>
        </w:rPr>
        <w:t>et al</w:t>
      </w:r>
      <w:r w:rsidRPr="2AAB5048" w:rsidR="00124A78">
        <w:rPr>
          <w:highlight w:val="white"/>
          <w:lang w:val="en-GB"/>
        </w:rPr>
        <w:t>., 2022).</w:t>
      </w:r>
    </w:p>
    <w:p w:rsidRPr="00823D42" w:rsidR="00337A25" w:rsidP="00823D42" w:rsidRDefault="00124A78" w14:paraId="424817F7" w14:textId="77777777">
      <w:pPr>
        <w:spacing w:line="360" w:lineRule="auto"/>
        <w:jc w:val="both"/>
        <w:rPr>
          <w:highlight w:val="white"/>
          <w:lang w:val="en-GB"/>
        </w:rPr>
      </w:pPr>
      <w:r w:rsidRPr="00823D42">
        <w:rPr>
          <w:noProof/>
          <w:highlight w:val="white"/>
          <w:lang w:val="en-GB"/>
        </w:rPr>
        <w:lastRenderedPageBreak/>
        <w:drawing>
          <wp:inline distT="114300" distB="114300" distL="114300" distR="114300" wp14:anchorId="4248184B" wp14:editId="4248184C">
            <wp:extent cx="5943600" cy="59436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6"/>
                    <a:stretch>
                      <a:fillRect/>
                    </a:stretch>
                  </pic:blipFill>
                  <pic:spPr>
                    <a:xfrm>
                      <a:off x="0" y="0"/>
                      <a:ext cx="5943600" cy="5943600"/>
                    </a:xfrm>
                    <a:prstGeom prst="rect">
                      <a:avLst/>
                    </a:prstGeom>
                  </pic:spPr>
                </pic:pic>
              </a:graphicData>
            </a:graphic>
          </wp:inline>
        </w:drawing>
      </w:r>
    </w:p>
    <w:p w:rsidRPr="00823D42" w:rsidR="00337A25" w:rsidP="006879AB" w:rsidRDefault="00124A78" w14:paraId="424817F8" w14:textId="57A9AEE9">
      <w:pPr>
        <w:spacing w:line="360" w:lineRule="auto"/>
        <w:jc w:val="center"/>
        <w:rPr>
          <w:b/>
          <w:bCs/>
          <w:highlight w:val="white"/>
          <w:lang w:val="en-GB"/>
        </w:rPr>
      </w:pPr>
      <w:r w:rsidRPr="00823D42">
        <w:rPr>
          <w:b/>
          <w:bCs/>
          <w:highlight w:val="white"/>
          <w:lang w:val="en-GB"/>
        </w:rPr>
        <w:t>Figure</w:t>
      </w:r>
      <w:r w:rsidR="006B5C38">
        <w:rPr>
          <w:b/>
          <w:bCs/>
          <w:highlight w:val="white"/>
          <w:lang w:val="en-GB"/>
        </w:rPr>
        <w:t xml:space="preserve"> 3</w:t>
      </w:r>
      <w:r w:rsidRPr="00823D42">
        <w:rPr>
          <w:b/>
          <w:bCs/>
          <w:highlight w:val="white"/>
          <w:lang w:val="en-GB"/>
        </w:rPr>
        <w:t>: Behavioural and social impact related to Dementia</w:t>
      </w:r>
    </w:p>
    <w:p w:rsidRPr="00823D42" w:rsidR="00337A25" w:rsidP="006879AB" w:rsidRDefault="00124A78" w14:paraId="424817F9" w14:textId="77777777">
      <w:pPr>
        <w:spacing w:line="360" w:lineRule="auto"/>
        <w:jc w:val="center"/>
        <w:rPr>
          <w:highlight w:val="white"/>
          <w:lang w:val="en-GB"/>
        </w:rPr>
      </w:pPr>
      <w:r w:rsidRPr="00823D42">
        <w:rPr>
          <w:highlight w:val="white"/>
          <w:lang w:val="en-GB"/>
        </w:rPr>
        <w:t xml:space="preserve">(Source: </w:t>
      </w:r>
      <w:r w:rsidRPr="00823D42">
        <w:rPr>
          <w:lang w:val="en-GB"/>
        </w:rPr>
        <w:t>National Institute on Ageing, 2025</w:t>
      </w:r>
      <w:r w:rsidRPr="00823D42">
        <w:rPr>
          <w:highlight w:val="white"/>
          <w:lang w:val="en-GB"/>
        </w:rPr>
        <w:t>)</w:t>
      </w:r>
    </w:p>
    <w:p w:rsidRPr="00823D42" w:rsidR="00337A25" w:rsidP="00823D42" w:rsidRDefault="00124A78" w14:paraId="424817FA" w14:textId="77777777">
      <w:pPr>
        <w:spacing w:line="360" w:lineRule="auto"/>
        <w:jc w:val="both"/>
        <w:rPr>
          <w:lang w:val="en-GB"/>
        </w:rPr>
      </w:pPr>
      <w:r w:rsidRPr="00823D42">
        <w:rPr>
          <w:highlight w:val="white"/>
          <w:lang w:val="en-GB"/>
        </w:rPr>
        <w:t>But the studies demonstrate that there are inconsistencies in the functioning of these models, and in some regions, there are no structured follow-ups and care pathways. The gap in workforce training is also a constraint on the implementation of effective best practice models (</w:t>
      </w:r>
      <w:r w:rsidRPr="00823D42">
        <w:rPr>
          <w:lang w:val="en-GB"/>
        </w:rPr>
        <w:t>Dementia UK, 2024</w:t>
      </w:r>
      <w:r w:rsidRPr="00823D42">
        <w:rPr>
          <w:highlight w:val="white"/>
          <w:lang w:val="en-GB"/>
        </w:rPr>
        <w:t>). The indications are that even though approaches are available to inform the provision of care to dementia, inconsistency in the implementation of these techniques results in disparities in service experiences and outcomes.</w:t>
      </w:r>
    </w:p>
    <w:p w:rsidRPr="00823D42" w:rsidR="00337A25" w:rsidP="00823D42" w:rsidRDefault="00124A78" w14:paraId="424817FB" w14:textId="77777777">
      <w:pPr>
        <w:spacing w:line="360" w:lineRule="auto"/>
        <w:jc w:val="both"/>
        <w:rPr>
          <w:b/>
          <w:bCs/>
          <w:i/>
          <w:iCs/>
          <w:lang w:val="en-GB"/>
        </w:rPr>
      </w:pPr>
      <w:r w:rsidRPr="00823D42">
        <w:rPr>
          <w:b/>
          <w:bCs/>
          <w:i/>
          <w:iCs/>
          <w:lang w:val="en-GB"/>
        </w:rPr>
        <w:t>Theme 3: Person-Centred and Integrated Care in Dementia Practice and Policy</w:t>
      </w:r>
    </w:p>
    <w:p w:rsidRPr="00823D42" w:rsidR="00337A25" w:rsidP="00823D42" w:rsidRDefault="00124A78" w14:paraId="424817FC" w14:textId="77777777">
      <w:pPr>
        <w:spacing w:line="360" w:lineRule="auto"/>
        <w:jc w:val="both"/>
        <w:rPr>
          <w:highlight w:val="white"/>
          <w:lang w:val="en-GB"/>
        </w:rPr>
      </w:pPr>
      <w:r w:rsidRPr="00823D42">
        <w:rPr>
          <w:highlight w:val="white"/>
          <w:lang w:val="en-GB"/>
        </w:rPr>
        <w:lastRenderedPageBreak/>
        <w:t xml:space="preserve">The UK dementia policy and practice are based on person-centred and integrated care, which has shown both improvement and challenges. The national guidance focuses on care, which is respectful of personal needs, preferences and life history, and numerous services rely on personalised care plans to aid this (Peryer </w:t>
      </w:r>
      <w:r w:rsidRPr="00823D42">
        <w:rPr>
          <w:i/>
          <w:iCs/>
          <w:highlight w:val="white"/>
          <w:lang w:val="en-GB"/>
        </w:rPr>
        <w:t>et al</w:t>
      </w:r>
      <w:r w:rsidRPr="00823D42">
        <w:rPr>
          <w:highlight w:val="white"/>
          <w:lang w:val="en-GB"/>
        </w:rPr>
        <w:t>., 2022). The integrated care systems are meant to enhance the coordination between the health care and the social care to minimise the repetitions of assessments and gaps in assistance (</w:t>
      </w:r>
      <w:r w:rsidRPr="00823D42">
        <w:rPr>
          <w:lang w:val="en-GB"/>
        </w:rPr>
        <w:t>Dementia UK, 2024</w:t>
      </w:r>
      <w:r w:rsidRPr="00823D42">
        <w:rPr>
          <w:highlight w:val="white"/>
          <w:lang w:val="en-GB"/>
        </w:rPr>
        <w:t>).</w:t>
      </w:r>
    </w:p>
    <w:p w:rsidRPr="00823D42" w:rsidR="00337A25" w:rsidP="00823D42" w:rsidRDefault="00124A78" w14:paraId="424817FD" w14:textId="77777777">
      <w:pPr>
        <w:spacing w:line="360" w:lineRule="auto"/>
        <w:jc w:val="both"/>
        <w:rPr>
          <w:highlight w:val="white"/>
          <w:lang w:val="en-GB"/>
        </w:rPr>
      </w:pPr>
      <w:r w:rsidRPr="00823D42">
        <w:rPr>
          <w:noProof/>
          <w:highlight w:val="white"/>
          <w:lang w:val="en-GB"/>
        </w:rPr>
        <w:drawing>
          <wp:inline distT="114300" distB="114300" distL="114300" distR="114300" wp14:anchorId="4248184D" wp14:editId="4248184E">
            <wp:extent cx="5943600" cy="335280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1" name="image4.png"/>
                    <pic:cNvPicPr/>
                  </pic:nvPicPr>
                  <pic:blipFill>
                    <a:blip r:embed="rId17"/>
                    <a:stretch>
                      <a:fillRect/>
                    </a:stretch>
                  </pic:blipFill>
                  <pic:spPr>
                    <a:xfrm>
                      <a:off x="0" y="0"/>
                      <a:ext cx="5943600" cy="3352800"/>
                    </a:xfrm>
                    <a:prstGeom prst="rect">
                      <a:avLst/>
                    </a:prstGeom>
                  </pic:spPr>
                </pic:pic>
              </a:graphicData>
            </a:graphic>
          </wp:inline>
        </w:drawing>
      </w:r>
    </w:p>
    <w:p w:rsidRPr="00823D42" w:rsidR="00337A25" w:rsidP="006879AB" w:rsidRDefault="00124A78" w14:paraId="424817FE" w14:textId="001003E7">
      <w:pPr>
        <w:spacing w:line="360" w:lineRule="auto"/>
        <w:jc w:val="center"/>
        <w:rPr>
          <w:b/>
          <w:bCs/>
          <w:highlight w:val="white"/>
          <w:lang w:val="en-GB"/>
        </w:rPr>
      </w:pPr>
      <w:r w:rsidRPr="00823D42">
        <w:rPr>
          <w:b/>
          <w:bCs/>
          <w:highlight w:val="white"/>
          <w:lang w:val="en-GB"/>
        </w:rPr>
        <w:t>Figure</w:t>
      </w:r>
      <w:r w:rsidR="006B5C38">
        <w:rPr>
          <w:b/>
          <w:bCs/>
          <w:highlight w:val="white"/>
          <w:lang w:val="en-GB"/>
        </w:rPr>
        <w:t xml:space="preserve"> 4</w:t>
      </w:r>
      <w:r w:rsidRPr="00823D42">
        <w:rPr>
          <w:b/>
          <w:bCs/>
          <w:highlight w:val="white"/>
          <w:lang w:val="en-GB"/>
        </w:rPr>
        <w:t>: Person-Centred Care and Integrated care in Dementia practice and policy</w:t>
      </w:r>
    </w:p>
    <w:p w:rsidRPr="00823D42" w:rsidR="00337A25" w:rsidP="006879AB" w:rsidRDefault="00124A78" w14:paraId="424817FF" w14:textId="77777777">
      <w:pPr>
        <w:spacing w:line="360" w:lineRule="auto"/>
        <w:jc w:val="center"/>
        <w:rPr>
          <w:highlight w:val="white"/>
          <w:lang w:val="en-GB"/>
        </w:rPr>
      </w:pPr>
      <w:r w:rsidRPr="00823D42">
        <w:rPr>
          <w:highlight w:val="white"/>
          <w:lang w:val="en-GB"/>
        </w:rPr>
        <w:t xml:space="preserve">(Source: </w:t>
      </w:r>
      <w:proofErr w:type="spellStart"/>
      <w:r w:rsidRPr="00823D42">
        <w:rPr>
          <w:lang w:val="en-GB"/>
        </w:rPr>
        <w:t>Abowari-Sapeh</w:t>
      </w:r>
      <w:proofErr w:type="spellEnd"/>
      <w:r w:rsidRPr="00823D42">
        <w:rPr>
          <w:lang w:val="en-GB"/>
        </w:rPr>
        <w:t xml:space="preserve"> </w:t>
      </w:r>
      <w:r w:rsidRPr="00823D42">
        <w:rPr>
          <w:i/>
          <w:iCs/>
          <w:lang w:val="en-GB"/>
        </w:rPr>
        <w:t>et al</w:t>
      </w:r>
      <w:r w:rsidRPr="00823D42">
        <w:rPr>
          <w:lang w:val="en-GB"/>
        </w:rPr>
        <w:t>., 2024</w:t>
      </w:r>
      <w:r w:rsidRPr="00823D42">
        <w:rPr>
          <w:highlight w:val="white"/>
          <w:lang w:val="en-GB"/>
        </w:rPr>
        <w:t>)</w:t>
      </w:r>
    </w:p>
    <w:p w:rsidRPr="00823D42" w:rsidR="00337A25" w:rsidP="00823D42" w:rsidRDefault="00124A78" w14:paraId="42481800" w14:textId="77777777">
      <w:pPr>
        <w:spacing w:line="360" w:lineRule="auto"/>
        <w:jc w:val="both"/>
        <w:rPr>
          <w:lang w:val="en-GB"/>
        </w:rPr>
      </w:pPr>
      <w:r w:rsidRPr="00823D42">
        <w:rPr>
          <w:highlight w:val="white"/>
          <w:lang w:val="en-GB"/>
        </w:rPr>
        <w:t>Certain individuals with dementia continue to receive disjointed care, a lack of communication among health care professionals, and a lack of participation in decision-making. There is some evidence that person-centred, joined-up care requires more training, clear care pathways and enhanced service integration to become a regular occurrence across services.</w:t>
      </w:r>
    </w:p>
    <w:p w:rsidRPr="00823D42" w:rsidR="00337A25" w:rsidP="006879AB" w:rsidRDefault="00124A78" w14:paraId="42481801" w14:textId="77777777">
      <w:pPr>
        <w:pStyle w:val="Heading1"/>
        <w:rPr>
          <w:lang w:val="en-GB"/>
        </w:rPr>
      </w:pPr>
      <w:bookmarkStart w:name="_Toc223451504" w:id="16"/>
      <w:r w:rsidRPr="00823D42">
        <w:rPr>
          <w:lang w:val="en-GB"/>
        </w:rPr>
        <w:t>5. Discussion</w:t>
      </w:r>
      <w:bookmarkEnd w:id="16"/>
    </w:p>
    <w:p w:rsidRPr="00823D42" w:rsidR="00337A25" w:rsidP="00AC3738" w:rsidRDefault="00124A78" w14:paraId="42481802" w14:textId="77777777">
      <w:pPr>
        <w:pStyle w:val="Heading2"/>
        <w:rPr>
          <w:lang w:val="en-GB"/>
        </w:rPr>
      </w:pPr>
      <w:bookmarkStart w:name="_Toc223451505" w:id="17"/>
      <w:r w:rsidRPr="00823D42">
        <w:rPr>
          <w:lang w:val="en-GB"/>
        </w:rPr>
        <w:t xml:space="preserve">5.1 Compare and </w:t>
      </w:r>
      <w:r w:rsidRPr="00AC3738">
        <w:t>contrast</w:t>
      </w:r>
      <w:r w:rsidRPr="00823D42">
        <w:rPr>
          <w:lang w:val="en-GB"/>
        </w:rPr>
        <w:t xml:space="preserve"> findings</w:t>
      </w:r>
      <w:bookmarkEnd w:id="17"/>
    </w:p>
    <w:p w:rsidRPr="00823D42" w:rsidR="00337A25" w:rsidP="00823D42" w:rsidRDefault="00124A78" w14:paraId="42481803" w14:textId="77777777">
      <w:pPr>
        <w:spacing w:line="360" w:lineRule="auto"/>
        <w:jc w:val="both"/>
        <w:rPr>
          <w:lang w:val="en-GB"/>
        </w:rPr>
      </w:pPr>
      <w:r w:rsidRPr="00823D42">
        <w:rPr>
          <w:highlight w:val="white"/>
          <w:lang w:val="en-GB"/>
        </w:rPr>
        <w:t xml:space="preserve">The studies reviewed indicate that there are some similarities and differences in the results of the study on dementia care. Several studies highlight disparities in access, indicating that individuals in deprived or minority groups have worse access to services, and this is consistent with the </w:t>
      </w:r>
      <w:r w:rsidRPr="00823D42">
        <w:rPr>
          <w:highlight w:val="white"/>
          <w:lang w:val="en-GB"/>
        </w:rPr>
        <w:lastRenderedPageBreak/>
        <w:t xml:space="preserve">results of reviews of social care and European literature (Pool </w:t>
      </w:r>
      <w:r w:rsidRPr="00823D42">
        <w:rPr>
          <w:i/>
          <w:iCs/>
          <w:highlight w:val="white"/>
          <w:lang w:val="en-GB"/>
        </w:rPr>
        <w:t>et al</w:t>
      </w:r>
      <w:r w:rsidRPr="00823D42">
        <w:rPr>
          <w:highlight w:val="white"/>
          <w:lang w:val="en-GB"/>
        </w:rPr>
        <w:t>., 2022). Certain studies report a weakness in the post-diagnostic follow-up assistance and care, which is aligned with the primary care qualitative literature (</w:t>
      </w:r>
      <w:r w:rsidRPr="00823D42">
        <w:rPr>
          <w:lang w:val="en-GB"/>
        </w:rPr>
        <w:t>CQC, 2022</w:t>
      </w:r>
      <w:r w:rsidRPr="00823D42">
        <w:rPr>
          <w:highlight w:val="white"/>
          <w:lang w:val="en-GB"/>
        </w:rPr>
        <w:t xml:space="preserve">). Yet, the research varies in its focus, such as policy assessments that focus on the readiness of the system and variations in national models, whereas cohort studies provide a connection between mental health indicators, such as midlife depression, and prolonged dementia risk, which is not so much related to the service delivery (McCullough </w:t>
      </w:r>
      <w:r w:rsidRPr="00823D42">
        <w:rPr>
          <w:i/>
          <w:iCs/>
          <w:highlight w:val="white"/>
          <w:lang w:val="en-GB"/>
        </w:rPr>
        <w:t>et al</w:t>
      </w:r>
      <w:r w:rsidRPr="00823D42">
        <w:rPr>
          <w:highlight w:val="white"/>
          <w:lang w:val="en-GB"/>
        </w:rPr>
        <w:t>., 2023). They both demonstrate their interest in enhancing access, coordination, and the quality of care, although they focus on different aspects of dementia care.</w:t>
      </w:r>
    </w:p>
    <w:p w:rsidRPr="00823D42" w:rsidR="00337A25" w:rsidP="00AC3738" w:rsidRDefault="00124A78" w14:paraId="42481804" w14:textId="77777777">
      <w:pPr>
        <w:pStyle w:val="Heading2"/>
        <w:rPr>
          <w:lang w:val="en-GB"/>
        </w:rPr>
      </w:pPr>
      <w:bookmarkStart w:name="_Toc223451506" w:id="18"/>
      <w:r w:rsidRPr="00823D42">
        <w:rPr>
          <w:lang w:val="en-GB"/>
        </w:rPr>
        <w:t>5.2 Explain gaps in the research</w:t>
      </w:r>
      <w:bookmarkEnd w:id="18"/>
    </w:p>
    <w:p w:rsidRPr="00823D42" w:rsidR="00337A25" w:rsidP="00823D42" w:rsidRDefault="00124A78" w14:paraId="42481805" w14:textId="77777777">
      <w:pPr>
        <w:spacing w:line="360" w:lineRule="auto"/>
        <w:jc w:val="both"/>
        <w:rPr>
          <w:lang w:val="en-GB"/>
        </w:rPr>
      </w:pPr>
      <w:r w:rsidRPr="2AAB5048" w:rsidR="00124A78">
        <w:rPr>
          <w:highlight w:val="white"/>
          <w:lang w:val="en-GB"/>
        </w:rPr>
        <w:t xml:space="preserve">The dementia care research in the UK has many gaps which need to be addressed. There is limited literature that quantifies the long-term outcomes of service models. Moreover, most of the studies are conducted </w:t>
      </w:r>
      <w:bookmarkStart w:name="_Int_gUVB2I0k" w:id="1424142831"/>
      <w:r w:rsidRPr="2AAB5048" w:rsidR="00124A78">
        <w:rPr>
          <w:highlight w:val="white"/>
          <w:lang w:val="en-GB"/>
        </w:rPr>
        <w:t>in particular environments</w:t>
      </w:r>
      <w:bookmarkEnd w:id="1424142831"/>
      <w:r w:rsidRPr="2AAB5048" w:rsidR="00124A78">
        <w:rPr>
          <w:highlight w:val="white"/>
          <w:lang w:val="en-GB"/>
        </w:rPr>
        <w:t xml:space="preserve">, but not in entire care pathways (Duran-Kiraç </w:t>
      </w:r>
      <w:r w:rsidRPr="2AAB5048" w:rsidR="00124A78">
        <w:rPr>
          <w:i w:val="1"/>
          <w:iCs w:val="1"/>
          <w:highlight w:val="white"/>
          <w:lang w:val="en-GB"/>
        </w:rPr>
        <w:t>et al</w:t>
      </w:r>
      <w:r w:rsidRPr="2AAB5048" w:rsidR="00124A78">
        <w:rPr>
          <w:highlight w:val="white"/>
          <w:lang w:val="en-GB"/>
        </w:rPr>
        <w:t xml:space="preserve">., 2022). Minor evidence exists on the impact of the integrated care system on patient experience and health outcomes in the long term. The sample size is usually limited or not representative of various groups of people, and the results may not </w:t>
      </w:r>
      <w:bookmarkStart w:name="_Int_iJW2Zuo7" w:id="786777356"/>
      <w:r w:rsidRPr="2AAB5048" w:rsidR="00124A78">
        <w:rPr>
          <w:highlight w:val="white"/>
          <w:lang w:val="en-GB"/>
        </w:rPr>
        <w:t>be a reflection of</w:t>
      </w:r>
      <w:bookmarkEnd w:id="786777356"/>
      <w:r w:rsidRPr="2AAB5048" w:rsidR="00124A78">
        <w:rPr>
          <w:highlight w:val="white"/>
          <w:lang w:val="en-GB"/>
        </w:rPr>
        <w:t xml:space="preserve"> what minority groups go through. The methods of studies also differ, and it is hard to compare them (Boyle </w:t>
      </w:r>
      <w:r w:rsidRPr="2AAB5048" w:rsidR="00124A78">
        <w:rPr>
          <w:i w:val="1"/>
          <w:iCs w:val="1"/>
          <w:highlight w:val="white"/>
          <w:lang w:val="en-GB"/>
        </w:rPr>
        <w:t>et al</w:t>
      </w:r>
      <w:r w:rsidRPr="2AAB5048" w:rsidR="00124A78">
        <w:rPr>
          <w:highlight w:val="white"/>
          <w:lang w:val="en-GB"/>
        </w:rPr>
        <w:t>., 2022). In half of the studies, there is no obvious quality or patient-reported outcome measures, which restricts the comprehension of the best alternatives in practice.</w:t>
      </w:r>
    </w:p>
    <w:p w:rsidRPr="00823D42" w:rsidR="00337A25" w:rsidP="00AC3738" w:rsidRDefault="00124A78" w14:paraId="42481806" w14:textId="77777777">
      <w:pPr>
        <w:pStyle w:val="Heading2"/>
        <w:rPr>
          <w:lang w:val="en-GB"/>
        </w:rPr>
      </w:pPr>
      <w:bookmarkStart w:name="_Toc223451507" w:id="19"/>
      <w:r w:rsidRPr="00823D42">
        <w:rPr>
          <w:lang w:val="en-GB"/>
        </w:rPr>
        <w:t>5.3 Theoretical and practical implications</w:t>
      </w:r>
      <w:bookmarkEnd w:id="19"/>
    </w:p>
    <w:p w:rsidRPr="00823D42" w:rsidR="00337A25" w:rsidP="00823D42" w:rsidRDefault="00124A78" w14:paraId="42481807" w14:textId="77777777">
      <w:pPr>
        <w:spacing w:line="360" w:lineRule="auto"/>
        <w:jc w:val="both"/>
        <w:rPr>
          <w:highlight w:val="white"/>
          <w:lang w:val="en-GB"/>
        </w:rPr>
      </w:pPr>
      <w:r w:rsidRPr="2AAB5048" w:rsidR="00124A78">
        <w:rPr>
          <w:highlight w:val="white"/>
          <w:lang w:val="en-GB"/>
        </w:rPr>
        <w:t xml:space="preserve">The implications of the findings for dementia care in the UK are both theoretical and practical. The evidence promotes the theory of person-centred and integrated </w:t>
      </w:r>
      <w:bookmarkStart w:name="_Int_mTiTaqzM" w:id="1461762642"/>
      <w:r w:rsidRPr="2AAB5048" w:rsidR="00124A78">
        <w:rPr>
          <w:highlight w:val="white"/>
          <w:lang w:val="en-GB"/>
        </w:rPr>
        <w:t>care, but</w:t>
      </w:r>
      <w:bookmarkEnd w:id="1461762642"/>
      <w:r w:rsidRPr="2AAB5048" w:rsidR="00124A78">
        <w:rPr>
          <w:highlight w:val="white"/>
          <w:lang w:val="en-GB"/>
        </w:rPr>
        <w:t xml:space="preserve"> also </w:t>
      </w:r>
      <w:r w:rsidRPr="2AAB5048" w:rsidR="00124A78">
        <w:rPr>
          <w:highlight w:val="white"/>
          <w:lang w:val="en-GB"/>
        </w:rPr>
        <w:t>indicates</w:t>
      </w:r>
      <w:r w:rsidRPr="2AAB5048" w:rsidR="00124A78">
        <w:rPr>
          <w:highlight w:val="white"/>
          <w:lang w:val="en-GB"/>
        </w:rPr>
        <w:t xml:space="preserve"> that there are gaps between policy and practice (Frank </w:t>
      </w:r>
      <w:r w:rsidRPr="2AAB5048" w:rsidR="00124A78">
        <w:rPr>
          <w:i w:val="1"/>
          <w:iCs w:val="1"/>
          <w:highlight w:val="white"/>
          <w:lang w:val="en-GB"/>
        </w:rPr>
        <w:t>et al</w:t>
      </w:r>
      <w:r w:rsidRPr="2AAB5048" w:rsidR="00124A78">
        <w:rPr>
          <w:highlight w:val="white"/>
          <w:lang w:val="en-GB"/>
        </w:rPr>
        <w:t>., 2026). The results presented in the practice of healthcare reveal that the diagnosis should be done earlier, the follow-up must be more effective, and the connections between the health and social care services should be stronger (</w:t>
      </w:r>
      <w:r w:rsidRPr="2AAB5048" w:rsidR="00124A78">
        <w:rPr>
          <w:lang w:val="en-GB"/>
        </w:rPr>
        <w:t>Dementia UK, 2024</w:t>
      </w:r>
      <w:r w:rsidRPr="2AAB5048" w:rsidR="00124A78">
        <w:rPr>
          <w:highlight w:val="white"/>
          <w:lang w:val="en-GB"/>
        </w:rPr>
        <w:t>).</w:t>
      </w:r>
    </w:p>
    <w:p w:rsidRPr="00823D42" w:rsidR="00337A25" w:rsidP="2AAB5048" w:rsidRDefault="00124A78" w14:paraId="42481808" w14:textId="4B26EA62">
      <w:pPr>
        <w:pStyle w:val="Normal"/>
        <w:suppressLineNumbers w:val="0"/>
        <w:bidi w:val="0"/>
        <w:spacing w:before="0" w:beforeAutospacing="off" w:after="0" w:afterAutospacing="off" w:line="360" w:lineRule="auto"/>
        <w:ind w:left="0" w:right="0"/>
        <w:jc w:val="both"/>
        <w:rPr>
          <w:highlight w:val="white"/>
          <w:lang w:val="en-GB"/>
        </w:rPr>
      </w:pPr>
      <w:r w:rsidR="00124A78">
        <w:drawing>
          <wp:inline wp14:editId="7809B3D1" wp14:anchorId="4248184F">
            <wp:extent cx="5791200" cy="4847406"/>
            <wp:effectExtent l="0" t="0" r="0" b="0"/>
            <wp:docPr id="4" name="image1.png"/>
            <wp:cNvGraphicFramePr/>
            <a:graphic>
              <a:graphicData xmlns:a="http://schemas.openxmlformats.org/drawingml/2006/main" uri="http://schemas.openxmlformats.org/drawingml/2006/picture">
                <pic:pic xmlns:pic="http://schemas.openxmlformats.org/drawingml/2006/picture">
                  <pic:nvPicPr>
                    <pic:cNvPr id="4" name="image1.png"/>
                    <pic:cNvPicPr/>
                  </pic:nvPicPr>
                  <pic:blipFill>
                    <a:blip xmlns:r="http://schemas.openxmlformats.org/officeDocument/2006/relationships" r:embed="rId18"/>
                    <a:stretch>
                      <a:fillRect/>
                    </a:stretch>
                  </pic:blipFill>
                  <pic:spPr>
                    <a:xfrm>
                      <a:off x="0" y="0"/>
                      <a:ext cx="5791200" cy="4847406"/>
                    </a:xfrm>
                    <a:prstGeom prst="rect">
                      <a:avLst/>
                    </a:prstGeom>
                  </pic:spPr>
                </pic:pic>
              </a:graphicData>
            </a:graphic>
          </wp:inline>
        </w:drawing>
      </w:r>
    </w:p>
    <w:p w:rsidRPr="00823D42" w:rsidR="00337A25" w:rsidP="00AC3738" w:rsidRDefault="00124A78" w14:paraId="42481809" w14:textId="77777777">
      <w:pPr>
        <w:spacing w:line="360" w:lineRule="auto"/>
        <w:jc w:val="center"/>
        <w:rPr>
          <w:b/>
          <w:bCs/>
          <w:highlight w:val="white"/>
          <w:lang w:val="en-GB"/>
        </w:rPr>
      </w:pPr>
      <w:r w:rsidRPr="00823D42">
        <w:rPr>
          <w:b/>
          <w:bCs/>
          <w:highlight w:val="white"/>
          <w:lang w:val="en-GB"/>
        </w:rPr>
        <w:t>Figure: Person-Centred Care theory</w:t>
      </w:r>
    </w:p>
    <w:p w:rsidRPr="00823D42" w:rsidR="00337A25" w:rsidP="00AC3738" w:rsidRDefault="00124A78" w14:paraId="4248180A" w14:textId="77777777">
      <w:pPr>
        <w:spacing w:line="360" w:lineRule="auto"/>
        <w:jc w:val="center"/>
        <w:rPr>
          <w:highlight w:val="white"/>
          <w:lang w:val="en-GB"/>
        </w:rPr>
      </w:pPr>
      <w:r w:rsidRPr="00823D42">
        <w:rPr>
          <w:highlight w:val="white"/>
          <w:lang w:val="en-GB"/>
        </w:rPr>
        <w:t xml:space="preserve">(Source: </w:t>
      </w:r>
      <w:r w:rsidRPr="00823D42">
        <w:rPr>
          <w:lang w:val="en-GB"/>
        </w:rPr>
        <w:t>Gama, 2021</w:t>
      </w:r>
      <w:r w:rsidRPr="00823D42">
        <w:rPr>
          <w:highlight w:val="white"/>
          <w:lang w:val="en-GB"/>
        </w:rPr>
        <w:t>)</w:t>
      </w:r>
    </w:p>
    <w:p w:rsidRPr="00823D42" w:rsidR="00337A25" w:rsidP="00823D42" w:rsidRDefault="00124A78" w14:paraId="4248180B" w14:textId="77777777">
      <w:pPr>
        <w:spacing w:line="360" w:lineRule="auto"/>
        <w:jc w:val="both"/>
        <w:rPr>
          <w:lang w:val="en-GB"/>
        </w:rPr>
      </w:pPr>
      <w:r w:rsidRPr="00823D42">
        <w:rPr>
          <w:highlight w:val="white"/>
          <w:lang w:val="en-GB"/>
        </w:rPr>
        <w:t xml:space="preserve">Evidence indicates that post-diagnostic support is still not provided to approximately 40-50% of the population promptly, thereby impacting outcomes (Arsenault-Lapierre </w:t>
      </w:r>
      <w:r w:rsidRPr="00823D42">
        <w:rPr>
          <w:i/>
          <w:iCs/>
          <w:highlight w:val="white"/>
          <w:lang w:val="en-GB"/>
        </w:rPr>
        <w:t>et al</w:t>
      </w:r>
      <w:r w:rsidRPr="00823D42">
        <w:rPr>
          <w:highlight w:val="white"/>
          <w:lang w:val="en-GB"/>
        </w:rPr>
        <w:t>., 2023). In future studies, the results indicate that there will be a need to conduct more studies in the UK that examine the outcomes of long-term care and integrate services to enhance the quality and equity of care.</w:t>
      </w:r>
    </w:p>
    <w:p w:rsidRPr="00823D42" w:rsidR="00337A25" w:rsidP="00AC3738" w:rsidRDefault="00124A78" w14:paraId="4248180C" w14:textId="77777777">
      <w:pPr>
        <w:pStyle w:val="Heading1"/>
        <w:rPr>
          <w:lang w:val="en-GB"/>
        </w:rPr>
      </w:pPr>
      <w:bookmarkStart w:name="_Toc223451508" w:id="20"/>
      <w:r w:rsidRPr="00823D42">
        <w:rPr>
          <w:lang w:val="en-GB"/>
        </w:rPr>
        <w:t>6. Conclusion and Recommendations</w:t>
      </w:r>
      <w:bookmarkEnd w:id="20"/>
    </w:p>
    <w:p w:rsidRPr="00823D42" w:rsidR="00337A25" w:rsidP="00AC3738" w:rsidRDefault="00124A78" w14:paraId="4248180D" w14:textId="77777777">
      <w:pPr>
        <w:pStyle w:val="Heading2"/>
        <w:rPr>
          <w:lang w:val="en-GB"/>
        </w:rPr>
      </w:pPr>
      <w:bookmarkStart w:name="_Toc223451509" w:id="21"/>
      <w:r w:rsidRPr="00823D42">
        <w:rPr>
          <w:lang w:val="en-GB"/>
        </w:rPr>
        <w:t>6.1 Key takeaways</w:t>
      </w:r>
      <w:bookmarkEnd w:id="21"/>
    </w:p>
    <w:p w:rsidRPr="00823D42" w:rsidR="00337A25" w:rsidP="00823D42" w:rsidRDefault="00124A78" w14:paraId="4248180E" w14:textId="77777777">
      <w:pPr>
        <w:spacing w:line="360" w:lineRule="auto"/>
        <w:jc w:val="both"/>
        <w:rPr>
          <w:lang w:val="en-GB"/>
        </w:rPr>
      </w:pPr>
      <w:r w:rsidRPr="00823D42">
        <w:rPr>
          <w:lang w:val="en-GB"/>
        </w:rPr>
        <w:t>The key takeaways for the research are as follows:</w:t>
      </w:r>
    </w:p>
    <w:p w:rsidRPr="00823D42" w:rsidR="00337A25" w:rsidP="00823D42" w:rsidRDefault="00124A78" w14:paraId="4248180F" w14:textId="77777777">
      <w:pPr>
        <w:numPr>
          <w:ilvl w:val="0"/>
          <w:numId w:val="2"/>
        </w:numPr>
        <w:spacing w:line="360" w:lineRule="auto"/>
        <w:jc w:val="both"/>
        <w:rPr>
          <w:highlight w:val="white"/>
          <w:lang w:val="en-GB"/>
        </w:rPr>
      </w:pPr>
      <w:r w:rsidRPr="00823D42">
        <w:rPr>
          <w:highlight w:val="white"/>
          <w:lang w:val="en-GB"/>
        </w:rPr>
        <w:lastRenderedPageBreak/>
        <w:t>Access to dementia care in the United Kingdom presents itself as unequal access, with at most about 50-60% of the population receiving a formal diagnosis at a certain time, delaying the provision of support and planning.</w:t>
      </w:r>
    </w:p>
    <w:p w:rsidRPr="00823D42" w:rsidR="00337A25" w:rsidP="00823D42" w:rsidRDefault="00124A78" w14:paraId="42481810" w14:textId="77777777">
      <w:pPr>
        <w:numPr>
          <w:ilvl w:val="0"/>
          <w:numId w:val="2"/>
        </w:numPr>
        <w:spacing w:line="360" w:lineRule="auto"/>
        <w:jc w:val="both"/>
        <w:rPr>
          <w:highlight w:val="white"/>
          <w:lang w:val="en-GB"/>
        </w:rPr>
      </w:pPr>
      <w:r w:rsidRPr="00823D42">
        <w:rPr>
          <w:highlight w:val="white"/>
          <w:lang w:val="en-GB"/>
        </w:rPr>
        <w:t>There are models of community and primary care, but the follow-up care and coordination are uneven, resulting in gaps in providing post-diagnostic care to many families.</w:t>
      </w:r>
    </w:p>
    <w:p w:rsidRPr="00823D42" w:rsidR="00337A25" w:rsidP="00823D42" w:rsidRDefault="00124A78" w14:paraId="42481811" w14:textId="77777777">
      <w:pPr>
        <w:numPr>
          <w:ilvl w:val="0"/>
          <w:numId w:val="2"/>
        </w:numPr>
        <w:spacing w:line="360" w:lineRule="auto"/>
        <w:jc w:val="both"/>
        <w:rPr>
          <w:highlight w:val="white"/>
          <w:lang w:val="en-GB"/>
        </w:rPr>
      </w:pPr>
      <w:r w:rsidRPr="00823D42">
        <w:rPr>
          <w:highlight w:val="white"/>
          <w:lang w:val="en-GB"/>
        </w:rPr>
        <w:t>Person-centred and integrated care are powerful policy objectives, where studies reveal that the practice of service delivery is fragmented.</w:t>
      </w:r>
    </w:p>
    <w:p w:rsidRPr="00823D42" w:rsidR="00337A25" w:rsidP="00823D42" w:rsidRDefault="00124A78" w14:paraId="42481812" w14:textId="77777777">
      <w:pPr>
        <w:numPr>
          <w:ilvl w:val="0"/>
          <w:numId w:val="2"/>
        </w:numPr>
        <w:spacing w:line="360" w:lineRule="auto"/>
        <w:jc w:val="both"/>
        <w:rPr>
          <w:highlight w:val="white"/>
          <w:lang w:val="en-GB"/>
        </w:rPr>
      </w:pPr>
      <w:r w:rsidRPr="00823D42">
        <w:rPr>
          <w:highlight w:val="white"/>
          <w:lang w:val="en-GB"/>
        </w:rPr>
        <w:t>Service effectiveness has little long-term outcome data, and it limits the evidence-based enhancement of dementia care systems.</w:t>
      </w:r>
    </w:p>
    <w:p w:rsidRPr="00823D42" w:rsidR="00337A25" w:rsidP="00AC3738" w:rsidRDefault="00124A78" w14:paraId="42481813" w14:textId="77777777">
      <w:pPr>
        <w:pStyle w:val="Heading2"/>
        <w:rPr>
          <w:lang w:val="en-GB"/>
        </w:rPr>
      </w:pPr>
      <w:bookmarkStart w:name="_Toc223451510" w:id="22"/>
      <w:r w:rsidRPr="00823D42">
        <w:rPr>
          <w:lang w:val="en-GB"/>
        </w:rPr>
        <w:t>6.2 Recommendations for future research</w:t>
      </w:r>
      <w:bookmarkEnd w:id="22"/>
    </w:p>
    <w:p w:rsidRPr="00823D42" w:rsidR="00337A25" w:rsidP="00823D42" w:rsidRDefault="00124A78" w14:paraId="42481814" w14:textId="77777777">
      <w:pPr>
        <w:spacing w:line="360" w:lineRule="auto"/>
        <w:jc w:val="both"/>
        <w:rPr>
          <w:lang w:val="en-GB"/>
        </w:rPr>
      </w:pPr>
      <w:r w:rsidRPr="00823D42">
        <w:rPr>
          <w:lang w:val="en-GB"/>
        </w:rPr>
        <w:t>The recommendations for future research are as follows:</w:t>
      </w:r>
    </w:p>
    <w:p w:rsidRPr="00823D42" w:rsidR="00337A25" w:rsidP="00823D42" w:rsidRDefault="00124A78" w14:paraId="42481815" w14:textId="77777777">
      <w:pPr>
        <w:numPr>
          <w:ilvl w:val="0"/>
          <w:numId w:val="3"/>
        </w:numPr>
        <w:spacing w:line="360" w:lineRule="auto"/>
        <w:jc w:val="both"/>
        <w:rPr>
          <w:highlight w:val="white"/>
          <w:lang w:val="en-GB"/>
        </w:rPr>
      </w:pPr>
      <w:r w:rsidRPr="2AAB5048" w:rsidR="00124A78">
        <w:rPr>
          <w:highlight w:val="white"/>
          <w:lang w:val="en-GB"/>
        </w:rPr>
        <w:t>Subsequent</w:t>
      </w:r>
      <w:r w:rsidRPr="2AAB5048" w:rsidR="00124A78">
        <w:rPr>
          <w:highlight w:val="white"/>
          <w:lang w:val="en-GB"/>
        </w:rPr>
        <w:t xml:space="preserve"> studies ought to employ larger representative samples in the UK </w:t>
      </w:r>
      <w:bookmarkStart w:name="_Int_rkrULBJk" w:id="677210465"/>
      <w:r w:rsidRPr="2AAB5048" w:rsidR="00124A78">
        <w:rPr>
          <w:highlight w:val="white"/>
          <w:lang w:val="en-GB"/>
        </w:rPr>
        <w:t>in order to</w:t>
      </w:r>
      <w:bookmarkEnd w:id="677210465"/>
      <w:r w:rsidRPr="2AAB5048" w:rsidR="00124A78">
        <w:rPr>
          <w:highlight w:val="white"/>
          <w:lang w:val="en-GB"/>
        </w:rPr>
        <w:t xml:space="preserve"> capture the experiences of different populations, particularly those of ethnic minorities, in which gaps in access are reported (Treder </w:t>
      </w:r>
      <w:r w:rsidRPr="2AAB5048" w:rsidR="00124A78">
        <w:rPr>
          <w:i w:val="1"/>
          <w:iCs w:val="1"/>
          <w:highlight w:val="white"/>
          <w:lang w:val="en-GB"/>
        </w:rPr>
        <w:t>et al</w:t>
      </w:r>
      <w:r w:rsidRPr="2AAB5048" w:rsidR="00124A78">
        <w:rPr>
          <w:highlight w:val="white"/>
          <w:lang w:val="en-GB"/>
        </w:rPr>
        <w:t>., 2024).</w:t>
      </w:r>
    </w:p>
    <w:p w:rsidRPr="00823D42" w:rsidR="00337A25" w:rsidP="00823D42" w:rsidRDefault="00124A78" w14:paraId="42481816" w14:textId="77777777">
      <w:pPr>
        <w:numPr>
          <w:ilvl w:val="0"/>
          <w:numId w:val="3"/>
        </w:numPr>
        <w:spacing w:line="360" w:lineRule="auto"/>
        <w:jc w:val="both"/>
        <w:rPr>
          <w:highlight w:val="white"/>
          <w:lang w:val="en-GB"/>
        </w:rPr>
      </w:pPr>
      <w:r w:rsidRPr="00823D42">
        <w:rPr>
          <w:highlight w:val="white"/>
          <w:lang w:val="en-GB"/>
        </w:rPr>
        <w:t>Additional longitudinal research is required to quantify the outcome of the dementia care model in the long term, such as quality of life and hospitalisation.</w:t>
      </w:r>
    </w:p>
    <w:p w:rsidRPr="00823D42" w:rsidR="00337A25" w:rsidP="00823D42" w:rsidRDefault="00124A78" w14:paraId="42481817" w14:textId="77777777">
      <w:pPr>
        <w:numPr>
          <w:ilvl w:val="0"/>
          <w:numId w:val="3"/>
        </w:numPr>
        <w:spacing w:line="360" w:lineRule="auto"/>
        <w:jc w:val="both"/>
        <w:rPr>
          <w:highlight w:val="white"/>
          <w:lang w:val="en-GB"/>
        </w:rPr>
      </w:pPr>
      <w:r w:rsidRPr="00823D42">
        <w:rPr>
          <w:highlight w:val="white"/>
          <w:lang w:val="en-GB"/>
        </w:rPr>
        <w:t xml:space="preserve">The researchers ought to test the integrated care systems under real-life environments to determine the effects of coordinated health and social care on the enhancement of service delivery (Singh </w:t>
      </w:r>
      <w:r w:rsidRPr="00823D42">
        <w:rPr>
          <w:i/>
          <w:iCs/>
          <w:highlight w:val="white"/>
          <w:lang w:val="en-GB"/>
        </w:rPr>
        <w:t>et al</w:t>
      </w:r>
      <w:r w:rsidRPr="00823D42">
        <w:rPr>
          <w:highlight w:val="white"/>
          <w:lang w:val="en-GB"/>
        </w:rPr>
        <w:t>., 2022).</w:t>
      </w:r>
    </w:p>
    <w:p w:rsidRPr="00823D42" w:rsidR="00337A25" w:rsidP="00823D42" w:rsidRDefault="00124A78" w14:paraId="42481818" w14:textId="77777777">
      <w:pPr>
        <w:numPr>
          <w:ilvl w:val="0"/>
          <w:numId w:val="3"/>
        </w:numPr>
        <w:spacing w:line="360" w:lineRule="auto"/>
        <w:jc w:val="both"/>
        <w:rPr>
          <w:highlight w:val="white"/>
          <w:lang w:val="en-GB"/>
        </w:rPr>
      </w:pPr>
      <w:r w:rsidRPr="00823D42">
        <w:rPr>
          <w:highlight w:val="white"/>
          <w:lang w:val="en-GB"/>
        </w:rPr>
        <w:t>Studies should come up with and pilot standardised outcome measures that involve patient-reported experiences so that a comparison between services can be more obvious.</w:t>
      </w:r>
    </w:p>
    <w:p w:rsidRPr="00823D42" w:rsidR="00337A25" w:rsidP="00823D42" w:rsidRDefault="00124A78" w14:paraId="42481819" w14:textId="77777777">
      <w:pPr>
        <w:numPr>
          <w:ilvl w:val="0"/>
          <w:numId w:val="3"/>
        </w:numPr>
        <w:spacing w:line="360" w:lineRule="auto"/>
        <w:jc w:val="both"/>
        <w:rPr>
          <w:highlight w:val="white"/>
          <w:lang w:val="en-GB"/>
        </w:rPr>
      </w:pPr>
      <w:r w:rsidRPr="00823D42">
        <w:rPr>
          <w:highlight w:val="white"/>
          <w:lang w:val="en-GB"/>
        </w:rPr>
        <w:t>There is a need to have evidence on the impact of workforce training and support on the quality and consistency of dementia care.</w:t>
      </w:r>
    </w:p>
    <w:p w:rsidRPr="00823D42" w:rsidR="00337A25" w:rsidP="00AC3738" w:rsidRDefault="00124A78" w14:paraId="4248181A" w14:textId="77777777">
      <w:pPr>
        <w:pStyle w:val="Heading2"/>
        <w:rPr>
          <w:lang w:val="en-GB"/>
        </w:rPr>
      </w:pPr>
      <w:bookmarkStart w:name="_Toc223451511" w:id="23"/>
      <w:r w:rsidRPr="00823D42">
        <w:rPr>
          <w:lang w:val="en-GB"/>
        </w:rPr>
        <w:t>6.3 Recommendations for policy and practice</w:t>
      </w:r>
      <w:bookmarkEnd w:id="23"/>
    </w:p>
    <w:p w:rsidRPr="00823D42" w:rsidR="00337A25" w:rsidP="00823D42" w:rsidRDefault="00124A78" w14:paraId="4248181B" w14:textId="77777777">
      <w:pPr>
        <w:spacing w:line="360" w:lineRule="auto"/>
        <w:jc w:val="both"/>
        <w:rPr>
          <w:lang w:val="en-GB"/>
        </w:rPr>
      </w:pPr>
      <w:r w:rsidRPr="00823D42">
        <w:rPr>
          <w:lang w:val="en-GB"/>
        </w:rPr>
        <w:t>The recommendations for policy and practice are as follows:</w:t>
      </w:r>
    </w:p>
    <w:p w:rsidRPr="00823D42" w:rsidR="00337A25" w:rsidP="00823D42" w:rsidRDefault="00124A78" w14:paraId="4248181C" w14:textId="77777777">
      <w:pPr>
        <w:numPr>
          <w:ilvl w:val="0"/>
          <w:numId w:val="1"/>
        </w:numPr>
        <w:spacing w:line="360" w:lineRule="auto"/>
        <w:jc w:val="both"/>
        <w:rPr>
          <w:highlight w:val="white"/>
          <w:lang w:val="en-GB"/>
        </w:rPr>
      </w:pPr>
      <w:r w:rsidRPr="00823D42">
        <w:rPr>
          <w:highlight w:val="white"/>
          <w:lang w:val="en-GB"/>
        </w:rPr>
        <w:t>It should be the policy to enable quicker post-diagnostic support, so that not only the presently prevalent 50-60% of individuals with dementia receive timely care planning and follow-up planning.</w:t>
      </w:r>
    </w:p>
    <w:p w:rsidRPr="00823D42" w:rsidR="00337A25" w:rsidP="00823D42" w:rsidRDefault="00124A78" w14:paraId="4248181D" w14:textId="77777777">
      <w:pPr>
        <w:numPr>
          <w:ilvl w:val="0"/>
          <w:numId w:val="1"/>
        </w:numPr>
        <w:spacing w:line="360" w:lineRule="auto"/>
        <w:jc w:val="both"/>
        <w:rPr>
          <w:highlight w:val="white"/>
          <w:lang w:val="en-GB"/>
        </w:rPr>
      </w:pPr>
      <w:r w:rsidRPr="00823D42">
        <w:rPr>
          <w:highlight w:val="white"/>
          <w:lang w:val="en-GB"/>
        </w:rPr>
        <w:lastRenderedPageBreak/>
        <w:t xml:space="preserve">The health and social care services should have clear integrated pathways where assessment, care plans, and community support are aligned between providers (Wang </w:t>
      </w:r>
      <w:r w:rsidRPr="00823D42">
        <w:rPr>
          <w:i/>
          <w:iCs/>
          <w:highlight w:val="white"/>
          <w:lang w:val="en-GB"/>
        </w:rPr>
        <w:t>et al</w:t>
      </w:r>
      <w:r w:rsidRPr="00823D42">
        <w:rPr>
          <w:highlight w:val="white"/>
          <w:lang w:val="en-GB"/>
        </w:rPr>
        <w:t>., 2023).</w:t>
      </w:r>
    </w:p>
    <w:p w:rsidRPr="00823D42" w:rsidR="00337A25" w:rsidP="00823D42" w:rsidRDefault="00124A78" w14:paraId="4248181E" w14:textId="77777777">
      <w:pPr>
        <w:numPr>
          <w:ilvl w:val="0"/>
          <w:numId w:val="1"/>
        </w:numPr>
        <w:spacing w:line="360" w:lineRule="auto"/>
        <w:jc w:val="both"/>
        <w:rPr>
          <w:highlight w:val="white"/>
          <w:lang w:val="en-GB"/>
        </w:rPr>
      </w:pPr>
      <w:r w:rsidRPr="00823D42">
        <w:rPr>
          <w:highlight w:val="white"/>
          <w:lang w:val="en-GB"/>
        </w:rPr>
        <w:t>The staff training standards must be enhanced, and regular education with dementia-specific content must be introduced to improve the level of confidence and decrease the variation of care.</w:t>
      </w:r>
    </w:p>
    <w:p w:rsidRPr="00823D42" w:rsidR="00337A25" w:rsidP="00823D42" w:rsidRDefault="00124A78" w14:paraId="4248181F" w14:textId="77777777">
      <w:pPr>
        <w:numPr>
          <w:ilvl w:val="0"/>
          <w:numId w:val="1"/>
        </w:numPr>
        <w:spacing w:line="360" w:lineRule="auto"/>
        <w:jc w:val="both"/>
        <w:rPr>
          <w:highlight w:val="white"/>
          <w:lang w:val="en-GB"/>
        </w:rPr>
      </w:pPr>
      <w:r w:rsidRPr="00823D42">
        <w:rPr>
          <w:highlight w:val="white"/>
          <w:lang w:val="en-GB"/>
        </w:rPr>
        <w:t xml:space="preserve">Remote support and care coordination digital tools must be extended to all regions and must accommodate people with communication needs (Akinyemi </w:t>
      </w:r>
      <w:r w:rsidRPr="00823D42">
        <w:rPr>
          <w:i/>
          <w:iCs/>
          <w:highlight w:val="white"/>
          <w:lang w:val="en-GB"/>
        </w:rPr>
        <w:t>et al</w:t>
      </w:r>
      <w:r w:rsidRPr="00823D42">
        <w:rPr>
          <w:highlight w:val="white"/>
          <w:lang w:val="en-GB"/>
        </w:rPr>
        <w:t>., 2022).</w:t>
      </w:r>
    </w:p>
    <w:p w:rsidRPr="00BB558E" w:rsidR="00337A25" w:rsidP="00823D42" w:rsidRDefault="00124A78" w14:paraId="42481820" w14:textId="77777777">
      <w:pPr>
        <w:numPr>
          <w:ilvl w:val="0"/>
          <w:numId w:val="1"/>
        </w:numPr>
        <w:spacing w:line="360" w:lineRule="auto"/>
        <w:jc w:val="both"/>
        <w:rPr>
          <w:highlight w:val="white"/>
        </w:rPr>
      </w:pPr>
      <w:r w:rsidRPr="00823D42">
        <w:rPr>
          <w:highlight w:val="white"/>
          <w:lang w:val="en-GB"/>
        </w:rPr>
        <w:t>Service evaluation should focus on patient experience and outcomes as the main features of clinical guidelines that put person-centred care in the first place.</w:t>
      </w:r>
    </w:p>
    <w:p w:rsidRPr="00BB558E" w:rsidR="00337A25" w:rsidP="00BB558E" w:rsidRDefault="00124A78" w14:paraId="42481821" w14:textId="77777777">
      <w:pPr>
        <w:spacing w:before="240" w:after="240" w:line="360" w:lineRule="auto"/>
        <w:jc w:val="both"/>
        <w:rPr>
          <w:b/>
          <w:bCs/>
          <w:i/>
          <w:iCs/>
        </w:rPr>
      </w:pPr>
      <w:r w:rsidRPr="00BB558E">
        <w:br w:type="page"/>
      </w:r>
    </w:p>
    <w:p w:rsidRPr="00BB558E" w:rsidR="00337A25" w:rsidP="00AC3738" w:rsidRDefault="00124A78" w14:paraId="42481822" w14:textId="77777777">
      <w:pPr>
        <w:pStyle w:val="Heading1"/>
      </w:pPr>
      <w:bookmarkStart w:name="_Toc223451512" w:id="24"/>
      <w:r w:rsidRPr="00BB558E">
        <w:lastRenderedPageBreak/>
        <w:t>Reference List</w:t>
      </w:r>
      <w:bookmarkEnd w:id="24"/>
    </w:p>
    <w:p w:rsidRPr="00BB558E" w:rsidR="00D97B36" w:rsidP="2AAB5048" w:rsidRDefault="00D97B36" w14:paraId="6F7DFD93" w14:textId="77777777">
      <w:pPr>
        <w:pStyle w:val="ListParagraph"/>
        <w:numPr>
          <w:ilvl w:val="0"/>
          <w:numId w:val="6"/>
        </w:numPr>
        <w:spacing w:line="360" w:lineRule="auto"/>
        <w:jc w:val="both"/>
        <w:rPr>
          <w:lang w:val="en-US"/>
        </w:rPr>
      </w:pPr>
      <w:r w:rsidRPr="2AAB5048" w:rsidR="00D97B36">
        <w:rPr>
          <w:lang w:val="en-US"/>
        </w:rPr>
        <w:t>Abowari-Sapeh</w:t>
      </w:r>
      <w:r w:rsidRPr="2AAB5048" w:rsidR="00D97B36">
        <w:rPr>
          <w:lang w:val="en-US"/>
        </w:rPr>
        <w:t xml:space="preserve">, M.E., Ackah, J.A., Murphy, J.L. and </w:t>
      </w:r>
      <w:r w:rsidRPr="2AAB5048" w:rsidR="00D97B36">
        <w:rPr>
          <w:lang w:val="en-US"/>
        </w:rPr>
        <w:t>Akudjedu</w:t>
      </w:r>
      <w:r w:rsidRPr="2AAB5048" w:rsidR="00D97B36">
        <w:rPr>
          <w:lang w:val="en-US"/>
        </w:rPr>
        <w:t xml:space="preserve">, T.N. (2024). Towards an improved dementia care experience in clinical radiography practice: </w:t>
      </w:r>
      <w:r w:rsidRPr="2AAB5048" w:rsidR="00D97B36">
        <w:rPr>
          <w:lang w:val="en-US"/>
        </w:rPr>
        <w:t>A state-of-the-art</w:t>
      </w:r>
      <w:r w:rsidRPr="2AAB5048" w:rsidR="00D97B36">
        <w:rPr>
          <w:lang w:val="en-US"/>
        </w:rPr>
        <w:t xml:space="preserve"> review. </w:t>
      </w:r>
      <w:r w:rsidRPr="2AAB5048" w:rsidR="00D97B36">
        <w:rPr>
          <w:i w:val="1"/>
          <w:iCs w:val="1"/>
          <w:lang w:val="en-US"/>
        </w:rPr>
        <w:t>Journal of Medical Imaging and Radiation Sciences</w:t>
      </w:r>
      <w:r w:rsidRPr="2AAB5048" w:rsidR="00D97B36">
        <w:rPr>
          <w:lang w:val="en-US"/>
        </w:rPr>
        <w:t xml:space="preserve">, [online] 55(2). </w:t>
      </w:r>
      <w:r w:rsidRPr="2AAB5048" w:rsidR="00D97B36">
        <w:rPr>
          <w:lang w:val="en-US"/>
        </w:rPr>
        <w:t>doi:https</w:t>
      </w:r>
      <w:r w:rsidRPr="2AAB5048" w:rsidR="00D97B36">
        <w:rPr>
          <w:lang w:val="en-US"/>
        </w:rPr>
        <w:t>://doi.org/10.1016/j.jmir.2024.01.008</w:t>
      </w:r>
      <w:r w:rsidRPr="2AAB5048" w:rsidR="00D97B36">
        <w:rPr>
          <w:lang w:val="en-US"/>
        </w:rPr>
        <w:t>. [Accessed on: 2</w:t>
      </w:r>
      <w:r w:rsidRPr="2AAB5048" w:rsidR="00D97B36">
        <w:rPr>
          <w:vertAlign w:val="superscript"/>
          <w:lang w:val="en-US"/>
        </w:rPr>
        <w:t>nd</w:t>
      </w:r>
      <w:r w:rsidRPr="2AAB5048" w:rsidR="00D97B36">
        <w:rPr>
          <w:lang w:val="en-US"/>
        </w:rPr>
        <w:t xml:space="preserve"> Mar. 2026]</w:t>
      </w:r>
    </w:p>
    <w:p w:rsidRPr="00BB558E" w:rsidR="00D97B36" w:rsidP="2AAB5048" w:rsidRDefault="00D97B36" w14:paraId="4F75E105" w14:textId="77777777">
      <w:pPr>
        <w:pStyle w:val="ListParagraph"/>
        <w:numPr>
          <w:ilvl w:val="0"/>
          <w:numId w:val="6"/>
        </w:numPr>
        <w:spacing w:line="360" w:lineRule="auto"/>
        <w:jc w:val="both"/>
        <w:rPr>
          <w:lang w:val="en-US"/>
        </w:rPr>
      </w:pPr>
      <w:r w:rsidRPr="2AAB5048" w:rsidR="00D97B36">
        <w:rPr>
          <w:lang w:val="en-US"/>
        </w:rPr>
        <w:t xml:space="preserve">Akinyemi, R.O., </w:t>
      </w:r>
      <w:r w:rsidRPr="2AAB5048" w:rsidR="00D97B36">
        <w:rPr>
          <w:lang w:val="en-US"/>
        </w:rPr>
        <w:t>Yaria</w:t>
      </w:r>
      <w:r w:rsidRPr="2AAB5048" w:rsidR="00D97B36">
        <w:rPr>
          <w:lang w:val="en-US"/>
        </w:rPr>
        <w:t xml:space="preserve">, J., </w:t>
      </w:r>
      <w:r w:rsidRPr="2AAB5048" w:rsidR="00D97B36">
        <w:rPr>
          <w:lang w:val="en-US"/>
        </w:rPr>
        <w:t>Ojagbemi</w:t>
      </w:r>
      <w:r w:rsidRPr="2AAB5048" w:rsidR="00D97B36">
        <w:rPr>
          <w:lang w:val="en-US"/>
        </w:rPr>
        <w:t xml:space="preserve">, A., </w:t>
      </w:r>
      <w:r w:rsidRPr="2AAB5048" w:rsidR="00D97B36">
        <w:rPr>
          <w:lang w:val="en-US"/>
        </w:rPr>
        <w:t>Guerchet</w:t>
      </w:r>
      <w:r w:rsidRPr="2AAB5048" w:rsidR="00D97B36">
        <w:rPr>
          <w:lang w:val="en-US"/>
        </w:rPr>
        <w:t xml:space="preserve">, M., </w:t>
      </w:r>
      <w:r w:rsidRPr="2AAB5048" w:rsidR="00D97B36">
        <w:rPr>
          <w:lang w:val="en-US"/>
        </w:rPr>
        <w:t>Okubadejo</w:t>
      </w:r>
      <w:r w:rsidRPr="2AAB5048" w:rsidR="00D97B36">
        <w:rPr>
          <w:lang w:val="en-US"/>
        </w:rPr>
        <w:t xml:space="preserve">, N., </w:t>
      </w:r>
      <w:r w:rsidRPr="2AAB5048" w:rsidR="00D97B36">
        <w:rPr>
          <w:lang w:val="en-US"/>
        </w:rPr>
        <w:t>Njamnshi</w:t>
      </w:r>
      <w:r w:rsidRPr="2AAB5048" w:rsidR="00D97B36">
        <w:rPr>
          <w:lang w:val="en-US"/>
        </w:rPr>
        <w:t xml:space="preserve">, A.K., Sarfo, F.S., </w:t>
      </w:r>
      <w:r w:rsidRPr="2AAB5048" w:rsidR="00D97B36">
        <w:rPr>
          <w:lang w:val="en-US"/>
        </w:rPr>
        <w:t>Akpalu</w:t>
      </w:r>
      <w:r w:rsidRPr="2AAB5048" w:rsidR="00D97B36">
        <w:rPr>
          <w:lang w:val="en-US"/>
        </w:rPr>
        <w:t xml:space="preserve">, A., </w:t>
      </w:r>
      <w:r w:rsidRPr="2AAB5048" w:rsidR="00D97B36">
        <w:rPr>
          <w:lang w:val="en-US"/>
        </w:rPr>
        <w:t>Ogbole</w:t>
      </w:r>
      <w:r w:rsidRPr="2AAB5048" w:rsidR="00D97B36">
        <w:rPr>
          <w:lang w:val="en-US"/>
        </w:rPr>
        <w:t xml:space="preserve">, G., </w:t>
      </w:r>
      <w:r w:rsidRPr="2AAB5048" w:rsidR="00D97B36">
        <w:rPr>
          <w:lang w:val="en-US"/>
        </w:rPr>
        <w:t>Ayantayo</w:t>
      </w:r>
      <w:r w:rsidRPr="2AAB5048" w:rsidR="00D97B36">
        <w:rPr>
          <w:lang w:val="en-US"/>
        </w:rPr>
        <w:t xml:space="preserve">, T. and </w:t>
      </w:r>
      <w:r w:rsidRPr="2AAB5048" w:rsidR="00D97B36">
        <w:rPr>
          <w:lang w:val="en-US"/>
        </w:rPr>
        <w:t>Adokonou</w:t>
      </w:r>
      <w:r w:rsidRPr="2AAB5048" w:rsidR="00D97B36">
        <w:rPr>
          <w:lang w:val="en-US"/>
        </w:rPr>
        <w:t xml:space="preserve">, T. (2022). Dementia in Africa: current evidence, knowledge gaps, and future directions. </w:t>
      </w:r>
      <w:r w:rsidRPr="2AAB5048" w:rsidR="00D97B36">
        <w:rPr>
          <w:i w:val="1"/>
          <w:iCs w:val="1"/>
          <w:lang w:val="en-US"/>
        </w:rPr>
        <w:t>Alzheimer's &amp; Dementia</w:t>
      </w:r>
      <w:r w:rsidRPr="2AAB5048" w:rsidR="00D97B36">
        <w:rPr>
          <w:lang w:val="en-US"/>
        </w:rPr>
        <w:t xml:space="preserve">, </w:t>
      </w:r>
      <w:r w:rsidRPr="2AAB5048" w:rsidR="00D97B36">
        <w:rPr>
          <w:i w:val="1"/>
          <w:iCs w:val="1"/>
          <w:lang w:val="en-US"/>
        </w:rPr>
        <w:t>18</w:t>
      </w:r>
      <w:r w:rsidRPr="2AAB5048" w:rsidR="00D97B36">
        <w:rPr>
          <w:lang w:val="en-US"/>
        </w:rPr>
        <w:t>(4), pp</w:t>
      </w:r>
      <w:bookmarkStart w:name="_Int_zsEOy9z0" w:id="445541902"/>
      <w:r w:rsidRPr="2AAB5048" w:rsidR="00D97B36">
        <w:rPr>
          <w:lang w:val="en-US"/>
        </w:rPr>
        <w:t>.790</w:t>
      </w:r>
      <w:bookmarkEnd w:id="445541902"/>
      <w:r w:rsidRPr="2AAB5048" w:rsidR="00D97B36">
        <w:rPr>
          <w:lang w:val="en-US"/>
        </w:rPr>
        <w:t>-809</w:t>
      </w:r>
      <w:r w:rsidRPr="2AAB5048" w:rsidR="00D97B36">
        <w:rPr>
          <w:lang w:val="en-US"/>
        </w:rPr>
        <w:t xml:space="preserve">.  </w:t>
      </w:r>
      <w:r w:rsidRPr="2AAB5048" w:rsidR="00D97B36">
        <w:rPr>
          <w:lang w:val="en-US"/>
        </w:rPr>
        <w:t>Available at: https://alz-journals.onlinelibrary.wiley.com/doi/abs/10.1002/alz.12432 [Accessed on: 3</w:t>
      </w:r>
      <w:r w:rsidRPr="2AAB5048" w:rsidR="00D97B36">
        <w:rPr>
          <w:vertAlign w:val="superscript"/>
          <w:lang w:val="en-US"/>
        </w:rPr>
        <w:t>rd</w:t>
      </w:r>
      <w:r w:rsidRPr="2AAB5048" w:rsidR="00D97B36">
        <w:rPr>
          <w:lang w:val="en-US"/>
        </w:rPr>
        <w:t xml:space="preserve"> Mar. 2026]</w:t>
      </w:r>
    </w:p>
    <w:p w:rsidRPr="00BB558E" w:rsidR="00D97B36" w:rsidP="2AAB5048" w:rsidRDefault="00D97B36" w14:paraId="784656F4" w14:textId="77777777">
      <w:pPr>
        <w:pStyle w:val="ListParagraph"/>
        <w:numPr>
          <w:ilvl w:val="0"/>
          <w:numId w:val="6"/>
        </w:numPr>
        <w:spacing w:line="360" w:lineRule="auto"/>
        <w:jc w:val="both"/>
        <w:rPr>
          <w:lang w:val="en-US"/>
        </w:rPr>
      </w:pPr>
      <w:r w:rsidRPr="2AAB5048" w:rsidR="00D97B36">
        <w:rPr>
          <w:lang w:val="en-US"/>
        </w:rPr>
        <w:t xml:space="preserve">Arsenault-Lapierre, G., Bui, T.X., Le Berre, M., Bergman, H. and Vedel, I. (2023). Rural and urban differences in quality of dementia care of persons with dementia and caregivers across all domains: a systematic review. </w:t>
      </w:r>
      <w:r w:rsidRPr="2AAB5048" w:rsidR="00D97B36">
        <w:rPr>
          <w:i w:val="1"/>
          <w:iCs w:val="1"/>
          <w:lang w:val="en-US"/>
        </w:rPr>
        <w:t>BMC Health Services Research</w:t>
      </w:r>
      <w:r w:rsidRPr="2AAB5048" w:rsidR="00D97B36">
        <w:rPr>
          <w:lang w:val="en-US"/>
        </w:rPr>
        <w:t xml:space="preserve">, </w:t>
      </w:r>
      <w:r w:rsidRPr="2AAB5048" w:rsidR="00D97B36">
        <w:rPr>
          <w:i w:val="1"/>
          <w:iCs w:val="1"/>
          <w:lang w:val="en-US"/>
        </w:rPr>
        <w:t>23</w:t>
      </w:r>
      <w:r w:rsidRPr="2AAB5048" w:rsidR="00D97B36">
        <w:rPr>
          <w:lang w:val="en-US"/>
        </w:rPr>
        <w:t>(1), pp</w:t>
      </w:r>
      <w:bookmarkStart w:name="_Int_jXW0KIeS" w:id="1325624080"/>
      <w:r w:rsidRPr="2AAB5048" w:rsidR="00D97B36">
        <w:rPr>
          <w:lang w:val="en-US"/>
        </w:rPr>
        <w:t>.102</w:t>
      </w:r>
      <w:bookmarkEnd w:id="1325624080"/>
      <w:r w:rsidRPr="2AAB5048" w:rsidR="00D97B36">
        <w:rPr>
          <w:lang w:val="en-US"/>
        </w:rPr>
        <w:t xml:space="preserve">.  </w:t>
      </w:r>
      <w:r w:rsidRPr="2AAB5048" w:rsidR="00D97B36">
        <w:rPr>
          <w:lang w:val="en-US"/>
        </w:rPr>
        <w:t>Available at: https://link.springer.com/article/10.1186/s12913-023-09100-8 [Accessed on: 3</w:t>
      </w:r>
      <w:r w:rsidRPr="2AAB5048" w:rsidR="00D97B36">
        <w:rPr>
          <w:vertAlign w:val="superscript"/>
          <w:lang w:val="en-US"/>
        </w:rPr>
        <w:t>rd</w:t>
      </w:r>
      <w:r w:rsidRPr="2AAB5048" w:rsidR="00D97B36">
        <w:rPr>
          <w:lang w:val="en-US"/>
        </w:rPr>
        <w:t xml:space="preserve"> Mar. 2026]</w:t>
      </w:r>
    </w:p>
    <w:p w:rsidRPr="00BB558E" w:rsidR="00D97B36" w:rsidP="2AAB5048" w:rsidRDefault="00D97B36" w14:paraId="3D82BC30" w14:textId="77777777">
      <w:pPr>
        <w:pStyle w:val="ListParagraph"/>
        <w:numPr>
          <w:ilvl w:val="0"/>
          <w:numId w:val="6"/>
        </w:numPr>
        <w:spacing w:line="360" w:lineRule="auto"/>
        <w:jc w:val="both"/>
        <w:rPr>
          <w:lang w:val="en-US"/>
        </w:rPr>
      </w:pPr>
      <w:r w:rsidRPr="2AAB5048" w:rsidR="00D97B36">
        <w:rPr>
          <w:lang w:val="en-US"/>
        </w:rPr>
        <w:t>Bacsu</w:t>
      </w:r>
      <w:r w:rsidRPr="2AAB5048" w:rsidR="00D97B36">
        <w:rPr>
          <w:lang w:val="en-US"/>
        </w:rPr>
        <w:t xml:space="preserve">, J.D., Johnson, S., O’Connell, M.E., Viger, M., </w:t>
      </w:r>
      <w:r w:rsidRPr="2AAB5048" w:rsidR="00D97B36">
        <w:rPr>
          <w:lang w:val="en-US"/>
        </w:rPr>
        <w:t>Muhajarine</w:t>
      </w:r>
      <w:r w:rsidRPr="2AAB5048" w:rsidR="00D97B36">
        <w:rPr>
          <w:lang w:val="en-US"/>
        </w:rPr>
        <w:t xml:space="preserve">, N., Hackett, P., Jeffery, B., Novik, N. and McIntosh, T. (2022). Stigma reduction interventions </w:t>
      </w:r>
      <w:bookmarkStart w:name="_Int_cJLSOZ2u" w:id="919610742"/>
      <w:r w:rsidRPr="2AAB5048" w:rsidR="00D97B36">
        <w:rPr>
          <w:lang w:val="en-US"/>
        </w:rPr>
        <w:t>of</w:t>
      </w:r>
      <w:bookmarkEnd w:id="919610742"/>
      <w:r w:rsidRPr="2AAB5048" w:rsidR="00D97B36">
        <w:rPr>
          <w:lang w:val="en-US"/>
        </w:rPr>
        <w:t xml:space="preserve"> dementia: a scoping review. </w:t>
      </w:r>
      <w:r w:rsidRPr="2AAB5048" w:rsidR="00D97B36">
        <w:rPr>
          <w:i w:val="1"/>
          <w:iCs w:val="1"/>
          <w:lang w:val="en-US"/>
        </w:rPr>
        <w:t xml:space="preserve">Canadian Journal on Aging/La Revue Canadienne Du </w:t>
      </w:r>
      <w:r w:rsidRPr="2AAB5048" w:rsidR="00D97B36">
        <w:rPr>
          <w:i w:val="1"/>
          <w:iCs w:val="1"/>
          <w:lang w:val="en-US"/>
        </w:rPr>
        <w:t>Vieillissement</w:t>
      </w:r>
      <w:r w:rsidRPr="2AAB5048" w:rsidR="00D97B36">
        <w:rPr>
          <w:lang w:val="en-US"/>
        </w:rPr>
        <w:t xml:space="preserve">, </w:t>
      </w:r>
      <w:r w:rsidRPr="2AAB5048" w:rsidR="00D97B36">
        <w:rPr>
          <w:i w:val="1"/>
          <w:iCs w:val="1"/>
          <w:lang w:val="en-US"/>
        </w:rPr>
        <w:t>41</w:t>
      </w:r>
      <w:r w:rsidRPr="2AAB5048" w:rsidR="00D97B36">
        <w:rPr>
          <w:lang w:val="en-US"/>
        </w:rPr>
        <w:t>(2), pp.203-213</w:t>
      </w:r>
      <w:r w:rsidRPr="2AAB5048" w:rsidR="00D97B36">
        <w:rPr>
          <w:lang w:val="en-US"/>
        </w:rPr>
        <w:t xml:space="preserve">.  </w:t>
      </w:r>
      <w:r w:rsidRPr="2AAB5048" w:rsidR="00D97B36">
        <w:rPr>
          <w:lang w:val="en-US"/>
        </w:rPr>
        <w:t>Available at: https://www.cambridge.org/core/journals/canadian-journal-on-aging-la-revue-canadienne-du-vieillissement/article/stigma-reduction-interventions-of-dementia-a-scoping-review/CA25D77824AACD1ED07E4564797962C0 [Accessed on: 3</w:t>
      </w:r>
      <w:r w:rsidRPr="2AAB5048" w:rsidR="00D97B36">
        <w:rPr>
          <w:vertAlign w:val="superscript"/>
          <w:lang w:val="en-US"/>
        </w:rPr>
        <w:t>rd</w:t>
      </w:r>
      <w:r w:rsidRPr="2AAB5048" w:rsidR="00D97B36">
        <w:rPr>
          <w:lang w:val="en-US"/>
        </w:rPr>
        <w:t xml:space="preserve"> Mar. 2026]</w:t>
      </w:r>
    </w:p>
    <w:p w:rsidRPr="00D97B36" w:rsidR="00D97B36" w:rsidP="2AAB5048" w:rsidRDefault="00D97B36" w14:paraId="5B7A467E" w14:textId="77777777">
      <w:pPr>
        <w:pStyle w:val="ListParagraph"/>
        <w:numPr>
          <w:ilvl w:val="0"/>
          <w:numId w:val="6"/>
        </w:numPr>
        <w:spacing w:line="360" w:lineRule="auto"/>
        <w:jc w:val="both"/>
        <w:rPr>
          <w:lang w:val="en-IN"/>
        </w:rPr>
      </w:pPr>
      <w:r w:rsidRPr="2AAB5048" w:rsidR="00D97B36">
        <w:rPr>
          <w:lang w:val="en-IN"/>
        </w:rPr>
        <w:t xml:space="preserve">Baker, C. (2016). Dementia: age and deprivation differences. </w:t>
      </w:r>
      <w:r w:rsidRPr="2AAB5048" w:rsidR="00D97B36">
        <w:rPr>
          <w:i w:val="1"/>
          <w:iCs w:val="1"/>
          <w:lang w:val="en-IN"/>
        </w:rPr>
        <w:t>commonslibrary.parliament.uk</w:t>
      </w:r>
      <w:r w:rsidRPr="2AAB5048" w:rsidR="00D97B36">
        <w:rPr>
          <w:lang w:val="en-IN"/>
        </w:rPr>
        <w:t xml:space="preserve">. [online] Available at: https://commonslibrary.parliament.uk/dementia-age-and-deprivation-differences/. </w:t>
      </w:r>
      <w:r w:rsidR="00D97B36">
        <w:rPr/>
        <w:t>[Accessed on: 3</w:t>
      </w:r>
      <w:r w:rsidRPr="2AAB5048" w:rsidR="00D97B36">
        <w:rPr>
          <w:vertAlign w:val="superscript"/>
        </w:rPr>
        <w:t>rd</w:t>
      </w:r>
      <w:r w:rsidR="00D97B36">
        <w:rPr/>
        <w:t xml:space="preserve"> Mar. 2026]</w:t>
      </w:r>
    </w:p>
    <w:p w:rsidRPr="00BB558E" w:rsidR="00D97B36" w:rsidP="2AAB5048" w:rsidRDefault="00D97B36" w14:paraId="7CEF2D6E" w14:textId="77777777">
      <w:pPr>
        <w:pStyle w:val="ListParagraph"/>
        <w:numPr>
          <w:ilvl w:val="0"/>
          <w:numId w:val="6"/>
        </w:numPr>
        <w:spacing w:line="360" w:lineRule="auto"/>
        <w:jc w:val="both"/>
        <w:rPr>
          <w:lang w:val="en-US"/>
        </w:rPr>
      </w:pPr>
      <w:r w:rsidRPr="2AAB5048" w:rsidR="00D97B36">
        <w:rPr>
          <w:lang w:val="en-US"/>
        </w:rPr>
        <w:t>Bergqvist, M., Bastholm-</w:t>
      </w:r>
      <w:r w:rsidRPr="2AAB5048" w:rsidR="00D97B36">
        <w:rPr>
          <w:lang w:val="en-US"/>
        </w:rPr>
        <w:t>Rahmner</w:t>
      </w:r>
      <w:r w:rsidRPr="2AAB5048" w:rsidR="00D97B36">
        <w:rPr>
          <w:lang w:val="en-US"/>
        </w:rPr>
        <w:t xml:space="preserve">, P., Modig, K. and Schmidt-Mende, K. (2026). Challenges and needs in dementia care: people with dementia and family caregivers’ experiences from diagnosis to follow-up in Swedish primary care: a qualitative study. </w:t>
      </w:r>
      <w:r w:rsidRPr="2AAB5048" w:rsidR="00D97B36">
        <w:rPr>
          <w:i w:val="1"/>
          <w:iCs w:val="1"/>
          <w:lang w:val="en-US"/>
        </w:rPr>
        <w:t>Scandinavian Journal of Primary Health Care</w:t>
      </w:r>
      <w:r w:rsidRPr="2AAB5048" w:rsidR="00D97B36">
        <w:rPr>
          <w:lang w:val="en-US"/>
        </w:rPr>
        <w:t xml:space="preserve">, </w:t>
      </w:r>
      <w:r w:rsidRPr="2AAB5048" w:rsidR="00D97B36">
        <w:rPr>
          <w:i w:val="1"/>
          <w:iCs w:val="1"/>
          <w:lang w:val="en-US"/>
        </w:rPr>
        <w:t>44</w:t>
      </w:r>
      <w:r w:rsidRPr="2AAB5048" w:rsidR="00D97B36">
        <w:rPr>
          <w:lang w:val="en-US"/>
        </w:rPr>
        <w:t>(1), pp</w:t>
      </w:r>
      <w:bookmarkStart w:name="_Int_EH7RLTOV" w:id="276655114"/>
      <w:r w:rsidRPr="2AAB5048" w:rsidR="00D97B36">
        <w:rPr>
          <w:lang w:val="en-US"/>
        </w:rPr>
        <w:t>.1</w:t>
      </w:r>
      <w:bookmarkEnd w:id="276655114"/>
      <w:r w:rsidRPr="2AAB5048" w:rsidR="00D97B36">
        <w:rPr>
          <w:lang w:val="en-US"/>
        </w:rPr>
        <w:t>-14</w:t>
      </w:r>
      <w:r w:rsidRPr="2AAB5048" w:rsidR="00D97B36">
        <w:rPr>
          <w:lang w:val="en-US"/>
        </w:rPr>
        <w:t xml:space="preserve">.  </w:t>
      </w:r>
      <w:r w:rsidRPr="2AAB5048" w:rsidR="00D97B36">
        <w:rPr>
          <w:lang w:val="en-US"/>
        </w:rPr>
        <w:t>Available at: https://www.tandfonline.com/doi/abs/10.1080/02813432.2025.2529414 [Accessed on: 2</w:t>
      </w:r>
      <w:r w:rsidRPr="2AAB5048" w:rsidR="00D97B36">
        <w:rPr>
          <w:vertAlign w:val="superscript"/>
          <w:lang w:val="en-US"/>
        </w:rPr>
        <w:t>nd</w:t>
      </w:r>
      <w:r w:rsidRPr="2AAB5048" w:rsidR="00D97B36">
        <w:rPr>
          <w:lang w:val="en-US"/>
        </w:rPr>
        <w:t xml:space="preserve"> Mar. 2026]</w:t>
      </w:r>
    </w:p>
    <w:p w:rsidRPr="00BB558E" w:rsidR="00D97B36" w:rsidP="2AAB5048" w:rsidRDefault="00D97B36" w14:paraId="7EAED71C" w14:textId="77777777">
      <w:pPr>
        <w:pStyle w:val="ListParagraph"/>
        <w:numPr>
          <w:ilvl w:val="0"/>
          <w:numId w:val="6"/>
        </w:numPr>
        <w:spacing w:line="360" w:lineRule="auto"/>
        <w:jc w:val="both"/>
        <w:rPr>
          <w:lang w:val="en-US"/>
        </w:rPr>
      </w:pPr>
      <w:r w:rsidRPr="2AAB5048" w:rsidR="00D97B36">
        <w:rPr>
          <w:lang w:val="en-US"/>
        </w:rPr>
        <w:t>Bernstein Sideman, A., Al-Rousan, T., Tsoy, E., Piña Escudero, S.D., Pintado-</w:t>
      </w:r>
      <w:r w:rsidRPr="2AAB5048" w:rsidR="00D97B36">
        <w:rPr>
          <w:lang w:val="en-US"/>
        </w:rPr>
        <w:t>Caipa</w:t>
      </w:r>
      <w:r w:rsidRPr="2AAB5048" w:rsidR="00D97B36">
        <w:rPr>
          <w:lang w:val="en-US"/>
        </w:rPr>
        <w:t xml:space="preserve">, M., </w:t>
      </w:r>
      <w:r w:rsidRPr="2AAB5048" w:rsidR="00D97B36">
        <w:rPr>
          <w:lang w:val="en-US"/>
        </w:rPr>
        <w:t>Kanjanapong</w:t>
      </w:r>
      <w:r w:rsidRPr="2AAB5048" w:rsidR="00D97B36">
        <w:rPr>
          <w:lang w:val="en-US"/>
        </w:rPr>
        <w:t xml:space="preserve">, S., </w:t>
      </w:r>
      <w:r w:rsidRPr="2AAB5048" w:rsidR="00D97B36">
        <w:rPr>
          <w:lang w:val="en-US"/>
        </w:rPr>
        <w:t>Mbakile-Mahlanza</w:t>
      </w:r>
      <w:r w:rsidRPr="2AAB5048" w:rsidR="00D97B36">
        <w:rPr>
          <w:lang w:val="en-US"/>
        </w:rPr>
        <w:t xml:space="preserve">, L., Okada de Oliveira, M., De la Cruz-Puebla, M., </w:t>
      </w:r>
      <w:r w:rsidRPr="2AAB5048" w:rsidR="00D97B36">
        <w:rPr>
          <w:lang w:val="en-US"/>
        </w:rPr>
        <w:t>Zygouris</w:t>
      </w:r>
      <w:r w:rsidRPr="2AAB5048" w:rsidR="00D97B36">
        <w:rPr>
          <w:lang w:val="en-US"/>
        </w:rPr>
        <w:t xml:space="preserve">, S. and Ashour Mohamed, A. (2022). Facilitators and barriers to dementia assessment and diagnosis: perspectives from dementia experts within a global health context. </w:t>
      </w:r>
      <w:r w:rsidRPr="2AAB5048" w:rsidR="00D97B36">
        <w:rPr>
          <w:i w:val="1"/>
          <w:iCs w:val="1"/>
          <w:lang w:val="en-US"/>
        </w:rPr>
        <w:t xml:space="preserve">Frontiers in </w:t>
      </w:r>
      <w:r w:rsidRPr="2AAB5048" w:rsidR="00D97B36">
        <w:rPr>
          <w:i w:val="1"/>
          <w:iCs w:val="1"/>
          <w:lang w:val="en-US"/>
        </w:rPr>
        <w:t>Neurology</w:t>
      </w:r>
      <w:r w:rsidRPr="2AAB5048" w:rsidR="00D97B36">
        <w:rPr>
          <w:lang w:val="en-US"/>
        </w:rPr>
        <w:t xml:space="preserve">, </w:t>
      </w:r>
      <w:r w:rsidRPr="2AAB5048" w:rsidR="00D97B36">
        <w:rPr>
          <w:i w:val="1"/>
          <w:iCs w:val="1"/>
          <w:lang w:val="en-US"/>
        </w:rPr>
        <w:t>13</w:t>
      </w:r>
      <w:r w:rsidRPr="2AAB5048" w:rsidR="00D97B36">
        <w:rPr>
          <w:lang w:val="en-US"/>
        </w:rPr>
        <w:t>, pp.769360</w:t>
      </w:r>
      <w:r w:rsidRPr="2AAB5048" w:rsidR="00D97B36">
        <w:rPr>
          <w:lang w:val="en-US"/>
        </w:rPr>
        <w:t xml:space="preserve">.  </w:t>
      </w:r>
      <w:r w:rsidRPr="2AAB5048" w:rsidR="00D97B36">
        <w:rPr>
          <w:lang w:val="en-US"/>
        </w:rPr>
        <w:t>Available at: https://www.frontiersin.org/journals/neurology/articles/10.3389/fneur.2022.769360/full [Accessed on: 3</w:t>
      </w:r>
      <w:r w:rsidRPr="2AAB5048" w:rsidR="00D97B36">
        <w:rPr>
          <w:vertAlign w:val="superscript"/>
          <w:lang w:val="en-US"/>
        </w:rPr>
        <w:t>rd</w:t>
      </w:r>
      <w:r w:rsidRPr="2AAB5048" w:rsidR="00D97B36">
        <w:rPr>
          <w:lang w:val="en-US"/>
        </w:rPr>
        <w:t xml:space="preserve"> Mar. 2026]</w:t>
      </w:r>
    </w:p>
    <w:p w:rsidRPr="00BB558E" w:rsidR="00D97B36" w:rsidP="2AAB5048" w:rsidRDefault="00D97B36" w14:paraId="147F3AA5" w14:textId="77777777">
      <w:pPr>
        <w:pStyle w:val="ListParagraph"/>
        <w:numPr>
          <w:ilvl w:val="0"/>
          <w:numId w:val="6"/>
        </w:numPr>
        <w:spacing w:line="360" w:lineRule="auto"/>
        <w:jc w:val="both"/>
        <w:rPr>
          <w:lang w:val="en-US"/>
        </w:rPr>
      </w:pPr>
      <w:r w:rsidRPr="2AAB5048" w:rsidR="00D97B36">
        <w:rPr>
          <w:lang w:val="en-US"/>
        </w:rPr>
        <w:t xml:space="preserve">Biondo, F., Jewell, A., Pritchard, M., Aarsland, D., Steves, C.J., Mueller, </w:t>
      </w:r>
      <w:r w:rsidRPr="2AAB5048" w:rsidR="00D97B36">
        <w:rPr>
          <w:lang w:val="en-US"/>
        </w:rPr>
        <w:t>C.</w:t>
      </w:r>
      <w:r w:rsidRPr="2AAB5048" w:rsidR="00D97B36">
        <w:rPr>
          <w:lang w:val="en-US"/>
        </w:rPr>
        <w:t xml:space="preserve"> and Cole, J.H. (2022). Brain-age is associated with progression to dementia in memory clinic patients. </w:t>
      </w:r>
      <w:r w:rsidRPr="2AAB5048" w:rsidR="00D97B36">
        <w:rPr>
          <w:i w:val="1"/>
          <w:iCs w:val="1"/>
          <w:lang w:val="en-US"/>
        </w:rPr>
        <w:t>NeuroImage</w:t>
      </w:r>
      <w:r w:rsidRPr="2AAB5048" w:rsidR="00D97B36">
        <w:rPr>
          <w:i w:val="1"/>
          <w:iCs w:val="1"/>
          <w:lang w:val="en-US"/>
        </w:rPr>
        <w:t>: Clinical</w:t>
      </w:r>
      <w:r w:rsidRPr="2AAB5048" w:rsidR="00D97B36">
        <w:rPr>
          <w:lang w:val="en-US"/>
        </w:rPr>
        <w:t xml:space="preserve">, </w:t>
      </w:r>
      <w:r w:rsidRPr="2AAB5048" w:rsidR="00D97B36">
        <w:rPr>
          <w:i w:val="1"/>
          <w:iCs w:val="1"/>
          <w:lang w:val="en-US"/>
        </w:rPr>
        <w:t>36</w:t>
      </w:r>
      <w:r w:rsidRPr="2AAB5048" w:rsidR="00D97B36">
        <w:rPr>
          <w:lang w:val="en-US"/>
        </w:rPr>
        <w:t>, pp.103-175</w:t>
      </w:r>
      <w:r w:rsidRPr="2AAB5048" w:rsidR="00D97B36">
        <w:rPr>
          <w:lang w:val="en-US"/>
        </w:rPr>
        <w:t xml:space="preserve">.  </w:t>
      </w:r>
      <w:r w:rsidRPr="2AAB5048" w:rsidR="00D97B36">
        <w:rPr>
          <w:lang w:val="en-US"/>
        </w:rPr>
        <w:t>Available at: https://www.sciencedirect.com/science/article/pii/S2213158222002406 [Accessed on: 3</w:t>
      </w:r>
      <w:r w:rsidRPr="2AAB5048" w:rsidR="00D97B36">
        <w:rPr>
          <w:vertAlign w:val="superscript"/>
          <w:lang w:val="en-US"/>
        </w:rPr>
        <w:t>rd</w:t>
      </w:r>
      <w:r w:rsidRPr="2AAB5048" w:rsidR="00D97B36">
        <w:rPr>
          <w:lang w:val="en-US"/>
        </w:rPr>
        <w:t xml:space="preserve"> Mar. 2026]</w:t>
      </w:r>
    </w:p>
    <w:p w:rsidRPr="00BB558E" w:rsidR="00D97B36" w:rsidP="2AAB5048" w:rsidRDefault="00D97B36" w14:paraId="6FF98DF3" w14:textId="77777777">
      <w:pPr>
        <w:pStyle w:val="ListParagraph"/>
        <w:numPr>
          <w:ilvl w:val="0"/>
          <w:numId w:val="6"/>
        </w:numPr>
        <w:spacing w:line="360" w:lineRule="auto"/>
        <w:jc w:val="both"/>
        <w:rPr>
          <w:lang w:val="en-US"/>
        </w:rPr>
      </w:pPr>
      <w:r w:rsidRPr="2AAB5048" w:rsidR="00D97B36">
        <w:rPr>
          <w:lang w:val="en-US"/>
        </w:rPr>
        <w:t xml:space="preserve">Boyle, L.D., </w:t>
      </w:r>
      <w:r w:rsidRPr="2AAB5048" w:rsidR="00D97B36">
        <w:rPr>
          <w:lang w:val="en-US"/>
        </w:rPr>
        <w:t>Husebo</w:t>
      </w:r>
      <w:r w:rsidRPr="2AAB5048" w:rsidR="00D97B36">
        <w:rPr>
          <w:lang w:val="en-US"/>
        </w:rPr>
        <w:t xml:space="preserve">, B.S. and Vislapuu, M. (2022). Promotors and barriers to the implementation and adoption of assistive technology and telecare for people with dementia and their caregivers: a systematic review of the literature. </w:t>
      </w:r>
      <w:r w:rsidRPr="2AAB5048" w:rsidR="00D97B36">
        <w:rPr>
          <w:i w:val="1"/>
          <w:iCs w:val="1"/>
          <w:lang w:val="en-US"/>
        </w:rPr>
        <w:t>BMC Health Services Research</w:t>
      </w:r>
      <w:r w:rsidRPr="2AAB5048" w:rsidR="00D97B36">
        <w:rPr>
          <w:lang w:val="en-US"/>
        </w:rPr>
        <w:t xml:space="preserve">, </w:t>
      </w:r>
      <w:r w:rsidRPr="2AAB5048" w:rsidR="00D97B36">
        <w:rPr>
          <w:i w:val="1"/>
          <w:iCs w:val="1"/>
          <w:lang w:val="en-US"/>
        </w:rPr>
        <w:t>22</w:t>
      </w:r>
      <w:r w:rsidRPr="2AAB5048" w:rsidR="00D97B36">
        <w:rPr>
          <w:lang w:val="en-US"/>
        </w:rPr>
        <w:t>(1), pp</w:t>
      </w:r>
      <w:bookmarkStart w:name="_Int_bI5i7a2U" w:id="2011151964"/>
      <w:r w:rsidRPr="2AAB5048" w:rsidR="00D97B36">
        <w:rPr>
          <w:lang w:val="en-US"/>
        </w:rPr>
        <w:t>.1573</w:t>
      </w:r>
      <w:bookmarkEnd w:id="2011151964"/>
      <w:r w:rsidRPr="2AAB5048" w:rsidR="00D97B36">
        <w:rPr>
          <w:lang w:val="en-US"/>
        </w:rPr>
        <w:t xml:space="preserve">.  </w:t>
      </w:r>
      <w:r w:rsidRPr="2AAB5048" w:rsidR="00D97B36">
        <w:rPr>
          <w:lang w:val="en-US"/>
        </w:rPr>
        <w:t>Available at: https://link.springer.com/article/10.1186/s12913-022-08968-2 [Accessed on: 3</w:t>
      </w:r>
      <w:r w:rsidRPr="2AAB5048" w:rsidR="00D97B36">
        <w:rPr>
          <w:vertAlign w:val="superscript"/>
          <w:lang w:val="en-US"/>
        </w:rPr>
        <w:t>rd</w:t>
      </w:r>
      <w:r w:rsidRPr="2AAB5048" w:rsidR="00D97B36">
        <w:rPr>
          <w:lang w:val="en-US"/>
        </w:rPr>
        <w:t xml:space="preserve"> Mar. 2026]</w:t>
      </w:r>
    </w:p>
    <w:p w:rsidRPr="00BB558E" w:rsidR="00D97B36" w:rsidP="2AAB5048" w:rsidRDefault="00D97B36" w14:paraId="53C7A474" w14:textId="77777777">
      <w:pPr>
        <w:pStyle w:val="ListParagraph"/>
        <w:numPr>
          <w:ilvl w:val="0"/>
          <w:numId w:val="6"/>
        </w:numPr>
        <w:spacing w:line="360" w:lineRule="auto"/>
        <w:jc w:val="both"/>
        <w:rPr>
          <w:lang w:val="en-US"/>
        </w:rPr>
      </w:pPr>
      <w:r w:rsidRPr="2AAB5048" w:rsidR="00D97B36">
        <w:rPr>
          <w:lang w:val="en-US"/>
        </w:rPr>
        <w:t xml:space="preserve">Brent, R.J. (2023). Cost-benefit analysis versus cost-effectiveness analysis from a societal perspective in healthcare. </w:t>
      </w:r>
      <w:r w:rsidRPr="2AAB5048" w:rsidR="00D97B36">
        <w:rPr>
          <w:i w:val="1"/>
          <w:iCs w:val="1"/>
          <w:lang w:val="en-US"/>
        </w:rPr>
        <w:t>International Journal of Environmental Research and Public Health</w:t>
      </w:r>
      <w:r w:rsidRPr="2AAB5048" w:rsidR="00D97B36">
        <w:rPr>
          <w:lang w:val="en-US"/>
        </w:rPr>
        <w:t xml:space="preserve">, </w:t>
      </w:r>
      <w:r w:rsidRPr="2AAB5048" w:rsidR="00D97B36">
        <w:rPr>
          <w:i w:val="1"/>
          <w:iCs w:val="1"/>
          <w:lang w:val="en-US"/>
        </w:rPr>
        <w:t>20</w:t>
      </w:r>
      <w:r w:rsidRPr="2AAB5048" w:rsidR="00D97B36">
        <w:rPr>
          <w:lang w:val="en-US"/>
        </w:rPr>
        <w:t>(5), pp</w:t>
      </w:r>
      <w:bookmarkStart w:name="_Int_M3HoFwAE" w:id="485485108"/>
      <w:r w:rsidRPr="2AAB5048" w:rsidR="00D97B36">
        <w:rPr>
          <w:lang w:val="en-US"/>
        </w:rPr>
        <w:t>.4637</w:t>
      </w:r>
      <w:bookmarkEnd w:id="485485108"/>
      <w:r w:rsidRPr="2AAB5048" w:rsidR="00D97B36">
        <w:rPr>
          <w:lang w:val="en-US"/>
        </w:rPr>
        <w:t xml:space="preserve">.  </w:t>
      </w:r>
      <w:r w:rsidRPr="2AAB5048" w:rsidR="00D97B36">
        <w:rPr>
          <w:lang w:val="en-US"/>
        </w:rPr>
        <w:t>Available at: https://www.mdpi.com/1660-4601/20/5/4637 [Accessed on: 3</w:t>
      </w:r>
      <w:r w:rsidRPr="2AAB5048" w:rsidR="00D97B36">
        <w:rPr>
          <w:vertAlign w:val="superscript"/>
          <w:lang w:val="en-US"/>
        </w:rPr>
        <w:t>rd</w:t>
      </w:r>
      <w:r w:rsidRPr="2AAB5048" w:rsidR="00D97B36">
        <w:rPr>
          <w:lang w:val="en-US"/>
        </w:rPr>
        <w:t xml:space="preserve"> Mar. 2026]</w:t>
      </w:r>
    </w:p>
    <w:p w:rsidRPr="00BB558E" w:rsidR="00D97B36" w:rsidP="2AAB5048" w:rsidRDefault="00D97B36" w14:paraId="2CFCD5AD" w14:textId="77777777">
      <w:pPr>
        <w:pStyle w:val="ListParagraph"/>
        <w:numPr>
          <w:ilvl w:val="0"/>
          <w:numId w:val="6"/>
        </w:numPr>
        <w:spacing w:line="360" w:lineRule="auto"/>
        <w:jc w:val="both"/>
        <w:rPr>
          <w:lang w:val="en-US"/>
        </w:rPr>
      </w:pPr>
      <w:r w:rsidRPr="2AAB5048" w:rsidR="00D97B36">
        <w:rPr>
          <w:lang w:val="en-US"/>
        </w:rPr>
        <w:t xml:space="preserve">Burton, J.K., Wolters, A.T., Towers, A.M., Jones, L., Meyer, J., Gordon, A.L., Irvine, L., Hanratty, B., Spilsbury, K., Peryer, </w:t>
      </w:r>
      <w:r w:rsidRPr="2AAB5048" w:rsidR="00D97B36">
        <w:rPr>
          <w:lang w:val="en-US"/>
        </w:rPr>
        <w:t>G.</w:t>
      </w:r>
      <w:r w:rsidRPr="2AAB5048" w:rsidR="00D97B36">
        <w:rPr>
          <w:lang w:val="en-US"/>
        </w:rPr>
        <w:t xml:space="preserve"> and Rand, S. (2022). Developing a minimum data set for older adult care homes in the UK: exploring the concept and defining early core principles. </w:t>
      </w:r>
      <w:bookmarkStart w:name="_Int_ZNgWFQIt" w:id="1422228077"/>
      <w:r w:rsidRPr="2AAB5048" w:rsidR="00D97B36">
        <w:rPr>
          <w:i w:val="1"/>
          <w:iCs w:val="1"/>
          <w:lang w:val="en-US"/>
        </w:rPr>
        <w:t>The Lancet</w:t>
      </w:r>
      <w:bookmarkEnd w:id="1422228077"/>
      <w:r w:rsidRPr="2AAB5048" w:rsidR="00D97B36">
        <w:rPr>
          <w:i w:val="1"/>
          <w:iCs w:val="1"/>
          <w:lang w:val="en-US"/>
        </w:rPr>
        <w:t xml:space="preserve"> Healthy Longevity</w:t>
      </w:r>
      <w:r w:rsidRPr="2AAB5048" w:rsidR="00D97B36">
        <w:rPr>
          <w:lang w:val="en-US"/>
        </w:rPr>
        <w:t xml:space="preserve">, </w:t>
      </w:r>
      <w:r w:rsidRPr="2AAB5048" w:rsidR="00D97B36">
        <w:rPr>
          <w:i w:val="1"/>
          <w:iCs w:val="1"/>
          <w:lang w:val="en-US"/>
        </w:rPr>
        <w:t>3</w:t>
      </w:r>
      <w:r w:rsidRPr="2AAB5048" w:rsidR="00D97B36">
        <w:rPr>
          <w:lang w:val="en-US"/>
        </w:rPr>
        <w:t>(3), pp.186-193</w:t>
      </w:r>
      <w:r w:rsidRPr="2AAB5048" w:rsidR="00D97B36">
        <w:rPr>
          <w:lang w:val="en-US"/>
        </w:rPr>
        <w:t xml:space="preserve">.  </w:t>
      </w:r>
      <w:r w:rsidRPr="2AAB5048" w:rsidR="00D97B36">
        <w:rPr>
          <w:lang w:val="en-US"/>
        </w:rPr>
        <w:t>Available at: https://www.thelancet.com/journals/lanhl/article/PIIS2666-7568(22)00010-1/fulltext [Accessed on: 3</w:t>
      </w:r>
      <w:r w:rsidRPr="2AAB5048" w:rsidR="00D97B36">
        <w:rPr>
          <w:vertAlign w:val="superscript"/>
          <w:lang w:val="en-US"/>
        </w:rPr>
        <w:t>rd</w:t>
      </w:r>
      <w:r w:rsidRPr="2AAB5048" w:rsidR="00D97B36">
        <w:rPr>
          <w:lang w:val="en-US"/>
        </w:rPr>
        <w:t xml:space="preserve"> Mar. 2026]</w:t>
      </w:r>
    </w:p>
    <w:p w:rsidRPr="00BB558E" w:rsidR="00D97B36" w:rsidP="2AAB5048" w:rsidRDefault="00D97B36" w14:paraId="7A9E1806" w14:textId="77777777">
      <w:pPr>
        <w:pStyle w:val="ListParagraph"/>
        <w:numPr>
          <w:ilvl w:val="0"/>
          <w:numId w:val="6"/>
        </w:numPr>
        <w:spacing w:line="360" w:lineRule="auto"/>
        <w:jc w:val="both"/>
        <w:rPr/>
      </w:pPr>
      <w:r w:rsidR="00D97B36">
        <w:rPr/>
        <w:t xml:space="preserve">CQC (2022). </w:t>
      </w:r>
      <w:r w:rsidRPr="2AAB5048" w:rsidR="00D97B36">
        <w:rPr>
          <w:i w:val="1"/>
          <w:iCs w:val="1"/>
        </w:rPr>
        <w:t>Care Quality Commission</w:t>
      </w:r>
      <w:r w:rsidR="00D97B36">
        <w:rPr/>
        <w:t>. [online] https://www.cqc.org.uk/. Available at: https://www.cqc.org.uk/. [Accessed on: 2</w:t>
      </w:r>
      <w:r w:rsidRPr="2AAB5048" w:rsidR="00D97B36">
        <w:rPr>
          <w:vertAlign w:val="superscript"/>
        </w:rPr>
        <w:t>nd</w:t>
      </w:r>
      <w:r w:rsidR="00D97B36">
        <w:rPr/>
        <w:t xml:space="preserve"> Mar. 2026]</w:t>
      </w:r>
    </w:p>
    <w:p w:rsidRPr="00BB558E" w:rsidR="00D97B36" w:rsidP="2AAB5048" w:rsidRDefault="00D97B36" w14:paraId="1E0C97A4" w14:textId="77777777">
      <w:pPr>
        <w:pStyle w:val="ListParagraph"/>
        <w:numPr>
          <w:ilvl w:val="0"/>
          <w:numId w:val="6"/>
        </w:numPr>
        <w:spacing w:line="360" w:lineRule="auto"/>
        <w:jc w:val="both"/>
        <w:rPr/>
      </w:pPr>
      <w:r w:rsidR="00D97B36">
        <w:rPr/>
        <w:t xml:space="preserve">Dementia UK (2024). </w:t>
      </w:r>
      <w:r w:rsidRPr="2AAB5048" w:rsidR="00D97B36">
        <w:rPr>
          <w:i w:val="1"/>
          <w:iCs w:val="1"/>
        </w:rPr>
        <w:t>Dementia UK</w:t>
      </w:r>
      <w:r w:rsidR="00D97B36">
        <w:rPr/>
        <w:t>. [online] Dementia UK. Available at: https://www.dementiauk.org/. [Accessed on: 2</w:t>
      </w:r>
      <w:r w:rsidRPr="2AAB5048" w:rsidR="00D97B36">
        <w:rPr>
          <w:vertAlign w:val="superscript"/>
        </w:rPr>
        <w:t>nd</w:t>
      </w:r>
      <w:r w:rsidR="00D97B36">
        <w:rPr/>
        <w:t xml:space="preserve"> Mar. 2026]</w:t>
      </w:r>
    </w:p>
    <w:p w:rsidRPr="00BB558E" w:rsidR="00D97B36" w:rsidP="2AAB5048" w:rsidRDefault="00D97B36" w14:paraId="642232FC" w14:textId="77777777">
      <w:pPr>
        <w:pStyle w:val="ListParagraph"/>
        <w:numPr>
          <w:ilvl w:val="0"/>
          <w:numId w:val="6"/>
        </w:numPr>
        <w:spacing w:line="360" w:lineRule="auto"/>
        <w:jc w:val="both"/>
        <w:rPr>
          <w:lang w:val="en-US"/>
        </w:rPr>
      </w:pPr>
      <w:r w:rsidRPr="2AAB5048" w:rsidR="00D97B36">
        <w:rPr>
          <w:lang w:val="en-US"/>
        </w:rPr>
        <w:t>Duchowny</w:t>
      </w:r>
      <w:r w:rsidRPr="2AAB5048" w:rsidR="00D97B36">
        <w:rPr>
          <w:lang w:val="en-US"/>
        </w:rPr>
        <w:t xml:space="preserve">, K.A., Ackley, S.F., Brenowitz, W.D., Wang, J., Zimmerman, S.C., </w:t>
      </w:r>
      <w:r w:rsidRPr="2AAB5048" w:rsidR="00D97B36">
        <w:rPr>
          <w:lang w:val="en-US"/>
        </w:rPr>
        <w:t>Caunca</w:t>
      </w:r>
      <w:r w:rsidRPr="2AAB5048" w:rsidR="00D97B36">
        <w:rPr>
          <w:lang w:val="en-US"/>
        </w:rPr>
        <w:t xml:space="preserve">, M.R. and </w:t>
      </w:r>
      <w:r w:rsidRPr="2AAB5048" w:rsidR="00D97B36">
        <w:rPr>
          <w:lang w:val="en-US"/>
        </w:rPr>
        <w:t>Glymour</w:t>
      </w:r>
      <w:r w:rsidRPr="2AAB5048" w:rsidR="00D97B36">
        <w:rPr>
          <w:lang w:val="en-US"/>
        </w:rPr>
        <w:t xml:space="preserve">, M.M. (2022). Associations between handgrip strength and dementia risk, cognition, and neuroimaging outcomes in the UK biobank cohort study. </w:t>
      </w:r>
      <w:r w:rsidRPr="2AAB5048" w:rsidR="00D97B36">
        <w:rPr>
          <w:i w:val="1"/>
          <w:iCs w:val="1"/>
          <w:lang w:val="en-US"/>
        </w:rPr>
        <w:t>JAMA Network Open</w:t>
      </w:r>
      <w:r w:rsidRPr="2AAB5048" w:rsidR="00D97B36">
        <w:rPr>
          <w:lang w:val="en-US"/>
        </w:rPr>
        <w:t xml:space="preserve">, </w:t>
      </w:r>
      <w:r w:rsidRPr="2AAB5048" w:rsidR="00D97B36">
        <w:rPr>
          <w:i w:val="1"/>
          <w:iCs w:val="1"/>
          <w:lang w:val="en-US"/>
        </w:rPr>
        <w:t>5</w:t>
      </w:r>
      <w:r w:rsidRPr="2AAB5048" w:rsidR="00D97B36">
        <w:rPr>
          <w:lang w:val="en-US"/>
        </w:rPr>
        <w:t>(6), pp.2218314</w:t>
      </w:r>
      <w:r w:rsidRPr="2AAB5048" w:rsidR="00D97B36">
        <w:rPr>
          <w:lang w:val="en-US"/>
        </w:rPr>
        <w:t xml:space="preserve">.  </w:t>
      </w:r>
      <w:r w:rsidRPr="2AAB5048" w:rsidR="00D97B36">
        <w:rPr>
          <w:lang w:val="en-US"/>
        </w:rPr>
        <w:t>Available at: https://jamanetwork.com/journals/jamanetworkopen/article-abstract/2793510 [Accessed on: 3</w:t>
      </w:r>
      <w:r w:rsidRPr="2AAB5048" w:rsidR="00D97B36">
        <w:rPr>
          <w:vertAlign w:val="superscript"/>
          <w:lang w:val="en-US"/>
        </w:rPr>
        <w:t>rd</w:t>
      </w:r>
      <w:r w:rsidRPr="2AAB5048" w:rsidR="00D97B36">
        <w:rPr>
          <w:lang w:val="en-US"/>
        </w:rPr>
        <w:t xml:space="preserve"> Mar. 2026]</w:t>
      </w:r>
    </w:p>
    <w:p w:rsidRPr="00BB558E" w:rsidR="00D97B36" w:rsidP="2AAB5048" w:rsidRDefault="00D97B36" w14:paraId="0F0AE789" w14:textId="67E4F34C">
      <w:pPr>
        <w:pStyle w:val="ListParagraph"/>
        <w:numPr>
          <w:ilvl w:val="0"/>
          <w:numId w:val="6"/>
        </w:numPr>
        <w:spacing w:line="360" w:lineRule="auto"/>
        <w:jc w:val="both"/>
        <w:rPr>
          <w:lang w:val="en-US"/>
        </w:rPr>
      </w:pPr>
      <w:r w:rsidRPr="2AAB5048" w:rsidR="00D97B36">
        <w:rPr>
          <w:lang w:val="en-US"/>
        </w:rPr>
        <w:t>Duran-Kiraç, G., Uysal-</w:t>
      </w:r>
      <w:r w:rsidRPr="2AAB5048" w:rsidR="00D97B36">
        <w:rPr>
          <w:lang w:val="en-US"/>
        </w:rPr>
        <w:t>Bozkir</w:t>
      </w:r>
      <w:r w:rsidRPr="2AAB5048" w:rsidR="00D97B36">
        <w:rPr>
          <w:lang w:val="en-US"/>
        </w:rPr>
        <w:t xml:space="preserve">, Ö., </w:t>
      </w:r>
      <w:r w:rsidRPr="2AAB5048" w:rsidR="00D97B36">
        <w:rPr>
          <w:lang w:val="en-US"/>
        </w:rPr>
        <w:t>Uittenbroek</w:t>
      </w:r>
      <w:r w:rsidRPr="2AAB5048" w:rsidR="00D97B36">
        <w:rPr>
          <w:lang w:val="en-US"/>
        </w:rPr>
        <w:t xml:space="preserve">, R., van Hout, </w:t>
      </w:r>
      <w:r w:rsidRPr="2AAB5048" w:rsidR="00D97B36">
        <w:rPr>
          <w:lang w:val="en-US"/>
        </w:rPr>
        <w:t>H.</w:t>
      </w:r>
      <w:r w:rsidRPr="2AAB5048" w:rsidR="00D97B36">
        <w:rPr>
          <w:lang w:val="en-US"/>
        </w:rPr>
        <w:t xml:space="preserve"> and </w:t>
      </w:r>
      <w:r w:rsidRPr="2AAB5048" w:rsidR="00D97B36">
        <w:rPr>
          <w:lang w:val="en-US"/>
        </w:rPr>
        <w:t>Broese</w:t>
      </w:r>
      <w:r w:rsidRPr="2AAB5048" w:rsidR="00D97B36">
        <w:rPr>
          <w:lang w:val="en-US"/>
        </w:rPr>
        <w:t xml:space="preserve"> van </w:t>
      </w:r>
      <w:r w:rsidRPr="2AAB5048" w:rsidR="00D97B36">
        <w:rPr>
          <w:lang w:val="en-US"/>
        </w:rPr>
        <w:t>Groenou</w:t>
      </w:r>
      <w:r w:rsidRPr="2AAB5048" w:rsidR="00D97B36">
        <w:rPr>
          <w:lang w:val="en-US"/>
        </w:rPr>
        <w:t xml:space="preserve">, M.I. (2022). Accessibility of health care experienced by persons with dementia from ethnic minority groups and formal and informal caregivers: A scoping review of European literature. </w:t>
      </w:r>
      <w:r w:rsidRPr="2AAB5048" w:rsidR="00D97B36">
        <w:rPr>
          <w:i w:val="1"/>
          <w:iCs w:val="1"/>
          <w:lang w:val="en-US"/>
        </w:rPr>
        <w:t>Dementia</w:t>
      </w:r>
      <w:r w:rsidRPr="2AAB5048" w:rsidR="00D97B36">
        <w:rPr>
          <w:lang w:val="en-US"/>
        </w:rPr>
        <w:t xml:space="preserve">, </w:t>
      </w:r>
      <w:r w:rsidRPr="2AAB5048" w:rsidR="00D97B36">
        <w:rPr>
          <w:i w:val="1"/>
          <w:iCs w:val="1"/>
          <w:lang w:val="en-US"/>
        </w:rPr>
        <w:t>21</w:t>
      </w:r>
      <w:r w:rsidRPr="2AAB5048" w:rsidR="00D97B36">
        <w:rPr>
          <w:lang w:val="en-US"/>
        </w:rPr>
        <w:t>(2), pp</w:t>
      </w:r>
      <w:bookmarkStart w:name="_Int_jqaOGsfw" w:id="472742130"/>
      <w:r w:rsidRPr="2AAB5048" w:rsidR="042DE658">
        <w:rPr>
          <w:lang w:val="en-US"/>
        </w:rPr>
        <w:t>.677</w:t>
      </w:r>
      <w:bookmarkEnd w:id="472742130"/>
      <w:r w:rsidRPr="2AAB5048" w:rsidR="00D97B36">
        <w:rPr>
          <w:lang w:val="en-US"/>
        </w:rPr>
        <w:t>-700</w:t>
      </w:r>
      <w:r w:rsidRPr="2AAB5048" w:rsidR="00D97B36">
        <w:rPr>
          <w:lang w:val="en-US"/>
        </w:rPr>
        <w:t xml:space="preserve">.  </w:t>
      </w:r>
      <w:r w:rsidRPr="2AAB5048" w:rsidR="00D97B36">
        <w:rPr>
          <w:lang w:val="en-US"/>
        </w:rPr>
        <w:t>Available at: https://journals.sagepub.com/doi/abs/10.1177/14713012211055307 [Accessed on: 2</w:t>
      </w:r>
      <w:r w:rsidRPr="2AAB5048" w:rsidR="00D97B36">
        <w:rPr>
          <w:vertAlign w:val="superscript"/>
          <w:lang w:val="en-US"/>
        </w:rPr>
        <w:t>nd</w:t>
      </w:r>
      <w:r w:rsidRPr="2AAB5048" w:rsidR="00D97B36">
        <w:rPr>
          <w:lang w:val="en-US"/>
        </w:rPr>
        <w:t xml:space="preserve"> Mar. 2026]</w:t>
      </w:r>
    </w:p>
    <w:p w:rsidRPr="00BB558E" w:rsidR="00D97B36" w:rsidP="2AAB5048" w:rsidRDefault="00D97B36" w14:paraId="30611B28" w14:textId="79AC2E8B">
      <w:pPr>
        <w:pStyle w:val="ListParagraph"/>
        <w:numPr>
          <w:ilvl w:val="0"/>
          <w:numId w:val="6"/>
        </w:numPr>
        <w:spacing w:line="360" w:lineRule="auto"/>
        <w:jc w:val="both"/>
        <w:rPr>
          <w:lang w:val="en-US"/>
        </w:rPr>
      </w:pPr>
      <w:r w:rsidRPr="2AAB5048" w:rsidR="00D97B36">
        <w:rPr>
          <w:lang w:val="en-US"/>
        </w:rPr>
        <w:t>Duran-Kiraç, G., Uysal-</w:t>
      </w:r>
      <w:r w:rsidRPr="2AAB5048" w:rsidR="00D97B36">
        <w:rPr>
          <w:lang w:val="en-US"/>
        </w:rPr>
        <w:t>Bozkir</w:t>
      </w:r>
      <w:r w:rsidRPr="2AAB5048" w:rsidR="00D97B36">
        <w:rPr>
          <w:lang w:val="en-US"/>
        </w:rPr>
        <w:t xml:space="preserve">, Ö., </w:t>
      </w:r>
      <w:r w:rsidRPr="2AAB5048" w:rsidR="00D97B36">
        <w:rPr>
          <w:lang w:val="en-US"/>
        </w:rPr>
        <w:t>Uittenbroek</w:t>
      </w:r>
      <w:r w:rsidRPr="2AAB5048" w:rsidR="00D97B36">
        <w:rPr>
          <w:lang w:val="en-US"/>
        </w:rPr>
        <w:t xml:space="preserve">, R., van Hout, </w:t>
      </w:r>
      <w:r w:rsidRPr="2AAB5048" w:rsidR="00D97B36">
        <w:rPr>
          <w:lang w:val="en-US"/>
        </w:rPr>
        <w:t>H.</w:t>
      </w:r>
      <w:r w:rsidRPr="2AAB5048" w:rsidR="00D97B36">
        <w:rPr>
          <w:lang w:val="en-US"/>
        </w:rPr>
        <w:t xml:space="preserve"> and </w:t>
      </w:r>
      <w:r w:rsidRPr="2AAB5048" w:rsidR="00D97B36">
        <w:rPr>
          <w:lang w:val="en-US"/>
        </w:rPr>
        <w:t>Broese</w:t>
      </w:r>
      <w:r w:rsidRPr="2AAB5048" w:rsidR="00D97B36">
        <w:rPr>
          <w:lang w:val="en-US"/>
        </w:rPr>
        <w:t xml:space="preserve"> van </w:t>
      </w:r>
      <w:r w:rsidRPr="2AAB5048" w:rsidR="00D97B36">
        <w:rPr>
          <w:lang w:val="en-US"/>
        </w:rPr>
        <w:t>Groenou</w:t>
      </w:r>
      <w:r w:rsidRPr="2AAB5048" w:rsidR="00D97B36">
        <w:rPr>
          <w:lang w:val="en-US"/>
        </w:rPr>
        <w:t xml:space="preserve">, M.I. (2022). Accessibility of health care experienced by persons with dementia from ethnic minority groups and formal and informal caregivers: A scoping review of European literature. </w:t>
      </w:r>
      <w:r w:rsidRPr="2AAB5048" w:rsidR="00D97B36">
        <w:rPr>
          <w:i w:val="1"/>
          <w:iCs w:val="1"/>
          <w:lang w:val="en-US"/>
        </w:rPr>
        <w:t>Dementia</w:t>
      </w:r>
      <w:r w:rsidRPr="2AAB5048" w:rsidR="00D97B36">
        <w:rPr>
          <w:lang w:val="en-US"/>
        </w:rPr>
        <w:t xml:space="preserve">, </w:t>
      </w:r>
      <w:r w:rsidRPr="2AAB5048" w:rsidR="00D97B36">
        <w:rPr>
          <w:i w:val="1"/>
          <w:iCs w:val="1"/>
          <w:lang w:val="en-US"/>
        </w:rPr>
        <w:t>21</w:t>
      </w:r>
      <w:r w:rsidRPr="2AAB5048" w:rsidR="00D97B36">
        <w:rPr>
          <w:lang w:val="en-US"/>
        </w:rPr>
        <w:t>(2), pp</w:t>
      </w:r>
      <w:bookmarkStart w:name="_Int_CCk7jUGT" w:id="2061803554"/>
      <w:r w:rsidRPr="2AAB5048" w:rsidR="00D97B36">
        <w:rPr>
          <w:lang w:val="en-US"/>
        </w:rPr>
        <w:t>.677</w:t>
      </w:r>
      <w:bookmarkEnd w:id="2061803554"/>
      <w:r w:rsidRPr="2AAB5048" w:rsidR="00D97B36">
        <w:rPr>
          <w:lang w:val="en-US"/>
        </w:rPr>
        <w:t>-700</w:t>
      </w:r>
      <w:r w:rsidRPr="2AAB5048" w:rsidR="00D97B36">
        <w:rPr>
          <w:lang w:val="en-US"/>
        </w:rPr>
        <w:t xml:space="preserve">. </w:t>
      </w:r>
      <w:r w:rsidRPr="2AAB5048" w:rsidR="00D97B36">
        <w:rPr>
          <w:lang w:val="en-US"/>
        </w:rPr>
        <w:t>Available at: https://journals.sagepub.com/doi/abs/10.1177/14713012211055307 [Accessed on: 3</w:t>
      </w:r>
      <w:r w:rsidRPr="2AAB5048" w:rsidR="00D97B36">
        <w:rPr>
          <w:vertAlign w:val="superscript"/>
          <w:lang w:val="en-US"/>
        </w:rPr>
        <w:t>rd</w:t>
      </w:r>
      <w:r w:rsidRPr="2AAB5048" w:rsidR="00D97B36">
        <w:rPr>
          <w:lang w:val="en-US"/>
        </w:rPr>
        <w:t xml:space="preserve"> Mar. 2026]</w:t>
      </w:r>
    </w:p>
    <w:p w:rsidRPr="00BB558E" w:rsidR="00D97B36" w:rsidP="2AAB5048" w:rsidRDefault="00D97B36" w14:paraId="185BA3B4" w14:textId="77777777">
      <w:pPr>
        <w:pStyle w:val="ListParagraph"/>
        <w:numPr>
          <w:ilvl w:val="0"/>
          <w:numId w:val="6"/>
        </w:numPr>
        <w:spacing w:line="360" w:lineRule="auto"/>
        <w:jc w:val="both"/>
        <w:rPr>
          <w:lang w:val="en-US"/>
        </w:rPr>
      </w:pPr>
      <w:r w:rsidRPr="2AAB5048" w:rsidR="00D97B36">
        <w:rPr>
          <w:lang w:val="en-US"/>
        </w:rPr>
        <w:t>Frank, P., Singh-</w:t>
      </w:r>
      <w:r w:rsidRPr="2AAB5048" w:rsidR="00D97B36">
        <w:rPr>
          <w:lang w:val="en-US"/>
        </w:rPr>
        <w:t>Manoux</w:t>
      </w:r>
      <w:r w:rsidRPr="2AAB5048" w:rsidR="00D97B36">
        <w:rPr>
          <w:lang w:val="en-US"/>
        </w:rPr>
        <w:t xml:space="preserve">, A., Pentti, J., Batty, G.D., </w:t>
      </w:r>
      <w:r w:rsidRPr="2AAB5048" w:rsidR="00D97B36">
        <w:rPr>
          <w:lang w:val="en-US"/>
        </w:rPr>
        <w:t>Sommerlad</w:t>
      </w:r>
      <w:r w:rsidRPr="2AAB5048" w:rsidR="00D97B36">
        <w:rPr>
          <w:lang w:val="en-US"/>
        </w:rPr>
        <w:t xml:space="preserve">, A., Steptoe, A., Livingston, G., Howard, R. and Kivimäki, M. (2026). Specific midlife depressive symptoms and long-term dementia risk: a 23-year UK prospective cohort study. </w:t>
      </w:r>
      <w:bookmarkStart w:name="_Int_p9v9Zgg8" w:id="1246196961"/>
      <w:r w:rsidRPr="2AAB5048" w:rsidR="00D97B36">
        <w:rPr>
          <w:i w:val="1"/>
          <w:iCs w:val="1"/>
          <w:lang w:val="en-US"/>
        </w:rPr>
        <w:t>The Lancet</w:t>
      </w:r>
      <w:bookmarkEnd w:id="1246196961"/>
      <w:r w:rsidRPr="2AAB5048" w:rsidR="00D97B36">
        <w:rPr>
          <w:i w:val="1"/>
          <w:iCs w:val="1"/>
          <w:lang w:val="en-US"/>
        </w:rPr>
        <w:t xml:space="preserve"> Psychiatry</w:t>
      </w:r>
      <w:r w:rsidRPr="2AAB5048" w:rsidR="00D97B36">
        <w:rPr>
          <w:lang w:val="en-US"/>
        </w:rPr>
        <w:t xml:space="preserve">, </w:t>
      </w:r>
      <w:r w:rsidRPr="2AAB5048" w:rsidR="00D97B36">
        <w:rPr>
          <w:i w:val="1"/>
          <w:iCs w:val="1"/>
          <w:lang w:val="en-US"/>
        </w:rPr>
        <w:t>13</w:t>
      </w:r>
      <w:r w:rsidRPr="2AAB5048" w:rsidR="00D97B36">
        <w:rPr>
          <w:lang w:val="en-US"/>
        </w:rPr>
        <w:t>(2), pp</w:t>
      </w:r>
      <w:bookmarkStart w:name="_Int_XKgCy1NJ" w:id="412080435"/>
      <w:r w:rsidRPr="2AAB5048" w:rsidR="00D97B36">
        <w:rPr>
          <w:lang w:val="en-US"/>
        </w:rPr>
        <w:t>.100</w:t>
      </w:r>
      <w:bookmarkEnd w:id="412080435"/>
      <w:r w:rsidRPr="2AAB5048" w:rsidR="00D97B36">
        <w:rPr>
          <w:lang w:val="en-US"/>
        </w:rPr>
        <w:t>-111</w:t>
      </w:r>
      <w:r w:rsidRPr="2AAB5048" w:rsidR="00D97B36">
        <w:rPr>
          <w:lang w:val="en-US"/>
        </w:rPr>
        <w:t xml:space="preserve">.  </w:t>
      </w:r>
      <w:r w:rsidRPr="2AAB5048" w:rsidR="00D97B36">
        <w:rPr>
          <w:lang w:val="en-US"/>
        </w:rPr>
        <w:t>Available at: https://www.thelancet.com/journals/lanpsy/article/PIIS2215-0366(25)00331-1/fulltext [Accessed on: 2</w:t>
      </w:r>
      <w:r w:rsidRPr="2AAB5048" w:rsidR="00D97B36">
        <w:rPr>
          <w:vertAlign w:val="superscript"/>
          <w:lang w:val="en-US"/>
        </w:rPr>
        <w:t>nd</w:t>
      </w:r>
      <w:r w:rsidRPr="2AAB5048" w:rsidR="00D97B36">
        <w:rPr>
          <w:lang w:val="en-US"/>
        </w:rPr>
        <w:t xml:space="preserve"> Mar. 2026]</w:t>
      </w:r>
    </w:p>
    <w:p w:rsidRPr="00BB558E" w:rsidR="00D97B36" w:rsidP="2AAB5048" w:rsidRDefault="00D97B36" w14:paraId="0EA3DF86" w14:textId="77777777">
      <w:pPr>
        <w:pStyle w:val="ListParagraph"/>
        <w:numPr>
          <w:ilvl w:val="0"/>
          <w:numId w:val="6"/>
        </w:numPr>
        <w:spacing w:line="360" w:lineRule="auto"/>
        <w:jc w:val="both"/>
        <w:rPr>
          <w:lang w:val="en-US"/>
        </w:rPr>
      </w:pPr>
      <w:r w:rsidRPr="2AAB5048" w:rsidR="00D97B36">
        <w:rPr>
          <w:lang w:val="en-US"/>
        </w:rPr>
        <w:t>Frank, P., Singh-</w:t>
      </w:r>
      <w:r w:rsidRPr="2AAB5048" w:rsidR="00D97B36">
        <w:rPr>
          <w:lang w:val="en-US"/>
        </w:rPr>
        <w:t>Manoux</w:t>
      </w:r>
      <w:r w:rsidRPr="2AAB5048" w:rsidR="00D97B36">
        <w:rPr>
          <w:lang w:val="en-US"/>
        </w:rPr>
        <w:t xml:space="preserve">, A., Pentti, J., Batty, G.D., </w:t>
      </w:r>
      <w:r w:rsidRPr="2AAB5048" w:rsidR="00D97B36">
        <w:rPr>
          <w:lang w:val="en-US"/>
        </w:rPr>
        <w:t>Sommerlad</w:t>
      </w:r>
      <w:r w:rsidRPr="2AAB5048" w:rsidR="00D97B36">
        <w:rPr>
          <w:lang w:val="en-US"/>
        </w:rPr>
        <w:t xml:space="preserve">, A., Steptoe, A., Livingston, G., Howard, R. and Kivimäki, M. (2026). Specific midlife depressive symptoms and long-term dementia risk: a 23-year UK prospective cohort study. </w:t>
      </w:r>
      <w:bookmarkStart w:name="_Int_HmPvWOL3" w:id="180669405"/>
      <w:r w:rsidRPr="2AAB5048" w:rsidR="00D97B36">
        <w:rPr>
          <w:i w:val="1"/>
          <w:iCs w:val="1"/>
          <w:lang w:val="en-US"/>
        </w:rPr>
        <w:t>The Lancet</w:t>
      </w:r>
      <w:bookmarkEnd w:id="180669405"/>
      <w:r w:rsidRPr="2AAB5048" w:rsidR="00D97B36">
        <w:rPr>
          <w:i w:val="1"/>
          <w:iCs w:val="1"/>
          <w:lang w:val="en-US"/>
        </w:rPr>
        <w:t xml:space="preserve"> Psychiatry</w:t>
      </w:r>
      <w:r w:rsidRPr="2AAB5048" w:rsidR="00D97B36">
        <w:rPr>
          <w:lang w:val="en-US"/>
        </w:rPr>
        <w:t xml:space="preserve">, </w:t>
      </w:r>
      <w:r w:rsidRPr="2AAB5048" w:rsidR="00D97B36">
        <w:rPr>
          <w:i w:val="1"/>
          <w:iCs w:val="1"/>
          <w:lang w:val="en-US"/>
        </w:rPr>
        <w:t>13</w:t>
      </w:r>
      <w:r w:rsidRPr="2AAB5048" w:rsidR="00D97B36">
        <w:rPr>
          <w:lang w:val="en-US"/>
        </w:rPr>
        <w:t>(2), pp</w:t>
      </w:r>
      <w:bookmarkStart w:name="_Int_1CnrXj9Z" w:id="1270985736"/>
      <w:r w:rsidRPr="2AAB5048" w:rsidR="00D97B36">
        <w:rPr>
          <w:lang w:val="en-US"/>
        </w:rPr>
        <w:t>.100</w:t>
      </w:r>
      <w:bookmarkEnd w:id="1270985736"/>
      <w:r w:rsidRPr="2AAB5048" w:rsidR="00D97B36">
        <w:rPr>
          <w:lang w:val="en-US"/>
        </w:rPr>
        <w:t>-111</w:t>
      </w:r>
      <w:r w:rsidRPr="2AAB5048" w:rsidR="00D97B36">
        <w:rPr>
          <w:lang w:val="en-US"/>
        </w:rPr>
        <w:t xml:space="preserve">.  </w:t>
      </w:r>
      <w:r w:rsidRPr="2AAB5048" w:rsidR="00D97B36">
        <w:rPr>
          <w:lang w:val="en-US"/>
        </w:rPr>
        <w:t>Available at: https://www.thelancet.com/journals/lanpsy/article/PIIS2215-0366(25)00331-1/fulltext [Accessed on: 3</w:t>
      </w:r>
      <w:r w:rsidRPr="2AAB5048" w:rsidR="00D97B36">
        <w:rPr>
          <w:vertAlign w:val="superscript"/>
          <w:lang w:val="en-US"/>
        </w:rPr>
        <w:t>rd</w:t>
      </w:r>
      <w:r w:rsidRPr="2AAB5048" w:rsidR="00D97B36">
        <w:rPr>
          <w:lang w:val="en-US"/>
        </w:rPr>
        <w:t xml:space="preserve"> Mar. 2026]</w:t>
      </w:r>
    </w:p>
    <w:p w:rsidRPr="00BB558E" w:rsidR="00D97B36" w:rsidP="2AAB5048" w:rsidRDefault="00D97B36" w14:paraId="3FC2D4D2" w14:textId="77777777">
      <w:pPr>
        <w:pStyle w:val="ListParagraph"/>
        <w:numPr>
          <w:ilvl w:val="0"/>
          <w:numId w:val="6"/>
        </w:numPr>
        <w:spacing w:line="360" w:lineRule="auto"/>
        <w:jc w:val="both"/>
        <w:rPr>
          <w:lang w:val="en-US"/>
        </w:rPr>
      </w:pPr>
      <w:r w:rsidRPr="2AAB5048" w:rsidR="00D97B36">
        <w:rPr>
          <w:lang w:val="en-US"/>
        </w:rPr>
        <w:t xml:space="preserve">Gadsby, E.W., </w:t>
      </w:r>
      <w:r w:rsidRPr="2AAB5048" w:rsidR="00D97B36">
        <w:rPr>
          <w:lang w:val="en-US"/>
        </w:rPr>
        <w:t>Wistow</w:t>
      </w:r>
      <w:r w:rsidRPr="2AAB5048" w:rsidR="00D97B36">
        <w:rPr>
          <w:lang w:val="en-US"/>
        </w:rPr>
        <w:t xml:space="preserve">, G. and Billings, J. (2022). A critical systems evaluation of the introduction of a ‘discharge to assess’ service in Kent. </w:t>
      </w:r>
      <w:r w:rsidRPr="2AAB5048" w:rsidR="00D97B36">
        <w:rPr>
          <w:i w:val="1"/>
          <w:iCs w:val="1"/>
          <w:lang w:val="en-US"/>
        </w:rPr>
        <w:t>Critical Social Policy</w:t>
      </w:r>
      <w:r w:rsidRPr="2AAB5048" w:rsidR="00D97B36">
        <w:rPr>
          <w:lang w:val="en-US"/>
        </w:rPr>
        <w:t xml:space="preserve">, </w:t>
      </w:r>
      <w:r w:rsidRPr="2AAB5048" w:rsidR="00D97B36">
        <w:rPr>
          <w:i w:val="1"/>
          <w:iCs w:val="1"/>
          <w:lang w:val="en-US"/>
        </w:rPr>
        <w:t>42</w:t>
      </w:r>
      <w:r w:rsidRPr="2AAB5048" w:rsidR="00D97B36">
        <w:rPr>
          <w:lang w:val="en-US"/>
        </w:rPr>
        <w:t>(4), pp</w:t>
      </w:r>
      <w:bookmarkStart w:name="_Int_DGbdK040" w:id="1343170446"/>
      <w:r w:rsidRPr="2AAB5048" w:rsidR="00D97B36">
        <w:rPr>
          <w:lang w:val="en-US"/>
        </w:rPr>
        <w:t>.671</w:t>
      </w:r>
      <w:bookmarkEnd w:id="1343170446"/>
      <w:r w:rsidRPr="2AAB5048" w:rsidR="00D97B36">
        <w:rPr>
          <w:lang w:val="en-US"/>
        </w:rPr>
        <w:t>-694</w:t>
      </w:r>
      <w:r w:rsidRPr="2AAB5048" w:rsidR="00D97B36">
        <w:rPr>
          <w:lang w:val="en-US"/>
        </w:rPr>
        <w:t xml:space="preserve">.  </w:t>
      </w:r>
      <w:r w:rsidRPr="2AAB5048" w:rsidR="00D97B36">
        <w:rPr>
          <w:lang w:val="en-US"/>
        </w:rPr>
        <w:t>Available at: https://journals.sagepub.com/doi/abs/10.1177/02610183211065028 [Accessed on: 3</w:t>
      </w:r>
      <w:r w:rsidRPr="2AAB5048" w:rsidR="00D97B36">
        <w:rPr>
          <w:vertAlign w:val="superscript"/>
          <w:lang w:val="en-US"/>
        </w:rPr>
        <w:t>rd</w:t>
      </w:r>
      <w:r w:rsidRPr="2AAB5048" w:rsidR="00D97B36">
        <w:rPr>
          <w:lang w:val="en-US"/>
        </w:rPr>
        <w:t xml:space="preserve"> Mar. 2026]</w:t>
      </w:r>
    </w:p>
    <w:p w:rsidRPr="00BB558E" w:rsidR="00D97B36" w:rsidP="2AAB5048" w:rsidRDefault="00D97B36" w14:paraId="306B5E85" w14:textId="77777777">
      <w:pPr>
        <w:pStyle w:val="ListParagraph"/>
        <w:numPr>
          <w:ilvl w:val="0"/>
          <w:numId w:val="6"/>
        </w:numPr>
        <w:spacing w:line="360" w:lineRule="auto"/>
        <w:jc w:val="both"/>
        <w:rPr>
          <w:lang w:val="en-US"/>
        </w:rPr>
      </w:pPr>
      <w:r w:rsidRPr="2AAB5048" w:rsidR="00D97B36">
        <w:rPr>
          <w:lang w:val="en-US"/>
        </w:rPr>
        <w:t xml:space="preserve">Gama, M. (2021). </w:t>
      </w:r>
      <w:r w:rsidRPr="2AAB5048" w:rsidR="00D97B36">
        <w:rPr>
          <w:i w:val="1"/>
          <w:iCs w:val="1"/>
          <w:lang w:val="en-US"/>
        </w:rPr>
        <w:t xml:space="preserve">How to Deliver Person </w:t>
      </w:r>
      <w:r w:rsidRPr="2AAB5048" w:rsidR="00D97B36">
        <w:rPr>
          <w:i w:val="1"/>
          <w:iCs w:val="1"/>
          <w:lang w:val="en-US"/>
        </w:rPr>
        <w:t>Centred</w:t>
      </w:r>
      <w:r w:rsidRPr="2AAB5048" w:rsidR="00D97B36">
        <w:rPr>
          <w:i w:val="1"/>
          <w:iCs w:val="1"/>
          <w:lang w:val="en-US"/>
        </w:rPr>
        <w:t xml:space="preserve"> Care - Access Skills</w:t>
      </w:r>
      <w:r w:rsidRPr="2AAB5048" w:rsidR="00D97B36">
        <w:rPr>
          <w:lang w:val="en-US"/>
        </w:rPr>
        <w:t>. [online] Access Skills. Available at: https://www.accessskills.co.uk/2021/10/20/how-to-deliver-person-centred-care/. [Accessed on: 2</w:t>
      </w:r>
      <w:r w:rsidRPr="2AAB5048" w:rsidR="00D97B36">
        <w:rPr>
          <w:vertAlign w:val="superscript"/>
          <w:lang w:val="en-US"/>
        </w:rPr>
        <w:t>nd</w:t>
      </w:r>
      <w:r w:rsidRPr="2AAB5048" w:rsidR="00D97B36">
        <w:rPr>
          <w:lang w:val="en-US"/>
        </w:rPr>
        <w:t xml:space="preserve"> Mar. 2026]</w:t>
      </w:r>
    </w:p>
    <w:p w:rsidRPr="00BB558E" w:rsidR="00D97B36" w:rsidP="2AAB5048" w:rsidRDefault="00D97B36" w14:paraId="2215F32E" w14:textId="77777777">
      <w:pPr>
        <w:pStyle w:val="ListParagraph"/>
        <w:numPr>
          <w:ilvl w:val="0"/>
          <w:numId w:val="6"/>
        </w:numPr>
        <w:spacing w:line="360" w:lineRule="auto"/>
        <w:jc w:val="both"/>
        <w:rPr>
          <w:lang w:val="en-US"/>
        </w:rPr>
      </w:pPr>
      <w:r w:rsidRPr="2AAB5048" w:rsidR="00D97B36">
        <w:rPr>
          <w:lang w:val="en-US"/>
        </w:rPr>
        <w:t xml:space="preserve">Giebel, C., Hanna, K., Watson, J., Faulkner, T., O’Connell, L., Smith, </w:t>
      </w:r>
      <w:r w:rsidRPr="2AAB5048" w:rsidR="00D97B36">
        <w:rPr>
          <w:lang w:val="en-US"/>
        </w:rPr>
        <w:t>S.</w:t>
      </w:r>
      <w:r w:rsidRPr="2AAB5048" w:rsidR="00D97B36">
        <w:rPr>
          <w:lang w:val="en-US"/>
        </w:rPr>
        <w:t xml:space="preserve"> and Donnellan, W.J. (2024). A systematic review </w:t>
      </w:r>
      <w:bookmarkStart w:name="_Int_7lsAD3Hb" w:id="675846908"/>
      <w:r w:rsidRPr="2AAB5048" w:rsidR="00D97B36">
        <w:rPr>
          <w:lang w:val="en-US"/>
        </w:rPr>
        <w:t>on</w:t>
      </w:r>
      <w:bookmarkEnd w:id="675846908"/>
      <w:r w:rsidRPr="2AAB5048" w:rsidR="00D97B36">
        <w:rPr>
          <w:lang w:val="en-US"/>
        </w:rPr>
        <w:t xml:space="preserve"> inequalities in accessing and using community-based social care in dementia. </w:t>
      </w:r>
      <w:r w:rsidRPr="2AAB5048" w:rsidR="00D97B36">
        <w:rPr>
          <w:i w:val="1"/>
          <w:iCs w:val="1"/>
          <w:lang w:val="en-US"/>
        </w:rPr>
        <w:t>International Psychogeriatrics</w:t>
      </w:r>
      <w:r w:rsidRPr="2AAB5048" w:rsidR="00D97B36">
        <w:rPr>
          <w:lang w:val="en-US"/>
        </w:rPr>
        <w:t xml:space="preserve">, </w:t>
      </w:r>
      <w:r w:rsidRPr="2AAB5048" w:rsidR="00D97B36">
        <w:rPr>
          <w:i w:val="1"/>
          <w:iCs w:val="1"/>
          <w:lang w:val="en-US"/>
        </w:rPr>
        <w:t>36</w:t>
      </w:r>
      <w:r w:rsidRPr="2AAB5048" w:rsidR="00D97B36">
        <w:rPr>
          <w:lang w:val="en-US"/>
        </w:rPr>
        <w:t>(7), pp</w:t>
      </w:r>
      <w:bookmarkStart w:name="_Int_JAL5GFIL" w:id="591247044"/>
      <w:r w:rsidRPr="2AAB5048" w:rsidR="00D97B36">
        <w:rPr>
          <w:lang w:val="en-US"/>
        </w:rPr>
        <w:t>.540</w:t>
      </w:r>
      <w:bookmarkEnd w:id="591247044"/>
      <w:r w:rsidRPr="2AAB5048" w:rsidR="00D97B36">
        <w:rPr>
          <w:lang w:val="en-US"/>
        </w:rPr>
        <w:t>-563</w:t>
      </w:r>
      <w:r w:rsidRPr="2AAB5048" w:rsidR="00D97B36">
        <w:rPr>
          <w:lang w:val="en-US"/>
        </w:rPr>
        <w:t xml:space="preserve">.  </w:t>
      </w:r>
      <w:r w:rsidRPr="2AAB5048" w:rsidR="00D97B36">
        <w:rPr>
          <w:lang w:val="en-US"/>
        </w:rPr>
        <w:t>Available at: https://www.cambridge.org/core/journals/international-psychogeriatrics/article/ [Accessed on: 2</w:t>
      </w:r>
      <w:r w:rsidRPr="2AAB5048" w:rsidR="00D97B36">
        <w:rPr>
          <w:vertAlign w:val="superscript"/>
          <w:lang w:val="en-US"/>
        </w:rPr>
        <w:t>nd</w:t>
      </w:r>
      <w:r w:rsidRPr="2AAB5048" w:rsidR="00D97B36">
        <w:rPr>
          <w:lang w:val="en-US"/>
        </w:rPr>
        <w:t xml:space="preserve"> Mar. 2026]</w:t>
      </w:r>
    </w:p>
    <w:p w:rsidRPr="00BB558E" w:rsidR="00D97B36" w:rsidP="2AAB5048" w:rsidRDefault="00D97B36" w14:paraId="3F1EDD8A" w14:textId="77777777">
      <w:pPr>
        <w:pStyle w:val="ListParagraph"/>
        <w:numPr>
          <w:ilvl w:val="0"/>
          <w:numId w:val="6"/>
        </w:numPr>
        <w:spacing w:line="360" w:lineRule="auto"/>
        <w:jc w:val="both"/>
        <w:rPr>
          <w:lang w:val="en-US"/>
        </w:rPr>
      </w:pPr>
      <w:r w:rsidRPr="2AAB5048" w:rsidR="00D97B36">
        <w:rPr>
          <w:lang w:val="en-US"/>
        </w:rPr>
        <w:t xml:space="preserve">Hampel, H., </w:t>
      </w:r>
      <w:r w:rsidRPr="2AAB5048" w:rsidR="00D97B36">
        <w:rPr>
          <w:lang w:val="en-US"/>
        </w:rPr>
        <w:t>Vergallo</w:t>
      </w:r>
      <w:r w:rsidRPr="2AAB5048" w:rsidR="00D97B36">
        <w:rPr>
          <w:lang w:val="en-US"/>
        </w:rPr>
        <w:t xml:space="preserve">, A., </w:t>
      </w:r>
      <w:r w:rsidRPr="2AAB5048" w:rsidR="00D97B36">
        <w:rPr>
          <w:lang w:val="en-US"/>
        </w:rPr>
        <w:t>Iwatsubo</w:t>
      </w:r>
      <w:r w:rsidRPr="2AAB5048" w:rsidR="00D97B36">
        <w:rPr>
          <w:lang w:val="en-US"/>
        </w:rPr>
        <w:t>, T., Cho, M., Kurokawa, K., Wang, H., Kurzman, H.R. and Chen, C. (2022). Evaluation of major national dementia policies and health</w:t>
      </w:r>
      <w:r w:rsidRPr="2AAB5048" w:rsidR="00D97B36">
        <w:rPr>
          <w:rFonts w:ascii="Cambria Math" w:hAnsi="Cambria Math" w:eastAsia="Times New Roman" w:cs="Cambria Math"/>
          <w:lang w:val="en-US"/>
        </w:rPr>
        <w:t>‐</w:t>
      </w:r>
      <w:r w:rsidRPr="2AAB5048" w:rsidR="00D97B36">
        <w:rPr>
          <w:lang w:val="en-US"/>
        </w:rPr>
        <w:t xml:space="preserve">care system preparedness for early medical action and implementation. </w:t>
      </w:r>
      <w:r w:rsidRPr="2AAB5048" w:rsidR="00D97B36">
        <w:rPr>
          <w:i w:val="1"/>
          <w:iCs w:val="1"/>
          <w:lang w:val="en-US"/>
        </w:rPr>
        <w:t>Alzheimer's &amp; Dementia</w:t>
      </w:r>
      <w:r w:rsidRPr="2AAB5048" w:rsidR="00D97B36">
        <w:rPr>
          <w:lang w:val="en-US"/>
        </w:rPr>
        <w:t xml:space="preserve">, </w:t>
      </w:r>
      <w:r w:rsidRPr="2AAB5048" w:rsidR="00D97B36">
        <w:rPr>
          <w:i w:val="1"/>
          <w:iCs w:val="1"/>
          <w:lang w:val="en-US"/>
        </w:rPr>
        <w:t>18</w:t>
      </w:r>
      <w:r w:rsidRPr="2AAB5048" w:rsidR="00D97B36">
        <w:rPr>
          <w:lang w:val="en-US"/>
        </w:rPr>
        <w:t xml:space="preserve">(10), </w:t>
      </w:r>
      <w:r w:rsidRPr="2AAB5048" w:rsidR="00D97B36">
        <w:rPr>
          <w:lang w:val="en-US"/>
        </w:rPr>
        <w:t>pp.1993-2002</w:t>
      </w:r>
      <w:r w:rsidRPr="2AAB5048" w:rsidR="00D97B36">
        <w:rPr>
          <w:lang w:val="en-US"/>
        </w:rPr>
        <w:t xml:space="preserve">.  </w:t>
      </w:r>
      <w:r w:rsidRPr="2AAB5048" w:rsidR="00D97B36">
        <w:rPr>
          <w:lang w:val="en-US"/>
        </w:rPr>
        <w:t>Available at: https://alz-journals.onlinelibrary.wiley.com/doi/abs/10.1002/alz.12655 [Accessed on: 2</w:t>
      </w:r>
      <w:r w:rsidRPr="2AAB5048" w:rsidR="00D97B36">
        <w:rPr>
          <w:vertAlign w:val="superscript"/>
          <w:lang w:val="en-US"/>
        </w:rPr>
        <w:t>nd</w:t>
      </w:r>
      <w:r w:rsidRPr="2AAB5048" w:rsidR="00D97B36">
        <w:rPr>
          <w:lang w:val="en-US"/>
        </w:rPr>
        <w:t xml:space="preserve"> Mar. 2026]</w:t>
      </w:r>
    </w:p>
    <w:p w:rsidRPr="00BB558E" w:rsidR="00D97B36" w:rsidP="2AAB5048" w:rsidRDefault="00D97B36" w14:paraId="1E25C8F5" w14:textId="77777777">
      <w:pPr>
        <w:pStyle w:val="ListParagraph"/>
        <w:numPr>
          <w:ilvl w:val="0"/>
          <w:numId w:val="6"/>
        </w:numPr>
        <w:spacing w:line="360" w:lineRule="auto"/>
        <w:jc w:val="both"/>
        <w:rPr>
          <w:lang w:val="en-US"/>
        </w:rPr>
      </w:pPr>
      <w:r w:rsidRPr="2AAB5048" w:rsidR="00D97B36">
        <w:rPr>
          <w:lang w:val="en-US"/>
        </w:rPr>
        <w:t>Lillekroken</w:t>
      </w:r>
      <w:r w:rsidRPr="2AAB5048" w:rsidR="00D97B36">
        <w:rPr>
          <w:lang w:val="en-US"/>
        </w:rPr>
        <w:t xml:space="preserve">, D., Halvorsrud, L., </w:t>
      </w:r>
      <w:r w:rsidRPr="2AAB5048" w:rsidR="00D97B36">
        <w:rPr>
          <w:lang w:val="en-US"/>
        </w:rPr>
        <w:t>Gulestø</w:t>
      </w:r>
      <w:r w:rsidRPr="2AAB5048" w:rsidR="00D97B36">
        <w:rPr>
          <w:lang w:val="en-US"/>
        </w:rPr>
        <w:t xml:space="preserve">, R. and Bjørge, H. (2023). Family caregivers’ experiences of providing care for family members from minority ethnic groups living with dementia: A qualitative systematic review. </w:t>
      </w:r>
      <w:r w:rsidRPr="2AAB5048" w:rsidR="00D97B36">
        <w:rPr>
          <w:i w:val="1"/>
          <w:iCs w:val="1"/>
          <w:lang w:val="en-US"/>
        </w:rPr>
        <w:t>Journal of Clinical Nursing</w:t>
      </w:r>
      <w:r w:rsidRPr="2AAB5048" w:rsidR="00D97B36">
        <w:rPr>
          <w:lang w:val="en-US"/>
        </w:rPr>
        <w:t xml:space="preserve">, </w:t>
      </w:r>
      <w:r w:rsidRPr="2AAB5048" w:rsidR="00D97B36">
        <w:rPr>
          <w:i w:val="1"/>
          <w:iCs w:val="1"/>
          <w:lang w:val="en-US"/>
        </w:rPr>
        <w:t>32</w:t>
      </w:r>
      <w:r w:rsidRPr="2AAB5048" w:rsidR="00D97B36">
        <w:rPr>
          <w:lang w:val="en-US"/>
        </w:rPr>
        <w:t>(9-10), pp</w:t>
      </w:r>
      <w:bookmarkStart w:name="_Int_pQus0IqT" w:id="504265388"/>
      <w:r w:rsidRPr="2AAB5048" w:rsidR="00D97B36">
        <w:rPr>
          <w:lang w:val="en-US"/>
        </w:rPr>
        <w:t>.1625</w:t>
      </w:r>
      <w:bookmarkEnd w:id="504265388"/>
      <w:r w:rsidRPr="2AAB5048" w:rsidR="00D97B36">
        <w:rPr>
          <w:lang w:val="en-US"/>
        </w:rPr>
        <w:t>-1641</w:t>
      </w:r>
      <w:r w:rsidRPr="2AAB5048" w:rsidR="00D97B36">
        <w:rPr>
          <w:lang w:val="en-US"/>
        </w:rPr>
        <w:t xml:space="preserve">.  </w:t>
      </w:r>
      <w:r w:rsidRPr="2AAB5048" w:rsidR="00D97B36">
        <w:rPr>
          <w:lang w:val="en-US"/>
        </w:rPr>
        <w:t>Available at: https://onlinelibrary.wiley.com/doi/abs/10.1111/jocn.16127 [Accessed on: 2</w:t>
      </w:r>
      <w:r w:rsidRPr="2AAB5048" w:rsidR="00D97B36">
        <w:rPr>
          <w:vertAlign w:val="superscript"/>
          <w:lang w:val="en-US"/>
        </w:rPr>
        <w:t>nd</w:t>
      </w:r>
      <w:r w:rsidRPr="2AAB5048" w:rsidR="00D97B36">
        <w:rPr>
          <w:lang w:val="en-US"/>
        </w:rPr>
        <w:t xml:space="preserve"> Mar. 2026]</w:t>
      </w:r>
    </w:p>
    <w:p w:rsidRPr="00BB558E" w:rsidR="00D97B36" w:rsidP="2AAB5048" w:rsidRDefault="00D97B36" w14:paraId="2A9B1FF8" w14:textId="77777777">
      <w:pPr>
        <w:pStyle w:val="ListParagraph"/>
        <w:numPr>
          <w:ilvl w:val="0"/>
          <w:numId w:val="6"/>
        </w:numPr>
        <w:spacing w:line="360" w:lineRule="auto"/>
        <w:jc w:val="both"/>
        <w:rPr>
          <w:lang w:val="en-US"/>
        </w:rPr>
      </w:pPr>
      <w:r w:rsidRPr="2AAB5048" w:rsidR="00D97B36">
        <w:rPr>
          <w:lang w:val="en-US"/>
        </w:rPr>
        <w:t xml:space="preserve">Littlejohn, J., Bowen, M., </w:t>
      </w:r>
      <w:r w:rsidRPr="2AAB5048" w:rsidR="00D97B36">
        <w:rPr>
          <w:lang w:val="en-US"/>
        </w:rPr>
        <w:t>Constantinidou</w:t>
      </w:r>
      <w:r w:rsidRPr="2AAB5048" w:rsidR="00D97B36">
        <w:rPr>
          <w:lang w:val="en-US"/>
        </w:rPr>
        <w:t xml:space="preserve">, F., Dawes, P., Dickinson, C., Heyn, P., Hooper, E., Hopper, T., Hubbard, I., Langenbahn, </w:t>
      </w:r>
      <w:r w:rsidRPr="2AAB5048" w:rsidR="00D97B36">
        <w:rPr>
          <w:lang w:val="en-US"/>
        </w:rPr>
        <w:t>D.</w:t>
      </w:r>
      <w:r w:rsidRPr="2AAB5048" w:rsidR="00D97B36">
        <w:rPr>
          <w:lang w:val="en-US"/>
        </w:rPr>
        <w:t xml:space="preserve"> and Nieman, C.L. (2022). International practice recommendations for the recognition and management of hearing and vision impairment in people with dementia. </w:t>
      </w:r>
      <w:r w:rsidRPr="2AAB5048" w:rsidR="00D97B36">
        <w:rPr>
          <w:i w:val="1"/>
          <w:iCs w:val="1"/>
          <w:lang w:val="en-US"/>
        </w:rPr>
        <w:t>Gerontology</w:t>
      </w:r>
      <w:r w:rsidRPr="2AAB5048" w:rsidR="00D97B36">
        <w:rPr>
          <w:lang w:val="en-US"/>
        </w:rPr>
        <w:t xml:space="preserve">, </w:t>
      </w:r>
      <w:r w:rsidRPr="2AAB5048" w:rsidR="00D97B36">
        <w:rPr>
          <w:i w:val="1"/>
          <w:iCs w:val="1"/>
          <w:lang w:val="en-US"/>
        </w:rPr>
        <w:t>68</w:t>
      </w:r>
      <w:r w:rsidRPr="2AAB5048" w:rsidR="00D97B36">
        <w:rPr>
          <w:lang w:val="en-US"/>
        </w:rPr>
        <w:t>(2), pp.121-135</w:t>
      </w:r>
      <w:r w:rsidRPr="2AAB5048" w:rsidR="00D97B36">
        <w:rPr>
          <w:lang w:val="en-US"/>
        </w:rPr>
        <w:t xml:space="preserve">.  </w:t>
      </w:r>
      <w:r w:rsidRPr="2AAB5048" w:rsidR="00D97B36">
        <w:rPr>
          <w:lang w:val="en-US"/>
        </w:rPr>
        <w:t>Available at: https://karger.com/ger/article-abstract/68/2/121/823802 [Accessed on: 3</w:t>
      </w:r>
      <w:r w:rsidRPr="2AAB5048" w:rsidR="00D97B36">
        <w:rPr>
          <w:vertAlign w:val="superscript"/>
          <w:lang w:val="en-US"/>
        </w:rPr>
        <w:t>rd</w:t>
      </w:r>
      <w:r w:rsidRPr="2AAB5048" w:rsidR="00D97B36">
        <w:rPr>
          <w:lang w:val="en-US"/>
        </w:rPr>
        <w:t xml:space="preserve"> Mar. 2026]</w:t>
      </w:r>
    </w:p>
    <w:p w:rsidRPr="00BB558E" w:rsidR="00D97B36" w:rsidP="2AAB5048" w:rsidRDefault="00D97B36" w14:paraId="1C263314" w14:textId="77777777">
      <w:pPr>
        <w:pStyle w:val="ListParagraph"/>
        <w:numPr>
          <w:ilvl w:val="0"/>
          <w:numId w:val="6"/>
        </w:numPr>
        <w:spacing w:line="360" w:lineRule="auto"/>
        <w:jc w:val="both"/>
        <w:rPr>
          <w:lang w:val="en-US"/>
        </w:rPr>
      </w:pPr>
      <w:r w:rsidRPr="2AAB5048" w:rsidR="00D97B36">
        <w:rPr>
          <w:lang w:val="en-US"/>
        </w:rPr>
        <w:t xml:space="preserve">Loveys, K., Prina, M., Axford, C., Domènec, Ò.R., Weng, W., Broadbent, E., Pujari, S., Jang, H., Han, Z.A. and Thiyagarajan, J.A. (2022). Artificial intelligence for older people receiving long-term care: a systematic review of acceptability and </w:t>
      </w:r>
      <w:bookmarkStart w:name="_Int_GWhevfcu" w:id="966339926"/>
      <w:r w:rsidRPr="2AAB5048" w:rsidR="00D97B36">
        <w:rPr>
          <w:lang w:val="en-US"/>
        </w:rPr>
        <w:t>effectiveness</w:t>
      </w:r>
      <w:bookmarkEnd w:id="966339926"/>
      <w:r w:rsidRPr="2AAB5048" w:rsidR="00D97B36">
        <w:rPr>
          <w:lang w:val="en-US"/>
        </w:rPr>
        <w:t xml:space="preserve"> studies. </w:t>
      </w:r>
      <w:bookmarkStart w:name="_Int_fWGtaqwO" w:id="1427327817"/>
      <w:r w:rsidRPr="2AAB5048" w:rsidR="00D97B36">
        <w:rPr>
          <w:i w:val="1"/>
          <w:iCs w:val="1"/>
          <w:lang w:val="en-US"/>
        </w:rPr>
        <w:t>The Lancet</w:t>
      </w:r>
      <w:bookmarkEnd w:id="1427327817"/>
      <w:r w:rsidRPr="2AAB5048" w:rsidR="00D97B36">
        <w:rPr>
          <w:i w:val="1"/>
          <w:iCs w:val="1"/>
          <w:lang w:val="en-US"/>
        </w:rPr>
        <w:t xml:space="preserve"> Healthy Longevity</w:t>
      </w:r>
      <w:r w:rsidRPr="2AAB5048" w:rsidR="00D97B36">
        <w:rPr>
          <w:lang w:val="en-US"/>
        </w:rPr>
        <w:t xml:space="preserve">, </w:t>
      </w:r>
      <w:r w:rsidRPr="2AAB5048" w:rsidR="00D97B36">
        <w:rPr>
          <w:i w:val="1"/>
          <w:iCs w:val="1"/>
          <w:lang w:val="en-US"/>
        </w:rPr>
        <w:t>3</w:t>
      </w:r>
      <w:r w:rsidRPr="2AAB5048" w:rsidR="00D97B36">
        <w:rPr>
          <w:lang w:val="en-US"/>
        </w:rPr>
        <w:t>(4), pp</w:t>
      </w:r>
      <w:bookmarkStart w:name="_Int_pROoY9gn" w:id="507071452"/>
      <w:r w:rsidRPr="2AAB5048" w:rsidR="00D97B36">
        <w:rPr>
          <w:lang w:val="en-US"/>
        </w:rPr>
        <w:t>.286</w:t>
      </w:r>
      <w:bookmarkEnd w:id="507071452"/>
      <w:r w:rsidRPr="2AAB5048" w:rsidR="00D97B36">
        <w:rPr>
          <w:lang w:val="en-US"/>
        </w:rPr>
        <w:t>-297</w:t>
      </w:r>
      <w:r w:rsidRPr="2AAB5048" w:rsidR="00D97B36">
        <w:rPr>
          <w:lang w:val="en-US"/>
        </w:rPr>
        <w:t xml:space="preserve">.  </w:t>
      </w:r>
      <w:r w:rsidRPr="2AAB5048" w:rsidR="00D97B36">
        <w:rPr>
          <w:lang w:val="en-US"/>
        </w:rPr>
        <w:t>Available at: https://www.thelancet.com/journals/lanhl/article/PIIS26667568(22)00034-4/fulltext [Accessed on: 3</w:t>
      </w:r>
      <w:r w:rsidRPr="2AAB5048" w:rsidR="00D97B36">
        <w:rPr>
          <w:vertAlign w:val="superscript"/>
          <w:lang w:val="en-US"/>
        </w:rPr>
        <w:t>rd</w:t>
      </w:r>
      <w:r w:rsidRPr="2AAB5048" w:rsidR="00D97B36">
        <w:rPr>
          <w:lang w:val="en-US"/>
        </w:rPr>
        <w:t xml:space="preserve"> Mar. 2026]</w:t>
      </w:r>
    </w:p>
    <w:p w:rsidRPr="00BB558E" w:rsidR="00D97B36" w:rsidP="2AAB5048" w:rsidRDefault="00D97B36" w14:paraId="008252C6" w14:textId="77777777">
      <w:pPr>
        <w:pStyle w:val="ListParagraph"/>
        <w:numPr>
          <w:ilvl w:val="0"/>
          <w:numId w:val="6"/>
        </w:numPr>
        <w:spacing w:line="360" w:lineRule="auto"/>
        <w:jc w:val="both"/>
        <w:rPr>
          <w:lang w:val="en-US"/>
        </w:rPr>
      </w:pPr>
      <w:r w:rsidRPr="2AAB5048" w:rsidR="00D97B36">
        <w:rPr>
          <w:lang w:val="en-US"/>
        </w:rPr>
        <w:t xml:space="preserve">McCullough, K., Andrew, L., </w:t>
      </w:r>
      <w:r w:rsidRPr="2AAB5048" w:rsidR="00D97B36">
        <w:rPr>
          <w:lang w:val="en-US"/>
        </w:rPr>
        <w:t>Genoni</w:t>
      </w:r>
      <w:r w:rsidRPr="2AAB5048" w:rsidR="00D97B36">
        <w:rPr>
          <w:lang w:val="en-US"/>
        </w:rPr>
        <w:t xml:space="preserve">, A., Dunham, M., Whitehead, L. and </w:t>
      </w:r>
      <w:r w:rsidRPr="2AAB5048" w:rsidR="00D97B36">
        <w:rPr>
          <w:lang w:val="en-US"/>
        </w:rPr>
        <w:t>Porock</w:t>
      </w:r>
      <w:r w:rsidRPr="2AAB5048" w:rsidR="00D97B36">
        <w:rPr>
          <w:lang w:val="en-US"/>
        </w:rPr>
        <w:t xml:space="preserve">, D. (2023). An examination of primary health care nursing service evaluation using the Donabedian model: A systematic review. </w:t>
      </w:r>
      <w:r w:rsidRPr="2AAB5048" w:rsidR="00D97B36">
        <w:rPr>
          <w:i w:val="1"/>
          <w:iCs w:val="1"/>
          <w:lang w:val="en-US"/>
        </w:rPr>
        <w:t>Research in nursing &amp; health</w:t>
      </w:r>
      <w:r w:rsidRPr="2AAB5048" w:rsidR="00D97B36">
        <w:rPr>
          <w:lang w:val="en-US"/>
        </w:rPr>
        <w:t xml:space="preserve">, </w:t>
      </w:r>
      <w:r w:rsidRPr="2AAB5048" w:rsidR="00D97B36">
        <w:rPr>
          <w:i w:val="1"/>
          <w:iCs w:val="1"/>
          <w:lang w:val="en-US"/>
        </w:rPr>
        <w:t>46</w:t>
      </w:r>
      <w:r w:rsidRPr="2AAB5048" w:rsidR="00D97B36">
        <w:rPr>
          <w:lang w:val="en-US"/>
        </w:rPr>
        <w:t>(1), pp</w:t>
      </w:r>
      <w:bookmarkStart w:name="_Int_tNFQ9svg" w:id="2146683571"/>
      <w:r w:rsidRPr="2AAB5048" w:rsidR="00D97B36">
        <w:rPr>
          <w:lang w:val="en-US"/>
        </w:rPr>
        <w:t>.159</w:t>
      </w:r>
      <w:bookmarkEnd w:id="2146683571"/>
      <w:r w:rsidRPr="2AAB5048" w:rsidR="00D97B36">
        <w:rPr>
          <w:lang w:val="en-US"/>
        </w:rPr>
        <w:t>-176</w:t>
      </w:r>
      <w:r w:rsidRPr="2AAB5048" w:rsidR="00D97B36">
        <w:rPr>
          <w:lang w:val="en-US"/>
        </w:rPr>
        <w:t xml:space="preserve">.  </w:t>
      </w:r>
      <w:r w:rsidRPr="2AAB5048" w:rsidR="00D97B36">
        <w:rPr>
          <w:lang w:val="en-US"/>
        </w:rPr>
        <w:t>Available at: https://onlinelibrary.wiley.com/doi/abs/10.1002/nur.22291 [Accessed on: 3</w:t>
      </w:r>
      <w:r w:rsidRPr="2AAB5048" w:rsidR="00D97B36">
        <w:rPr>
          <w:vertAlign w:val="superscript"/>
          <w:lang w:val="en-US"/>
        </w:rPr>
        <w:t>rd</w:t>
      </w:r>
      <w:r w:rsidRPr="2AAB5048" w:rsidR="00D97B36">
        <w:rPr>
          <w:lang w:val="en-US"/>
        </w:rPr>
        <w:t xml:space="preserve"> Mar. 2026]</w:t>
      </w:r>
    </w:p>
    <w:p w:rsidRPr="00BB558E" w:rsidR="00D97B36" w:rsidP="2AAB5048" w:rsidRDefault="00D97B36" w14:paraId="22AE1481" w14:textId="77777777">
      <w:pPr>
        <w:pStyle w:val="ListParagraph"/>
        <w:numPr>
          <w:ilvl w:val="0"/>
          <w:numId w:val="6"/>
        </w:numPr>
        <w:spacing w:line="360" w:lineRule="auto"/>
        <w:jc w:val="both"/>
        <w:rPr>
          <w:lang w:val="en-US"/>
        </w:rPr>
      </w:pPr>
      <w:r w:rsidRPr="2AAB5048" w:rsidR="00D97B36">
        <w:rPr>
          <w:lang w:val="en-US"/>
        </w:rPr>
        <w:t xml:space="preserve">Mukherjee, U., Brownell, </w:t>
      </w:r>
      <w:r w:rsidRPr="2AAB5048" w:rsidR="00D97B36">
        <w:rPr>
          <w:lang w:val="en-US"/>
        </w:rPr>
        <w:t>M.</w:t>
      </w:r>
      <w:r w:rsidRPr="2AAB5048" w:rsidR="00D97B36">
        <w:rPr>
          <w:lang w:val="en-US"/>
        </w:rPr>
        <w:t xml:space="preserve"> and Reddy, P.H. (2025). Ageing, dementia, and care models: Global perspectives with insights from India. </w:t>
      </w:r>
      <w:r w:rsidRPr="2AAB5048" w:rsidR="00D97B36">
        <w:rPr>
          <w:i w:val="1"/>
          <w:iCs w:val="1"/>
          <w:lang w:val="en-US"/>
        </w:rPr>
        <w:t>Ageing Research Reviews</w:t>
      </w:r>
      <w:r w:rsidRPr="2AAB5048" w:rsidR="00D97B36">
        <w:rPr>
          <w:lang w:val="en-US"/>
        </w:rPr>
        <w:t xml:space="preserve">, [online] 113, p.102941. </w:t>
      </w:r>
      <w:r w:rsidRPr="2AAB5048" w:rsidR="00D97B36">
        <w:rPr>
          <w:lang w:val="en-US"/>
        </w:rPr>
        <w:t>doi:https</w:t>
      </w:r>
      <w:r w:rsidRPr="2AAB5048" w:rsidR="00D97B36">
        <w:rPr>
          <w:lang w:val="en-US"/>
        </w:rPr>
        <w:t>://doi.org/10.1016/j.arr.2025.102941</w:t>
      </w:r>
      <w:r w:rsidRPr="2AAB5048" w:rsidR="00D97B36">
        <w:rPr>
          <w:lang w:val="en-US"/>
        </w:rPr>
        <w:t>. [Accessed on: 2</w:t>
      </w:r>
      <w:r w:rsidRPr="2AAB5048" w:rsidR="00D97B36">
        <w:rPr>
          <w:vertAlign w:val="superscript"/>
          <w:lang w:val="en-US"/>
        </w:rPr>
        <w:t>nd</w:t>
      </w:r>
      <w:r w:rsidRPr="2AAB5048" w:rsidR="00D97B36">
        <w:rPr>
          <w:lang w:val="en-US"/>
        </w:rPr>
        <w:t xml:space="preserve"> Mar. 2026]</w:t>
      </w:r>
    </w:p>
    <w:p w:rsidRPr="00BB558E" w:rsidR="00D97B36" w:rsidP="2AAB5048" w:rsidRDefault="00D97B36" w14:paraId="0B55508A" w14:textId="77777777">
      <w:pPr>
        <w:pStyle w:val="ListParagraph"/>
        <w:numPr>
          <w:ilvl w:val="0"/>
          <w:numId w:val="6"/>
        </w:numPr>
        <w:spacing w:line="360" w:lineRule="auto"/>
        <w:jc w:val="both"/>
        <w:rPr>
          <w:lang w:val="en-US"/>
        </w:rPr>
      </w:pPr>
      <w:r w:rsidRPr="2AAB5048" w:rsidR="00D97B36">
        <w:rPr>
          <w:lang w:val="en-US"/>
        </w:rPr>
        <w:t xml:space="preserve">National Institute on Ageing. (2025). </w:t>
      </w:r>
      <w:r w:rsidRPr="2AAB5048" w:rsidR="00D97B36">
        <w:rPr>
          <w:i w:val="1"/>
          <w:iCs w:val="1"/>
          <w:lang w:val="en-US"/>
        </w:rPr>
        <w:t>Behavioural</w:t>
      </w:r>
      <w:r w:rsidRPr="2AAB5048" w:rsidR="00D97B36">
        <w:rPr>
          <w:i w:val="1"/>
          <w:iCs w:val="1"/>
          <w:lang w:val="en-US"/>
        </w:rPr>
        <w:t xml:space="preserve"> and Social Research on Alzheimer’s Disease &amp; Alzheimer’s Disease Related Dementias</w:t>
      </w:r>
      <w:r w:rsidRPr="2AAB5048" w:rsidR="00D97B36">
        <w:rPr>
          <w:lang w:val="en-US"/>
        </w:rPr>
        <w:t>. [online] Available at: https://www.nia.nih.gov/research/dbsr/ad-adrd. [Accessed on: 2</w:t>
      </w:r>
      <w:r w:rsidRPr="2AAB5048" w:rsidR="00D97B36">
        <w:rPr>
          <w:vertAlign w:val="superscript"/>
          <w:lang w:val="en-US"/>
        </w:rPr>
        <w:t>nd</w:t>
      </w:r>
      <w:r w:rsidRPr="2AAB5048" w:rsidR="00D97B36">
        <w:rPr>
          <w:lang w:val="en-US"/>
        </w:rPr>
        <w:t xml:space="preserve"> Mar. 2026]</w:t>
      </w:r>
    </w:p>
    <w:p w:rsidRPr="00BB558E" w:rsidR="00D97B36" w:rsidP="2AAB5048" w:rsidRDefault="00D97B36" w14:paraId="62FF7B89" w14:textId="77777777">
      <w:pPr>
        <w:pStyle w:val="ListParagraph"/>
        <w:numPr>
          <w:ilvl w:val="0"/>
          <w:numId w:val="6"/>
        </w:numPr>
        <w:spacing w:line="360" w:lineRule="auto"/>
        <w:jc w:val="both"/>
        <w:rPr/>
      </w:pPr>
      <w:r w:rsidR="00D97B36">
        <w:rPr/>
        <w:t xml:space="preserve">NHS (2025). </w:t>
      </w:r>
      <w:r w:rsidRPr="2AAB5048" w:rsidR="00D97B36">
        <w:rPr>
          <w:i w:val="1"/>
          <w:iCs w:val="1"/>
        </w:rPr>
        <w:t>NHS</w:t>
      </w:r>
      <w:r w:rsidR="00D97B36">
        <w:rPr/>
        <w:t>. [online] NHS. Available at: https://www.nhs.uk/. [Accessed on: 2</w:t>
      </w:r>
      <w:r w:rsidRPr="2AAB5048" w:rsidR="00D97B36">
        <w:rPr>
          <w:vertAlign w:val="superscript"/>
        </w:rPr>
        <w:t>nd</w:t>
      </w:r>
      <w:r w:rsidR="00D97B36">
        <w:rPr/>
        <w:t xml:space="preserve"> Mar. 2026]</w:t>
      </w:r>
    </w:p>
    <w:p w:rsidRPr="00BB558E" w:rsidR="00D97B36" w:rsidP="2AAB5048" w:rsidRDefault="00D97B36" w14:paraId="7E331E34" w14:textId="77777777">
      <w:pPr>
        <w:pStyle w:val="ListParagraph"/>
        <w:numPr>
          <w:ilvl w:val="0"/>
          <w:numId w:val="6"/>
        </w:numPr>
        <w:spacing w:line="360" w:lineRule="auto"/>
        <w:jc w:val="both"/>
        <w:rPr/>
      </w:pPr>
      <w:r w:rsidR="00D97B36">
        <w:rPr/>
        <w:t xml:space="preserve">NHS England (2023). </w:t>
      </w:r>
      <w:r w:rsidRPr="2AAB5048" w:rsidR="00D97B36">
        <w:rPr>
          <w:i w:val="1"/>
          <w:iCs w:val="1"/>
        </w:rPr>
        <w:t>NHS England</w:t>
      </w:r>
      <w:r w:rsidR="00D97B36">
        <w:rPr/>
        <w:t>. [online] England.nhs.uk. Available at: https://www.england.nhs.uk/. [Accessed on: 2</w:t>
      </w:r>
      <w:r w:rsidRPr="2AAB5048" w:rsidR="00D97B36">
        <w:rPr>
          <w:vertAlign w:val="superscript"/>
        </w:rPr>
        <w:t>nd</w:t>
      </w:r>
      <w:r w:rsidR="00D97B36">
        <w:rPr/>
        <w:t xml:space="preserve"> Mar. 2026]</w:t>
      </w:r>
    </w:p>
    <w:p w:rsidR="00D97B36" w:rsidP="2AAB5048" w:rsidRDefault="00D97B36" w14:paraId="0A1ABAEA" w14:textId="77777777">
      <w:pPr>
        <w:pStyle w:val="ListParagraph"/>
        <w:numPr>
          <w:ilvl w:val="0"/>
          <w:numId w:val="6"/>
        </w:numPr>
        <w:spacing w:line="360" w:lineRule="auto"/>
        <w:jc w:val="both"/>
        <w:rPr>
          <w:lang w:val="en-US"/>
        </w:rPr>
      </w:pPr>
      <w:r w:rsidRPr="2AAB5048" w:rsidR="00D97B36">
        <w:rPr>
          <w:lang w:val="en-US"/>
        </w:rPr>
        <w:t xml:space="preserve">Peryer, G., Kelly, S., Blake, J., Burton, J.K., Irvine, L., Cowan, A., </w:t>
      </w:r>
      <w:r w:rsidRPr="2AAB5048" w:rsidR="00D97B36">
        <w:rPr>
          <w:lang w:val="en-US"/>
        </w:rPr>
        <w:t>Akdur</w:t>
      </w:r>
      <w:r w:rsidRPr="2AAB5048" w:rsidR="00D97B36">
        <w:rPr>
          <w:lang w:val="en-US"/>
        </w:rPr>
        <w:t xml:space="preserve">, G., Killett, A., Brand, S.L., Musa, M.K. and Meyer, J. (2022). Contextual factors influencing complex intervention research processes in care homes: a systematic review and framework synthesis. </w:t>
      </w:r>
      <w:r w:rsidRPr="2AAB5048" w:rsidR="00D97B36">
        <w:rPr>
          <w:i w:val="1"/>
          <w:iCs w:val="1"/>
          <w:lang w:val="en-US"/>
        </w:rPr>
        <w:t xml:space="preserve">Age and </w:t>
      </w:r>
      <w:r w:rsidRPr="2AAB5048" w:rsidR="00D97B36">
        <w:rPr>
          <w:i w:val="1"/>
          <w:iCs w:val="1"/>
          <w:lang w:val="en-US"/>
        </w:rPr>
        <w:t>Ageing</w:t>
      </w:r>
      <w:r w:rsidRPr="2AAB5048" w:rsidR="00D97B36">
        <w:rPr>
          <w:lang w:val="en-US"/>
        </w:rPr>
        <w:t xml:space="preserve">, </w:t>
      </w:r>
      <w:r w:rsidRPr="2AAB5048" w:rsidR="00D97B36">
        <w:rPr>
          <w:i w:val="1"/>
          <w:iCs w:val="1"/>
          <w:lang w:val="en-US"/>
        </w:rPr>
        <w:t>51</w:t>
      </w:r>
      <w:r w:rsidRPr="2AAB5048" w:rsidR="00D97B36">
        <w:rPr>
          <w:lang w:val="en-US"/>
        </w:rPr>
        <w:t>(3), pp</w:t>
      </w:r>
      <w:bookmarkStart w:name="_Int_hhB8Lnlc" w:id="122633900"/>
      <w:r w:rsidRPr="2AAB5048" w:rsidR="00D97B36">
        <w:rPr>
          <w:lang w:val="en-US"/>
        </w:rPr>
        <w:t>.014</w:t>
      </w:r>
      <w:bookmarkEnd w:id="122633900"/>
      <w:r w:rsidRPr="2AAB5048" w:rsidR="00D97B36">
        <w:rPr>
          <w:lang w:val="en-US"/>
        </w:rPr>
        <w:t xml:space="preserve">.  </w:t>
      </w:r>
      <w:r w:rsidRPr="2AAB5048" w:rsidR="00D97B36">
        <w:rPr>
          <w:lang w:val="en-US"/>
        </w:rPr>
        <w:t>Available at: https://academic.oup.com/ageing/article-abstract/51/3/afac014/6540144 [Accessed on: 3</w:t>
      </w:r>
      <w:r w:rsidRPr="2AAB5048" w:rsidR="00D97B36">
        <w:rPr>
          <w:vertAlign w:val="superscript"/>
          <w:lang w:val="en-US"/>
        </w:rPr>
        <w:t>rd</w:t>
      </w:r>
      <w:r w:rsidRPr="2AAB5048" w:rsidR="00D97B36">
        <w:rPr>
          <w:lang w:val="en-US"/>
        </w:rPr>
        <w:t xml:space="preserve"> Mar. 2026]</w:t>
      </w:r>
    </w:p>
    <w:p w:rsidRPr="00BB558E" w:rsidR="00D97B36" w:rsidP="2AAB5048" w:rsidRDefault="00D97B36" w14:paraId="3E814699" w14:textId="77777777">
      <w:pPr>
        <w:pStyle w:val="ListParagraph"/>
        <w:numPr>
          <w:ilvl w:val="0"/>
          <w:numId w:val="6"/>
        </w:numPr>
        <w:spacing w:line="360" w:lineRule="auto"/>
        <w:jc w:val="both"/>
        <w:rPr>
          <w:lang w:val="en-US"/>
        </w:rPr>
      </w:pPr>
      <w:r w:rsidRPr="2AAB5048" w:rsidR="00D97B36">
        <w:rPr>
          <w:lang w:val="en-US"/>
        </w:rPr>
        <w:t xml:space="preserve">Pool, J., </w:t>
      </w:r>
      <w:r w:rsidRPr="2AAB5048" w:rsidR="00D97B36">
        <w:rPr>
          <w:lang w:val="en-US"/>
        </w:rPr>
        <w:t>Akhlaghpour</w:t>
      </w:r>
      <w:r w:rsidRPr="2AAB5048" w:rsidR="00D97B36">
        <w:rPr>
          <w:lang w:val="en-US"/>
        </w:rPr>
        <w:t xml:space="preserve">, S., Fatehi, </w:t>
      </w:r>
      <w:r w:rsidRPr="2AAB5048" w:rsidR="00D97B36">
        <w:rPr>
          <w:lang w:val="en-US"/>
        </w:rPr>
        <w:t>F.</w:t>
      </w:r>
      <w:r w:rsidRPr="2AAB5048" w:rsidR="00D97B36">
        <w:rPr>
          <w:lang w:val="en-US"/>
        </w:rPr>
        <w:t xml:space="preserve"> and Grey, L.C. (2022). Data privacy concerns and use of telehealth in the aged care context: an integrative review and research agenda. </w:t>
      </w:r>
      <w:r w:rsidRPr="2AAB5048" w:rsidR="00D97B36">
        <w:rPr>
          <w:i w:val="1"/>
          <w:iCs w:val="1"/>
          <w:lang w:val="en-US"/>
        </w:rPr>
        <w:t>International Journal of Medical Informatics</w:t>
      </w:r>
      <w:r w:rsidRPr="2AAB5048" w:rsidR="00D97B36">
        <w:rPr>
          <w:lang w:val="en-US"/>
        </w:rPr>
        <w:t xml:space="preserve">, </w:t>
      </w:r>
      <w:r w:rsidRPr="2AAB5048" w:rsidR="00D97B36">
        <w:rPr>
          <w:i w:val="1"/>
          <w:iCs w:val="1"/>
          <w:lang w:val="en-US"/>
        </w:rPr>
        <w:t>160</w:t>
      </w:r>
      <w:r w:rsidRPr="2AAB5048" w:rsidR="00D97B36">
        <w:rPr>
          <w:lang w:val="en-US"/>
        </w:rPr>
        <w:t>, pp</w:t>
      </w:r>
      <w:bookmarkStart w:name="_Int_ecnE9aIf" w:id="974485479"/>
      <w:r w:rsidRPr="2AAB5048" w:rsidR="00D97B36">
        <w:rPr>
          <w:lang w:val="en-US"/>
        </w:rPr>
        <w:t>.104</w:t>
      </w:r>
      <w:bookmarkEnd w:id="974485479"/>
      <w:r w:rsidRPr="2AAB5048" w:rsidR="00D97B36">
        <w:rPr>
          <w:lang w:val="en-US"/>
        </w:rPr>
        <w:t>-707</w:t>
      </w:r>
      <w:r w:rsidRPr="2AAB5048" w:rsidR="00D97B36">
        <w:rPr>
          <w:lang w:val="en-US"/>
        </w:rPr>
        <w:t xml:space="preserve">.  </w:t>
      </w:r>
      <w:r w:rsidRPr="2AAB5048" w:rsidR="00D97B36">
        <w:rPr>
          <w:lang w:val="en-US"/>
        </w:rPr>
        <w:t>Available at: https://www.sciencedirect.com/science/article/pii/S1386505622000211 [Accessed on: 3</w:t>
      </w:r>
      <w:r w:rsidRPr="2AAB5048" w:rsidR="00D97B36">
        <w:rPr>
          <w:vertAlign w:val="superscript"/>
          <w:lang w:val="en-US"/>
        </w:rPr>
        <w:t>rd</w:t>
      </w:r>
      <w:r w:rsidRPr="2AAB5048" w:rsidR="00D97B36">
        <w:rPr>
          <w:lang w:val="en-US"/>
        </w:rPr>
        <w:t xml:space="preserve"> Mar. 2026]</w:t>
      </w:r>
    </w:p>
    <w:p w:rsidRPr="00BB558E" w:rsidR="00D97B36" w:rsidP="2AAB5048" w:rsidRDefault="00D97B36" w14:paraId="007E4024" w14:textId="77777777">
      <w:pPr>
        <w:pStyle w:val="ListParagraph"/>
        <w:numPr>
          <w:ilvl w:val="0"/>
          <w:numId w:val="6"/>
        </w:numPr>
        <w:spacing w:line="360" w:lineRule="auto"/>
        <w:jc w:val="both"/>
        <w:rPr>
          <w:lang w:val="en-US"/>
        </w:rPr>
      </w:pPr>
      <w:r w:rsidRPr="2AAB5048" w:rsidR="00D97B36">
        <w:rPr>
          <w:lang w:val="en-US"/>
        </w:rPr>
        <w:t>Schmachtenberg</w:t>
      </w:r>
      <w:r w:rsidRPr="2AAB5048" w:rsidR="00D97B36">
        <w:rPr>
          <w:lang w:val="en-US"/>
        </w:rPr>
        <w:t xml:space="preserve">, T., Monsees, </w:t>
      </w:r>
      <w:r w:rsidRPr="2AAB5048" w:rsidR="00D97B36">
        <w:rPr>
          <w:lang w:val="en-US"/>
        </w:rPr>
        <w:t>J.</w:t>
      </w:r>
      <w:r w:rsidRPr="2AAB5048" w:rsidR="00D97B36">
        <w:rPr>
          <w:lang w:val="en-US"/>
        </w:rPr>
        <w:t xml:space="preserve"> and </w:t>
      </w:r>
      <w:r w:rsidRPr="2AAB5048" w:rsidR="00D97B36">
        <w:rPr>
          <w:lang w:val="en-US"/>
        </w:rPr>
        <w:t>Thyrian</w:t>
      </w:r>
      <w:r w:rsidRPr="2AAB5048" w:rsidR="00D97B36">
        <w:rPr>
          <w:lang w:val="en-US"/>
        </w:rPr>
        <w:t xml:space="preserve">, J.R. (2022). Structures for the care of people with dementia: a European comparison. </w:t>
      </w:r>
      <w:r w:rsidRPr="2AAB5048" w:rsidR="00D97B36">
        <w:rPr>
          <w:i w:val="1"/>
          <w:iCs w:val="1"/>
          <w:lang w:val="en-US"/>
        </w:rPr>
        <w:t>BMC Health Services Research</w:t>
      </w:r>
      <w:r w:rsidRPr="2AAB5048" w:rsidR="00D97B36">
        <w:rPr>
          <w:lang w:val="en-US"/>
        </w:rPr>
        <w:t xml:space="preserve">, 22(1). </w:t>
      </w:r>
      <w:r w:rsidRPr="2AAB5048" w:rsidR="00D97B36">
        <w:rPr>
          <w:lang w:val="en-US"/>
        </w:rPr>
        <w:t>doi:https</w:t>
      </w:r>
      <w:r w:rsidRPr="2AAB5048" w:rsidR="00D97B36">
        <w:rPr>
          <w:lang w:val="en-US"/>
        </w:rPr>
        <w:t>://doi.org/10.1186/s12913-022-08715-7</w:t>
      </w:r>
      <w:r w:rsidRPr="2AAB5048" w:rsidR="00D97B36">
        <w:rPr>
          <w:lang w:val="en-US"/>
        </w:rPr>
        <w:t>. [Accessed on: 2</w:t>
      </w:r>
      <w:r w:rsidRPr="2AAB5048" w:rsidR="00D97B36">
        <w:rPr>
          <w:vertAlign w:val="superscript"/>
          <w:lang w:val="en-US"/>
        </w:rPr>
        <w:t>nd</w:t>
      </w:r>
      <w:r w:rsidRPr="2AAB5048" w:rsidR="00D97B36">
        <w:rPr>
          <w:lang w:val="en-US"/>
        </w:rPr>
        <w:t xml:space="preserve"> Mar. 2026]</w:t>
      </w:r>
    </w:p>
    <w:p w:rsidRPr="00BB558E" w:rsidR="00D97B36" w:rsidP="00D97B36" w:rsidRDefault="00D97B36" w14:paraId="066F4F6B" w14:textId="77777777">
      <w:pPr>
        <w:spacing w:line="360" w:lineRule="auto"/>
        <w:jc w:val="both"/>
      </w:pPr>
      <w:r w:rsidRPr="2AAB5048" w:rsidR="00D97B36">
        <w:rPr>
          <w:lang w:val="en-US"/>
        </w:rPr>
        <w:t xml:space="preserve">Singh, S., Grey, A., Shepperd, S., Stott, D.J., Ellis, G., Hemsley, A., Khanna, P., Ramsay, S., Schiff, R., </w:t>
      </w:r>
      <w:r w:rsidRPr="2AAB5048" w:rsidR="00D97B36">
        <w:rPr>
          <w:lang w:val="en-US"/>
        </w:rPr>
        <w:t>Tsiachristas</w:t>
      </w:r>
      <w:r w:rsidRPr="2AAB5048" w:rsidR="00D97B36">
        <w:rPr>
          <w:lang w:val="en-US"/>
        </w:rPr>
        <w:t xml:space="preserve">, A. and Wilkinson, A. (2022). Is a comprehensive geriatric assessment hospital at home a cost-effective alternative to hospital admission for older </w:t>
      </w:r>
      <w:bookmarkStart w:name="_Int_xpLYuI7z" w:id="2013260555"/>
      <w:r w:rsidRPr="2AAB5048" w:rsidR="00D97B36">
        <w:rPr>
          <w:lang w:val="en-US"/>
        </w:rPr>
        <w:t>people?.</w:t>
      </w:r>
      <w:bookmarkEnd w:id="2013260555"/>
      <w:r w:rsidRPr="2AAB5048" w:rsidR="00D97B36">
        <w:rPr>
          <w:lang w:val="en-US"/>
        </w:rPr>
        <w:t xml:space="preserve"> </w:t>
      </w:r>
      <w:r w:rsidRPr="2AAB5048" w:rsidR="00D97B36">
        <w:rPr>
          <w:i w:val="1"/>
          <w:iCs w:val="1"/>
          <w:lang w:val="en-US"/>
        </w:rPr>
        <w:t>Age and Ageing</w:t>
      </w:r>
      <w:r w:rsidRPr="2AAB5048" w:rsidR="00D97B36">
        <w:rPr>
          <w:lang w:val="en-US"/>
        </w:rPr>
        <w:t xml:space="preserve">, </w:t>
      </w:r>
      <w:r w:rsidRPr="2AAB5048" w:rsidR="00D97B36">
        <w:rPr>
          <w:i w:val="1"/>
          <w:iCs w:val="1"/>
          <w:lang w:val="en-US"/>
        </w:rPr>
        <w:t>51</w:t>
      </w:r>
      <w:r w:rsidRPr="2AAB5048" w:rsidR="00D97B36">
        <w:rPr>
          <w:lang w:val="en-US"/>
        </w:rPr>
        <w:t>(1), pp</w:t>
      </w:r>
      <w:bookmarkStart w:name="_Int_WVw2ZhBx" w:id="1376624542"/>
      <w:r w:rsidRPr="2AAB5048" w:rsidR="00D97B36">
        <w:rPr>
          <w:lang w:val="en-US"/>
        </w:rPr>
        <w:t>.220</w:t>
      </w:r>
      <w:bookmarkEnd w:id="1376624542"/>
      <w:r w:rsidRPr="2AAB5048" w:rsidR="00D97B36">
        <w:rPr>
          <w:lang w:val="en-US"/>
        </w:rPr>
        <w:t xml:space="preserve">.  </w:t>
      </w:r>
      <w:r w:rsidRPr="2AAB5048" w:rsidR="00D97B36">
        <w:rPr>
          <w:lang w:val="en-US"/>
        </w:rPr>
        <w:t>Available at: https://academic.oup.com/ageing/article-abstract/51/1/afab220/6490273 [Accessed on: 3</w:t>
      </w:r>
      <w:r w:rsidRPr="2AAB5048" w:rsidR="00D97B36">
        <w:rPr>
          <w:vertAlign w:val="superscript"/>
          <w:lang w:val="en-US"/>
        </w:rPr>
        <w:t>rd</w:t>
      </w:r>
      <w:r w:rsidRPr="2AAB5048" w:rsidR="00D97B36">
        <w:rPr>
          <w:lang w:val="en-US"/>
        </w:rPr>
        <w:t xml:space="preserve"> Mar. 2026]</w:t>
      </w:r>
    </w:p>
    <w:p w:rsidRPr="00BB558E" w:rsidR="00D97B36" w:rsidP="00D97B36" w:rsidRDefault="00D97B36" w14:paraId="77466109" w14:textId="59EA8D89">
      <w:pPr>
        <w:spacing w:line="360" w:lineRule="auto"/>
        <w:jc w:val="both"/>
      </w:pPr>
      <w:r w:rsidRPr="2AAB5048" w:rsidR="00D97B36">
        <w:rPr>
          <w:lang w:val="en-US"/>
        </w:rPr>
        <w:t xml:space="preserve">Treder, M.S., Lee, </w:t>
      </w:r>
      <w:r w:rsidRPr="2AAB5048" w:rsidR="00D97B36">
        <w:rPr>
          <w:lang w:val="en-US"/>
        </w:rPr>
        <w:t>S.</w:t>
      </w:r>
      <w:bookmarkStart w:name="_Int_Wp0tWj4h" w:id="1711117437"/>
      <w:r w:rsidRPr="2AAB5048" w:rsidR="00D97B36">
        <w:rPr>
          <w:lang w:val="en-US"/>
        </w:rPr>
        <w:t xml:space="preserve"> and</w:t>
      </w:r>
      <w:bookmarkEnd w:id="1711117437"/>
      <w:r w:rsidRPr="2AAB5048" w:rsidR="00D97B36">
        <w:rPr>
          <w:lang w:val="en-US"/>
        </w:rPr>
        <w:t xml:space="preserve"> Tsvetanov, K.A. (2024). Introduction to Large Language </w:t>
      </w:r>
      <w:r w:rsidRPr="2AAB5048" w:rsidR="6AF540F0">
        <w:rPr>
          <w:lang w:val="en-US"/>
        </w:rPr>
        <w:t>Models</w:t>
      </w:r>
      <w:r w:rsidRPr="2AAB5048" w:rsidR="00D97B36">
        <w:rPr>
          <w:lang w:val="en-US"/>
        </w:rPr>
        <w:t xml:space="preserve"> (LLMs) for dementia care and research. </w:t>
      </w:r>
      <w:r w:rsidRPr="2AAB5048" w:rsidR="00D97B36">
        <w:rPr>
          <w:i w:val="1"/>
          <w:iCs w:val="1"/>
          <w:lang w:val="en-US"/>
        </w:rPr>
        <w:t>Frontiers in dementia</w:t>
      </w:r>
      <w:r w:rsidRPr="2AAB5048" w:rsidR="00D97B36">
        <w:rPr>
          <w:lang w:val="en-US"/>
        </w:rPr>
        <w:t xml:space="preserve">, </w:t>
      </w:r>
      <w:r w:rsidRPr="2AAB5048" w:rsidR="00D97B36">
        <w:rPr>
          <w:i w:val="1"/>
          <w:iCs w:val="1"/>
          <w:lang w:val="en-US"/>
        </w:rPr>
        <w:t>3</w:t>
      </w:r>
      <w:r w:rsidRPr="2AAB5048" w:rsidR="00D97B36">
        <w:rPr>
          <w:lang w:val="en-US"/>
        </w:rPr>
        <w:t>, pp</w:t>
      </w:r>
      <w:bookmarkStart w:name="_Int_oacjLXyg" w:id="1854369000"/>
      <w:r w:rsidRPr="2AAB5048" w:rsidR="00D97B36">
        <w:rPr>
          <w:lang w:val="en-US"/>
        </w:rPr>
        <w:t>.1385303</w:t>
      </w:r>
      <w:bookmarkEnd w:id="1854369000"/>
      <w:r w:rsidRPr="2AAB5048" w:rsidR="00D97B36">
        <w:rPr>
          <w:lang w:val="en-US"/>
        </w:rPr>
        <w:t xml:space="preserve">.  </w:t>
      </w:r>
      <w:r w:rsidRPr="2AAB5048" w:rsidR="00D97B36">
        <w:rPr>
          <w:lang w:val="en-US"/>
        </w:rPr>
        <w:t>Available at: https://www.frontiersin.org/journals/dementia/articles/10.3389/frdem.2024.1385303/full [Accessed on: 3</w:t>
      </w:r>
      <w:r w:rsidRPr="2AAB5048" w:rsidR="00D97B36">
        <w:rPr>
          <w:vertAlign w:val="superscript"/>
          <w:lang w:val="en-US"/>
        </w:rPr>
        <w:t>rd</w:t>
      </w:r>
      <w:r w:rsidRPr="2AAB5048" w:rsidR="00D97B36">
        <w:rPr>
          <w:lang w:val="en-US"/>
        </w:rPr>
        <w:t xml:space="preserve"> Mar. 2026]</w:t>
      </w:r>
    </w:p>
    <w:p w:rsidRPr="00BB558E" w:rsidR="00D97B36" w:rsidP="00D97B36" w:rsidRDefault="00D97B36" w14:paraId="62057F33" w14:textId="77777777">
      <w:pPr>
        <w:spacing w:line="360" w:lineRule="auto"/>
        <w:jc w:val="both"/>
      </w:pPr>
      <w:r w:rsidRPr="23EE1487" w:rsidR="00D97B36">
        <w:rPr>
          <w:lang w:val="en-US"/>
        </w:rPr>
        <w:t xml:space="preserve">Wang, J., Shen, J.Y., Conwell, Y., Yu, F., Nathan, K., Heffner, K.L., Li, </w:t>
      </w:r>
      <w:r w:rsidRPr="23EE1487" w:rsidR="00D97B36">
        <w:rPr>
          <w:lang w:val="en-US"/>
        </w:rPr>
        <w:t>Y.</w:t>
      </w:r>
      <w:r w:rsidRPr="23EE1487" w:rsidR="00D97B36">
        <w:rPr>
          <w:lang w:val="en-US"/>
        </w:rPr>
        <w:t xml:space="preserve"> and Caprio, T.V. (2023). Antipsychotic use among older patients with dementia receiving home health care services: prevalence, predictors, and outcomes. </w:t>
      </w:r>
      <w:r w:rsidRPr="23EE1487" w:rsidR="00D97B36">
        <w:rPr>
          <w:i w:val="1"/>
          <w:iCs w:val="1"/>
          <w:lang w:val="en-US"/>
        </w:rPr>
        <w:t>Journal of the American Geriatrics Society</w:t>
      </w:r>
      <w:r w:rsidRPr="23EE1487" w:rsidR="00D97B36">
        <w:rPr>
          <w:lang w:val="en-US"/>
        </w:rPr>
        <w:t xml:space="preserve">, </w:t>
      </w:r>
      <w:r w:rsidRPr="23EE1487" w:rsidR="00D97B36">
        <w:rPr>
          <w:i w:val="1"/>
          <w:iCs w:val="1"/>
          <w:lang w:val="en-US"/>
        </w:rPr>
        <w:t>71</w:t>
      </w:r>
      <w:r w:rsidRPr="23EE1487" w:rsidR="00D97B36">
        <w:rPr>
          <w:lang w:val="en-US"/>
        </w:rPr>
        <w:t>(12), pp.3768-3779</w:t>
      </w:r>
      <w:r w:rsidRPr="23EE1487" w:rsidR="00D97B36">
        <w:rPr>
          <w:lang w:val="en-US"/>
        </w:rPr>
        <w:t xml:space="preserve">.  </w:t>
      </w:r>
      <w:r w:rsidRPr="23EE1487" w:rsidR="00D97B36">
        <w:rPr>
          <w:lang w:val="en-US"/>
        </w:rPr>
        <w:t>Available at: https://agsjournals.onlinelibrary.wiley.com/doi/abs/10.1111/jgs.18555 [Accessed on: 3</w:t>
      </w:r>
      <w:r w:rsidRPr="23EE1487" w:rsidR="00D97B36">
        <w:rPr>
          <w:vertAlign w:val="superscript"/>
          <w:lang w:val="en-US"/>
        </w:rPr>
        <w:t>rd</w:t>
      </w:r>
      <w:r w:rsidRPr="23EE1487" w:rsidR="00D97B36">
        <w:rPr>
          <w:lang w:val="en-US"/>
        </w:rPr>
        <w:t xml:space="preserve"> Mar. 2026]</w:t>
      </w:r>
    </w:p>
    <w:p w:rsidRPr="00BB558E" w:rsidR="00D97B36" w:rsidP="00D97B36" w:rsidRDefault="00D97B36" w14:paraId="07EDBBE5" w14:textId="77777777">
      <w:pPr>
        <w:spacing w:line="360" w:lineRule="auto"/>
        <w:jc w:val="both"/>
      </w:pPr>
      <w:r w:rsidRPr="23EE1487" w:rsidR="00D97B36">
        <w:rPr>
          <w:lang w:val="en-US"/>
        </w:rPr>
        <w:t xml:space="preserve">Wang, L., Zhou, Y., Fang, </w:t>
      </w:r>
      <w:r w:rsidRPr="23EE1487" w:rsidR="00D97B36">
        <w:rPr>
          <w:lang w:val="en-US"/>
        </w:rPr>
        <w:t>X.</w:t>
      </w:r>
      <w:r w:rsidRPr="23EE1487" w:rsidR="00D97B36">
        <w:rPr>
          <w:lang w:val="en-US"/>
        </w:rPr>
        <w:t xml:space="preserve"> and Qu, G. (2022). Care burden on family caregivers of patients with dementia and affecting factors in China: A systematic review. </w:t>
      </w:r>
      <w:r w:rsidRPr="23EE1487" w:rsidR="00D97B36">
        <w:rPr>
          <w:i w:val="1"/>
          <w:iCs w:val="1"/>
          <w:lang w:val="en-US"/>
        </w:rPr>
        <w:t>Frontiers in psychiatry</w:t>
      </w:r>
      <w:r w:rsidRPr="23EE1487" w:rsidR="00D97B36">
        <w:rPr>
          <w:lang w:val="en-US"/>
        </w:rPr>
        <w:t xml:space="preserve">, </w:t>
      </w:r>
      <w:r w:rsidRPr="23EE1487" w:rsidR="00D97B36">
        <w:rPr>
          <w:i w:val="1"/>
          <w:iCs w:val="1"/>
          <w:lang w:val="en-US"/>
        </w:rPr>
        <w:t>13</w:t>
      </w:r>
      <w:r w:rsidRPr="23EE1487" w:rsidR="00D97B36">
        <w:rPr>
          <w:lang w:val="en-US"/>
        </w:rPr>
        <w:t>, pp.100-4552</w:t>
      </w:r>
      <w:r w:rsidRPr="23EE1487" w:rsidR="00D97B36">
        <w:rPr>
          <w:lang w:val="en-US"/>
        </w:rPr>
        <w:t xml:space="preserve">.  </w:t>
      </w:r>
      <w:r w:rsidRPr="23EE1487" w:rsidR="00D97B36">
        <w:rPr>
          <w:lang w:val="en-US"/>
        </w:rPr>
        <w:t>Available at: https://www.frontiersin.org/journals/psychiatry/articles/10.3389/fpsyt.2022.1004552/full [Accessed on: 3</w:t>
      </w:r>
      <w:r w:rsidRPr="23EE1487" w:rsidR="00D97B36">
        <w:rPr>
          <w:vertAlign w:val="superscript"/>
          <w:lang w:val="en-US"/>
        </w:rPr>
        <w:t>rd</w:t>
      </w:r>
      <w:r w:rsidRPr="23EE1487" w:rsidR="00D97B36">
        <w:rPr>
          <w:lang w:val="en-US"/>
        </w:rPr>
        <w:t xml:space="preserve"> Mar. 2026]</w:t>
      </w:r>
    </w:p>
    <w:sectPr w:rsidRPr="00BB558E" w:rsidR="00D97B36" w:rsidSect="00A7322C">
      <w:footerReference w:type="default" r:id="rId19"/>
      <w:pgSz w:w="12240" w:h="15840" w:orient="portrait"/>
      <w:pgMar w:top="1440" w:right="1440" w:bottom="1440" w:left="1440" w:header="720" w:footer="720" w:gutter="0"/>
      <w:pgNumType w:start="1"/>
      <w:cols w:space="720"/>
      <w:titlePg/>
      <w:docGrid w:linePitch="299"/>
      <w:headerReference w:type="default" r:id="Rae4a3466ef824cd0"/>
      <w:headerReference w:type="first" r:id="R155162301cc248b7"/>
      <w:footerReference w:type="first" r:id="Rf23a478e3e424e0f"/>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70C37" w:rsidP="00A7322C" w:rsidRDefault="00E70C37" w14:paraId="4C846CF2" w14:textId="77777777">
      <w:pPr>
        <w:spacing w:line="240" w:lineRule="auto"/>
      </w:pPr>
      <w:r>
        <w:separator/>
      </w:r>
    </w:p>
  </w:endnote>
  <w:endnote w:type="continuationSeparator" w:id="0">
    <w:p w:rsidR="00E70C37" w:rsidP="00A7322C" w:rsidRDefault="00E70C37" w14:paraId="325D2EC7"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w:fontKey="{8BD52D9A-1E3D-4868-B73B-56192997BE74}" r:id="rId1"/>
  </w:font>
  <w:font w:name="Cambria Math">
    <w:panose1 w:val="02040503050406030204"/>
    <w:charset w:val="00"/>
    <w:family w:val="roman"/>
    <w:pitch w:val="variable"/>
    <w:sig w:usb0="E00006FF" w:usb1="420024FF" w:usb2="02000000" w:usb3="00000000" w:csb0="0000019F" w:csb1="00000000"/>
    <w:embedRegular w:fontKey="{39A018D9-501E-428A-B0E1-01A3677C6C97}" r:id="rId2"/>
  </w:font>
  <w:font w:name="Cambria">
    <w:panose1 w:val="02040503050406030204"/>
    <w:charset w:val="00"/>
    <w:family w:val="roman"/>
    <w:pitch w:val="variable"/>
    <w:sig w:usb0="E00006FF" w:usb1="420024FF" w:usb2="02000000" w:usb3="00000000" w:csb0="0000019F" w:csb1="00000000"/>
    <w:embedRegular w:fontKey="{B8D7D102-9C17-4E11-93B3-E1892DFB4DB8}" r:id="rId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0862972"/>
      <w:docPartObj>
        <w:docPartGallery w:val="Page Numbers (Bottom of Page)"/>
        <w:docPartUnique/>
      </w:docPartObj>
    </w:sdtPr>
    <w:sdtEndPr>
      <w:rPr>
        <w:sz w:val="20"/>
        <w:szCs w:val="20"/>
      </w:rPr>
    </w:sdtEndPr>
    <w:sdtContent>
      <w:sdt>
        <w:sdtPr>
          <w:rPr>
            <w:sz w:val="20"/>
            <w:szCs w:val="20"/>
          </w:rPr>
          <w:id w:val="-1769616900"/>
          <w:docPartObj>
            <w:docPartGallery w:val="Page Numbers (Top of Page)"/>
            <w:docPartUnique/>
          </w:docPartObj>
        </w:sdtPr>
        <w:sdtEndPr>
          <w:rPr>
            <w:sz w:val="20"/>
            <w:szCs w:val="20"/>
          </w:rPr>
        </w:sdtEndPr>
        <w:sdtContent>
          <w:p w:rsidRPr="00A7322C" w:rsidR="00A7322C" w:rsidRDefault="00A7322C" w14:paraId="141E6624" w14:textId="07E666EA">
            <w:pPr>
              <w:pStyle w:val="Footer"/>
              <w:jc w:val="right"/>
              <w:rPr>
                <w:sz w:val="20"/>
                <w:szCs w:val="20"/>
              </w:rPr>
            </w:pPr>
            <w:r w:rsidRPr="00A7322C">
              <w:rPr>
                <w:sz w:val="20"/>
                <w:szCs w:val="20"/>
              </w:rPr>
              <w:t xml:space="preserve">Page </w:t>
            </w:r>
            <w:r w:rsidRPr="00A7322C">
              <w:rPr>
                <w:b/>
                <w:bCs/>
                <w:sz w:val="20"/>
                <w:szCs w:val="20"/>
              </w:rPr>
              <w:fldChar w:fldCharType="begin"/>
            </w:r>
            <w:r w:rsidRPr="00A7322C">
              <w:rPr>
                <w:b/>
                <w:bCs/>
                <w:sz w:val="20"/>
                <w:szCs w:val="20"/>
              </w:rPr>
              <w:instrText xml:space="preserve"> PAGE </w:instrText>
            </w:r>
            <w:r w:rsidRPr="00A7322C">
              <w:rPr>
                <w:b/>
                <w:bCs/>
                <w:sz w:val="20"/>
                <w:szCs w:val="20"/>
              </w:rPr>
              <w:fldChar w:fldCharType="separate"/>
            </w:r>
            <w:r w:rsidRPr="00A7322C">
              <w:rPr>
                <w:b/>
                <w:bCs/>
                <w:noProof/>
                <w:sz w:val="20"/>
                <w:szCs w:val="20"/>
              </w:rPr>
              <w:t>2</w:t>
            </w:r>
            <w:r w:rsidRPr="00A7322C">
              <w:rPr>
                <w:b/>
                <w:bCs/>
                <w:sz w:val="20"/>
                <w:szCs w:val="20"/>
              </w:rPr>
              <w:fldChar w:fldCharType="end"/>
            </w:r>
            <w:r w:rsidRPr="00A7322C">
              <w:rPr>
                <w:sz w:val="20"/>
                <w:szCs w:val="20"/>
              </w:rPr>
              <w:t xml:space="preserve"> of </w:t>
            </w:r>
            <w:r w:rsidRPr="00A7322C">
              <w:rPr>
                <w:b/>
                <w:bCs/>
                <w:sz w:val="20"/>
                <w:szCs w:val="20"/>
              </w:rPr>
              <w:fldChar w:fldCharType="begin"/>
            </w:r>
            <w:r w:rsidRPr="00A7322C">
              <w:rPr>
                <w:b/>
                <w:bCs/>
                <w:sz w:val="20"/>
                <w:szCs w:val="20"/>
              </w:rPr>
              <w:instrText xml:space="preserve"> NUMPAGES  </w:instrText>
            </w:r>
            <w:r w:rsidRPr="00A7322C">
              <w:rPr>
                <w:b/>
                <w:bCs/>
                <w:sz w:val="20"/>
                <w:szCs w:val="20"/>
              </w:rPr>
              <w:fldChar w:fldCharType="separate"/>
            </w:r>
            <w:r w:rsidRPr="00A7322C">
              <w:rPr>
                <w:b/>
                <w:bCs/>
                <w:noProof/>
                <w:sz w:val="20"/>
                <w:szCs w:val="20"/>
              </w:rPr>
              <w:t>2</w:t>
            </w:r>
            <w:r w:rsidRPr="00A7322C">
              <w:rPr>
                <w:b/>
                <w:bCs/>
                <w:sz w:val="20"/>
                <w:szCs w:val="20"/>
              </w:rPr>
              <w:fldChar w:fldCharType="end"/>
            </w:r>
          </w:p>
        </w:sdtContent>
      </w:sdt>
    </w:sdtContent>
  </w:sdt>
  <w:p w:rsidR="00A7322C" w:rsidRDefault="00A7322C" w14:paraId="3DC664B1" w14:textId="77777777">
    <w:pPr>
      <w:pStyle w:val="Footer"/>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AAB5048" w:rsidTr="2AAB5048" w14:paraId="2933F2D4">
      <w:trPr>
        <w:trHeight w:val="300"/>
      </w:trPr>
      <w:tc>
        <w:tcPr>
          <w:tcW w:w="3120" w:type="dxa"/>
          <w:tcMar/>
        </w:tcPr>
        <w:p w:rsidR="2AAB5048" w:rsidP="2AAB5048" w:rsidRDefault="2AAB5048" w14:paraId="07175233" w14:textId="19EBE978">
          <w:pPr>
            <w:pStyle w:val="Header"/>
            <w:bidi w:val="0"/>
            <w:ind w:left="-115"/>
            <w:jc w:val="left"/>
          </w:pPr>
        </w:p>
      </w:tc>
      <w:tc>
        <w:tcPr>
          <w:tcW w:w="3120" w:type="dxa"/>
          <w:tcMar/>
        </w:tcPr>
        <w:p w:rsidR="2AAB5048" w:rsidP="2AAB5048" w:rsidRDefault="2AAB5048" w14:paraId="4EC786B3" w14:textId="7FFF32E6">
          <w:pPr>
            <w:pStyle w:val="Header"/>
            <w:bidi w:val="0"/>
            <w:jc w:val="center"/>
          </w:pPr>
        </w:p>
      </w:tc>
      <w:tc>
        <w:tcPr>
          <w:tcW w:w="3120" w:type="dxa"/>
          <w:tcMar/>
        </w:tcPr>
        <w:p w:rsidR="2AAB5048" w:rsidP="2AAB5048" w:rsidRDefault="2AAB5048" w14:paraId="685C4FBF" w14:textId="00BA8FC0">
          <w:pPr>
            <w:pStyle w:val="Header"/>
            <w:bidi w:val="0"/>
            <w:ind w:right="-115"/>
            <w:jc w:val="right"/>
          </w:pPr>
        </w:p>
      </w:tc>
    </w:tr>
  </w:tbl>
  <w:p w:rsidR="2AAB5048" w:rsidP="2AAB5048" w:rsidRDefault="2AAB5048" w14:paraId="56670A10" w14:textId="64CD8EA3">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70C37" w:rsidP="00A7322C" w:rsidRDefault="00E70C37" w14:paraId="54F21F4F" w14:textId="77777777">
      <w:pPr>
        <w:spacing w:line="240" w:lineRule="auto"/>
      </w:pPr>
      <w:r>
        <w:separator/>
      </w:r>
    </w:p>
  </w:footnote>
  <w:footnote w:type="continuationSeparator" w:id="0">
    <w:p w:rsidR="00E70C37" w:rsidP="00A7322C" w:rsidRDefault="00E70C37" w14:paraId="33DA486A" w14:textId="77777777">
      <w:pPr>
        <w:spacing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AAB5048" w:rsidTr="2AAB5048" w14:paraId="3454B1E4">
      <w:trPr>
        <w:trHeight w:val="300"/>
      </w:trPr>
      <w:tc>
        <w:tcPr>
          <w:tcW w:w="3120" w:type="dxa"/>
          <w:tcMar/>
        </w:tcPr>
        <w:p w:rsidR="2AAB5048" w:rsidP="2AAB5048" w:rsidRDefault="2AAB5048" w14:paraId="76BB3EE6" w14:textId="6C951B93">
          <w:pPr>
            <w:pStyle w:val="Header"/>
            <w:bidi w:val="0"/>
            <w:ind w:left="-115"/>
            <w:jc w:val="left"/>
          </w:pPr>
        </w:p>
      </w:tc>
      <w:tc>
        <w:tcPr>
          <w:tcW w:w="3120" w:type="dxa"/>
          <w:tcMar/>
        </w:tcPr>
        <w:p w:rsidR="2AAB5048" w:rsidP="2AAB5048" w:rsidRDefault="2AAB5048" w14:paraId="3A076A89" w14:textId="6D74F524">
          <w:pPr>
            <w:pStyle w:val="Header"/>
            <w:bidi w:val="0"/>
            <w:jc w:val="center"/>
          </w:pPr>
        </w:p>
      </w:tc>
      <w:tc>
        <w:tcPr>
          <w:tcW w:w="3120" w:type="dxa"/>
          <w:tcMar/>
        </w:tcPr>
        <w:p w:rsidR="2AAB5048" w:rsidP="2AAB5048" w:rsidRDefault="2AAB5048" w14:paraId="64A669FE" w14:textId="512E4D75">
          <w:pPr>
            <w:pStyle w:val="Header"/>
            <w:bidi w:val="0"/>
            <w:ind w:right="-115"/>
            <w:jc w:val="right"/>
          </w:pPr>
        </w:p>
      </w:tc>
    </w:tr>
  </w:tbl>
  <w:p w:rsidR="2AAB5048" w:rsidP="2AAB5048" w:rsidRDefault="2AAB5048" w14:paraId="7B0F5A43" w14:textId="36B50F34">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AAB5048" w:rsidTr="2AAB5048" w14:paraId="6B680260">
      <w:trPr>
        <w:trHeight w:val="300"/>
      </w:trPr>
      <w:tc>
        <w:tcPr>
          <w:tcW w:w="3120" w:type="dxa"/>
          <w:tcMar/>
        </w:tcPr>
        <w:p w:rsidR="2AAB5048" w:rsidP="2AAB5048" w:rsidRDefault="2AAB5048" w14:paraId="2C9AEC56" w14:textId="00D17073">
          <w:pPr>
            <w:pStyle w:val="Header"/>
            <w:bidi w:val="0"/>
            <w:ind w:left="-115"/>
            <w:jc w:val="left"/>
          </w:pPr>
        </w:p>
      </w:tc>
      <w:tc>
        <w:tcPr>
          <w:tcW w:w="3120" w:type="dxa"/>
          <w:tcMar/>
        </w:tcPr>
        <w:p w:rsidR="2AAB5048" w:rsidP="2AAB5048" w:rsidRDefault="2AAB5048" w14:paraId="34C3AD3D" w14:textId="1073E51E">
          <w:pPr>
            <w:pStyle w:val="Header"/>
            <w:bidi w:val="0"/>
            <w:jc w:val="center"/>
          </w:pPr>
        </w:p>
      </w:tc>
      <w:tc>
        <w:tcPr>
          <w:tcW w:w="3120" w:type="dxa"/>
          <w:tcMar/>
        </w:tcPr>
        <w:p w:rsidR="2AAB5048" w:rsidP="2AAB5048" w:rsidRDefault="2AAB5048" w14:paraId="45FC05E6" w14:textId="50C9162C">
          <w:pPr>
            <w:pStyle w:val="Header"/>
            <w:bidi w:val="0"/>
            <w:ind w:right="-115"/>
            <w:jc w:val="right"/>
          </w:pPr>
        </w:p>
      </w:tc>
    </w:tr>
  </w:tbl>
  <w:p w:rsidR="2AAB5048" w:rsidP="2AAB5048" w:rsidRDefault="2AAB5048" w14:paraId="51B25377" w14:textId="2D80567E">
    <w:pPr>
      <w:pStyle w:val="Header"/>
      <w:bidi w:val="0"/>
    </w:pPr>
  </w:p>
</w:hdr>
</file>

<file path=word/intelligence2.xml><?xml version="1.0" encoding="utf-8"?>
<int2:intelligence xmlns:int2="http://schemas.microsoft.com/office/intelligence/2020/intelligence">
  <int2:observations>
    <int2:bookmark int2:bookmarkName="_Int_x8X5Oucq" int2:invalidationBookmarkName="" int2:hashCode="ZD4DPyxyvbq3AT" int2:id="xlyhKHWo">
      <int2:state int2:type="style" int2:value="Rejected"/>
    </int2:bookmark>
    <int2:bookmark int2:bookmarkName="_Int_45QKF5YF" int2:invalidationBookmarkName="" int2:hashCode="SpecB7mAAJAeR7" int2:id="bFyBGv9a">
      <int2:state int2:type="style" int2:value="Rejected"/>
    </int2:bookmark>
    <int2:bookmark int2:bookmarkName="_Int_jXmMNYNy" int2:invalidationBookmarkName="" int2:hashCode="zYbXbXYgr7RRP5" int2:id="kgoowdh3">
      <int2:state int2:type="style" int2:value="Rejected"/>
    </int2:bookmark>
    <int2:bookmark int2:bookmarkName="_Int_vlzu3VGg" int2:invalidationBookmarkName="" int2:hashCode="E1+Tt6RJBbZOzq" int2:id="7kRpMaDu">
      <int2:state int2:type="style" int2:value="Rejected"/>
    </int2:bookmark>
    <int2:bookmark int2:bookmarkName="_Int_tWVPsBxG" int2:invalidationBookmarkName="" int2:hashCode="5cEnj+BQkBZE21" int2:id="BDod4BfC">
      <int2:state int2:type="style" int2:value="Rejected"/>
    </int2:bookmark>
    <int2:bookmark int2:bookmarkName="_Int_12Eg7MxO" int2:invalidationBookmarkName="" int2:hashCode="2CzYSHCkOTclF6" int2:id="VHgF80dR">
      <int2:state int2:type="style" int2:value="Rejected"/>
    </int2:bookmark>
    <int2:bookmark int2:bookmarkName="_Int_gUVB2I0k" int2:invalidationBookmarkName="" int2:hashCode="DM466tp0OUkVdj" int2:id="PL2doouD">
      <int2:state int2:type="style" int2:value="Rejected"/>
    </int2:bookmark>
    <int2:bookmark int2:bookmarkName="_Int_iJW2Zuo7" int2:invalidationBookmarkName="" int2:hashCode="ItDIpZCy8OzTZd" int2:id="58kHfX0C">
      <int2:state int2:type="style" int2:value="Rejected"/>
    </int2:bookmark>
    <int2:bookmark int2:bookmarkName="_Int_mTiTaqzM" int2:invalidationBookmarkName="" int2:hashCode="1C020vf13Cj4AC" int2:id="uPGfqbif">
      <int2:state int2:type="gram" int2:value="Rejected"/>
    </int2:bookmark>
    <int2:bookmark int2:bookmarkName="_Int_rkrULBJk" int2:invalidationBookmarkName="" int2:hashCode="e0dMsLOcF3PXGS" int2:id="sHoq4NPV">
      <int2:state int2:type="style" int2:value="Rejected"/>
    </int2:bookmark>
    <int2:bookmark int2:bookmarkName="_Int_zsEOy9z0" int2:invalidationBookmarkName="" int2:hashCode="lRV9497/yM41Sb" int2:id="kZRsnhiF">
      <int2:state int2:type="gram" int2:value="Rejected"/>
    </int2:bookmark>
    <int2:bookmark int2:bookmarkName="_Int_jXW0KIeS" int2:invalidationBookmarkName="" int2:hashCode="eLH9PkE+NYYKi4" int2:id="x4tnIU1M">
      <int2:state int2:type="gram" int2:value="Rejected"/>
    </int2:bookmark>
    <int2:bookmark int2:bookmarkName="_Int_cJLSOZ2u" int2:invalidationBookmarkName="" int2:hashCode="3gT6Din5s14kkF" int2:id="POa7jCWk">
      <int2:state int2:type="gram" int2:value="Rejected"/>
    </int2:bookmark>
    <int2:bookmark int2:bookmarkName="_Int_EH7RLTOV" int2:invalidationBookmarkName="" int2:hashCode="Can7eMGxT6XXo2" int2:id="y8HdSKa6">
      <int2:state int2:type="gram" int2:value="Rejected"/>
    </int2:bookmark>
    <int2:bookmark int2:bookmarkName="_Int_bI5i7a2U" int2:invalidationBookmarkName="" int2:hashCode="4nVri+VlnWNg59" int2:id="n9cieBKt">
      <int2:state int2:type="gram" int2:value="Rejected"/>
    </int2:bookmark>
    <int2:bookmark int2:bookmarkName="_Int_ZNgWFQIt" int2:invalidationBookmarkName="" int2:hashCode="AQu8C7y9YVxvAz" int2:id="V6hrja7J">
      <int2:state int2:type="gram" int2:value="Rejected"/>
    </int2:bookmark>
    <int2:bookmark int2:bookmarkName="_Int_M3HoFwAE" int2:invalidationBookmarkName="" int2:hashCode="qk/bq3cKDnRgtO" int2:id="f2B2zqt3">
      <int2:state int2:type="gram" int2:value="Rejected"/>
    </int2:bookmark>
    <int2:bookmark int2:bookmarkName="_Int_jqaOGsfw" int2:invalidationBookmarkName="" int2:hashCode="pDdnT8rY58y9WE" int2:id="GHn8idiw">
      <int2:state int2:type="gram" int2:value="Rejected"/>
    </int2:bookmark>
    <int2:bookmark int2:bookmarkName="_Int_CCk7jUGT" int2:invalidationBookmarkName="" int2:hashCode="pDdnT8rY58y9WE" int2:id="jSeWKwZ1">
      <int2:state int2:type="gram" int2:value="Rejected"/>
    </int2:bookmark>
    <int2:bookmark int2:bookmarkName="_Int_p9v9Zgg8" int2:invalidationBookmarkName="" int2:hashCode="AQu8C7y9YVxvAz" int2:id="6boimF8X">
      <int2:state int2:type="gram" int2:value="Rejected"/>
    </int2:bookmark>
    <int2:bookmark int2:bookmarkName="_Int_XKgCy1NJ" int2:invalidationBookmarkName="" int2:hashCode="1m/zjsZhEfeaxe" int2:id="GkPZL6Fx">
      <int2:state int2:type="gram" int2:value="Rejected"/>
    </int2:bookmark>
    <int2:bookmark int2:bookmarkName="_Int_1CnrXj9Z" int2:invalidationBookmarkName="" int2:hashCode="1m/zjsZhEfeaxe" int2:id="hE6Aygbt">
      <int2:state int2:type="gram" int2:value="Rejected"/>
    </int2:bookmark>
    <int2:bookmark int2:bookmarkName="_Int_HmPvWOL3" int2:invalidationBookmarkName="" int2:hashCode="AQu8C7y9YVxvAz" int2:id="dSTT4649">
      <int2:state int2:type="gram" int2:value="Rejected"/>
    </int2:bookmark>
    <int2:bookmark int2:bookmarkName="_Int_DGbdK040" int2:invalidationBookmarkName="" int2:hashCode="qOBlDPGVQneuIE" int2:id="5xgRQMT9">
      <int2:state int2:type="gram" int2:value="Rejected"/>
    </int2:bookmark>
    <int2:bookmark int2:bookmarkName="_Int_7lsAD3Hb" int2:invalidationBookmarkName="" int2:hashCode="2z1AWxBnWZjAMC" int2:id="7264eICA">
      <int2:state int2:type="gram" int2:value="Rejected"/>
    </int2:bookmark>
    <int2:bookmark int2:bookmarkName="_Int_JAL5GFIL" int2:invalidationBookmarkName="" int2:hashCode="w0jctqI15NyDio" int2:id="uwpkj7KM">
      <int2:state int2:type="gram" int2:value="Rejected"/>
    </int2:bookmark>
    <int2:bookmark int2:bookmarkName="_Int_pQus0IqT" int2:invalidationBookmarkName="" int2:hashCode="LbyAs6QTnLVN3D" int2:id="He7pD1Zq">
      <int2:state int2:type="gram" int2:value="Rejected"/>
    </int2:bookmark>
    <int2:bookmark int2:bookmarkName="_Int_fWGtaqwO" int2:invalidationBookmarkName="" int2:hashCode="AQu8C7y9YVxvAz" int2:id="WNhADFyM">
      <int2:state int2:type="gram" int2:value="Rejected"/>
    </int2:bookmark>
    <int2:bookmark int2:bookmarkName="_Int_GWhevfcu" int2:invalidationBookmarkName="" int2:hashCode="UJu3AvVwq1ecK0" int2:id="Tfgqv9BV">
      <int2:state int2:type="gram" int2:value="Rejected"/>
    </int2:bookmark>
    <int2:bookmark int2:bookmarkName="_Int_pROoY9gn" int2:invalidationBookmarkName="" int2:hashCode="Y6+fC8Do9KzsKd" int2:id="5WIdqTUh">
      <int2:state int2:type="gram" int2:value="Rejected"/>
    </int2:bookmark>
    <int2:bookmark int2:bookmarkName="_Int_tNFQ9svg" int2:invalidationBookmarkName="" int2:hashCode="h9Ep4++U8zUBEv" int2:id="XWlQ9ubR">
      <int2:state int2:type="gram" int2:value="Rejected"/>
    </int2:bookmark>
    <int2:bookmark int2:bookmarkName="_Int_hhB8Lnlc" int2:invalidationBookmarkName="" int2:hashCode="8s/f3HuSdeqOHG" int2:id="hUzl9ESL">
      <int2:state int2:type="gram" int2:value="Rejected"/>
    </int2:bookmark>
    <int2:bookmark int2:bookmarkName="_Int_ecnE9aIf" int2:invalidationBookmarkName="" int2:hashCode="ie0c6pIu1UjYuk" int2:id="J8N7dfDp">
      <int2:state int2:type="gram" int2:value="Rejected"/>
    </int2:bookmark>
    <int2:bookmark int2:bookmarkName="_Int_oacjLXyg" int2:invalidationBookmarkName="" int2:hashCode="l3wc5QkD5ZdRfn" int2:id="vbIQBOUh">
      <int2:state int2:type="gram" int2:value="Rejected"/>
    </int2:bookmark>
    <int2:bookmark int2:bookmarkName="_Int_xpLYuI7z" int2:invalidationBookmarkName="" int2:hashCode="naBF9un0tTAqgm" int2:id="VZisPuWB">
      <int2:state int2:type="gram" int2:value="Rejected"/>
    </int2:bookmark>
    <int2:bookmark int2:bookmarkName="_Int_Wp0tWj4h" int2:invalidationBookmarkName="" int2:hashCode="2WsEDRdWXKeoFe" int2:id="G1bgjmYM">
      <int2:state int2:type="gram" int2:value="Rejected"/>
    </int2:bookmark>
    <int2:bookmark int2:bookmarkName="_Int_WVw2ZhBx" int2:invalidationBookmarkName="" int2:hashCode="9mKbuMNWgi5rJw" int2:id="QhFS7mqK">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5">
    <w:nsid w:val="2388660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60E01B4"/>
    <w:multiLevelType w:val="hybridMultilevel"/>
    <w:tmpl w:val="F7E0EBC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FFB29F0"/>
    <w:multiLevelType w:val="hybridMultilevel"/>
    <w:tmpl w:val="00000000"/>
    <w:lvl w:ilvl="0" w:tplc="34120272">
      <w:start w:val="1"/>
      <w:numFmt w:val="bullet"/>
      <w:lvlText w:val="●"/>
      <w:lvlJc w:val="left"/>
      <w:pPr>
        <w:ind w:left="720" w:hanging="360"/>
      </w:pPr>
      <w:rPr>
        <w:u w:val="none"/>
      </w:rPr>
    </w:lvl>
    <w:lvl w:ilvl="1" w:tplc="1B804BA8">
      <w:start w:val="1"/>
      <w:numFmt w:val="bullet"/>
      <w:lvlText w:val="○"/>
      <w:lvlJc w:val="left"/>
      <w:pPr>
        <w:ind w:left="1440" w:hanging="360"/>
      </w:pPr>
      <w:rPr>
        <w:u w:val="none"/>
      </w:rPr>
    </w:lvl>
    <w:lvl w:ilvl="2" w:tplc="BE94E106">
      <w:start w:val="1"/>
      <w:numFmt w:val="bullet"/>
      <w:lvlText w:val="■"/>
      <w:lvlJc w:val="left"/>
      <w:pPr>
        <w:ind w:left="2160" w:hanging="360"/>
      </w:pPr>
      <w:rPr>
        <w:u w:val="none"/>
      </w:rPr>
    </w:lvl>
    <w:lvl w:ilvl="3" w:tplc="1E02ABD6">
      <w:start w:val="1"/>
      <w:numFmt w:val="bullet"/>
      <w:lvlText w:val="●"/>
      <w:lvlJc w:val="left"/>
      <w:pPr>
        <w:ind w:left="2880" w:hanging="360"/>
      </w:pPr>
      <w:rPr>
        <w:u w:val="none"/>
      </w:rPr>
    </w:lvl>
    <w:lvl w:ilvl="4" w:tplc="E5707514">
      <w:start w:val="1"/>
      <w:numFmt w:val="bullet"/>
      <w:lvlText w:val="○"/>
      <w:lvlJc w:val="left"/>
      <w:pPr>
        <w:ind w:left="3600" w:hanging="360"/>
      </w:pPr>
      <w:rPr>
        <w:u w:val="none"/>
      </w:rPr>
    </w:lvl>
    <w:lvl w:ilvl="5" w:tplc="E84E98DC">
      <w:start w:val="1"/>
      <w:numFmt w:val="bullet"/>
      <w:lvlText w:val="■"/>
      <w:lvlJc w:val="left"/>
      <w:pPr>
        <w:ind w:left="4320" w:hanging="360"/>
      </w:pPr>
      <w:rPr>
        <w:u w:val="none"/>
      </w:rPr>
    </w:lvl>
    <w:lvl w:ilvl="6" w:tplc="AB94EF68">
      <w:start w:val="1"/>
      <w:numFmt w:val="bullet"/>
      <w:lvlText w:val="●"/>
      <w:lvlJc w:val="left"/>
      <w:pPr>
        <w:ind w:left="5040" w:hanging="360"/>
      </w:pPr>
      <w:rPr>
        <w:u w:val="none"/>
      </w:rPr>
    </w:lvl>
    <w:lvl w:ilvl="7" w:tplc="1C4E1EFA">
      <w:start w:val="1"/>
      <w:numFmt w:val="bullet"/>
      <w:lvlText w:val="○"/>
      <w:lvlJc w:val="left"/>
      <w:pPr>
        <w:ind w:left="5760" w:hanging="360"/>
      </w:pPr>
      <w:rPr>
        <w:u w:val="none"/>
      </w:rPr>
    </w:lvl>
    <w:lvl w:ilvl="8" w:tplc="DBF83BB0">
      <w:start w:val="1"/>
      <w:numFmt w:val="bullet"/>
      <w:lvlText w:val="■"/>
      <w:lvlJc w:val="left"/>
      <w:pPr>
        <w:ind w:left="6480" w:hanging="360"/>
      </w:pPr>
      <w:rPr>
        <w:u w:val="none"/>
      </w:rPr>
    </w:lvl>
  </w:abstractNum>
  <w:abstractNum w:abstractNumId="2" w15:restartNumberingAfterBreak="0">
    <w:nsid w:val="4FB23E53"/>
    <w:multiLevelType w:val="hybridMultilevel"/>
    <w:tmpl w:val="00000000"/>
    <w:lvl w:ilvl="0" w:tplc="73422652">
      <w:start w:val="1"/>
      <w:numFmt w:val="bullet"/>
      <w:lvlText w:val="●"/>
      <w:lvlJc w:val="left"/>
      <w:pPr>
        <w:ind w:left="720" w:hanging="360"/>
      </w:pPr>
      <w:rPr>
        <w:u w:val="none"/>
      </w:rPr>
    </w:lvl>
    <w:lvl w:ilvl="1" w:tplc="7BD4D6D6">
      <w:start w:val="1"/>
      <w:numFmt w:val="bullet"/>
      <w:lvlText w:val="○"/>
      <w:lvlJc w:val="left"/>
      <w:pPr>
        <w:ind w:left="1440" w:hanging="360"/>
      </w:pPr>
      <w:rPr>
        <w:u w:val="none"/>
      </w:rPr>
    </w:lvl>
    <w:lvl w:ilvl="2" w:tplc="494EA4D2">
      <w:start w:val="1"/>
      <w:numFmt w:val="bullet"/>
      <w:lvlText w:val="■"/>
      <w:lvlJc w:val="left"/>
      <w:pPr>
        <w:ind w:left="2160" w:hanging="360"/>
      </w:pPr>
      <w:rPr>
        <w:u w:val="none"/>
      </w:rPr>
    </w:lvl>
    <w:lvl w:ilvl="3" w:tplc="A08CA236">
      <w:start w:val="1"/>
      <w:numFmt w:val="bullet"/>
      <w:lvlText w:val="●"/>
      <w:lvlJc w:val="left"/>
      <w:pPr>
        <w:ind w:left="2880" w:hanging="360"/>
      </w:pPr>
      <w:rPr>
        <w:u w:val="none"/>
      </w:rPr>
    </w:lvl>
    <w:lvl w:ilvl="4" w:tplc="5E88F93A">
      <w:start w:val="1"/>
      <w:numFmt w:val="bullet"/>
      <w:lvlText w:val="○"/>
      <w:lvlJc w:val="left"/>
      <w:pPr>
        <w:ind w:left="3600" w:hanging="360"/>
      </w:pPr>
      <w:rPr>
        <w:u w:val="none"/>
      </w:rPr>
    </w:lvl>
    <w:lvl w:ilvl="5" w:tplc="AD96C4E8">
      <w:start w:val="1"/>
      <w:numFmt w:val="bullet"/>
      <w:lvlText w:val="■"/>
      <w:lvlJc w:val="left"/>
      <w:pPr>
        <w:ind w:left="4320" w:hanging="360"/>
      </w:pPr>
      <w:rPr>
        <w:u w:val="none"/>
      </w:rPr>
    </w:lvl>
    <w:lvl w:ilvl="6" w:tplc="6C4AAC8E">
      <w:start w:val="1"/>
      <w:numFmt w:val="bullet"/>
      <w:lvlText w:val="●"/>
      <w:lvlJc w:val="left"/>
      <w:pPr>
        <w:ind w:left="5040" w:hanging="360"/>
      </w:pPr>
      <w:rPr>
        <w:u w:val="none"/>
      </w:rPr>
    </w:lvl>
    <w:lvl w:ilvl="7" w:tplc="78526904">
      <w:start w:val="1"/>
      <w:numFmt w:val="bullet"/>
      <w:lvlText w:val="○"/>
      <w:lvlJc w:val="left"/>
      <w:pPr>
        <w:ind w:left="5760" w:hanging="360"/>
      </w:pPr>
      <w:rPr>
        <w:u w:val="none"/>
      </w:rPr>
    </w:lvl>
    <w:lvl w:ilvl="8" w:tplc="1B48F618">
      <w:start w:val="1"/>
      <w:numFmt w:val="bullet"/>
      <w:lvlText w:val="■"/>
      <w:lvlJc w:val="left"/>
      <w:pPr>
        <w:ind w:left="6480" w:hanging="360"/>
      </w:pPr>
      <w:rPr>
        <w:u w:val="none"/>
      </w:rPr>
    </w:lvl>
  </w:abstractNum>
  <w:abstractNum w:abstractNumId="3" w15:restartNumberingAfterBreak="0">
    <w:nsid w:val="6007A46E"/>
    <w:multiLevelType w:val="hybridMultilevel"/>
    <w:tmpl w:val="00000000"/>
    <w:lvl w:ilvl="0" w:tplc="4C5017FC">
      <w:start w:val="1"/>
      <w:numFmt w:val="bullet"/>
      <w:lvlText w:val="●"/>
      <w:lvlJc w:val="left"/>
      <w:pPr>
        <w:ind w:left="720" w:hanging="360"/>
      </w:pPr>
      <w:rPr>
        <w:u w:val="none"/>
      </w:rPr>
    </w:lvl>
    <w:lvl w:ilvl="1" w:tplc="6B2A8EB0">
      <w:start w:val="1"/>
      <w:numFmt w:val="bullet"/>
      <w:lvlText w:val="○"/>
      <w:lvlJc w:val="left"/>
      <w:pPr>
        <w:ind w:left="1440" w:hanging="360"/>
      </w:pPr>
      <w:rPr>
        <w:u w:val="none"/>
      </w:rPr>
    </w:lvl>
    <w:lvl w:ilvl="2" w:tplc="95AED0A8">
      <w:start w:val="1"/>
      <w:numFmt w:val="bullet"/>
      <w:lvlText w:val="■"/>
      <w:lvlJc w:val="left"/>
      <w:pPr>
        <w:ind w:left="2160" w:hanging="360"/>
      </w:pPr>
      <w:rPr>
        <w:u w:val="none"/>
      </w:rPr>
    </w:lvl>
    <w:lvl w:ilvl="3" w:tplc="5516A5E2">
      <w:start w:val="1"/>
      <w:numFmt w:val="bullet"/>
      <w:lvlText w:val="●"/>
      <w:lvlJc w:val="left"/>
      <w:pPr>
        <w:ind w:left="2880" w:hanging="360"/>
      </w:pPr>
      <w:rPr>
        <w:u w:val="none"/>
      </w:rPr>
    </w:lvl>
    <w:lvl w:ilvl="4" w:tplc="61BA8C04">
      <w:start w:val="1"/>
      <w:numFmt w:val="bullet"/>
      <w:lvlText w:val="○"/>
      <w:lvlJc w:val="left"/>
      <w:pPr>
        <w:ind w:left="3600" w:hanging="360"/>
      </w:pPr>
      <w:rPr>
        <w:u w:val="none"/>
      </w:rPr>
    </w:lvl>
    <w:lvl w:ilvl="5" w:tplc="E3F6DA1E">
      <w:start w:val="1"/>
      <w:numFmt w:val="bullet"/>
      <w:lvlText w:val="■"/>
      <w:lvlJc w:val="left"/>
      <w:pPr>
        <w:ind w:left="4320" w:hanging="360"/>
      </w:pPr>
      <w:rPr>
        <w:u w:val="none"/>
      </w:rPr>
    </w:lvl>
    <w:lvl w:ilvl="6" w:tplc="47A63AE8">
      <w:start w:val="1"/>
      <w:numFmt w:val="bullet"/>
      <w:lvlText w:val="●"/>
      <w:lvlJc w:val="left"/>
      <w:pPr>
        <w:ind w:left="5040" w:hanging="360"/>
      </w:pPr>
      <w:rPr>
        <w:u w:val="none"/>
      </w:rPr>
    </w:lvl>
    <w:lvl w:ilvl="7" w:tplc="5DD41302">
      <w:start w:val="1"/>
      <w:numFmt w:val="bullet"/>
      <w:lvlText w:val="○"/>
      <w:lvlJc w:val="left"/>
      <w:pPr>
        <w:ind w:left="5760" w:hanging="360"/>
      </w:pPr>
      <w:rPr>
        <w:u w:val="none"/>
      </w:rPr>
    </w:lvl>
    <w:lvl w:ilvl="8" w:tplc="7A162C0A">
      <w:start w:val="1"/>
      <w:numFmt w:val="bullet"/>
      <w:lvlText w:val="■"/>
      <w:lvlJc w:val="left"/>
      <w:pPr>
        <w:ind w:left="6480" w:hanging="360"/>
      </w:pPr>
      <w:rPr>
        <w:u w:val="none"/>
      </w:rPr>
    </w:lvl>
  </w:abstractNum>
  <w:abstractNum w:abstractNumId="4" w15:restartNumberingAfterBreak="0">
    <w:nsid w:val="665BE38C"/>
    <w:multiLevelType w:val="hybridMultilevel"/>
    <w:tmpl w:val="00000000"/>
    <w:lvl w:ilvl="0" w:tplc="CE7888F4">
      <w:start w:val="1"/>
      <w:numFmt w:val="bullet"/>
      <w:lvlText w:val="●"/>
      <w:lvlJc w:val="left"/>
      <w:pPr>
        <w:ind w:left="720" w:hanging="360"/>
      </w:pPr>
      <w:rPr>
        <w:u w:val="none"/>
      </w:rPr>
    </w:lvl>
    <w:lvl w:ilvl="1" w:tplc="75A604BE">
      <w:start w:val="1"/>
      <w:numFmt w:val="bullet"/>
      <w:lvlText w:val="○"/>
      <w:lvlJc w:val="left"/>
      <w:pPr>
        <w:ind w:left="1440" w:hanging="360"/>
      </w:pPr>
      <w:rPr>
        <w:u w:val="none"/>
      </w:rPr>
    </w:lvl>
    <w:lvl w:ilvl="2" w:tplc="54967D24">
      <w:start w:val="1"/>
      <w:numFmt w:val="bullet"/>
      <w:lvlText w:val="■"/>
      <w:lvlJc w:val="left"/>
      <w:pPr>
        <w:ind w:left="2160" w:hanging="360"/>
      </w:pPr>
      <w:rPr>
        <w:u w:val="none"/>
      </w:rPr>
    </w:lvl>
    <w:lvl w:ilvl="3" w:tplc="56FEBDB2">
      <w:start w:val="1"/>
      <w:numFmt w:val="bullet"/>
      <w:lvlText w:val="●"/>
      <w:lvlJc w:val="left"/>
      <w:pPr>
        <w:ind w:left="2880" w:hanging="360"/>
      </w:pPr>
      <w:rPr>
        <w:u w:val="none"/>
      </w:rPr>
    </w:lvl>
    <w:lvl w:ilvl="4" w:tplc="009A8232">
      <w:start w:val="1"/>
      <w:numFmt w:val="bullet"/>
      <w:lvlText w:val="○"/>
      <w:lvlJc w:val="left"/>
      <w:pPr>
        <w:ind w:left="3600" w:hanging="360"/>
      </w:pPr>
      <w:rPr>
        <w:u w:val="none"/>
      </w:rPr>
    </w:lvl>
    <w:lvl w:ilvl="5" w:tplc="1B82CC68">
      <w:start w:val="1"/>
      <w:numFmt w:val="bullet"/>
      <w:lvlText w:val="■"/>
      <w:lvlJc w:val="left"/>
      <w:pPr>
        <w:ind w:left="4320" w:hanging="360"/>
      </w:pPr>
      <w:rPr>
        <w:u w:val="none"/>
      </w:rPr>
    </w:lvl>
    <w:lvl w:ilvl="6" w:tplc="323230A2">
      <w:start w:val="1"/>
      <w:numFmt w:val="bullet"/>
      <w:lvlText w:val="●"/>
      <w:lvlJc w:val="left"/>
      <w:pPr>
        <w:ind w:left="5040" w:hanging="360"/>
      </w:pPr>
      <w:rPr>
        <w:u w:val="none"/>
      </w:rPr>
    </w:lvl>
    <w:lvl w:ilvl="7" w:tplc="40C2E366">
      <w:start w:val="1"/>
      <w:numFmt w:val="bullet"/>
      <w:lvlText w:val="○"/>
      <w:lvlJc w:val="left"/>
      <w:pPr>
        <w:ind w:left="5760" w:hanging="360"/>
      </w:pPr>
      <w:rPr>
        <w:u w:val="none"/>
      </w:rPr>
    </w:lvl>
    <w:lvl w:ilvl="8" w:tplc="6E726E7E">
      <w:start w:val="1"/>
      <w:numFmt w:val="bullet"/>
      <w:lvlText w:val="■"/>
      <w:lvlJc w:val="left"/>
      <w:pPr>
        <w:ind w:left="6480" w:hanging="360"/>
      </w:pPr>
      <w:rPr>
        <w:u w:val="none"/>
      </w:rPr>
    </w:lvl>
  </w:abstractNum>
  <w:num w:numId="6">
    <w:abstractNumId w:val="5"/>
  </w:num>
  <w:num w:numId="1" w16cid:durableId="1545945042">
    <w:abstractNumId w:val="4"/>
  </w:num>
  <w:num w:numId="2" w16cid:durableId="106848627">
    <w:abstractNumId w:val="3"/>
  </w:num>
  <w:num w:numId="3" w16cid:durableId="2073455093">
    <w:abstractNumId w:val="2"/>
  </w:num>
  <w:num w:numId="4" w16cid:durableId="465708242">
    <w:abstractNumId w:val="1"/>
  </w:num>
  <w:num w:numId="5" w16cid:durableId="5110662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7A25"/>
    <w:rsid w:val="00062304"/>
    <w:rsid w:val="000670ED"/>
    <w:rsid w:val="00111D50"/>
    <w:rsid w:val="00124A78"/>
    <w:rsid w:val="00337A25"/>
    <w:rsid w:val="003F49AF"/>
    <w:rsid w:val="00670CFB"/>
    <w:rsid w:val="006879AB"/>
    <w:rsid w:val="006B5C38"/>
    <w:rsid w:val="006C783D"/>
    <w:rsid w:val="006F077D"/>
    <w:rsid w:val="00791C81"/>
    <w:rsid w:val="00823D42"/>
    <w:rsid w:val="00A7322C"/>
    <w:rsid w:val="00AC3738"/>
    <w:rsid w:val="00BB558E"/>
    <w:rsid w:val="00D97B36"/>
    <w:rsid w:val="00E56226"/>
    <w:rsid w:val="00E70C37"/>
    <w:rsid w:val="00ED1747"/>
    <w:rsid w:val="0316925E"/>
    <w:rsid w:val="042DE658"/>
    <w:rsid w:val="044747FD"/>
    <w:rsid w:val="05674698"/>
    <w:rsid w:val="05B4C550"/>
    <w:rsid w:val="0619DC9B"/>
    <w:rsid w:val="073247E6"/>
    <w:rsid w:val="08EC0B76"/>
    <w:rsid w:val="096B447A"/>
    <w:rsid w:val="0B074D18"/>
    <w:rsid w:val="0C475B30"/>
    <w:rsid w:val="0E0F94C9"/>
    <w:rsid w:val="0E234560"/>
    <w:rsid w:val="0EE289D7"/>
    <w:rsid w:val="0F62F694"/>
    <w:rsid w:val="100B6391"/>
    <w:rsid w:val="111E7F60"/>
    <w:rsid w:val="11399FE3"/>
    <w:rsid w:val="11CB424A"/>
    <w:rsid w:val="13F9981F"/>
    <w:rsid w:val="14847A1B"/>
    <w:rsid w:val="16776199"/>
    <w:rsid w:val="1719DF69"/>
    <w:rsid w:val="19387758"/>
    <w:rsid w:val="1A4932A4"/>
    <w:rsid w:val="1C4BDBB8"/>
    <w:rsid w:val="1C550122"/>
    <w:rsid w:val="1D589CC0"/>
    <w:rsid w:val="1F0C432C"/>
    <w:rsid w:val="1F46540E"/>
    <w:rsid w:val="1F5A0B4D"/>
    <w:rsid w:val="1FABACFD"/>
    <w:rsid w:val="20D0AC67"/>
    <w:rsid w:val="2202E1FE"/>
    <w:rsid w:val="23EE1487"/>
    <w:rsid w:val="247AF7EC"/>
    <w:rsid w:val="25FD7CF6"/>
    <w:rsid w:val="26223BCB"/>
    <w:rsid w:val="263786E9"/>
    <w:rsid w:val="2A317DE6"/>
    <w:rsid w:val="2AAB5048"/>
    <w:rsid w:val="2C005E39"/>
    <w:rsid w:val="2CAF4C9C"/>
    <w:rsid w:val="2E7E9956"/>
    <w:rsid w:val="3055DFDD"/>
    <w:rsid w:val="3064542D"/>
    <w:rsid w:val="30E9173F"/>
    <w:rsid w:val="30E9F108"/>
    <w:rsid w:val="3166BE13"/>
    <w:rsid w:val="3427E4AD"/>
    <w:rsid w:val="35907BC7"/>
    <w:rsid w:val="37E69A93"/>
    <w:rsid w:val="384CA5E5"/>
    <w:rsid w:val="38F5D56B"/>
    <w:rsid w:val="3B7460DF"/>
    <w:rsid w:val="3BA43016"/>
    <w:rsid w:val="3D2864ED"/>
    <w:rsid w:val="3D3393ED"/>
    <w:rsid w:val="3E901893"/>
    <w:rsid w:val="3F2D6310"/>
    <w:rsid w:val="3F4BE33D"/>
    <w:rsid w:val="3FCECCF2"/>
    <w:rsid w:val="40F10429"/>
    <w:rsid w:val="416A9D46"/>
    <w:rsid w:val="422FD381"/>
    <w:rsid w:val="4300C17C"/>
    <w:rsid w:val="44106E75"/>
    <w:rsid w:val="45A94616"/>
    <w:rsid w:val="45FE4CB7"/>
    <w:rsid w:val="47F20A23"/>
    <w:rsid w:val="482345EF"/>
    <w:rsid w:val="497E1C8A"/>
    <w:rsid w:val="49803397"/>
    <w:rsid w:val="4A664F17"/>
    <w:rsid w:val="4BB1C4E2"/>
    <w:rsid w:val="4C20624E"/>
    <w:rsid w:val="4CBDD32D"/>
    <w:rsid w:val="4D3EB540"/>
    <w:rsid w:val="4DBC91EB"/>
    <w:rsid w:val="4E6A88BA"/>
    <w:rsid w:val="4FF85D66"/>
    <w:rsid w:val="5045C42C"/>
    <w:rsid w:val="530F870D"/>
    <w:rsid w:val="546A112D"/>
    <w:rsid w:val="5499D924"/>
    <w:rsid w:val="55E6F145"/>
    <w:rsid w:val="5609055B"/>
    <w:rsid w:val="56F47D06"/>
    <w:rsid w:val="57C3C6F4"/>
    <w:rsid w:val="59135D1E"/>
    <w:rsid w:val="596849DF"/>
    <w:rsid w:val="5B077FD8"/>
    <w:rsid w:val="5B9AF5D0"/>
    <w:rsid w:val="5C7CE519"/>
    <w:rsid w:val="5D246BEA"/>
    <w:rsid w:val="5D6129D7"/>
    <w:rsid w:val="5E4E6451"/>
    <w:rsid w:val="5E76C794"/>
    <w:rsid w:val="61BC2ECF"/>
    <w:rsid w:val="64A5AC52"/>
    <w:rsid w:val="660AE0CF"/>
    <w:rsid w:val="68ADDBA1"/>
    <w:rsid w:val="6905BA9F"/>
    <w:rsid w:val="6A08A412"/>
    <w:rsid w:val="6AEE2AF0"/>
    <w:rsid w:val="6AF540F0"/>
    <w:rsid w:val="6D2F5AE5"/>
    <w:rsid w:val="6F1306B1"/>
    <w:rsid w:val="721396C5"/>
    <w:rsid w:val="722DE9A1"/>
    <w:rsid w:val="72635089"/>
    <w:rsid w:val="726FD532"/>
    <w:rsid w:val="752DC240"/>
    <w:rsid w:val="76440D7F"/>
    <w:rsid w:val="76D1D271"/>
    <w:rsid w:val="7A1A48D0"/>
    <w:rsid w:val="7A474241"/>
    <w:rsid w:val="7A58BC4B"/>
    <w:rsid w:val="7C3F34BB"/>
    <w:rsid w:val="7E3A4A2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8179B"/>
  <w15:docId w15:val="{8FAE069D-425A-44E5-8F04-E8B002451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style>
  <w:style w:type="paragraph" w:styleId="Heading1">
    <w:name w:val="heading 1"/>
    <w:basedOn w:val="Normal"/>
    <w:next w:val="Normal"/>
    <w:qFormat/>
    <w:rsid w:val="006879AB"/>
    <w:pPr>
      <w:keepNext/>
      <w:keepLines/>
      <w:spacing w:before="400" w:after="120" w:line="360" w:lineRule="auto"/>
      <w:jc w:val="both"/>
      <w:outlineLvl w:val="0"/>
    </w:pPr>
    <w:rPr>
      <w:b/>
      <w:color w:val="000000" w:themeColor="text1"/>
      <w:sz w:val="28"/>
      <w:szCs w:val="40"/>
    </w:rPr>
  </w:style>
  <w:style w:type="paragraph" w:styleId="Heading2">
    <w:name w:val="heading 2"/>
    <w:basedOn w:val="Normal"/>
    <w:next w:val="Normal"/>
    <w:qFormat/>
    <w:rsid w:val="006879AB"/>
    <w:pPr>
      <w:keepNext/>
      <w:keepLines/>
      <w:spacing w:before="360" w:after="120" w:line="360" w:lineRule="auto"/>
      <w:jc w:val="both"/>
      <w:outlineLvl w:val="1"/>
    </w:pPr>
    <w:rPr>
      <w:b/>
      <w:i/>
      <w:color w:val="000000" w:themeColor="text1"/>
      <w:sz w:val="26"/>
      <w:szCs w:val="32"/>
    </w:rPr>
  </w:style>
  <w:style w:type="paragraph" w:styleId="Heading3">
    <w:name w:val="heading 3"/>
    <w:basedOn w:val="Normal"/>
    <w:next w:val="Normal"/>
    <w:qFormat/>
    <w:pPr>
      <w:keepNext/>
      <w:keepLines/>
      <w:spacing w:before="320" w:after="80"/>
      <w:outlineLvl w:val="2"/>
    </w:pPr>
    <w:rPr>
      <w:color w:val="434343"/>
      <w:sz w:val="28"/>
      <w:szCs w:val="28"/>
    </w:rPr>
  </w:style>
  <w:style w:type="paragraph" w:styleId="Heading4">
    <w:name w:val="heading 4"/>
    <w:basedOn w:val="Normal"/>
    <w:next w:val="Normal"/>
    <w:qFormat/>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qFormat/>
    <w:pPr>
      <w:keepNext/>
      <w:keepLines/>
      <w:spacing w:before="240" w:after="80"/>
      <w:outlineLvl w:val="5"/>
    </w:pPr>
    <w:rPr>
      <w:i/>
      <w:iCs/>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styleId="Table1" w:customStyle="1">
    <w:name w:val="Table1"/>
    <w:basedOn w:val="TableNormal0"/>
    <w:tblPr>
      <w:tblStyleRowBandSize w:val="1"/>
      <w:tblStyleColBandSize w:val="1"/>
    </w:tblPr>
  </w:style>
  <w:style w:type="paragraph" w:styleId="Header">
    <w:name w:val="header"/>
    <w:basedOn w:val="Normal"/>
    <w:link w:val="HeaderChar"/>
    <w:uiPriority w:val="99"/>
    <w:unhideWhenUsed/>
    <w:rsid w:val="00A7322C"/>
    <w:pPr>
      <w:tabs>
        <w:tab w:val="center" w:pos="4513"/>
        <w:tab w:val="right" w:pos="9026"/>
      </w:tabs>
      <w:spacing w:line="240" w:lineRule="auto"/>
    </w:pPr>
  </w:style>
  <w:style w:type="character" w:styleId="HeaderChar" w:customStyle="1">
    <w:name w:val="Header Char"/>
    <w:basedOn w:val="DefaultParagraphFont"/>
    <w:link w:val="Header"/>
    <w:uiPriority w:val="99"/>
    <w:rsid w:val="00A7322C"/>
  </w:style>
  <w:style w:type="paragraph" w:styleId="Footer">
    <w:name w:val="footer"/>
    <w:basedOn w:val="Normal"/>
    <w:link w:val="FooterChar"/>
    <w:uiPriority w:val="99"/>
    <w:unhideWhenUsed/>
    <w:rsid w:val="00A7322C"/>
    <w:pPr>
      <w:tabs>
        <w:tab w:val="center" w:pos="4513"/>
        <w:tab w:val="right" w:pos="9026"/>
      </w:tabs>
      <w:spacing w:line="240" w:lineRule="auto"/>
    </w:pPr>
  </w:style>
  <w:style w:type="character" w:styleId="FooterChar" w:customStyle="1">
    <w:name w:val="Footer Char"/>
    <w:basedOn w:val="DefaultParagraphFont"/>
    <w:link w:val="Footer"/>
    <w:uiPriority w:val="99"/>
    <w:rsid w:val="00A7322C"/>
  </w:style>
  <w:style w:type="paragraph" w:styleId="TOCHeading">
    <w:name w:val="TOC Heading"/>
    <w:basedOn w:val="Heading1"/>
    <w:next w:val="Normal"/>
    <w:uiPriority w:val="39"/>
    <w:unhideWhenUsed/>
    <w:qFormat/>
    <w:rsid w:val="00AC3738"/>
    <w:pPr>
      <w:spacing w:before="240" w:after="0" w:line="259" w:lineRule="auto"/>
      <w:jc w:val="left"/>
      <w:outlineLvl w:val="9"/>
    </w:pPr>
    <w:rPr>
      <w:rFonts w:asciiTheme="majorHAnsi" w:hAnsiTheme="majorHAnsi" w:eastAsiaTheme="majorEastAsia" w:cstheme="majorBidi"/>
      <w:b w:val="0"/>
      <w:color w:val="365F91" w:themeColor="accent1" w:themeShade="BF"/>
      <w:sz w:val="32"/>
      <w:szCs w:val="32"/>
      <w:lang w:val="en-US"/>
    </w:rPr>
  </w:style>
  <w:style w:type="paragraph" w:styleId="TOC1">
    <w:name w:val="toc 1"/>
    <w:basedOn w:val="Normal"/>
    <w:next w:val="Normal"/>
    <w:autoRedefine/>
    <w:uiPriority w:val="39"/>
    <w:unhideWhenUsed/>
    <w:rsid w:val="00AC3738"/>
    <w:pPr>
      <w:spacing w:after="100"/>
    </w:pPr>
  </w:style>
  <w:style w:type="paragraph" w:styleId="TOC2">
    <w:name w:val="toc 2"/>
    <w:basedOn w:val="Normal"/>
    <w:next w:val="Normal"/>
    <w:autoRedefine/>
    <w:uiPriority w:val="39"/>
    <w:unhideWhenUsed/>
    <w:rsid w:val="00AC3738"/>
    <w:pPr>
      <w:spacing w:after="100"/>
      <w:ind w:left="220"/>
    </w:pPr>
  </w:style>
  <w:style w:type="character" w:styleId="Hyperlink">
    <w:name w:val="Hyperlink"/>
    <w:basedOn w:val="DefaultParagraphFont"/>
    <w:uiPriority w:val="99"/>
    <w:unhideWhenUsed/>
    <w:rsid w:val="00AC3738"/>
    <w:rPr>
      <w:color w:val="0000FF" w:themeColor="hyperlink"/>
      <w:u w:val="single"/>
    </w:rPr>
  </w:style>
  <w:style w:type="character" w:styleId="UnresolvedMention">
    <w:name w:val="Unresolved Mention"/>
    <w:basedOn w:val="DefaultParagraphFont"/>
    <w:uiPriority w:val="99"/>
    <w:semiHidden/>
    <w:unhideWhenUsed/>
    <w:rsid w:val="00D97B36"/>
    <w:rPr>
      <w:color w:val="605E5C"/>
      <w:shd w:val="clear" w:color="auto" w:fill="E1DFDD"/>
    </w:rPr>
  </w:style>
  <w:style w:type="paragraph" w:styleId="ListParagraph">
    <w:name w:val="List Paragraph"/>
    <w:basedOn w:val="Normal"/>
    <w:uiPriority w:val="34"/>
    <w:qFormat/>
    <w:rsid w:val="00D97B36"/>
    <w:pPr>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2.png" Id="rId13" /><Relationship Type="http://schemas.openxmlformats.org/officeDocument/2006/relationships/image" Target="media/image7.png"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ettings" Target="settings.xml" Id="rId7" /><Relationship Type="http://schemas.openxmlformats.org/officeDocument/2006/relationships/image" Target="media/image6.png" Id="rId17" /><Relationship Type="http://schemas.openxmlformats.org/officeDocument/2006/relationships/customXml" Target="../customXml/item2.xml" Id="rId2" /><Relationship Type="http://schemas.openxmlformats.org/officeDocument/2006/relationships/image" Target="media/image5.png"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image" Target="media/image4.png" Id="rId15" /><Relationship Type="http://schemas.openxmlformats.org/officeDocument/2006/relationships/endnotes" Target="endnotes.xml" Id="rId10" /><Relationship Type="http://schemas.openxmlformats.org/officeDocument/2006/relationships/footer" Target="foot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3.png" Id="rId14" /><Relationship Type="http://schemas.microsoft.com/office/2020/10/relationships/intelligence" Target="intelligence2.xml" Id="Rea0918f87d7b4993" /><Relationship Type="http://schemas.openxmlformats.org/officeDocument/2006/relationships/header" Target="header.xml" Id="Rae4a3466ef824cd0" /><Relationship Type="http://schemas.openxmlformats.org/officeDocument/2006/relationships/header" Target="header2.xml" Id="R155162301cc248b7" /><Relationship Type="http://schemas.openxmlformats.org/officeDocument/2006/relationships/footer" Target="footer2.xml" Id="Rf23a478e3e424e0f"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09FB0070A83184A8206E8AB722F60C7" ma:contentTypeVersion="11" ma:contentTypeDescription="Create a new document." ma:contentTypeScope="" ma:versionID="cc0313c83c24d01d2185fcb4c343c225">
  <xsd:schema xmlns:xsd="http://www.w3.org/2001/XMLSchema" xmlns:xs="http://www.w3.org/2001/XMLSchema" xmlns:p="http://schemas.microsoft.com/office/2006/metadata/properties" xmlns:ns3="2fb9b754-ff8e-487c-b2c9-9bb8e92e13c5" targetNamespace="http://schemas.microsoft.com/office/2006/metadata/properties" ma:root="true" ma:fieldsID="ce83af0dfdc60467a8bc6108b29de14b" ns3:_="">
    <xsd:import namespace="2fb9b754-ff8e-487c-b2c9-9bb8e92e13c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b9b754-ff8e-487c-b2c9-9bb8e92e13c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2fb9b754-ff8e-487c-b2c9-9bb8e92e13c5" xsi:nil="true"/>
  </documentManagement>
</p:properties>
</file>

<file path=customXml/itemProps1.xml><?xml version="1.0" encoding="utf-8"?>
<ds:datastoreItem xmlns:ds="http://schemas.openxmlformats.org/officeDocument/2006/customXml" ds:itemID="{D688E2A3-EA6C-4A08-AD3F-883EAE819950}">
  <ds:schemaRefs>
    <ds:schemaRef ds:uri="http://schemas.openxmlformats.org/officeDocument/2006/bibliography"/>
  </ds:schemaRefs>
</ds:datastoreItem>
</file>

<file path=customXml/itemProps2.xml><?xml version="1.0" encoding="utf-8"?>
<ds:datastoreItem xmlns:ds="http://schemas.openxmlformats.org/officeDocument/2006/customXml" ds:itemID="{6248847A-2B00-4564-9483-5143F5F1E5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b9b754-ff8e-487c-b2c9-9bb8e92e13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2BA08C-29B2-4970-9253-FA6FB14CB38C}">
  <ds:schemaRefs>
    <ds:schemaRef ds:uri="http://schemas.microsoft.com/sharepoint/v3/contenttype/forms"/>
  </ds:schemaRefs>
</ds:datastoreItem>
</file>

<file path=customXml/itemProps4.xml><?xml version="1.0" encoding="utf-8"?>
<ds:datastoreItem xmlns:ds="http://schemas.openxmlformats.org/officeDocument/2006/customXml" ds:itemID="{7DD74D6B-E46C-46AA-92C1-F729AA273201}">
  <ds:schemaRefs>
    <ds:schemaRef ds:uri="http://schemas.microsoft.com/office/2006/documentManagement/types"/>
    <ds:schemaRef ds:uri="http://purl.org/dc/elements/1.1/"/>
    <ds:schemaRef ds:uri="http://schemas.microsoft.com/office/infopath/2007/PartnerControls"/>
    <ds:schemaRef ds:uri="http://schemas.microsoft.com/office/2006/metadata/properties"/>
    <ds:schemaRef ds:uri="http://www.w3.org/XML/1998/namespace"/>
    <ds:schemaRef ds:uri="http://purl.org/dc/dcmitype/"/>
    <ds:schemaRef ds:uri="http://purl.org/dc/terms/"/>
    <ds:schemaRef ds:uri="http://schemas.openxmlformats.org/package/2006/metadata/core-properties"/>
    <ds:schemaRef ds:uri="2fb9b754-ff8e-487c-b2c9-9bb8e92e13c5"/>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Robert Nzeyimana (2329949)</lastModifiedBy>
  <revision>10</revision>
  <dcterms:created xsi:type="dcterms:W3CDTF">2026-03-10T21:18:00.0000000Z</dcterms:created>
  <dcterms:modified xsi:type="dcterms:W3CDTF">2026-03-14T12:25:13.9182630Z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0x010100609FB0070A83184A8206E8AB722F60C7</vt:lpwstr>
  </property>
</Properties>
</file>