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B178D8" w:rsidRPr="00B178D8" w14:paraId="07ED61A1" w14:textId="77777777" w:rsidTr="002543AD">
        <w:trPr>
          <w:trHeight w:val="2880"/>
          <w:jc w:val="center"/>
        </w:trPr>
        <w:tc>
          <w:tcPr>
            <w:tcW w:w="5000" w:type="pct"/>
          </w:tcPr>
          <w:p w14:paraId="30BAC391" w14:textId="7E36B40B" w:rsidR="00B178D8" w:rsidRPr="00B178D8" w:rsidRDefault="00971272" w:rsidP="00B178D8">
            <w:pPr>
              <w:spacing w:after="0" w:line="240" w:lineRule="auto"/>
              <w:jc w:val="center"/>
              <w:rPr>
                <w:rFonts w:asciiTheme="majorHAnsi" w:eastAsiaTheme="majorEastAsia" w:hAnsiTheme="majorHAnsi" w:cstheme="majorBidi"/>
                <w:caps/>
                <w:lang w:val="en-US"/>
              </w:rPr>
            </w:pPr>
            <w:sdt>
              <w:sdtPr>
                <w:rPr>
                  <w:rFonts w:ascii="Arial" w:eastAsiaTheme="majorEastAsia" w:hAnsi="Arial" w:cs="Arial"/>
                  <w:b/>
                  <w:i/>
                  <w:caps/>
                  <w:sz w:val="24"/>
                  <w:szCs w:val="24"/>
                  <w:u w:val="single"/>
                  <w:lang w:val="en-US"/>
                </w:rPr>
                <w:alias w:val="Company"/>
                <w:id w:val="15524243"/>
                <w:dataBinding w:prefixMappings="xmlns:ns0='http://schemas.openxmlformats.org/officeDocument/2006/extended-properties'" w:xpath="/ns0:Properties[1]/ns0:Company[1]" w:storeItemID="{6668398D-A668-4E3E-A5EB-62B293D839F1}"/>
                <w:text/>
              </w:sdtPr>
              <w:sdtEndPr/>
              <w:sdtContent>
                <w:r w:rsidR="00B178D8">
                  <w:rPr>
                    <w:rFonts w:ascii="Arial" w:eastAsiaTheme="majorEastAsia" w:hAnsi="Arial" w:cs="Arial"/>
                    <w:b/>
                    <w:i/>
                    <w:caps/>
                    <w:sz w:val="24"/>
                    <w:szCs w:val="24"/>
                    <w:u w:val="single"/>
                    <w:lang w:val="en-US"/>
                  </w:rPr>
                  <w:t>UNIVERSITY OF WALES TRINITY SAINT DAVID</w:t>
                </w:r>
              </w:sdtContent>
            </w:sdt>
          </w:p>
        </w:tc>
      </w:tr>
      <w:tr w:rsidR="00B178D8" w:rsidRPr="00B178D8" w14:paraId="46CBD1F2" w14:textId="77777777" w:rsidTr="002543AD">
        <w:trPr>
          <w:trHeight w:val="1440"/>
          <w:jc w:val="center"/>
        </w:trPr>
        <w:tc>
          <w:tcPr>
            <w:tcW w:w="5000" w:type="pct"/>
            <w:tcBorders>
              <w:bottom w:val="single" w:sz="4" w:space="0" w:color="4472C4" w:themeColor="accent1"/>
            </w:tcBorders>
            <w:vAlign w:val="center"/>
          </w:tcPr>
          <w:p w14:paraId="38C709B2" w14:textId="2235F681" w:rsidR="00B178D8" w:rsidRPr="00B178D8" w:rsidRDefault="00B178D8" w:rsidP="00B178D8">
            <w:pPr>
              <w:spacing w:after="0" w:line="240" w:lineRule="auto"/>
              <w:jc w:val="center"/>
              <w:rPr>
                <w:rFonts w:asciiTheme="majorHAnsi" w:eastAsiaTheme="majorEastAsia" w:hAnsiTheme="majorHAnsi" w:cstheme="majorBidi"/>
                <w:sz w:val="48"/>
                <w:szCs w:val="48"/>
                <w:lang w:val="en-US"/>
              </w:rPr>
            </w:pPr>
            <w:r w:rsidRPr="00E924FD">
              <w:rPr>
                <w:rFonts w:ascii="Arial" w:eastAsiaTheme="minorEastAsia" w:hAnsi="Arial" w:cs="Arial"/>
                <w:sz w:val="48"/>
                <w:szCs w:val="48"/>
                <w:lang w:val="en-US"/>
              </w:rPr>
              <w:t xml:space="preserve">Explain the Main Historical Theories of Crime and Apply One/Some of the Theories to a Modern-day Context </w:t>
            </w:r>
            <w:r w:rsidR="00E924FD" w:rsidRPr="00E924FD">
              <w:rPr>
                <w:rFonts w:ascii="Arial" w:eastAsiaTheme="minorEastAsia" w:hAnsi="Arial" w:cs="Arial"/>
                <w:sz w:val="48"/>
                <w:szCs w:val="48"/>
                <w:lang w:val="en-US"/>
              </w:rPr>
              <w:t>with</w:t>
            </w:r>
            <w:r w:rsidRPr="00E924FD">
              <w:rPr>
                <w:rFonts w:ascii="Arial" w:eastAsiaTheme="minorEastAsia" w:hAnsi="Arial" w:cs="Arial"/>
                <w:sz w:val="48"/>
                <w:szCs w:val="48"/>
                <w:lang w:val="en-US"/>
              </w:rPr>
              <w:t xml:space="preserve"> a Case Study of Your Choice</w:t>
            </w:r>
          </w:p>
        </w:tc>
      </w:tr>
      <w:tr w:rsidR="00B178D8" w:rsidRPr="00B178D8" w14:paraId="46FC24C2" w14:textId="77777777" w:rsidTr="002543AD">
        <w:trPr>
          <w:trHeight w:val="720"/>
          <w:jc w:val="center"/>
        </w:trPr>
        <w:sdt>
          <w:sdtPr>
            <w:rPr>
              <w:rFonts w:ascii="Arial" w:eastAsiaTheme="majorEastAsia" w:hAnsi="Arial" w:cs="Arial"/>
              <w:sz w:val="44"/>
              <w:szCs w:val="44"/>
              <w:lang w:val="en-US"/>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14421A6B" w14:textId="195BA30E" w:rsidR="00B178D8" w:rsidRPr="00B178D8" w:rsidRDefault="00E924FD" w:rsidP="00B178D8">
                <w:pPr>
                  <w:spacing w:after="0" w:line="240" w:lineRule="auto"/>
                  <w:jc w:val="center"/>
                  <w:rPr>
                    <w:rFonts w:asciiTheme="majorHAnsi" w:eastAsiaTheme="majorEastAsia" w:hAnsiTheme="majorHAnsi" w:cstheme="majorBidi"/>
                    <w:sz w:val="44"/>
                    <w:szCs w:val="44"/>
                    <w:lang w:val="en-US"/>
                  </w:rPr>
                </w:pPr>
                <w:r w:rsidRPr="00E924FD">
                  <w:rPr>
                    <w:rFonts w:ascii="Arial" w:eastAsiaTheme="majorEastAsia" w:hAnsi="Arial" w:cs="Arial"/>
                    <w:sz w:val="44"/>
                    <w:szCs w:val="44"/>
                    <w:lang w:val="en-US"/>
                  </w:rPr>
                  <w:t>Policing, Powers, Models &amp; Society</w:t>
                </w:r>
                <w:r>
                  <w:rPr>
                    <w:rFonts w:ascii="Arial" w:eastAsiaTheme="majorEastAsia" w:hAnsi="Arial" w:cs="Arial"/>
                    <w:sz w:val="44"/>
                    <w:szCs w:val="44"/>
                    <w:lang w:val="en-US"/>
                  </w:rPr>
                  <w:t xml:space="preserve"> – Assignment 1 </w:t>
                </w:r>
                <w:r w:rsidR="00D01D31">
                  <w:rPr>
                    <w:rFonts w:ascii="Arial" w:eastAsiaTheme="majorEastAsia" w:hAnsi="Arial" w:cs="Arial"/>
                    <w:sz w:val="44"/>
                    <w:szCs w:val="44"/>
                    <w:lang w:val="en-US"/>
                  </w:rPr>
                  <w:t xml:space="preserve">- </w:t>
                </w:r>
                <w:r>
                  <w:rPr>
                    <w:rFonts w:ascii="Arial" w:eastAsiaTheme="majorEastAsia" w:hAnsi="Arial" w:cs="Arial"/>
                    <w:sz w:val="44"/>
                    <w:szCs w:val="44"/>
                    <w:lang w:val="en-US"/>
                  </w:rPr>
                  <w:t xml:space="preserve">Lecturer: </w:t>
                </w:r>
                <w:r w:rsidR="007D0B45">
                  <w:rPr>
                    <w:rFonts w:ascii="Arial" w:eastAsiaTheme="majorEastAsia" w:hAnsi="Arial" w:cs="Arial"/>
                    <w:sz w:val="44"/>
                    <w:szCs w:val="44"/>
                    <w:lang w:val="en-US"/>
                  </w:rPr>
                  <w:t xml:space="preserve">Dr. </w:t>
                </w:r>
                <w:r>
                  <w:rPr>
                    <w:rFonts w:ascii="Arial" w:eastAsiaTheme="majorEastAsia" w:hAnsi="Arial" w:cs="Arial"/>
                    <w:sz w:val="44"/>
                    <w:szCs w:val="44"/>
                    <w:lang w:val="en-US"/>
                  </w:rPr>
                  <w:t>Luke Roach</w:t>
                </w:r>
              </w:p>
            </w:tc>
          </w:sdtContent>
        </w:sdt>
      </w:tr>
      <w:tr w:rsidR="00B178D8" w:rsidRPr="00B178D8" w14:paraId="6E3EB3BF" w14:textId="77777777" w:rsidTr="002543AD">
        <w:trPr>
          <w:trHeight w:val="360"/>
          <w:jc w:val="center"/>
        </w:trPr>
        <w:tc>
          <w:tcPr>
            <w:tcW w:w="5000" w:type="pct"/>
            <w:vAlign w:val="center"/>
          </w:tcPr>
          <w:p w14:paraId="521AEE8F" w14:textId="77777777" w:rsidR="00B178D8" w:rsidRPr="00B178D8" w:rsidRDefault="00B178D8" w:rsidP="00B178D8">
            <w:pPr>
              <w:spacing w:after="0" w:line="240" w:lineRule="auto"/>
              <w:jc w:val="center"/>
              <w:rPr>
                <w:rFonts w:eastAsiaTheme="minorEastAsia"/>
                <w:lang w:val="en-US"/>
              </w:rPr>
            </w:pPr>
          </w:p>
        </w:tc>
      </w:tr>
      <w:tr w:rsidR="00B178D8" w:rsidRPr="00B178D8" w14:paraId="0A104521" w14:textId="77777777" w:rsidTr="002543AD">
        <w:trPr>
          <w:trHeight w:val="360"/>
          <w:jc w:val="center"/>
        </w:trPr>
        <w:sdt>
          <w:sdtPr>
            <w:rPr>
              <w:rFonts w:ascii="Arial" w:eastAsiaTheme="minorEastAsia" w:hAnsi="Arial" w:cs="Arial"/>
              <w:b/>
              <w:bCs/>
              <w:sz w:val="24"/>
              <w:szCs w:val="24"/>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76829162" w14:textId="0B872041" w:rsidR="00B178D8" w:rsidRPr="00B178D8" w:rsidRDefault="00E924FD" w:rsidP="00B178D8">
                <w:pPr>
                  <w:spacing w:after="0" w:line="240" w:lineRule="auto"/>
                  <w:jc w:val="center"/>
                  <w:rPr>
                    <w:rFonts w:eastAsiaTheme="minorEastAsia"/>
                    <w:b/>
                    <w:bCs/>
                    <w:lang w:val="en-US"/>
                  </w:rPr>
                </w:pPr>
                <w:r w:rsidRPr="00E924FD">
                  <w:rPr>
                    <w:rFonts w:ascii="Arial" w:eastAsiaTheme="minorEastAsia" w:hAnsi="Arial" w:cs="Arial"/>
                    <w:b/>
                    <w:bCs/>
                    <w:sz w:val="24"/>
                    <w:szCs w:val="24"/>
                    <w:lang w:val="en-US"/>
                  </w:rPr>
                  <w:t xml:space="preserve">Callum Samuel – </w:t>
                </w:r>
                <w:proofErr w:type="gramStart"/>
                <w:r w:rsidRPr="00E924FD">
                  <w:rPr>
                    <w:rFonts w:ascii="Arial" w:eastAsiaTheme="minorEastAsia" w:hAnsi="Arial" w:cs="Arial"/>
                    <w:b/>
                    <w:bCs/>
                    <w:sz w:val="24"/>
                    <w:szCs w:val="24"/>
                    <w:lang w:val="en-US"/>
                  </w:rPr>
                  <w:t>ID :</w:t>
                </w:r>
                <w:proofErr w:type="gramEnd"/>
                <w:r w:rsidRPr="00E924FD">
                  <w:rPr>
                    <w:rFonts w:ascii="Arial" w:eastAsiaTheme="minorEastAsia" w:hAnsi="Arial" w:cs="Arial"/>
                    <w:b/>
                    <w:bCs/>
                    <w:sz w:val="24"/>
                    <w:szCs w:val="24"/>
                    <w:lang w:val="en-US"/>
                  </w:rPr>
                  <w:t xml:space="preserve"> 1801402</w:t>
                </w:r>
              </w:p>
            </w:tc>
          </w:sdtContent>
        </w:sdt>
      </w:tr>
      <w:tr w:rsidR="00B178D8" w:rsidRPr="00B178D8" w14:paraId="52DD6570" w14:textId="77777777" w:rsidTr="002543AD">
        <w:trPr>
          <w:trHeight w:val="360"/>
          <w:jc w:val="center"/>
        </w:trPr>
        <w:tc>
          <w:tcPr>
            <w:tcW w:w="5000" w:type="pct"/>
            <w:vAlign w:val="center"/>
          </w:tcPr>
          <w:p w14:paraId="2D38C573" w14:textId="52F4C196" w:rsidR="00B178D8" w:rsidRPr="00B178D8" w:rsidRDefault="00B178D8" w:rsidP="00B178D8">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Deadline - 0</w:t>
            </w:r>
            <w:r w:rsidR="00E924FD">
              <w:rPr>
                <w:rFonts w:ascii="Arial" w:eastAsiaTheme="minorEastAsia" w:hAnsi="Arial" w:cs="Arial"/>
                <w:b/>
                <w:bCs/>
                <w:sz w:val="24"/>
                <w:szCs w:val="24"/>
                <w:lang w:val="en-US"/>
              </w:rPr>
              <w:t>4</w:t>
            </w:r>
            <w:r w:rsidRPr="00B178D8">
              <w:rPr>
                <w:rFonts w:ascii="Arial" w:eastAsiaTheme="minorEastAsia" w:hAnsi="Arial" w:cs="Arial"/>
                <w:b/>
                <w:bCs/>
                <w:sz w:val="24"/>
                <w:szCs w:val="24"/>
                <w:lang w:val="en-US"/>
              </w:rPr>
              <w:t>.</w:t>
            </w:r>
            <w:r w:rsidR="00E924FD">
              <w:rPr>
                <w:rFonts w:ascii="Arial" w:eastAsiaTheme="minorEastAsia" w:hAnsi="Arial" w:cs="Arial"/>
                <w:b/>
                <w:bCs/>
                <w:sz w:val="24"/>
                <w:szCs w:val="24"/>
                <w:lang w:val="en-US"/>
              </w:rPr>
              <w:t>03</w:t>
            </w:r>
            <w:r w:rsidRPr="00B178D8">
              <w:rPr>
                <w:rFonts w:ascii="Arial" w:eastAsiaTheme="minorEastAsia" w:hAnsi="Arial" w:cs="Arial"/>
                <w:b/>
                <w:bCs/>
                <w:sz w:val="24"/>
                <w:szCs w:val="24"/>
                <w:lang w:val="en-US"/>
              </w:rPr>
              <w:t>.2</w:t>
            </w:r>
            <w:r w:rsidR="00E924FD">
              <w:rPr>
                <w:rFonts w:ascii="Arial" w:eastAsiaTheme="minorEastAsia" w:hAnsi="Arial" w:cs="Arial"/>
                <w:b/>
                <w:bCs/>
                <w:sz w:val="24"/>
                <w:szCs w:val="24"/>
                <w:lang w:val="en-US"/>
              </w:rPr>
              <w:t>2</w:t>
            </w:r>
          </w:p>
          <w:p w14:paraId="75FBAB09" w14:textId="77777777" w:rsidR="00B178D8" w:rsidRPr="00B178D8" w:rsidRDefault="00B178D8" w:rsidP="00B178D8">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MA – Criminal Justice and Policing</w:t>
            </w:r>
          </w:p>
        </w:tc>
      </w:tr>
    </w:tbl>
    <w:p w14:paraId="0E96ED3E" w14:textId="5E2FAD4B" w:rsidR="00B178D8" w:rsidRPr="00E924FD" w:rsidRDefault="00B178D8" w:rsidP="00E924FD">
      <w:pPr>
        <w:spacing w:after="0" w:line="480" w:lineRule="auto"/>
        <w:jc w:val="center"/>
        <w:rPr>
          <w:rFonts w:ascii="Arial" w:eastAsia="Times New Roman" w:hAnsi="Arial" w:cs="Arial"/>
          <w:b/>
          <w:bCs/>
          <w:i/>
          <w:iCs/>
          <w:color w:val="000000"/>
          <w:sz w:val="144"/>
          <w:szCs w:val="144"/>
          <w:u w:val="single"/>
          <w:lang w:eastAsia="en-GB"/>
        </w:rPr>
      </w:pPr>
    </w:p>
    <w:p w14:paraId="4B939CED" w14:textId="77777777" w:rsidR="004E3224" w:rsidRDefault="004E3224">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179BB88E" w14:textId="54B7E522" w:rsidR="006F2B14" w:rsidRDefault="006F2B14" w:rsidP="00CB6113">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The following essay will highlight the key theoretical explanations and perspectives </w:t>
      </w:r>
      <w:r w:rsidR="00855075">
        <w:rPr>
          <w:rFonts w:ascii="Arial" w:eastAsia="Times New Roman" w:hAnsi="Arial" w:cs="Arial"/>
          <w:color w:val="000000"/>
          <w:sz w:val="24"/>
          <w:szCs w:val="24"/>
          <w:lang w:eastAsia="en-GB"/>
        </w:rPr>
        <w:t>observed</w:t>
      </w:r>
      <w:r>
        <w:rPr>
          <w:rFonts w:ascii="Arial" w:eastAsia="Times New Roman" w:hAnsi="Arial" w:cs="Arial"/>
          <w:color w:val="000000"/>
          <w:sz w:val="24"/>
          <w:szCs w:val="24"/>
          <w:lang w:eastAsia="en-GB"/>
        </w:rPr>
        <w:t xml:space="preserve"> in criminological </w:t>
      </w:r>
      <w:r w:rsidR="0051253C">
        <w:rPr>
          <w:rFonts w:ascii="Arial" w:eastAsia="Times New Roman" w:hAnsi="Arial" w:cs="Arial"/>
          <w:color w:val="000000"/>
          <w:sz w:val="24"/>
          <w:szCs w:val="24"/>
          <w:lang w:eastAsia="en-GB"/>
        </w:rPr>
        <w:t>theory</w:t>
      </w:r>
      <w:r>
        <w:rPr>
          <w:rFonts w:ascii="Arial" w:eastAsia="Times New Roman" w:hAnsi="Arial" w:cs="Arial"/>
          <w:color w:val="000000"/>
          <w:sz w:val="24"/>
          <w:szCs w:val="24"/>
          <w:lang w:eastAsia="en-GB"/>
        </w:rPr>
        <w:t xml:space="preserve">. Following a brief overview of the varying perspectives that range from: </w:t>
      </w:r>
      <w:r w:rsidR="00252724">
        <w:rPr>
          <w:rFonts w:ascii="Arial" w:eastAsia="Times New Roman" w:hAnsi="Arial" w:cs="Arial"/>
          <w:color w:val="000000"/>
          <w:sz w:val="24"/>
          <w:szCs w:val="24"/>
          <w:lang w:eastAsia="en-GB"/>
        </w:rPr>
        <w:t>“rational actor” to</w:t>
      </w:r>
      <w:r w:rsidR="00536EE6">
        <w:rPr>
          <w:rFonts w:ascii="Arial" w:eastAsia="Times New Roman" w:hAnsi="Arial" w:cs="Arial"/>
          <w:color w:val="000000"/>
          <w:sz w:val="24"/>
          <w:szCs w:val="24"/>
          <w:lang w:eastAsia="en-GB"/>
        </w:rPr>
        <w:t>,</w:t>
      </w:r>
      <w:r w:rsidR="00252724">
        <w:rPr>
          <w:rFonts w:ascii="Arial" w:eastAsia="Times New Roman" w:hAnsi="Arial" w:cs="Arial"/>
          <w:color w:val="000000"/>
          <w:sz w:val="24"/>
          <w:szCs w:val="24"/>
          <w:lang w:eastAsia="en-GB"/>
        </w:rPr>
        <w:t xml:space="preserve"> “predestined actor” theoretical models, a brief breakdown of the </w:t>
      </w:r>
      <w:r w:rsidR="0051253C">
        <w:rPr>
          <w:rFonts w:ascii="Arial" w:eastAsia="Times New Roman" w:hAnsi="Arial" w:cs="Arial"/>
          <w:color w:val="000000"/>
          <w:sz w:val="24"/>
          <w:szCs w:val="24"/>
          <w:lang w:eastAsia="en-GB"/>
        </w:rPr>
        <w:t>principles</w:t>
      </w:r>
      <w:r w:rsidR="00252724">
        <w:rPr>
          <w:rFonts w:ascii="Arial" w:eastAsia="Times New Roman" w:hAnsi="Arial" w:cs="Arial"/>
          <w:color w:val="000000"/>
          <w:sz w:val="24"/>
          <w:szCs w:val="24"/>
          <w:lang w:eastAsia="en-GB"/>
        </w:rPr>
        <w:t xml:space="preserve"> surrounding structuralism, </w:t>
      </w:r>
      <w:proofErr w:type="spellStart"/>
      <w:r w:rsidR="00252724">
        <w:rPr>
          <w:rFonts w:ascii="Arial" w:eastAsia="Times New Roman" w:hAnsi="Arial" w:cs="Arial"/>
          <w:color w:val="000000"/>
          <w:sz w:val="24"/>
          <w:szCs w:val="24"/>
          <w:lang w:eastAsia="en-GB"/>
        </w:rPr>
        <w:t>constructuralism</w:t>
      </w:r>
      <w:proofErr w:type="spellEnd"/>
      <w:r w:rsidR="00252724">
        <w:rPr>
          <w:rFonts w:ascii="Arial" w:eastAsia="Times New Roman" w:hAnsi="Arial" w:cs="Arial"/>
          <w:color w:val="000000"/>
          <w:sz w:val="24"/>
          <w:szCs w:val="24"/>
          <w:lang w:eastAsia="en-GB"/>
        </w:rPr>
        <w:t xml:space="preserve">, and post-structuralism are given, before a more in-depth exploration of rational choice theory and social control theory is discussed. </w:t>
      </w:r>
      <w:r w:rsidR="00536EE6">
        <w:rPr>
          <w:rFonts w:ascii="Arial" w:eastAsia="Times New Roman" w:hAnsi="Arial" w:cs="Arial"/>
          <w:color w:val="000000"/>
          <w:sz w:val="24"/>
          <w:szCs w:val="24"/>
          <w:lang w:eastAsia="en-GB"/>
        </w:rPr>
        <w:t>Furthermore, b</w:t>
      </w:r>
      <w:r w:rsidR="00252724">
        <w:rPr>
          <w:rFonts w:ascii="Arial" w:eastAsia="Times New Roman" w:hAnsi="Arial" w:cs="Arial"/>
          <w:color w:val="000000"/>
          <w:sz w:val="24"/>
          <w:szCs w:val="24"/>
          <w:lang w:eastAsia="en-GB"/>
        </w:rPr>
        <w:t xml:space="preserve">oth theories have their origins explored and </w:t>
      </w:r>
      <w:r w:rsidR="00E93894">
        <w:rPr>
          <w:rFonts w:ascii="Arial" w:eastAsia="Times New Roman" w:hAnsi="Arial" w:cs="Arial"/>
          <w:color w:val="000000"/>
          <w:sz w:val="24"/>
          <w:szCs w:val="24"/>
          <w:lang w:eastAsia="en-GB"/>
        </w:rPr>
        <w:t xml:space="preserve">are </w:t>
      </w:r>
      <w:r w:rsidR="00252724">
        <w:rPr>
          <w:rFonts w:ascii="Arial" w:eastAsia="Times New Roman" w:hAnsi="Arial" w:cs="Arial"/>
          <w:color w:val="000000"/>
          <w:sz w:val="24"/>
          <w:szCs w:val="24"/>
          <w:lang w:eastAsia="en-GB"/>
        </w:rPr>
        <w:t xml:space="preserve">applied to a modern context before </w:t>
      </w:r>
      <w:r w:rsidR="00E93894">
        <w:rPr>
          <w:rFonts w:ascii="Arial" w:eastAsia="Times New Roman" w:hAnsi="Arial" w:cs="Arial"/>
          <w:color w:val="000000"/>
          <w:sz w:val="24"/>
          <w:szCs w:val="24"/>
          <w:lang w:eastAsia="en-GB"/>
        </w:rPr>
        <w:t xml:space="preserve">an </w:t>
      </w:r>
      <w:r w:rsidR="00252724">
        <w:rPr>
          <w:rFonts w:ascii="Arial" w:eastAsia="Times New Roman" w:hAnsi="Arial" w:cs="Arial"/>
          <w:color w:val="000000"/>
          <w:sz w:val="24"/>
          <w:szCs w:val="24"/>
          <w:lang w:eastAsia="en-GB"/>
        </w:rPr>
        <w:t>evaluati</w:t>
      </w:r>
      <w:r w:rsidR="00E93894">
        <w:rPr>
          <w:rFonts w:ascii="Arial" w:eastAsia="Times New Roman" w:hAnsi="Arial" w:cs="Arial"/>
          <w:color w:val="000000"/>
          <w:sz w:val="24"/>
          <w:szCs w:val="24"/>
          <w:lang w:eastAsia="en-GB"/>
        </w:rPr>
        <w:t>on on</w:t>
      </w:r>
      <w:r w:rsidR="00252724">
        <w:rPr>
          <w:rFonts w:ascii="Arial" w:eastAsia="Times New Roman" w:hAnsi="Arial" w:cs="Arial"/>
          <w:color w:val="000000"/>
          <w:sz w:val="24"/>
          <w:szCs w:val="24"/>
          <w:lang w:eastAsia="en-GB"/>
        </w:rPr>
        <w:t xml:space="preserve"> the </w:t>
      </w:r>
      <w:r w:rsidR="00E96A69">
        <w:rPr>
          <w:rFonts w:ascii="Arial" w:eastAsia="Times New Roman" w:hAnsi="Arial" w:cs="Arial"/>
          <w:color w:val="000000"/>
          <w:sz w:val="24"/>
          <w:szCs w:val="24"/>
          <w:lang w:eastAsia="en-GB"/>
        </w:rPr>
        <w:t>contemporary</w:t>
      </w:r>
      <w:r w:rsidR="00252724">
        <w:rPr>
          <w:rFonts w:ascii="Arial" w:eastAsia="Times New Roman" w:hAnsi="Arial" w:cs="Arial"/>
          <w:color w:val="000000"/>
          <w:sz w:val="24"/>
          <w:szCs w:val="24"/>
          <w:lang w:eastAsia="en-GB"/>
        </w:rPr>
        <w:t xml:space="preserve"> relevance of both respective theories occurs towards the conclusion of the essay.</w:t>
      </w:r>
    </w:p>
    <w:p w14:paraId="224079CA" w14:textId="77777777" w:rsidR="00252724" w:rsidRPr="006F2B14" w:rsidRDefault="00252724">
      <w:pPr>
        <w:rPr>
          <w:rFonts w:ascii="Arial" w:eastAsia="Times New Roman" w:hAnsi="Arial" w:cs="Arial"/>
          <w:color w:val="000000"/>
          <w:sz w:val="24"/>
          <w:szCs w:val="24"/>
          <w:lang w:eastAsia="en-GB"/>
        </w:rPr>
      </w:pPr>
    </w:p>
    <w:p w14:paraId="632DD6F3" w14:textId="3BEF552A"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Throughout history the causation of crime and deviant behaviour has been correlated to various theoretical explanations, ranging from spirituality and demonology (Bernard, 1983) - historically a central pillar of understanding criminal behaviour through the lens of acknowledging sin and absence of God or presence of the devil - to an era of enlightenment which evolved through time alongside industrialisation, eventually leading to the branches of schools within criminological understanding that we see today (Hall, 2012).</w:t>
      </w:r>
    </w:p>
    <w:p w14:paraId="709C264E" w14:textId="77777777" w:rsidR="00B178D8" w:rsidRPr="00B178D8" w:rsidRDefault="00B178D8" w:rsidP="00B178D8">
      <w:pPr>
        <w:spacing w:after="0" w:line="480" w:lineRule="auto"/>
        <w:rPr>
          <w:rFonts w:ascii="Arial" w:eastAsia="Times New Roman" w:hAnsi="Arial" w:cs="Arial"/>
          <w:sz w:val="24"/>
          <w:szCs w:val="24"/>
          <w:lang w:eastAsia="en-GB"/>
        </w:rPr>
      </w:pPr>
    </w:p>
    <w:p w14:paraId="31766C1B" w14:textId="58C25D74" w:rsidR="00B178D8" w:rsidRPr="00B178D8" w:rsidRDefault="00B178D8" w:rsidP="00BB5EA7">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Burke (2009) conveys that these branches stem towards varying perspectives, with perspectives akin to the classist “</w:t>
      </w:r>
      <w:r w:rsidRPr="00B178D8">
        <w:rPr>
          <w:rFonts w:ascii="Arial" w:eastAsia="Times New Roman" w:hAnsi="Arial" w:cs="Arial"/>
          <w:b/>
          <w:bCs/>
          <w:i/>
          <w:iCs/>
          <w:color w:val="000000"/>
          <w:sz w:val="24"/>
          <w:szCs w:val="24"/>
          <w:lang w:eastAsia="en-GB"/>
        </w:rPr>
        <w:t>rational actor</w:t>
      </w:r>
      <w:r w:rsidRPr="00B178D8">
        <w:rPr>
          <w:rFonts w:ascii="Arial" w:eastAsia="Times New Roman" w:hAnsi="Arial" w:cs="Arial"/>
          <w:color w:val="000000"/>
          <w:sz w:val="24"/>
          <w:szCs w:val="24"/>
          <w:lang w:eastAsia="en-GB"/>
        </w:rPr>
        <w:t>” encompassing classical theorists’ perspectives like Beccaria</w:t>
      </w:r>
      <w:r w:rsidR="001D6CCD">
        <w:rPr>
          <w:rFonts w:ascii="Arial" w:eastAsia="Times New Roman" w:hAnsi="Arial" w:cs="Arial"/>
          <w:color w:val="000000"/>
          <w:sz w:val="24"/>
          <w:szCs w:val="24"/>
          <w:lang w:eastAsia="en-GB"/>
        </w:rPr>
        <w:t xml:space="preserve"> and Bentham </w:t>
      </w:r>
      <w:r w:rsidRPr="00B178D8">
        <w:rPr>
          <w:rFonts w:ascii="Arial" w:eastAsia="Times New Roman" w:hAnsi="Arial" w:cs="Arial"/>
          <w:color w:val="000000"/>
          <w:sz w:val="24"/>
          <w:szCs w:val="24"/>
          <w:lang w:eastAsia="en-GB"/>
        </w:rPr>
        <w:t>w</w:t>
      </w:r>
      <w:r w:rsidR="001D6CCD">
        <w:rPr>
          <w:rFonts w:ascii="Arial" w:eastAsia="Times New Roman" w:hAnsi="Arial" w:cs="Arial"/>
          <w:color w:val="000000"/>
          <w:sz w:val="24"/>
          <w:szCs w:val="24"/>
          <w:lang w:eastAsia="en-GB"/>
        </w:rPr>
        <w:t>ho provided</w:t>
      </w:r>
      <w:r w:rsidRPr="00B178D8">
        <w:rPr>
          <w:rFonts w:ascii="Arial" w:eastAsia="Times New Roman" w:hAnsi="Arial" w:cs="Arial"/>
          <w:color w:val="000000"/>
          <w:sz w:val="24"/>
          <w:szCs w:val="24"/>
          <w:lang w:eastAsia="en-GB"/>
        </w:rPr>
        <w:t xml:space="preserve"> </w:t>
      </w:r>
      <w:r w:rsidR="00CB6113">
        <w:rPr>
          <w:rFonts w:ascii="Arial" w:eastAsia="Times New Roman" w:hAnsi="Arial" w:cs="Arial"/>
          <w:color w:val="000000"/>
          <w:sz w:val="24"/>
          <w:szCs w:val="24"/>
          <w:lang w:eastAsia="en-GB"/>
        </w:rPr>
        <w:t xml:space="preserve">the backbone for </w:t>
      </w:r>
      <w:r w:rsidRPr="00B178D8">
        <w:rPr>
          <w:rFonts w:ascii="Arial" w:eastAsia="Times New Roman" w:hAnsi="Arial" w:cs="Arial"/>
          <w:color w:val="000000"/>
          <w:sz w:val="24"/>
          <w:szCs w:val="24"/>
          <w:lang w:eastAsia="en-GB"/>
        </w:rPr>
        <w:t xml:space="preserve">foundational theories such as “rational choice theory” </w:t>
      </w:r>
      <w:r w:rsidR="00BB5EA7" w:rsidRPr="00BB5EA7">
        <w:rPr>
          <w:rFonts w:ascii="Arial" w:eastAsia="Times New Roman" w:hAnsi="Arial" w:cs="Arial"/>
          <w:color w:val="000000"/>
          <w:sz w:val="24"/>
          <w:szCs w:val="24"/>
          <w:lang w:eastAsia="en-GB"/>
        </w:rPr>
        <w:t>(</w:t>
      </w:r>
      <w:r w:rsidR="00BB5EA7" w:rsidRPr="00BB5EA7">
        <w:rPr>
          <w:rFonts w:ascii="Arial" w:hAnsi="Arial" w:cs="Arial"/>
          <w:color w:val="000000"/>
          <w:sz w:val="24"/>
          <w:szCs w:val="24"/>
        </w:rPr>
        <w:t>Clarke and Cornish, 1986</w:t>
      </w:r>
      <w:r w:rsidR="00BB5EA7" w:rsidRPr="00BB5EA7">
        <w:rPr>
          <w:rFonts w:ascii="Arial" w:eastAsia="Times New Roman" w:hAnsi="Arial" w:cs="Arial"/>
          <w:color w:val="000000"/>
          <w:sz w:val="24"/>
          <w:szCs w:val="24"/>
          <w:lang w:eastAsia="en-GB"/>
        </w:rPr>
        <w:t>)</w:t>
      </w:r>
      <w:r w:rsidR="00BB5EA7">
        <w:rPr>
          <w:rFonts w:ascii="Arial" w:eastAsia="Times New Roman" w:hAnsi="Arial" w:cs="Arial"/>
          <w:color w:val="000000"/>
          <w:sz w:val="24"/>
          <w:szCs w:val="24"/>
          <w:lang w:eastAsia="en-GB"/>
        </w:rPr>
        <w:t xml:space="preserve"> </w:t>
      </w:r>
      <w:r w:rsidRPr="00B178D8">
        <w:rPr>
          <w:rFonts w:ascii="Arial" w:eastAsia="Times New Roman" w:hAnsi="Arial" w:cs="Arial"/>
          <w:color w:val="000000"/>
          <w:sz w:val="24"/>
          <w:szCs w:val="24"/>
          <w:lang w:eastAsia="en-GB"/>
        </w:rPr>
        <w:t xml:space="preserve">and includes </w:t>
      </w:r>
      <w:r w:rsidR="00855075">
        <w:rPr>
          <w:rFonts w:ascii="Arial" w:eastAsia="Times New Roman" w:hAnsi="Arial" w:cs="Arial"/>
          <w:color w:val="000000"/>
          <w:sz w:val="24"/>
          <w:szCs w:val="24"/>
          <w:lang w:eastAsia="en-GB"/>
        </w:rPr>
        <w:t>additional</w:t>
      </w:r>
      <w:r w:rsidRPr="00B178D8">
        <w:rPr>
          <w:rFonts w:ascii="Arial" w:eastAsia="Times New Roman" w:hAnsi="Arial" w:cs="Arial"/>
          <w:color w:val="000000"/>
          <w:sz w:val="24"/>
          <w:szCs w:val="24"/>
          <w:lang w:eastAsia="en-GB"/>
        </w:rPr>
        <w:t xml:space="preserve"> </w:t>
      </w:r>
      <w:r w:rsidR="00855075">
        <w:rPr>
          <w:rFonts w:ascii="Arial" w:eastAsia="Times New Roman" w:hAnsi="Arial" w:cs="Arial"/>
          <w:color w:val="000000"/>
          <w:sz w:val="24"/>
          <w:szCs w:val="24"/>
          <w:lang w:eastAsia="en-GB"/>
        </w:rPr>
        <w:t>hypotheses</w:t>
      </w:r>
      <w:r w:rsidRPr="00B178D8">
        <w:rPr>
          <w:rFonts w:ascii="Arial" w:eastAsia="Times New Roman" w:hAnsi="Arial" w:cs="Arial"/>
          <w:color w:val="000000"/>
          <w:sz w:val="24"/>
          <w:szCs w:val="24"/>
          <w:lang w:eastAsia="en-GB"/>
        </w:rPr>
        <w:t xml:space="preserve"> such as “routine activities theory” (Cohen and </w:t>
      </w:r>
      <w:proofErr w:type="spellStart"/>
      <w:r w:rsidRPr="00B178D8">
        <w:rPr>
          <w:rFonts w:ascii="Arial" w:eastAsia="Times New Roman" w:hAnsi="Arial" w:cs="Arial"/>
          <w:color w:val="000000"/>
          <w:sz w:val="24"/>
          <w:szCs w:val="24"/>
          <w:lang w:eastAsia="en-GB"/>
        </w:rPr>
        <w:t>Fleson</w:t>
      </w:r>
      <w:proofErr w:type="spellEnd"/>
      <w:r w:rsidRPr="00B178D8">
        <w:rPr>
          <w:rFonts w:ascii="Arial" w:eastAsia="Times New Roman" w:hAnsi="Arial" w:cs="Arial"/>
          <w:color w:val="000000"/>
          <w:sz w:val="24"/>
          <w:szCs w:val="24"/>
          <w:lang w:eastAsia="en-GB"/>
        </w:rPr>
        <w:t>, 1979). Alternative perspectives amongst these outstretching stems include the positivist “</w:t>
      </w:r>
      <w:r w:rsidRPr="00B178D8">
        <w:rPr>
          <w:rFonts w:ascii="Arial" w:eastAsia="Times New Roman" w:hAnsi="Arial" w:cs="Arial"/>
          <w:b/>
          <w:bCs/>
          <w:i/>
          <w:iCs/>
          <w:color w:val="000000"/>
          <w:sz w:val="24"/>
          <w:szCs w:val="24"/>
          <w:lang w:eastAsia="en-GB"/>
        </w:rPr>
        <w:t>predestined actor</w:t>
      </w:r>
      <w:r w:rsidRPr="00B178D8">
        <w:rPr>
          <w:rFonts w:ascii="Arial" w:eastAsia="Times New Roman" w:hAnsi="Arial" w:cs="Arial"/>
          <w:color w:val="000000"/>
          <w:sz w:val="24"/>
          <w:szCs w:val="24"/>
          <w:lang w:eastAsia="en-GB"/>
        </w:rPr>
        <w:t xml:space="preserve">” model, which covers a variety of positivist approaches, with </w:t>
      </w:r>
      <w:r w:rsidRPr="00B178D8">
        <w:rPr>
          <w:rFonts w:ascii="Arial" w:eastAsia="Times New Roman" w:hAnsi="Arial" w:cs="Arial"/>
          <w:color w:val="000000"/>
          <w:sz w:val="24"/>
          <w:szCs w:val="24"/>
          <w:lang w:eastAsia="en-GB"/>
        </w:rPr>
        <w:lastRenderedPageBreak/>
        <w:t>“biological positivism” being spearheaded by the works of Lombroso (1875), “psychological positivism” explored through “psychodynamics” (</w:t>
      </w:r>
      <w:proofErr w:type="spellStart"/>
      <w:r w:rsidRPr="00B178D8">
        <w:rPr>
          <w:rFonts w:ascii="Arial" w:eastAsia="Times New Roman" w:hAnsi="Arial" w:cs="Arial"/>
          <w:color w:val="000000"/>
          <w:sz w:val="24"/>
          <w:szCs w:val="24"/>
          <w:lang w:eastAsia="en-GB"/>
        </w:rPr>
        <w:t>Aichhorn</w:t>
      </w:r>
      <w:proofErr w:type="spellEnd"/>
      <w:r w:rsidRPr="00B178D8">
        <w:rPr>
          <w:rFonts w:ascii="Arial" w:eastAsia="Times New Roman" w:hAnsi="Arial" w:cs="Arial"/>
          <w:color w:val="000000"/>
          <w:sz w:val="24"/>
          <w:szCs w:val="24"/>
          <w:lang w:eastAsia="en-GB"/>
        </w:rPr>
        <w:t>, 1925), “behavioural learning” (Skinner, 1938), and “cognitive learning” (Piaget, 1932) theories, with “sociological positivism” being another branch of the “predestined actor” stem, which encompasses thoughts proposed by Durkheim (Burke, 2009), as well as “social disorganisation theory</w:t>
      </w:r>
      <w:r w:rsidR="001D6CCD">
        <w:rPr>
          <w:rFonts w:ascii="Arial" w:eastAsia="Times New Roman" w:hAnsi="Arial" w:cs="Arial"/>
          <w:color w:val="000000"/>
          <w:sz w:val="24"/>
          <w:szCs w:val="24"/>
          <w:lang w:eastAsia="en-GB"/>
        </w:rPr>
        <w:t>”</w:t>
      </w:r>
      <w:r w:rsidRPr="00B178D8">
        <w:rPr>
          <w:rFonts w:ascii="Arial" w:eastAsia="Times New Roman" w:hAnsi="Arial" w:cs="Arial"/>
          <w:color w:val="000000"/>
          <w:sz w:val="24"/>
          <w:szCs w:val="24"/>
          <w:lang w:eastAsia="en-GB"/>
        </w:rPr>
        <w:t xml:space="preserve"> expanded by the Chicago school (Burgess, McKenzie, and Park, 1925).</w:t>
      </w:r>
    </w:p>
    <w:p w14:paraId="271E25B2" w14:textId="77777777" w:rsidR="00B178D8" w:rsidRPr="00B178D8" w:rsidRDefault="00B178D8" w:rsidP="00B178D8">
      <w:pPr>
        <w:spacing w:after="0" w:line="480" w:lineRule="auto"/>
        <w:rPr>
          <w:rFonts w:ascii="Arial" w:eastAsia="Times New Roman" w:hAnsi="Arial" w:cs="Arial"/>
          <w:sz w:val="24"/>
          <w:szCs w:val="24"/>
          <w:lang w:eastAsia="en-GB"/>
        </w:rPr>
      </w:pPr>
    </w:p>
    <w:p w14:paraId="4A98E7FE"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The final perspectives that distinguish the views within criminological understanding are the “</w:t>
      </w:r>
      <w:r w:rsidRPr="00B178D8">
        <w:rPr>
          <w:rFonts w:ascii="Arial" w:eastAsia="Times New Roman" w:hAnsi="Arial" w:cs="Arial"/>
          <w:b/>
          <w:bCs/>
          <w:i/>
          <w:iCs/>
          <w:color w:val="000000"/>
          <w:sz w:val="24"/>
          <w:szCs w:val="24"/>
          <w:lang w:eastAsia="en-GB"/>
        </w:rPr>
        <w:t>victimised actor</w:t>
      </w:r>
      <w:r w:rsidRPr="00B178D8">
        <w:rPr>
          <w:rFonts w:ascii="Arial" w:eastAsia="Times New Roman" w:hAnsi="Arial" w:cs="Arial"/>
          <w:color w:val="000000"/>
          <w:sz w:val="24"/>
          <w:szCs w:val="24"/>
          <w:lang w:eastAsia="en-GB"/>
        </w:rPr>
        <w:t>” model which includes “labelling” theories (Becker, 1963), as well as “conflict” (</w:t>
      </w:r>
      <w:proofErr w:type="spellStart"/>
      <w:r w:rsidRPr="00B178D8">
        <w:rPr>
          <w:rFonts w:ascii="Arial" w:eastAsia="Times New Roman" w:hAnsi="Arial" w:cs="Arial"/>
          <w:color w:val="000000"/>
          <w:sz w:val="24"/>
          <w:szCs w:val="24"/>
          <w:lang w:eastAsia="en-GB"/>
        </w:rPr>
        <w:t>Sellin</w:t>
      </w:r>
      <w:proofErr w:type="spellEnd"/>
      <w:r w:rsidRPr="00B178D8">
        <w:rPr>
          <w:rFonts w:ascii="Arial" w:eastAsia="Times New Roman" w:hAnsi="Arial" w:cs="Arial"/>
          <w:color w:val="000000"/>
          <w:sz w:val="24"/>
          <w:szCs w:val="24"/>
          <w:lang w:eastAsia="en-GB"/>
        </w:rPr>
        <w:t>, 1938) and “radical” theories, with “</w:t>
      </w:r>
      <w:r w:rsidRPr="00B178D8">
        <w:rPr>
          <w:rFonts w:ascii="Arial" w:eastAsia="Times New Roman" w:hAnsi="Arial" w:cs="Arial"/>
          <w:b/>
          <w:bCs/>
          <w:i/>
          <w:iCs/>
          <w:color w:val="000000"/>
          <w:sz w:val="24"/>
          <w:szCs w:val="24"/>
          <w:lang w:eastAsia="en-GB"/>
        </w:rPr>
        <w:t>integrated theories</w:t>
      </w:r>
      <w:r w:rsidRPr="00B178D8">
        <w:rPr>
          <w:rFonts w:ascii="Arial" w:eastAsia="Times New Roman" w:hAnsi="Arial" w:cs="Arial"/>
          <w:color w:val="000000"/>
          <w:sz w:val="24"/>
          <w:szCs w:val="24"/>
          <w:lang w:eastAsia="en-GB"/>
        </w:rPr>
        <w:t>” covering areas of theoretical understanding in criminology in a plethora of combined ideas, such as “socio-biological” theories that include “biosocial theory” (Mednick, Moffit, and Stack, 1987), and additional branches of integrated perspectives being both “environmental theories” (Burke, 2009) and “social control theories” (Gottfredson and Hirschi, 2019).</w:t>
      </w:r>
    </w:p>
    <w:p w14:paraId="6708DC4E" w14:textId="77777777" w:rsidR="00B178D8" w:rsidRPr="00B178D8" w:rsidRDefault="00B178D8" w:rsidP="00B178D8">
      <w:pPr>
        <w:spacing w:after="0" w:line="480" w:lineRule="auto"/>
        <w:rPr>
          <w:rFonts w:ascii="Arial" w:eastAsia="Times New Roman" w:hAnsi="Arial" w:cs="Arial"/>
          <w:sz w:val="24"/>
          <w:szCs w:val="24"/>
          <w:lang w:eastAsia="en-GB"/>
        </w:rPr>
      </w:pPr>
    </w:p>
    <w:p w14:paraId="59F87ECA"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Although the varying historical and contemporary criminological perspectives of deviant behaviour have been differentiated, Fitzgerald (2011) highlights and categorises these viewpoints into three primary groups of sociological and criminological thought: Structuralism, </w:t>
      </w:r>
      <w:proofErr w:type="spellStart"/>
      <w:r w:rsidRPr="00B178D8">
        <w:rPr>
          <w:rFonts w:ascii="Arial" w:eastAsia="Times New Roman" w:hAnsi="Arial" w:cs="Arial"/>
          <w:color w:val="000000"/>
          <w:sz w:val="24"/>
          <w:szCs w:val="24"/>
          <w:lang w:eastAsia="en-GB"/>
        </w:rPr>
        <w:t>Constructuralism</w:t>
      </w:r>
      <w:proofErr w:type="spellEnd"/>
      <w:r w:rsidRPr="00B178D8">
        <w:rPr>
          <w:rFonts w:ascii="Arial" w:eastAsia="Times New Roman" w:hAnsi="Arial" w:cs="Arial"/>
          <w:color w:val="000000"/>
          <w:sz w:val="24"/>
          <w:szCs w:val="24"/>
          <w:lang w:eastAsia="en-GB"/>
        </w:rPr>
        <w:t>, and Post-Structuralism. </w:t>
      </w:r>
    </w:p>
    <w:p w14:paraId="2D24FF26" w14:textId="77777777" w:rsidR="00B178D8" w:rsidRPr="00B178D8" w:rsidRDefault="00B178D8" w:rsidP="00B178D8">
      <w:pPr>
        <w:spacing w:after="0" w:line="480" w:lineRule="auto"/>
        <w:rPr>
          <w:rFonts w:ascii="Arial" w:eastAsia="Times New Roman" w:hAnsi="Arial" w:cs="Arial"/>
          <w:sz w:val="24"/>
          <w:szCs w:val="24"/>
          <w:lang w:eastAsia="en-GB"/>
        </w:rPr>
      </w:pPr>
    </w:p>
    <w:p w14:paraId="7F5D20A1" w14:textId="0A596B3F"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According to Fitzgerald (2011), structuralism emphasises objectivity over subjectivity and proposes that social, </w:t>
      </w:r>
      <w:r w:rsidR="00E924FD" w:rsidRPr="00B178D8">
        <w:rPr>
          <w:rFonts w:ascii="Arial" w:eastAsia="Times New Roman" w:hAnsi="Arial" w:cs="Arial"/>
          <w:color w:val="000000"/>
          <w:sz w:val="24"/>
          <w:szCs w:val="24"/>
          <w:lang w:eastAsia="en-GB"/>
        </w:rPr>
        <w:t>economic,</w:t>
      </w:r>
      <w:r w:rsidRPr="00B178D8">
        <w:rPr>
          <w:rFonts w:ascii="Arial" w:eastAsia="Times New Roman" w:hAnsi="Arial" w:cs="Arial"/>
          <w:color w:val="000000"/>
          <w:sz w:val="24"/>
          <w:szCs w:val="24"/>
          <w:lang w:eastAsia="en-GB"/>
        </w:rPr>
        <w:t xml:space="preserve"> and political environments can explain crime and delinquency through eight surrounding factors that revolve around the varying </w:t>
      </w:r>
      <w:r w:rsidRPr="00B178D8">
        <w:rPr>
          <w:rFonts w:ascii="Arial" w:eastAsia="Times New Roman" w:hAnsi="Arial" w:cs="Arial"/>
          <w:color w:val="000000"/>
          <w:sz w:val="24"/>
          <w:szCs w:val="24"/>
          <w:lang w:eastAsia="en-GB"/>
        </w:rPr>
        <w:lastRenderedPageBreak/>
        <w:t xml:space="preserve">states of urbanisation and industrialisation, as well as the conditions and status of poverty, </w:t>
      </w:r>
      <w:r w:rsidR="00DE2A0C" w:rsidRPr="00B178D8">
        <w:rPr>
          <w:rFonts w:ascii="Arial" w:eastAsia="Times New Roman" w:hAnsi="Arial" w:cs="Arial"/>
          <w:color w:val="000000"/>
          <w:sz w:val="24"/>
          <w:szCs w:val="24"/>
          <w:lang w:eastAsia="en-GB"/>
        </w:rPr>
        <w:t>war,</w:t>
      </w:r>
      <w:r w:rsidRPr="00B178D8">
        <w:rPr>
          <w:rFonts w:ascii="Arial" w:eastAsia="Times New Roman" w:hAnsi="Arial" w:cs="Arial"/>
          <w:color w:val="000000"/>
          <w:sz w:val="24"/>
          <w:szCs w:val="24"/>
          <w:lang w:eastAsia="en-GB"/>
        </w:rPr>
        <w:t xml:space="preserve"> and attitudes towards law. </w:t>
      </w:r>
    </w:p>
    <w:p w14:paraId="32B9B9CC" w14:textId="77777777" w:rsidR="00B178D8" w:rsidRPr="00B178D8" w:rsidRDefault="00B178D8" w:rsidP="00B178D8">
      <w:pPr>
        <w:spacing w:after="0" w:line="480" w:lineRule="auto"/>
        <w:rPr>
          <w:rFonts w:ascii="Arial" w:eastAsia="Times New Roman" w:hAnsi="Arial" w:cs="Arial"/>
          <w:sz w:val="24"/>
          <w:szCs w:val="24"/>
          <w:lang w:eastAsia="en-GB"/>
        </w:rPr>
      </w:pPr>
    </w:p>
    <w:p w14:paraId="1A19A3F3" w14:textId="0E349E22" w:rsidR="00B178D8" w:rsidRPr="00B178D8" w:rsidRDefault="00B178D8" w:rsidP="00B178D8">
      <w:pPr>
        <w:spacing w:after="0" w:line="480" w:lineRule="auto"/>
        <w:rPr>
          <w:rFonts w:ascii="Arial" w:eastAsia="Times New Roman" w:hAnsi="Arial" w:cs="Arial"/>
          <w:sz w:val="24"/>
          <w:szCs w:val="24"/>
          <w:lang w:eastAsia="en-GB"/>
        </w:rPr>
      </w:pPr>
      <w:proofErr w:type="spellStart"/>
      <w:r w:rsidRPr="00B178D8">
        <w:rPr>
          <w:rFonts w:ascii="Arial" w:eastAsia="Times New Roman" w:hAnsi="Arial" w:cs="Arial"/>
          <w:color w:val="000000"/>
          <w:sz w:val="24"/>
          <w:szCs w:val="24"/>
          <w:lang w:eastAsia="en-GB"/>
        </w:rPr>
        <w:t>Constructuralism</w:t>
      </w:r>
      <w:proofErr w:type="spellEnd"/>
      <w:r w:rsidRPr="00B178D8">
        <w:rPr>
          <w:rFonts w:ascii="Arial" w:eastAsia="Times New Roman" w:hAnsi="Arial" w:cs="Arial"/>
          <w:color w:val="000000"/>
          <w:sz w:val="24"/>
          <w:szCs w:val="24"/>
          <w:lang w:eastAsia="en-GB"/>
        </w:rPr>
        <w:t xml:space="preserve"> on the other hand highlights the impact of fluctuations and inconsistencies within the legal parameters of what is classified as “criminal activity”, as Fitzgerald (2011) states that constructionists pose </w:t>
      </w:r>
      <w:proofErr w:type="gramStart"/>
      <w:r w:rsidRPr="00B178D8">
        <w:rPr>
          <w:rFonts w:ascii="Arial" w:eastAsia="Times New Roman" w:hAnsi="Arial" w:cs="Arial"/>
          <w:color w:val="000000"/>
          <w:sz w:val="24"/>
          <w:szCs w:val="24"/>
          <w:lang w:eastAsia="en-GB"/>
        </w:rPr>
        <w:t>that acts</w:t>
      </w:r>
      <w:proofErr w:type="gramEnd"/>
      <w:r w:rsidRPr="00B178D8">
        <w:rPr>
          <w:rFonts w:ascii="Arial" w:eastAsia="Times New Roman" w:hAnsi="Arial" w:cs="Arial"/>
          <w:color w:val="000000"/>
          <w:sz w:val="24"/>
          <w:szCs w:val="24"/>
          <w:lang w:eastAsia="en-GB"/>
        </w:rPr>
        <w:t xml:space="preserve"> are only deemed criminal should they be against the law, however, laws can change so therefore so can the status of criminality for both acts and individuals. Fitzgerald (2011) further observes that acts by individuals throughout history have been criminalised, decriminalised and </w:t>
      </w:r>
      <w:proofErr w:type="spellStart"/>
      <w:r w:rsidRPr="00B178D8">
        <w:rPr>
          <w:rFonts w:ascii="Arial" w:eastAsia="Times New Roman" w:hAnsi="Arial" w:cs="Arial"/>
          <w:color w:val="000000"/>
          <w:sz w:val="24"/>
          <w:szCs w:val="24"/>
          <w:lang w:eastAsia="en-GB"/>
        </w:rPr>
        <w:t>recriminalised</w:t>
      </w:r>
      <w:proofErr w:type="spellEnd"/>
      <w:r w:rsidRPr="00B178D8">
        <w:rPr>
          <w:rFonts w:ascii="Arial" w:eastAsia="Times New Roman" w:hAnsi="Arial" w:cs="Arial"/>
          <w:color w:val="000000"/>
          <w:sz w:val="24"/>
          <w:szCs w:val="24"/>
          <w:lang w:eastAsia="en-GB"/>
        </w:rPr>
        <w:t xml:space="preserve">, with back-and-forth U-turns on the legal status of activities such as abortion being an example of such issues, with “labelling” (Becker, 1963), “social control” (Gottfredson and Hirschi, 2019), and “critical” theories residing within the </w:t>
      </w:r>
      <w:proofErr w:type="spellStart"/>
      <w:r w:rsidRPr="00B178D8">
        <w:rPr>
          <w:rFonts w:ascii="Arial" w:eastAsia="Times New Roman" w:hAnsi="Arial" w:cs="Arial"/>
          <w:color w:val="000000"/>
          <w:sz w:val="24"/>
          <w:szCs w:val="24"/>
          <w:lang w:eastAsia="en-GB"/>
        </w:rPr>
        <w:t>constructuralist</w:t>
      </w:r>
      <w:proofErr w:type="spellEnd"/>
      <w:r w:rsidRPr="00B178D8">
        <w:rPr>
          <w:rFonts w:ascii="Arial" w:eastAsia="Times New Roman" w:hAnsi="Arial" w:cs="Arial"/>
          <w:color w:val="000000"/>
          <w:sz w:val="24"/>
          <w:szCs w:val="24"/>
          <w:lang w:eastAsia="en-GB"/>
        </w:rPr>
        <w:t xml:space="preserve"> domain.</w:t>
      </w:r>
    </w:p>
    <w:p w14:paraId="64B356C6" w14:textId="77777777" w:rsidR="00B178D8" w:rsidRPr="00B178D8" w:rsidRDefault="00B178D8" w:rsidP="00B178D8">
      <w:pPr>
        <w:spacing w:after="0" w:line="480" w:lineRule="auto"/>
        <w:rPr>
          <w:rFonts w:ascii="Arial" w:eastAsia="Times New Roman" w:hAnsi="Arial" w:cs="Arial"/>
          <w:sz w:val="24"/>
          <w:szCs w:val="24"/>
          <w:lang w:eastAsia="en-GB"/>
        </w:rPr>
      </w:pPr>
    </w:p>
    <w:p w14:paraId="4F14DE4B"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Finally, post-structuralism Fitzgerald (2011) explains is the standpoint that power in society is not about domination but instead circulation, with the idea of theoretical explanations accrediting class and legislative power as the domino of deviant behaviour as narrow-minded, with post-structuralists instead emphasising the importance of compassion and conscience for the equality of power to reduce deviant activity. The </w:t>
      </w:r>
      <w:proofErr w:type="gramStart"/>
      <w:r w:rsidRPr="00B178D8">
        <w:rPr>
          <w:rFonts w:ascii="Arial" w:eastAsia="Times New Roman" w:hAnsi="Arial" w:cs="Arial"/>
          <w:color w:val="000000"/>
          <w:sz w:val="24"/>
          <w:szCs w:val="24"/>
          <w:lang w:eastAsia="en-GB"/>
        </w:rPr>
        <w:t>ultimate goal</w:t>
      </w:r>
      <w:proofErr w:type="gramEnd"/>
      <w:r w:rsidRPr="00B178D8">
        <w:rPr>
          <w:rFonts w:ascii="Arial" w:eastAsia="Times New Roman" w:hAnsi="Arial" w:cs="Arial"/>
          <w:color w:val="000000"/>
          <w:sz w:val="24"/>
          <w:szCs w:val="24"/>
          <w:lang w:eastAsia="en-GB"/>
        </w:rPr>
        <w:t xml:space="preserve"> of post-structuralism according to Fitzgerald (2011) is to demonstrate to constructionists that what they view as monolithic and homogeneous is actually heterogeneous.</w:t>
      </w:r>
    </w:p>
    <w:p w14:paraId="6EA0C074" w14:textId="77777777" w:rsidR="00B178D8" w:rsidRPr="00B178D8" w:rsidRDefault="00B178D8" w:rsidP="00B178D8">
      <w:pPr>
        <w:spacing w:after="0" w:line="480" w:lineRule="auto"/>
        <w:rPr>
          <w:rFonts w:ascii="Arial" w:eastAsia="Times New Roman" w:hAnsi="Arial" w:cs="Arial"/>
          <w:sz w:val="24"/>
          <w:szCs w:val="24"/>
          <w:lang w:eastAsia="en-GB"/>
        </w:rPr>
      </w:pPr>
    </w:p>
    <w:p w14:paraId="280420D9" w14:textId="151F8D30"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Although there are extensive theoretical perspectives surrounding crime and deviance, many historical theories hold little to no scientific influence in </w:t>
      </w:r>
      <w:r w:rsidRPr="00B178D8">
        <w:rPr>
          <w:rFonts w:ascii="Arial" w:eastAsia="Times New Roman" w:hAnsi="Arial" w:cs="Arial"/>
          <w:color w:val="000000"/>
          <w:sz w:val="24"/>
          <w:szCs w:val="24"/>
          <w:lang w:eastAsia="en-GB"/>
        </w:rPr>
        <w:lastRenderedPageBreak/>
        <w:t>contemporary understanding and are instead acknowledged purely in retrospect to the earliest points within this scientific field (</w:t>
      </w:r>
      <w:proofErr w:type="spellStart"/>
      <w:r w:rsidRPr="00B178D8">
        <w:rPr>
          <w:rFonts w:ascii="Arial" w:eastAsia="Times New Roman" w:hAnsi="Arial" w:cs="Arial"/>
          <w:color w:val="000000"/>
          <w:sz w:val="24"/>
          <w:szCs w:val="24"/>
          <w:lang w:eastAsia="en-GB"/>
        </w:rPr>
        <w:t>Grudtsina</w:t>
      </w:r>
      <w:proofErr w:type="spellEnd"/>
      <w:r w:rsidRPr="00B178D8">
        <w:rPr>
          <w:rFonts w:ascii="Arial" w:eastAsia="Times New Roman" w:hAnsi="Arial" w:cs="Arial"/>
          <w:color w:val="000000"/>
          <w:sz w:val="24"/>
          <w:szCs w:val="24"/>
          <w:lang w:eastAsia="en-GB"/>
        </w:rPr>
        <w:t xml:space="preserve">, Ivanov and </w:t>
      </w:r>
      <w:proofErr w:type="spellStart"/>
      <w:r w:rsidRPr="00B178D8">
        <w:rPr>
          <w:rFonts w:ascii="Arial" w:eastAsia="Times New Roman" w:hAnsi="Arial" w:cs="Arial"/>
          <w:color w:val="000000"/>
          <w:sz w:val="24"/>
          <w:szCs w:val="24"/>
          <w:lang w:eastAsia="en-GB"/>
        </w:rPr>
        <w:t>Shagieva</w:t>
      </w:r>
      <w:proofErr w:type="spellEnd"/>
      <w:r w:rsidRPr="00B178D8">
        <w:rPr>
          <w:rFonts w:ascii="Arial" w:eastAsia="Times New Roman" w:hAnsi="Arial" w:cs="Arial"/>
          <w:color w:val="000000"/>
          <w:sz w:val="24"/>
          <w:szCs w:val="24"/>
          <w:lang w:eastAsia="en-GB"/>
        </w:rPr>
        <w:t xml:space="preserve">, 2017). For the remainder of this essay, the focus will be on Rational Choice </w:t>
      </w:r>
      <w:r w:rsidR="0071063C">
        <w:rPr>
          <w:rFonts w:ascii="Arial" w:eastAsia="Times New Roman" w:hAnsi="Arial" w:cs="Arial"/>
          <w:color w:val="000000"/>
          <w:sz w:val="24"/>
          <w:szCs w:val="24"/>
          <w:lang w:eastAsia="en-GB"/>
        </w:rPr>
        <w:t xml:space="preserve">and Routine Activities Theory, </w:t>
      </w:r>
      <w:r w:rsidRPr="00B178D8">
        <w:rPr>
          <w:rFonts w:ascii="Arial" w:eastAsia="Times New Roman" w:hAnsi="Arial" w:cs="Arial"/>
          <w:color w:val="000000"/>
          <w:sz w:val="24"/>
          <w:szCs w:val="24"/>
          <w:lang w:eastAsia="en-GB"/>
        </w:rPr>
        <w:t xml:space="preserve">as well as Self and Social Control </w:t>
      </w:r>
      <w:r w:rsidR="0071063C">
        <w:rPr>
          <w:rFonts w:ascii="Arial" w:eastAsia="Times New Roman" w:hAnsi="Arial" w:cs="Arial"/>
          <w:color w:val="000000"/>
          <w:sz w:val="24"/>
          <w:szCs w:val="24"/>
          <w:lang w:eastAsia="en-GB"/>
        </w:rPr>
        <w:t>T</w:t>
      </w:r>
      <w:r w:rsidRPr="00B178D8">
        <w:rPr>
          <w:rFonts w:ascii="Arial" w:eastAsia="Times New Roman" w:hAnsi="Arial" w:cs="Arial"/>
          <w:color w:val="000000"/>
          <w:sz w:val="24"/>
          <w:szCs w:val="24"/>
          <w:lang w:eastAsia="en-GB"/>
        </w:rPr>
        <w:t>heory, with applications of these theories being applied to both case study and relevance for modern society.</w:t>
      </w:r>
    </w:p>
    <w:p w14:paraId="416CDE4D" w14:textId="77777777" w:rsidR="00B178D8" w:rsidRPr="00B178D8" w:rsidRDefault="00B178D8" w:rsidP="00B178D8">
      <w:pPr>
        <w:spacing w:after="0" w:line="480" w:lineRule="auto"/>
        <w:rPr>
          <w:rFonts w:ascii="Arial" w:eastAsia="Times New Roman" w:hAnsi="Arial" w:cs="Arial"/>
          <w:sz w:val="24"/>
          <w:szCs w:val="24"/>
          <w:lang w:eastAsia="en-GB"/>
        </w:rPr>
      </w:pPr>
    </w:p>
    <w:p w14:paraId="08991607" w14:textId="781CF3C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Jaynes, </w:t>
      </w:r>
      <w:proofErr w:type="gramStart"/>
      <w:r w:rsidRPr="00B178D8">
        <w:rPr>
          <w:rFonts w:ascii="Arial" w:eastAsia="Times New Roman" w:hAnsi="Arial" w:cs="Arial"/>
          <w:color w:val="000000"/>
          <w:sz w:val="24"/>
          <w:szCs w:val="24"/>
          <w:lang w:eastAsia="en-GB"/>
        </w:rPr>
        <w:t>Paternoster</w:t>
      </w:r>
      <w:proofErr w:type="gramEnd"/>
      <w:r w:rsidRPr="00B178D8">
        <w:rPr>
          <w:rFonts w:ascii="Arial" w:eastAsia="Times New Roman" w:hAnsi="Arial" w:cs="Arial"/>
          <w:color w:val="000000"/>
          <w:sz w:val="24"/>
          <w:szCs w:val="24"/>
          <w:lang w:eastAsia="en-GB"/>
        </w:rPr>
        <w:t xml:space="preserve"> and Wilson (2017) accredit the origin of Rational Choice Theory (RCT) to the influential works of Adam Smith (1776), a figure who fathered capitalism and discussed how self-interested competition could influence the economy, with this notion of self-interest in a decision-making environment later influencing Clarke and Cornish (1986) to further develop RCT.</w:t>
      </w:r>
    </w:p>
    <w:p w14:paraId="73EECD27" w14:textId="77777777" w:rsidR="00B178D8" w:rsidRPr="00B178D8" w:rsidRDefault="00B178D8" w:rsidP="00B178D8">
      <w:pPr>
        <w:spacing w:after="0" w:line="480" w:lineRule="auto"/>
        <w:rPr>
          <w:rFonts w:ascii="Arial" w:eastAsia="Times New Roman" w:hAnsi="Arial" w:cs="Arial"/>
          <w:sz w:val="24"/>
          <w:szCs w:val="24"/>
          <w:lang w:eastAsia="en-GB"/>
        </w:rPr>
      </w:pPr>
    </w:p>
    <w:p w14:paraId="2B413D5E"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RCT, Myers (2016) explains is a theory based within the foundations of classical criminology, with the theory proposing that ordinary individuals freely choose their behaviour and are motivated by the pursuit of pleasure and avoidance of pain, with individuals consciously evaluating decisions in accordance to maximise pleasure and minimise pain. Myers (2016) continues and outlines that RCT provides a perspective on why individuals choose to commit crime, and how people choose to engage in criminal activities in a desire to be rewarded or satisfied, with the central reasoning behind non-deviant actions primarily being controlled and influenced by the fear of punishment.</w:t>
      </w:r>
    </w:p>
    <w:p w14:paraId="00DBFDB8" w14:textId="77777777" w:rsidR="00B178D8" w:rsidRPr="00B178D8" w:rsidRDefault="00B178D8" w:rsidP="00B178D8">
      <w:pPr>
        <w:spacing w:after="0" w:line="480" w:lineRule="auto"/>
        <w:rPr>
          <w:rFonts w:ascii="Arial" w:eastAsia="Times New Roman" w:hAnsi="Arial" w:cs="Arial"/>
          <w:sz w:val="24"/>
          <w:szCs w:val="24"/>
          <w:lang w:eastAsia="en-GB"/>
        </w:rPr>
      </w:pPr>
    </w:p>
    <w:p w14:paraId="12A122A9" w14:textId="1F03AAEB"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Pratt (2008) attributes this evaluation mechanism that RCT presents, as a calculation based on risk and reward, with varying factors contributing to either the desirability of a deviant act, to that of the deterrent that is the consequence of getting caught and </w:t>
      </w:r>
      <w:r w:rsidRPr="00B178D8">
        <w:rPr>
          <w:rFonts w:ascii="Arial" w:eastAsia="Times New Roman" w:hAnsi="Arial" w:cs="Arial"/>
          <w:color w:val="000000"/>
          <w:sz w:val="24"/>
          <w:szCs w:val="24"/>
          <w:lang w:eastAsia="en-GB"/>
        </w:rPr>
        <w:lastRenderedPageBreak/>
        <w:t xml:space="preserve">facing punishment. Such factors according to Myers (2016) includes the presence or lack of presence of guardians, the suitability or vulnerability of targets, and the motivation of an offender to want to carry out deviant acts, with these variables informing potentially deviant decisions but also in rational choice </w:t>
      </w:r>
      <w:r w:rsidR="0071063C">
        <w:rPr>
          <w:rFonts w:ascii="Arial" w:eastAsia="Times New Roman" w:hAnsi="Arial" w:cs="Arial"/>
          <w:color w:val="000000"/>
          <w:sz w:val="24"/>
          <w:szCs w:val="24"/>
          <w:lang w:eastAsia="en-GB"/>
        </w:rPr>
        <w:t xml:space="preserve">and routine activities </w:t>
      </w:r>
      <w:r w:rsidRPr="00B178D8">
        <w:rPr>
          <w:rFonts w:ascii="Arial" w:eastAsia="Times New Roman" w:hAnsi="Arial" w:cs="Arial"/>
          <w:color w:val="000000"/>
          <w:sz w:val="24"/>
          <w:szCs w:val="24"/>
          <w:lang w:eastAsia="en-GB"/>
        </w:rPr>
        <w:t>theory, alleviate crime rate should the ideal or desirable circumstances never be available for offenders.</w:t>
      </w:r>
    </w:p>
    <w:p w14:paraId="4ABB6451" w14:textId="77777777" w:rsidR="00B178D8" w:rsidRPr="00B178D8" w:rsidRDefault="00B178D8" w:rsidP="00B178D8">
      <w:pPr>
        <w:spacing w:after="0" w:line="480" w:lineRule="auto"/>
        <w:rPr>
          <w:rFonts w:ascii="Arial" w:eastAsia="Times New Roman" w:hAnsi="Arial" w:cs="Arial"/>
          <w:sz w:val="24"/>
          <w:szCs w:val="24"/>
          <w:lang w:eastAsia="en-GB"/>
        </w:rPr>
      </w:pPr>
    </w:p>
    <w:p w14:paraId="1204623D"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Criticisms of RCT include the inability to fully measure an individual's internal decision making process when facing variable circumstances, with </w:t>
      </w:r>
      <w:proofErr w:type="spellStart"/>
      <w:r w:rsidRPr="00B178D8">
        <w:rPr>
          <w:rFonts w:ascii="Arial" w:eastAsia="Times New Roman" w:hAnsi="Arial" w:cs="Arial"/>
          <w:color w:val="000000"/>
          <w:sz w:val="24"/>
          <w:szCs w:val="24"/>
          <w:lang w:eastAsia="en-GB"/>
        </w:rPr>
        <w:t>Herfeld</w:t>
      </w:r>
      <w:proofErr w:type="spellEnd"/>
      <w:r w:rsidRPr="00B178D8">
        <w:rPr>
          <w:rFonts w:ascii="Arial" w:eastAsia="Times New Roman" w:hAnsi="Arial" w:cs="Arial"/>
          <w:color w:val="000000"/>
          <w:sz w:val="24"/>
          <w:szCs w:val="24"/>
          <w:lang w:eastAsia="en-GB"/>
        </w:rPr>
        <w:t xml:space="preserve"> (2021) stating that idealised models of a rational individual and the opportunity for crime, being linked with real phenomena of deviant behaviour is difficult to prove empirically, with RCT only being able to hypothetically propose a theory on decision making, as opposed to empirically determine the link and causation of deviant behaviour. Additionally, Myers (2016) notes that what limited existing empirical research that has been conducted and has shown, is that the rationality of crime is confined to specific circumstantial and opportunist crimes such as property and theft offences, with significantly less long term thought for spur of the moment or impulsive violence, with even some crimes being committed out of desperation and not out of pleasure, with such desperation overcoming fear of pain, therefore displaying the lack of overall comprehension of crime when purely looking at the ideas proposed by RCT.</w:t>
      </w:r>
    </w:p>
    <w:p w14:paraId="4D39820B" w14:textId="77777777" w:rsidR="00B178D8" w:rsidRPr="00B178D8" w:rsidRDefault="00B178D8" w:rsidP="00B178D8">
      <w:pPr>
        <w:spacing w:after="0" w:line="480" w:lineRule="auto"/>
        <w:rPr>
          <w:rFonts w:ascii="Arial" w:eastAsia="Times New Roman" w:hAnsi="Arial" w:cs="Arial"/>
          <w:sz w:val="24"/>
          <w:szCs w:val="24"/>
          <w:lang w:eastAsia="en-GB"/>
        </w:rPr>
      </w:pPr>
    </w:p>
    <w:p w14:paraId="323ECF91"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With regards to Self and / or Social Control Theory (SECT and / or SOCT),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explains that the original “Social Control Theory” was pioneered by Travis Hirschi in the 1960s, with the theory asserting that an individual's attachment to </w:t>
      </w:r>
      <w:r w:rsidRPr="00B178D8">
        <w:rPr>
          <w:rFonts w:ascii="Arial" w:eastAsia="Times New Roman" w:hAnsi="Arial" w:cs="Arial"/>
          <w:color w:val="000000"/>
          <w:sz w:val="24"/>
          <w:szCs w:val="24"/>
          <w:lang w:eastAsia="en-GB"/>
        </w:rPr>
        <w:lastRenderedPageBreak/>
        <w:t>friends and family, commitment to the future and career success, as well as their belief and involvement within society serve to diminish an individual's likelihood to engage in deviant behaviour.</w:t>
      </w:r>
    </w:p>
    <w:p w14:paraId="2EADB2E9" w14:textId="77777777" w:rsidR="00B178D8" w:rsidRPr="00B178D8" w:rsidRDefault="00B178D8" w:rsidP="00B178D8">
      <w:pPr>
        <w:spacing w:after="0" w:line="480" w:lineRule="auto"/>
        <w:rPr>
          <w:rFonts w:ascii="Arial" w:eastAsia="Times New Roman" w:hAnsi="Arial" w:cs="Arial"/>
          <w:sz w:val="24"/>
          <w:szCs w:val="24"/>
          <w:lang w:eastAsia="en-GB"/>
        </w:rPr>
      </w:pPr>
    </w:p>
    <w:p w14:paraId="58B56830"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Importantly,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makes the distinction between traditional criminological theories and that of social control theory by highlighting the key difference, and that is: whereas most theories attempt to find explanation as to why individuals commit deviant acts, control theories instead attempt to explain why individuals do not commit offences.</w:t>
      </w:r>
    </w:p>
    <w:p w14:paraId="426AE795" w14:textId="77777777" w:rsidR="00B178D8" w:rsidRPr="00B178D8" w:rsidRDefault="00B178D8" w:rsidP="00B178D8">
      <w:pPr>
        <w:spacing w:after="0" w:line="480" w:lineRule="auto"/>
        <w:rPr>
          <w:rFonts w:ascii="Arial" w:eastAsia="Times New Roman" w:hAnsi="Arial" w:cs="Arial"/>
          <w:sz w:val="24"/>
          <w:szCs w:val="24"/>
          <w:lang w:eastAsia="en-GB"/>
        </w:rPr>
      </w:pPr>
    </w:p>
    <w:p w14:paraId="1A43196C"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Following the development of Hirschi’s social control theory in the 1990s, emphasis shifted from the societal anchors that prevent deviant behaviour, to the self-controlling factors that may play a role in what leads to criminality, with Gottfredson and Hirschi developing “Self-Control Theory”, also known as “General” or “Modern” “Control Theory” (Gottfredson and Hirschi, 2019).</w:t>
      </w:r>
    </w:p>
    <w:p w14:paraId="1B32F2FE" w14:textId="77777777" w:rsidR="00B178D8" w:rsidRPr="00B178D8" w:rsidRDefault="00B178D8" w:rsidP="00B178D8">
      <w:pPr>
        <w:spacing w:after="0" w:line="480" w:lineRule="auto"/>
        <w:rPr>
          <w:rFonts w:ascii="Arial" w:eastAsia="Times New Roman" w:hAnsi="Arial" w:cs="Arial"/>
          <w:sz w:val="24"/>
          <w:szCs w:val="24"/>
          <w:lang w:eastAsia="en-GB"/>
        </w:rPr>
      </w:pPr>
    </w:p>
    <w:p w14:paraId="0CA0BAF1" w14:textId="6298115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Gottfredson and Hirschi (2019) argue that individuals that learn early in life to exercise self-control will later in life have considerably less involvement in delinquency, </w:t>
      </w:r>
      <w:r w:rsidR="004E0E50" w:rsidRPr="00B178D8">
        <w:rPr>
          <w:rFonts w:ascii="Arial" w:eastAsia="Times New Roman" w:hAnsi="Arial" w:cs="Arial"/>
          <w:color w:val="000000"/>
          <w:sz w:val="24"/>
          <w:szCs w:val="24"/>
          <w:lang w:eastAsia="en-GB"/>
        </w:rPr>
        <w:t>crime,</w:t>
      </w:r>
      <w:r w:rsidRPr="00B178D8">
        <w:rPr>
          <w:rFonts w:ascii="Arial" w:eastAsia="Times New Roman" w:hAnsi="Arial" w:cs="Arial"/>
          <w:color w:val="000000"/>
          <w:sz w:val="24"/>
          <w:szCs w:val="24"/>
          <w:lang w:eastAsia="en-GB"/>
        </w:rPr>
        <w:t xml:space="preserve"> and lifestyle issues such as employment difficulties or substance abuse, with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stating that self-control theory instead argues that self-control or the lack of it, can therefore explain deviant behaviour.</w:t>
      </w:r>
    </w:p>
    <w:p w14:paraId="0D3059AA"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br/>
        <w:t xml:space="preserve">The key takeaways from both interchangeable theoretical perspectives seen within SECT and SOCT is the internal psychological thought processes that essentially act as a policing tool to prevent individuals from deviant behaviour, with individual’s </w:t>
      </w:r>
      <w:r w:rsidRPr="00B178D8">
        <w:rPr>
          <w:rFonts w:ascii="Arial" w:eastAsia="Times New Roman" w:hAnsi="Arial" w:cs="Arial"/>
          <w:color w:val="000000"/>
          <w:sz w:val="24"/>
          <w:szCs w:val="24"/>
          <w:lang w:eastAsia="en-GB"/>
        </w:rPr>
        <w:lastRenderedPageBreak/>
        <w:t xml:space="preserve">attachments, commitments, involvements and beliefs within society, alongside an individual's self-controlling will, supposedly being the primary prevention method for criminality and deviance for the substantial majority of individuals, according to such theories (Gottfredson and Hirschi, 2019;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2016; Parent, 2003).</w:t>
      </w:r>
    </w:p>
    <w:p w14:paraId="12EC8562" w14:textId="77777777" w:rsidR="00B178D8" w:rsidRPr="00B178D8" w:rsidRDefault="00B178D8" w:rsidP="00B178D8">
      <w:pPr>
        <w:spacing w:after="0" w:line="480" w:lineRule="auto"/>
        <w:rPr>
          <w:rFonts w:ascii="Arial" w:eastAsia="Times New Roman" w:hAnsi="Arial" w:cs="Arial"/>
          <w:sz w:val="24"/>
          <w:szCs w:val="24"/>
          <w:lang w:eastAsia="en-GB"/>
        </w:rPr>
      </w:pPr>
    </w:p>
    <w:p w14:paraId="16C5C40A"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One of the most controversial aspects of SOCT and SECT is the presumption that low self-control and criminality are always linked, with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criticising this stance, with further contention seen when the control theories imply that an early life grasp on self-control provides a stable course throughout life, and a lack of self-control according to this perspective, can potentially condemn an individual towards a negative life trajectory with no hope of alternation, something that any form of rehabilitation such as anger management or convict reform arguably disputes.</w:t>
      </w:r>
    </w:p>
    <w:p w14:paraId="3BFE7964" w14:textId="77777777" w:rsidR="00B178D8" w:rsidRPr="00B178D8" w:rsidRDefault="00B178D8" w:rsidP="00B178D8">
      <w:pPr>
        <w:spacing w:after="0" w:line="480" w:lineRule="auto"/>
        <w:rPr>
          <w:rFonts w:ascii="Arial" w:eastAsia="Times New Roman" w:hAnsi="Arial" w:cs="Arial"/>
          <w:sz w:val="24"/>
          <w:szCs w:val="24"/>
          <w:lang w:eastAsia="en-GB"/>
        </w:rPr>
      </w:pPr>
    </w:p>
    <w:p w14:paraId="2C83CF4A" w14:textId="413BC55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When it comes to applying criminological theories to the modern context, real world examples such as crime prevention strategies seemingly suggest that the basis of rational choice theory has been widely acknowledged and supported with case study examples. One such example is provided by the New Zealand Government (2017) and their publication of a report on the impact of CCTV in reducing crime in car parks. The report (2017) states that on average, actively spread and monitored CCTV reduces deviant activities within car parks by 54%, with the report stating that this is in line with RCT asserting that individuals consider costs and benefits before making a rational choice to conduct criminal activity, with the report further stating that attempts can therefore be made to shape an environment to increase the perceived risks to the offender, with CCTV working to deter individuals from committing offences due to the risk outweighing the benefits.</w:t>
      </w:r>
    </w:p>
    <w:p w14:paraId="57B41B2E" w14:textId="77777777" w:rsidR="00B178D8" w:rsidRPr="00B178D8" w:rsidRDefault="00B178D8" w:rsidP="00B178D8">
      <w:pPr>
        <w:spacing w:after="0" w:line="480" w:lineRule="auto"/>
        <w:rPr>
          <w:rFonts w:ascii="Arial" w:eastAsia="Times New Roman" w:hAnsi="Arial" w:cs="Arial"/>
          <w:sz w:val="24"/>
          <w:szCs w:val="24"/>
          <w:lang w:eastAsia="en-GB"/>
        </w:rPr>
      </w:pPr>
    </w:p>
    <w:p w14:paraId="338390A0" w14:textId="03B0D20C" w:rsidR="00B178D8" w:rsidRPr="00B178D8" w:rsidRDefault="00B178D8" w:rsidP="00B178D8">
      <w:pPr>
        <w:spacing w:after="0" w:line="480" w:lineRule="auto"/>
        <w:rPr>
          <w:rFonts w:ascii="Arial" w:eastAsia="Times New Roman" w:hAnsi="Arial" w:cs="Arial"/>
          <w:sz w:val="24"/>
          <w:szCs w:val="24"/>
          <w:lang w:eastAsia="en-GB"/>
        </w:rPr>
      </w:pP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(2009) further comments on how RCT and Routine Activity Theory (RAT) ha</w:t>
      </w:r>
      <w:r w:rsidR="00E579C8">
        <w:rPr>
          <w:rFonts w:ascii="Arial" w:eastAsia="Times New Roman" w:hAnsi="Arial" w:cs="Arial"/>
          <w:color w:val="000000"/>
          <w:sz w:val="24"/>
          <w:szCs w:val="24"/>
          <w:lang w:eastAsia="en-GB"/>
        </w:rPr>
        <w:t>ve</w:t>
      </w:r>
      <w:r w:rsidRPr="00B178D8">
        <w:rPr>
          <w:rFonts w:ascii="Arial" w:eastAsia="Times New Roman" w:hAnsi="Arial" w:cs="Arial"/>
          <w:color w:val="000000"/>
          <w:sz w:val="24"/>
          <w:szCs w:val="24"/>
          <w:lang w:eastAsia="en-GB"/>
        </w:rPr>
        <w:t xml:space="preserve"> influenced crime prevention strategies throughout Europe by attempting to fraught the triangle of criminal activity proposed by RCT and RAT - likely offender, suitable target, absence of guardian. </w:t>
      </w: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(2009) considers the wider use of CCTV, the improvement of street lighting, as well as specific case examples of motorcycle and car thefts being common in German</w:t>
      </w:r>
      <w:r w:rsidR="004E0E50">
        <w:rPr>
          <w:rFonts w:ascii="Arial" w:eastAsia="Times New Roman" w:hAnsi="Arial" w:cs="Arial"/>
          <w:color w:val="000000"/>
          <w:sz w:val="24"/>
          <w:szCs w:val="24"/>
          <w:lang w:eastAsia="en-GB"/>
        </w:rPr>
        <w:t>y</w:t>
      </w:r>
      <w:r w:rsidRPr="00B178D8">
        <w:rPr>
          <w:rFonts w:ascii="Arial" w:eastAsia="Times New Roman" w:hAnsi="Arial" w:cs="Arial"/>
          <w:color w:val="000000"/>
          <w:sz w:val="24"/>
          <w:szCs w:val="24"/>
          <w:lang w:eastAsia="en-GB"/>
        </w:rPr>
        <w:t xml:space="preserve"> in the 1960s. </w:t>
      </w:r>
      <w:r w:rsidR="005B6EBF">
        <w:rPr>
          <w:rFonts w:ascii="Arial" w:eastAsia="Times New Roman" w:hAnsi="Arial" w:cs="Arial"/>
          <w:color w:val="000000"/>
          <w:sz w:val="24"/>
          <w:szCs w:val="24"/>
          <w:lang w:eastAsia="en-GB"/>
        </w:rPr>
        <w:t xml:space="preserve">Furthermore, </w:t>
      </w: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(2009) explains that following legislation making helmets and steering column locks mandatory for all motorcycle riders and parked cars</w:t>
      </w:r>
      <w:r w:rsidR="00B9077D">
        <w:rPr>
          <w:rFonts w:ascii="Arial" w:eastAsia="Times New Roman" w:hAnsi="Arial" w:cs="Arial"/>
          <w:color w:val="000000"/>
          <w:sz w:val="24"/>
          <w:szCs w:val="24"/>
          <w:lang w:eastAsia="en-GB"/>
        </w:rPr>
        <w:t xml:space="preserve"> in Germany</w:t>
      </w:r>
      <w:r w:rsidRPr="00B178D8">
        <w:rPr>
          <w:rFonts w:ascii="Arial" w:eastAsia="Times New Roman" w:hAnsi="Arial" w:cs="Arial"/>
          <w:color w:val="000000"/>
          <w:sz w:val="24"/>
          <w:szCs w:val="24"/>
          <w:lang w:eastAsia="en-GB"/>
        </w:rPr>
        <w:t>, there was a 60% decrease in both car theft, and motorcycle theft as individuals who rode on a motorcycle without a helmet were believed to be opportunists who stole the vehicles, thus demonstrating an increase in risk for offenders. </w:t>
      </w:r>
    </w:p>
    <w:p w14:paraId="59500697" w14:textId="77777777" w:rsidR="00B178D8" w:rsidRPr="00B178D8" w:rsidRDefault="00B178D8" w:rsidP="00B178D8">
      <w:pPr>
        <w:spacing w:after="0" w:line="480" w:lineRule="auto"/>
        <w:rPr>
          <w:rFonts w:ascii="Arial" w:eastAsia="Times New Roman" w:hAnsi="Arial" w:cs="Arial"/>
          <w:sz w:val="24"/>
          <w:szCs w:val="24"/>
          <w:lang w:eastAsia="en-GB"/>
        </w:rPr>
      </w:pPr>
    </w:p>
    <w:p w14:paraId="6E19BF18" w14:textId="57FC3CF9"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The role of street lighting was extensively explored by Painter (1999) in their research on the Stoke-on-Trent area in the late 1990s. Painter (1999) states that evidence show</w:t>
      </w:r>
      <w:r w:rsidR="00146742">
        <w:rPr>
          <w:rFonts w:ascii="Arial" w:eastAsia="Times New Roman" w:hAnsi="Arial" w:cs="Arial"/>
          <w:color w:val="000000"/>
          <w:sz w:val="24"/>
          <w:szCs w:val="24"/>
          <w:lang w:eastAsia="en-GB"/>
        </w:rPr>
        <w:t>s</w:t>
      </w:r>
      <w:r w:rsidRPr="00B178D8">
        <w:rPr>
          <w:rFonts w:ascii="Arial" w:eastAsia="Times New Roman" w:hAnsi="Arial" w:cs="Arial"/>
          <w:color w:val="000000"/>
          <w:sz w:val="24"/>
          <w:szCs w:val="24"/>
          <w:lang w:eastAsia="en-GB"/>
        </w:rPr>
        <w:t xml:space="preserve"> that lighting reduce</w:t>
      </w:r>
      <w:r w:rsidR="00146742">
        <w:rPr>
          <w:rFonts w:ascii="Arial" w:eastAsia="Times New Roman" w:hAnsi="Arial" w:cs="Arial"/>
          <w:color w:val="000000"/>
          <w:sz w:val="24"/>
          <w:szCs w:val="24"/>
          <w:lang w:eastAsia="en-GB"/>
        </w:rPr>
        <w:t>s</w:t>
      </w:r>
      <w:r w:rsidRPr="00B178D8">
        <w:rPr>
          <w:rFonts w:ascii="Arial" w:eastAsia="Times New Roman" w:hAnsi="Arial" w:cs="Arial"/>
          <w:color w:val="000000"/>
          <w:sz w:val="24"/>
          <w:szCs w:val="24"/>
          <w:lang w:eastAsia="en-GB"/>
        </w:rPr>
        <w:t xml:space="preserve"> crime by improving visibility, and therefore </w:t>
      </w:r>
      <w:r w:rsidR="00146742" w:rsidRPr="00B178D8">
        <w:rPr>
          <w:rFonts w:ascii="Arial" w:eastAsia="Times New Roman" w:hAnsi="Arial" w:cs="Arial"/>
          <w:color w:val="000000"/>
          <w:sz w:val="24"/>
          <w:szCs w:val="24"/>
          <w:lang w:eastAsia="en-GB"/>
        </w:rPr>
        <w:t>deter</w:t>
      </w:r>
      <w:r w:rsidR="00146742">
        <w:rPr>
          <w:rFonts w:ascii="Arial" w:eastAsia="Times New Roman" w:hAnsi="Arial" w:cs="Arial"/>
          <w:color w:val="000000"/>
          <w:sz w:val="24"/>
          <w:szCs w:val="24"/>
          <w:lang w:eastAsia="en-GB"/>
        </w:rPr>
        <w:t>s</w:t>
      </w:r>
      <w:r w:rsidRPr="00B178D8">
        <w:rPr>
          <w:rFonts w:ascii="Arial" w:eastAsia="Times New Roman" w:hAnsi="Arial" w:cs="Arial"/>
          <w:color w:val="000000"/>
          <w:sz w:val="24"/>
          <w:szCs w:val="24"/>
          <w:lang w:eastAsia="en-GB"/>
        </w:rPr>
        <w:t xml:space="preserve"> deviant activity due to the increase in risk of being caught. Additionally, Painter (1999) highlights the knock-on effects of improved lighting, and that is the encouragement of increased street usage, which in turn provides more natural surveillance as lighting increases community confidence, with improved illumination reducing the overall fear of crime (Painter, 1999). </w:t>
      </w:r>
    </w:p>
    <w:p w14:paraId="6CC4FFAA" w14:textId="77777777" w:rsidR="00B178D8" w:rsidRPr="00B178D8" w:rsidRDefault="00B178D8" w:rsidP="00B178D8">
      <w:pPr>
        <w:spacing w:after="0" w:line="480" w:lineRule="auto"/>
        <w:rPr>
          <w:rFonts w:ascii="Arial" w:eastAsia="Times New Roman" w:hAnsi="Arial" w:cs="Arial"/>
          <w:sz w:val="24"/>
          <w:szCs w:val="24"/>
          <w:lang w:eastAsia="en-GB"/>
        </w:rPr>
      </w:pPr>
    </w:p>
    <w:p w14:paraId="5C911803"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Furthermore, following Painter’s (1999) analysis showing a prevalence decrease in crime of 26%, and an incidence decrease of 45% - </w:t>
      </w:r>
      <w:proofErr w:type="gramStart"/>
      <w:r w:rsidRPr="00B178D8">
        <w:rPr>
          <w:rFonts w:ascii="Arial" w:eastAsia="Times New Roman" w:hAnsi="Arial" w:cs="Arial"/>
          <w:color w:val="000000"/>
          <w:sz w:val="24"/>
          <w:szCs w:val="24"/>
          <w:lang w:eastAsia="en-GB"/>
        </w:rPr>
        <w:t>as a result of</w:t>
      </w:r>
      <w:proofErr w:type="gramEnd"/>
      <w:r w:rsidRPr="00B178D8">
        <w:rPr>
          <w:rFonts w:ascii="Arial" w:eastAsia="Times New Roman" w:hAnsi="Arial" w:cs="Arial"/>
          <w:color w:val="000000"/>
          <w:sz w:val="24"/>
          <w:szCs w:val="24"/>
          <w:lang w:eastAsia="en-GB"/>
        </w:rPr>
        <w:t xml:space="preserve"> improved lighting - </w:t>
      </w:r>
      <w:r w:rsidRPr="00B178D8">
        <w:rPr>
          <w:rFonts w:ascii="Arial" w:eastAsia="Times New Roman" w:hAnsi="Arial" w:cs="Arial"/>
          <w:color w:val="000000"/>
          <w:sz w:val="24"/>
          <w:szCs w:val="24"/>
          <w:lang w:eastAsia="en-GB"/>
        </w:rPr>
        <w:lastRenderedPageBreak/>
        <w:t>more recently, newer research has been conducted by Davies and Farrington (2018) on the impact of switching off street lighting and its relation to RCT and RAT.</w:t>
      </w:r>
    </w:p>
    <w:p w14:paraId="455323A6" w14:textId="77777777" w:rsidR="00B178D8" w:rsidRPr="00B178D8" w:rsidRDefault="00B178D8" w:rsidP="00B178D8">
      <w:pPr>
        <w:spacing w:after="0" w:line="480" w:lineRule="auto"/>
        <w:rPr>
          <w:rFonts w:ascii="Arial" w:eastAsia="Times New Roman" w:hAnsi="Arial" w:cs="Arial"/>
          <w:sz w:val="24"/>
          <w:szCs w:val="24"/>
          <w:lang w:eastAsia="en-GB"/>
        </w:rPr>
      </w:pPr>
    </w:p>
    <w:p w14:paraId="218B7B1D" w14:textId="407524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Davies and Farrington (2018) found that following the switching </w:t>
      </w:r>
      <w:proofErr w:type="gramStart"/>
      <w:r w:rsidRPr="00B178D8">
        <w:rPr>
          <w:rFonts w:ascii="Arial" w:eastAsia="Times New Roman" w:hAnsi="Arial" w:cs="Arial"/>
          <w:color w:val="000000"/>
          <w:sz w:val="24"/>
          <w:szCs w:val="24"/>
          <w:lang w:eastAsia="en-GB"/>
        </w:rPr>
        <w:t>off of</w:t>
      </w:r>
      <w:proofErr w:type="gramEnd"/>
      <w:r w:rsidRPr="00B178D8">
        <w:rPr>
          <w:rFonts w:ascii="Arial" w:eastAsia="Times New Roman" w:hAnsi="Arial" w:cs="Arial"/>
          <w:color w:val="000000"/>
          <w:sz w:val="24"/>
          <w:szCs w:val="24"/>
          <w:lang w:eastAsia="en-GB"/>
        </w:rPr>
        <w:t xml:space="preserve"> street lighting in Maldon, Essex, burglary and vehicle crime increased, but criminal damage remained unchanged, and violence decreased in the area. Although burglary and vehicle crime increased which would be in accordance with the principles proposed by RCT and RAT, </w:t>
      </w:r>
      <w:proofErr w:type="gramStart"/>
      <w:r w:rsidRPr="00B178D8">
        <w:rPr>
          <w:rFonts w:ascii="Arial" w:eastAsia="Times New Roman" w:hAnsi="Arial" w:cs="Arial"/>
          <w:color w:val="000000"/>
          <w:sz w:val="24"/>
          <w:szCs w:val="24"/>
          <w:lang w:eastAsia="en-GB"/>
        </w:rPr>
        <w:t>Davies</w:t>
      </w:r>
      <w:proofErr w:type="gramEnd"/>
      <w:r w:rsidRPr="00B178D8">
        <w:rPr>
          <w:rFonts w:ascii="Arial" w:eastAsia="Times New Roman" w:hAnsi="Arial" w:cs="Arial"/>
          <w:color w:val="000000"/>
          <w:sz w:val="24"/>
          <w:szCs w:val="24"/>
          <w:lang w:eastAsia="en-GB"/>
        </w:rPr>
        <w:t xml:space="preserve"> and Farrington (2018) state that they believe and account for the violence decrease as being due to the lack of lighting, thus deterring individuals from going out at night, therefore removing the “suitable target” from the RCT and RAT principles. Furthermore, criminal damage being unchanged by the alteration of lighting conditions could also be explained as it could be argued that more guardians would be present at home</w:t>
      </w:r>
      <w:r w:rsidR="00D86779">
        <w:rPr>
          <w:rFonts w:ascii="Arial" w:eastAsia="Times New Roman" w:hAnsi="Arial" w:cs="Arial"/>
          <w:color w:val="000000"/>
          <w:sz w:val="24"/>
          <w:szCs w:val="24"/>
          <w:lang w:eastAsia="en-GB"/>
        </w:rPr>
        <w:t xml:space="preserve"> and less guardians would be in public locations</w:t>
      </w:r>
      <w:r w:rsidR="00B11254">
        <w:rPr>
          <w:rFonts w:ascii="Arial" w:eastAsia="Times New Roman" w:hAnsi="Arial" w:cs="Arial"/>
          <w:color w:val="000000"/>
          <w:sz w:val="24"/>
          <w:szCs w:val="24"/>
          <w:lang w:eastAsia="en-GB"/>
        </w:rPr>
        <w:t xml:space="preserve">, </w:t>
      </w:r>
      <w:r w:rsidRPr="00B178D8">
        <w:rPr>
          <w:rFonts w:ascii="Arial" w:eastAsia="Times New Roman" w:hAnsi="Arial" w:cs="Arial"/>
          <w:color w:val="000000"/>
          <w:sz w:val="24"/>
          <w:szCs w:val="24"/>
          <w:lang w:eastAsia="en-GB"/>
        </w:rPr>
        <w:t>should less individuals have gone out at night</w:t>
      </w:r>
      <w:r w:rsidR="00B11254">
        <w:rPr>
          <w:rFonts w:ascii="Arial" w:eastAsia="Times New Roman" w:hAnsi="Arial" w:cs="Arial"/>
          <w:color w:val="000000"/>
          <w:sz w:val="24"/>
          <w:szCs w:val="24"/>
          <w:lang w:eastAsia="en-GB"/>
        </w:rPr>
        <w:t>.</w:t>
      </w:r>
      <w:r w:rsidRPr="00B178D8">
        <w:rPr>
          <w:rFonts w:ascii="Arial" w:eastAsia="Times New Roman" w:hAnsi="Arial" w:cs="Arial"/>
          <w:color w:val="000000"/>
          <w:sz w:val="24"/>
          <w:szCs w:val="24"/>
          <w:lang w:eastAsia="en-GB"/>
        </w:rPr>
        <w:t xml:space="preserve"> </w:t>
      </w:r>
      <w:r w:rsidR="00B11254">
        <w:rPr>
          <w:rFonts w:ascii="Arial" w:eastAsia="Times New Roman" w:hAnsi="Arial" w:cs="Arial"/>
          <w:color w:val="000000"/>
          <w:sz w:val="24"/>
          <w:szCs w:val="24"/>
          <w:lang w:eastAsia="en-GB"/>
        </w:rPr>
        <w:t>T</w:t>
      </w:r>
      <w:r w:rsidRPr="00B178D8">
        <w:rPr>
          <w:rFonts w:ascii="Arial" w:eastAsia="Times New Roman" w:hAnsi="Arial" w:cs="Arial"/>
          <w:color w:val="000000"/>
          <w:sz w:val="24"/>
          <w:szCs w:val="24"/>
          <w:lang w:eastAsia="en-GB"/>
        </w:rPr>
        <w:t>herefore</w:t>
      </w:r>
      <w:r w:rsidR="00B11254">
        <w:rPr>
          <w:rFonts w:ascii="Arial" w:eastAsia="Times New Roman" w:hAnsi="Arial" w:cs="Arial"/>
          <w:color w:val="000000"/>
          <w:sz w:val="24"/>
          <w:szCs w:val="24"/>
          <w:lang w:eastAsia="en-GB"/>
        </w:rPr>
        <w:t xml:space="preserve">, </w:t>
      </w:r>
      <w:r w:rsidR="00D86779">
        <w:rPr>
          <w:rFonts w:ascii="Arial" w:eastAsia="Times New Roman" w:hAnsi="Arial" w:cs="Arial"/>
          <w:color w:val="000000"/>
          <w:sz w:val="24"/>
          <w:szCs w:val="24"/>
          <w:lang w:eastAsia="en-GB"/>
        </w:rPr>
        <w:t>this absence of foot traffic</w:t>
      </w:r>
      <w:r w:rsidRPr="00B178D8">
        <w:rPr>
          <w:rFonts w:ascii="Arial" w:eastAsia="Times New Roman" w:hAnsi="Arial" w:cs="Arial"/>
          <w:color w:val="000000"/>
          <w:sz w:val="24"/>
          <w:szCs w:val="24"/>
          <w:lang w:eastAsia="en-GB"/>
        </w:rPr>
        <w:t xml:space="preserve"> </w:t>
      </w:r>
      <w:r w:rsidR="00D86779">
        <w:rPr>
          <w:rFonts w:ascii="Arial" w:eastAsia="Times New Roman" w:hAnsi="Arial" w:cs="Arial"/>
          <w:color w:val="000000"/>
          <w:sz w:val="24"/>
          <w:szCs w:val="24"/>
          <w:lang w:eastAsia="en-GB"/>
        </w:rPr>
        <w:t>from public spots at night, could explain the unchanged statistics as potential deviants could have moved closer to the local town and city centre knowing it would be quieter</w:t>
      </w:r>
      <w:r w:rsidR="00B11254">
        <w:rPr>
          <w:rFonts w:ascii="Arial" w:eastAsia="Times New Roman" w:hAnsi="Arial" w:cs="Arial"/>
          <w:color w:val="000000"/>
          <w:sz w:val="24"/>
          <w:szCs w:val="24"/>
          <w:lang w:eastAsia="en-GB"/>
        </w:rPr>
        <w:t xml:space="preserve"> than residential areas</w:t>
      </w:r>
      <w:r w:rsidR="00D86779">
        <w:rPr>
          <w:rFonts w:ascii="Arial" w:eastAsia="Times New Roman" w:hAnsi="Arial" w:cs="Arial"/>
          <w:color w:val="000000"/>
          <w:sz w:val="24"/>
          <w:szCs w:val="24"/>
          <w:lang w:eastAsia="en-GB"/>
        </w:rPr>
        <w:t>, th</w:t>
      </w:r>
      <w:r w:rsidR="00B11254">
        <w:rPr>
          <w:rFonts w:ascii="Arial" w:eastAsia="Times New Roman" w:hAnsi="Arial" w:cs="Arial"/>
          <w:color w:val="000000"/>
          <w:sz w:val="24"/>
          <w:szCs w:val="24"/>
          <w:lang w:eastAsia="en-GB"/>
        </w:rPr>
        <w:t>us,</w:t>
      </w:r>
      <w:r w:rsidR="00D86779">
        <w:rPr>
          <w:rFonts w:ascii="Arial" w:eastAsia="Times New Roman" w:hAnsi="Arial" w:cs="Arial"/>
          <w:color w:val="000000"/>
          <w:sz w:val="24"/>
          <w:szCs w:val="24"/>
          <w:lang w:eastAsia="en-GB"/>
        </w:rPr>
        <w:t xml:space="preserve"> </w:t>
      </w:r>
      <w:r w:rsidRPr="00B178D8">
        <w:rPr>
          <w:rFonts w:ascii="Arial" w:eastAsia="Times New Roman" w:hAnsi="Arial" w:cs="Arial"/>
          <w:color w:val="000000"/>
          <w:sz w:val="24"/>
          <w:szCs w:val="24"/>
          <w:lang w:eastAsia="en-GB"/>
        </w:rPr>
        <w:t>accounting for the statistics to match the theoretical perspective (Davies and Farrington, 2018).</w:t>
      </w:r>
    </w:p>
    <w:p w14:paraId="7EFEB8E9" w14:textId="77777777" w:rsidR="00B178D8" w:rsidRPr="00B178D8" w:rsidRDefault="00B178D8" w:rsidP="00B178D8">
      <w:pPr>
        <w:spacing w:after="0" w:line="480" w:lineRule="auto"/>
        <w:rPr>
          <w:rFonts w:ascii="Arial" w:eastAsia="Times New Roman" w:hAnsi="Arial" w:cs="Arial"/>
          <w:sz w:val="24"/>
          <w:szCs w:val="24"/>
          <w:lang w:eastAsia="en-GB"/>
        </w:rPr>
      </w:pPr>
    </w:p>
    <w:p w14:paraId="0D08B763" w14:textId="0D165468"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When it comes to real world applications of SOCT / SECT,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state that research by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found early perceptions of children and adolescents regarding fairness and legitimacy of the justice system, through neighbourhood interactions with legal actors such as the police can shape and determine the outcomes of legal socialisation.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highlight how negative interactions </w:t>
      </w:r>
      <w:proofErr w:type="gramStart"/>
      <w:r w:rsidRPr="00B178D8">
        <w:rPr>
          <w:rFonts w:ascii="Arial" w:eastAsia="Times New Roman" w:hAnsi="Arial" w:cs="Arial"/>
          <w:color w:val="000000"/>
          <w:sz w:val="24"/>
          <w:szCs w:val="24"/>
          <w:lang w:eastAsia="en-GB"/>
        </w:rPr>
        <w:t>as a result of</w:t>
      </w:r>
      <w:proofErr w:type="gramEnd"/>
      <w:r w:rsidRPr="00B178D8">
        <w:rPr>
          <w:rFonts w:ascii="Arial" w:eastAsia="Times New Roman" w:hAnsi="Arial" w:cs="Arial"/>
          <w:color w:val="000000"/>
          <w:sz w:val="24"/>
          <w:szCs w:val="24"/>
          <w:lang w:eastAsia="en-GB"/>
        </w:rPr>
        <w:t xml:space="preserve"> perceiving or experiencing unfair or harsh </w:t>
      </w:r>
      <w:r w:rsidRPr="00B178D8">
        <w:rPr>
          <w:rFonts w:ascii="Arial" w:eastAsia="Times New Roman" w:hAnsi="Arial" w:cs="Arial"/>
          <w:color w:val="000000"/>
          <w:sz w:val="24"/>
          <w:szCs w:val="24"/>
          <w:lang w:eastAsia="en-GB"/>
        </w:rPr>
        <w:lastRenderedPageBreak/>
        <w:t>treatment, can play a role in “socialisation processes'' that determine an individual's belief in the legitimacy of the law and a willingness to be law-abiding. The study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Sampson,1997) further notes that poor experiences or interactions with any aspect of the justice system can weaken attachments to family, school, and community, which in turn leads to increased criminality as SOCT and SECT state that those ties are what prevent deviant behaviour in the first place.</w:t>
      </w:r>
    </w:p>
    <w:p w14:paraId="22700471" w14:textId="77777777" w:rsidR="00B178D8" w:rsidRPr="00B178D8" w:rsidRDefault="00B178D8" w:rsidP="00B178D8">
      <w:pPr>
        <w:spacing w:after="0" w:line="480" w:lineRule="auto"/>
        <w:rPr>
          <w:rFonts w:ascii="Arial" w:eastAsia="Times New Roman" w:hAnsi="Arial" w:cs="Arial"/>
          <w:sz w:val="24"/>
          <w:szCs w:val="24"/>
          <w:lang w:eastAsia="en-GB"/>
        </w:rPr>
      </w:pPr>
    </w:p>
    <w:p w14:paraId="3E6734B9"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Additionally,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found that the implications of such interaction and subsequent eroding of ties leading to potential deviancy, includes long term employment issues such as job stability due to previous convictions, thus in turn leading to further criminal actions should all other avenues be explored and failed. The findings of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are echoed similarly by the works of Brown and Charles (2019) which found that contact and early criminalisation by the justice system at an early age, leads to an increased likelihood of reoffending, with potential implications being drawn from principles such as labelling theory (Becker, 1963).</w:t>
      </w:r>
    </w:p>
    <w:p w14:paraId="185E7699" w14:textId="77777777" w:rsidR="00B178D8" w:rsidRPr="00B178D8" w:rsidRDefault="00B178D8" w:rsidP="00B178D8">
      <w:pPr>
        <w:spacing w:after="0" w:line="480" w:lineRule="auto"/>
        <w:rPr>
          <w:rFonts w:ascii="Arial" w:eastAsia="Times New Roman" w:hAnsi="Arial" w:cs="Arial"/>
          <w:sz w:val="24"/>
          <w:szCs w:val="24"/>
          <w:lang w:eastAsia="en-GB"/>
        </w:rPr>
      </w:pPr>
    </w:p>
    <w:p w14:paraId="7AF899CE"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highlight that real world studies have in fact shown that there are two direct mechanisms in which association or involvement with the criminal justice system can weaken an individual’s social bond within society. Firstly,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state the direct effect is the weakening of belief in the “moral validity of the law”, with research showing increased cynicism towards legal authorities </w:t>
      </w:r>
      <w:proofErr w:type="gramStart"/>
      <w:r w:rsidRPr="00B178D8">
        <w:rPr>
          <w:rFonts w:ascii="Arial" w:eastAsia="Times New Roman" w:hAnsi="Arial" w:cs="Arial"/>
          <w:color w:val="000000"/>
          <w:sz w:val="24"/>
          <w:szCs w:val="24"/>
          <w:lang w:eastAsia="en-GB"/>
        </w:rPr>
        <w:t>as a result of</w:t>
      </w:r>
      <w:proofErr w:type="gramEnd"/>
      <w:r w:rsidRPr="00B178D8">
        <w:rPr>
          <w:rFonts w:ascii="Arial" w:eastAsia="Times New Roman" w:hAnsi="Arial" w:cs="Arial"/>
          <w:color w:val="000000"/>
          <w:sz w:val="24"/>
          <w:szCs w:val="24"/>
          <w:lang w:eastAsia="en-GB"/>
        </w:rPr>
        <w:t xml:space="preserve"> bad experiences. Secondly,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state that the indirect effect is the previously established loosening of familial and communal ties, therefore with reduced links to society, commitment to a law abiding </w:t>
      </w:r>
      <w:r w:rsidRPr="00B178D8">
        <w:rPr>
          <w:rFonts w:ascii="Arial" w:eastAsia="Times New Roman" w:hAnsi="Arial" w:cs="Arial"/>
          <w:color w:val="000000"/>
          <w:sz w:val="24"/>
          <w:szCs w:val="24"/>
          <w:lang w:eastAsia="en-GB"/>
        </w:rPr>
        <w:lastRenderedPageBreak/>
        <w:t xml:space="preserve">life potentially being compromised, as well as lack of belief and involvement in society, can ultimately reduce the influence of social control on an individual, and therefore, make them less likely to resist deviant activities, due to a lack of things to hold onto, according to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and the implications of Gottfredson and Hirschi’s (2019) Social Control and Self-Control Theories.</w:t>
      </w:r>
    </w:p>
    <w:p w14:paraId="2E3165F4" w14:textId="77777777" w:rsidR="00B178D8" w:rsidRPr="00B178D8" w:rsidRDefault="00B178D8" w:rsidP="00B178D8">
      <w:pPr>
        <w:spacing w:after="0" w:line="480" w:lineRule="auto"/>
        <w:rPr>
          <w:rFonts w:ascii="Arial" w:eastAsia="Times New Roman" w:hAnsi="Arial" w:cs="Arial"/>
          <w:sz w:val="24"/>
          <w:szCs w:val="24"/>
          <w:lang w:eastAsia="en-GB"/>
        </w:rPr>
      </w:pPr>
    </w:p>
    <w:p w14:paraId="38210DB2" w14:textId="4401C239"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In isolation, both the classicist “rational actor” perspective of RCT and RAT, and the “integrated” perspective of SOCT and SECT, seemingly offer a credible and often, academically supported explanation for deviant - or lack thereof in the case of SOCT - behavioural activities within society. However, both RCT and SOCT do not provide an overarching and complete answer for the reason for deviancy, as both perspectives have been criticised and debated which is why there is ultimately not one</w:t>
      </w:r>
      <w:r w:rsidR="00AD6CEB">
        <w:rPr>
          <w:rFonts w:ascii="Arial" w:eastAsia="Times New Roman" w:hAnsi="Arial" w:cs="Arial"/>
          <w:color w:val="000000"/>
          <w:sz w:val="24"/>
          <w:szCs w:val="24"/>
          <w:lang w:eastAsia="en-GB"/>
        </w:rPr>
        <w:t xml:space="preserve">, </w:t>
      </w:r>
      <w:r w:rsidRPr="00B178D8">
        <w:rPr>
          <w:rFonts w:ascii="Arial" w:eastAsia="Times New Roman" w:hAnsi="Arial" w:cs="Arial"/>
          <w:color w:val="000000"/>
          <w:sz w:val="24"/>
          <w:szCs w:val="24"/>
          <w:lang w:eastAsia="en-GB"/>
        </w:rPr>
        <w:t>but many theories of crime. </w:t>
      </w:r>
    </w:p>
    <w:p w14:paraId="67172726" w14:textId="77777777" w:rsidR="00B178D8" w:rsidRPr="00B178D8" w:rsidRDefault="00B178D8" w:rsidP="00B178D8">
      <w:pPr>
        <w:spacing w:after="0" w:line="480" w:lineRule="auto"/>
        <w:rPr>
          <w:rFonts w:ascii="Arial" w:eastAsia="Times New Roman" w:hAnsi="Arial" w:cs="Arial"/>
          <w:sz w:val="24"/>
          <w:szCs w:val="24"/>
          <w:lang w:eastAsia="en-GB"/>
        </w:rPr>
      </w:pPr>
    </w:p>
    <w:p w14:paraId="7E45D390"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With regards to relevance for modern crime issues, functionalist theorists such as Durkheim would argue crime can in part contribute positively to society - with people in communities coming together following victimisation, as well as also providing the function of setting boundaries within society (</w:t>
      </w:r>
      <w:proofErr w:type="spellStart"/>
      <w:r w:rsidRPr="00B178D8">
        <w:rPr>
          <w:rFonts w:ascii="Arial" w:eastAsia="Times New Roman" w:hAnsi="Arial" w:cs="Arial"/>
          <w:color w:val="000000"/>
          <w:sz w:val="24"/>
          <w:szCs w:val="24"/>
          <w:lang w:eastAsia="en-GB"/>
        </w:rPr>
        <w:t>Liska</w:t>
      </w:r>
      <w:proofErr w:type="spellEnd"/>
      <w:r w:rsidRPr="00B178D8">
        <w:rPr>
          <w:rFonts w:ascii="Arial" w:eastAsia="Times New Roman" w:hAnsi="Arial" w:cs="Arial"/>
          <w:color w:val="000000"/>
          <w:sz w:val="24"/>
          <w:szCs w:val="24"/>
          <w:lang w:eastAsia="en-GB"/>
        </w:rPr>
        <w:t xml:space="preserve"> and Warner, 1991) -, this perspective could arguably be seen with the societal response to the death of Sarah Everard, and the many initiatives and demand for social change that occurred following her death (Topping, 2021). </w:t>
      </w:r>
    </w:p>
    <w:p w14:paraId="57D237B1" w14:textId="77777777" w:rsidR="00B178D8" w:rsidRPr="00B178D8" w:rsidRDefault="00B178D8" w:rsidP="00B178D8">
      <w:pPr>
        <w:spacing w:after="0" w:line="480" w:lineRule="auto"/>
        <w:rPr>
          <w:rFonts w:ascii="Arial" w:eastAsia="Times New Roman" w:hAnsi="Arial" w:cs="Arial"/>
          <w:sz w:val="24"/>
          <w:szCs w:val="24"/>
          <w:lang w:eastAsia="en-GB"/>
        </w:rPr>
      </w:pPr>
    </w:p>
    <w:p w14:paraId="36AF6F39" w14:textId="09FE0DC6"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One such initiative that demonstrates the role that RCT</w:t>
      </w:r>
      <w:r w:rsidR="00185CEA">
        <w:rPr>
          <w:rFonts w:ascii="Arial" w:eastAsia="Times New Roman" w:hAnsi="Arial" w:cs="Arial"/>
          <w:color w:val="000000"/>
          <w:sz w:val="24"/>
          <w:szCs w:val="24"/>
          <w:lang w:eastAsia="en-GB"/>
        </w:rPr>
        <w:t xml:space="preserve"> and RAT</w:t>
      </w:r>
      <w:r w:rsidRPr="00B178D8">
        <w:rPr>
          <w:rFonts w:ascii="Arial" w:eastAsia="Times New Roman" w:hAnsi="Arial" w:cs="Arial"/>
          <w:color w:val="000000"/>
          <w:sz w:val="24"/>
          <w:szCs w:val="24"/>
          <w:lang w:eastAsia="en-GB"/>
        </w:rPr>
        <w:t xml:space="preserve"> still plays in addressing modern crime issues within society is the “Strut Safe” volunteer service which seeks to improve the safety of women on night’s out, with volunteers offering </w:t>
      </w:r>
      <w:r w:rsidRPr="00B178D8">
        <w:rPr>
          <w:rFonts w:ascii="Arial" w:eastAsia="Times New Roman" w:hAnsi="Arial" w:cs="Arial"/>
          <w:color w:val="000000"/>
          <w:sz w:val="24"/>
          <w:szCs w:val="24"/>
          <w:lang w:eastAsia="en-GB"/>
        </w:rPr>
        <w:lastRenderedPageBreak/>
        <w:t>individuals that feel vulnerable or unsafe, a guardian to escort them home (Dewar, 2021), with the presence of an escort being an intentional strategy to deter deviant activities and minimise vulnerabilities of an individual to ensure they do not succumb to the circumstances proposed by RCT (Clarke and Cornish, 1986) and become a victim of crime.</w:t>
      </w:r>
    </w:p>
    <w:p w14:paraId="034AA318" w14:textId="77777777" w:rsidR="00B178D8" w:rsidRPr="00B178D8" w:rsidRDefault="00B178D8" w:rsidP="00B178D8">
      <w:pPr>
        <w:spacing w:after="0" w:line="480" w:lineRule="auto"/>
        <w:rPr>
          <w:rFonts w:ascii="Arial" w:eastAsia="Times New Roman" w:hAnsi="Arial" w:cs="Arial"/>
          <w:sz w:val="24"/>
          <w:szCs w:val="24"/>
          <w:lang w:eastAsia="en-GB"/>
        </w:rPr>
      </w:pPr>
    </w:p>
    <w:p w14:paraId="615F8AD6" w14:textId="15CD33A8"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Furthermore, the principle concept and ideas behind SOCT are evidenced when looking at criminal exploitation, gangs, county lines, and knife crime, with both the Children’s Commissioner (2019) and NSPCC (2022) highlighting that individuals that are the most vulnerable and susceptible to criminal exploitation and gang recruitment are individuals who have weakened social and communal ties, with family issues or family violence and abuse being a norm for over 2.1 million children, as well as 740,000 children demonstrating low commitment to school. </w:t>
      </w:r>
      <w:r w:rsidR="00263C15">
        <w:rPr>
          <w:rFonts w:ascii="Arial" w:eastAsia="Times New Roman" w:hAnsi="Arial" w:cs="Arial"/>
          <w:color w:val="000000"/>
          <w:sz w:val="24"/>
          <w:szCs w:val="24"/>
          <w:lang w:eastAsia="en-GB"/>
        </w:rPr>
        <w:t xml:space="preserve">The </w:t>
      </w:r>
      <w:r w:rsidRPr="00B178D8">
        <w:rPr>
          <w:rFonts w:ascii="Arial" w:eastAsia="Times New Roman" w:hAnsi="Arial" w:cs="Arial"/>
          <w:color w:val="000000"/>
          <w:sz w:val="24"/>
          <w:szCs w:val="24"/>
          <w:lang w:eastAsia="en-GB"/>
        </w:rPr>
        <w:t xml:space="preserve">NSPCC (2022) </w:t>
      </w:r>
      <w:r w:rsidR="00377059">
        <w:rPr>
          <w:rFonts w:ascii="Arial" w:eastAsia="Times New Roman" w:hAnsi="Arial" w:cs="Arial"/>
          <w:color w:val="000000"/>
          <w:sz w:val="24"/>
          <w:szCs w:val="24"/>
          <w:lang w:eastAsia="en-GB"/>
        </w:rPr>
        <w:t xml:space="preserve">further </w:t>
      </w:r>
      <w:r w:rsidRPr="00B178D8">
        <w:rPr>
          <w:rFonts w:ascii="Arial" w:eastAsia="Times New Roman" w:hAnsi="Arial" w:cs="Arial"/>
          <w:color w:val="000000"/>
          <w:sz w:val="24"/>
          <w:szCs w:val="24"/>
          <w:lang w:eastAsia="en-GB"/>
        </w:rPr>
        <w:t>state that individuals that are groomed for gangs are often children that have been excluded from school, and are children who feel they do not have a future, a key facet of Gottfredson and Hirschi’s (2019) SOCT, where commitment to the future is stated as being one of the four pillars that prevent deviant behaviour, as well as strong ties to family which is something the most vulnerable - who are the most likely to commit crime (Newburn, 2016) - do not experience.</w:t>
      </w:r>
    </w:p>
    <w:p w14:paraId="295E19A6" w14:textId="77777777" w:rsidR="00B178D8" w:rsidRPr="00B178D8" w:rsidRDefault="00B178D8" w:rsidP="00B178D8">
      <w:pPr>
        <w:spacing w:after="0" w:line="480" w:lineRule="auto"/>
        <w:rPr>
          <w:rFonts w:ascii="Arial" w:eastAsia="Times New Roman" w:hAnsi="Arial" w:cs="Arial"/>
          <w:sz w:val="24"/>
          <w:szCs w:val="24"/>
          <w:lang w:eastAsia="en-GB"/>
        </w:rPr>
      </w:pPr>
    </w:p>
    <w:p w14:paraId="1A0AC0FC" w14:textId="0CEE39EE"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When taking a step back and considering the day-to-day workings of the modern world</w:t>
      </w:r>
      <w:r w:rsidR="00215921">
        <w:rPr>
          <w:rFonts w:ascii="Arial" w:eastAsia="Times New Roman" w:hAnsi="Arial" w:cs="Arial"/>
          <w:color w:val="000000"/>
          <w:sz w:val="24"/>
          <w:szCs w:val="24"/>
          <w:lang w:eastAsia="en-GB"/>
        </w:rPr>
        <w:t>:</w:t>
      </w:r>
      <w:r w:rsidRPr="00B178D8">
        <w:rPr>
          <w:rFonts w:ascii="Arial" w:eastAsia="Times New Roman" w:hAnsi="Arial" w:cs="Arial"/>
          <w:color w:val="000000"/>
          <w:sz w:val="24"/>
          <w:szCs w:val="24"/>
          <w:lang w:eastAsia="en-GB"/>
        </w:rPr>
        <w:t xml:space="preserve"> streetlights, security cameras, images of police officers in shop windows, initiatives such as “Strut Safe” (Dewar, 2021), and community groups such as Neighbourhood Watch (2022), are all utilised and operated under the assumptions and empirical findings of criminological theories such as RCT and RAT. Similarly, the </w:t>
      </w:r>
      <w:r w:rsidRPr="00B178D8">
        <w:rPr>
          <w:rFonts w:ascii="Arial" w:eastAsia="Times New Roman" w:hAnsi="Arial" w:cs="Arial"/>
          <w:color w:val="000000"/>
          <w:sz w:val="24"/>
          <w:szCs w:val="24"/>
          <w:lang w:eastAsia="en-GB"/>
        </w:rPr>
        <w:lastRenderedPageBreak/>
        <w:t>statistical data provided by Children’s Commissioner (2019) seemingly demonstrates that principles explored in SOCT, have evidential foundations and relevance for modern crime issues that come with criminal exploitation and gang culture.</w:t>
      </w:r>
    </w:p>
    <w:p w14:paraId="299A488F" w14:textId="77777777" w:rsidR="00B178D8" w:rsidRPr="00B178D8" w:rsidRDefault="00B178D8" w:rsidP="00B178D8">
      <w:pPr>
        <w:spacing w:after="0" w:line="480" w:lineRule="auto"/>
        <w:rPr>
          <w:rFonts w:ascii="Arial" w:eastAsia="Times New Roman" w:hAnsi="Arial" w:cs="Arial"/>
          <w:sz w:val="24"/>
          <w:szCs w:val="24"/>
          <w:lang w:eastAsia="en-GB"/>
        </w:rPr>
      </w:pPr>
    </w:p>
    <w:p w14:paraId="67E3E0C1" w14:textId="3E821FE0" w:rsidR="00B178D8" w:rsidRDefault="00B178D8" w:rsidP="00B178D8">
      <w:pPr>
        <w:spacing w:after="0" w:line="480" w:lineRule="auto"/>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Ultimately, although there is seemingly a difference in scale for empirical evidence supporting such theories as RCT and SOCT, with RCT and RAT principles arguably having a wider reach and influence when addressing modern crime issues, SOCT is still relevant and has been arguably proved through circumstantial analysis conducted by organisations such as the NSPCC (2022) and Children’s Commissioner (2019), leading to the conclusion that both rational choice theory and social control theory are both relevant criminological theories for understanding crime and deviant behaviour in the 21st century.</w:t>
      </w:r>
    </w:p>
    <w:p w14:paraId="0CC6FE48" w14:textId="77777777" w:rsidR="00E93894" w:rsidRDefault="00E93894" w:rsidP="004E3224">
      <w:pPr>
        <w:spacing w:line="480" w:lineRule="auto"/>
        <w:rPr>
          <w:rFonts w:ascii="Arial" w:eastAsia="Times New Roman" w:hAnsi="Arial" w:cs="Arial"/>
          <w:color w:val="000000"/>
          <w:sz w:val="24"/>
          <w:szCs w:val="24"/>
          <w:lang w:eastAsia="en-GB"/>
        </w:rPr>
      </w:pPr>
    </w:p>
    <w:p w14:paraId="210DBC14" w14:textId="47496EE0" w:rsidR="00B178D8" w:rsidRDefault="00E93894" w:rsidP="004E3224">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essay has touched on the varying perspectives within the wide-ranging school</w:t>
      </w:r>
      <w:r w:rsidR="004E3224">
        <w:rPr>
          <w:rFonts w:ascii="Arial" w:eastAsia="Times New Roman" w:hAnsi="Arial" w:cs="Arial"/>
          <w:color w:val="000000"/>
          <w:sz w:val="24"/>
          <w:szCs w:val="24"/>
          <w:lang w:eastAsia="en-GB"/>
        </w:rPr>
        <w:t>s</w:t>
      </w:r>
      <w:r>
        <w:rPr>
          <w:rFonts w:ascii="Arial" w:eastAsia="Times New Roman" w:hAnsi="Arial" w:cs="Arial"/>
          <w:color w:val="000000"/>
          <w:sz w:val="24"/>
          <w:szCs w:val="24"/>
          <w:lang w:eastAsia="en-GB"/>
        </w:rPr>
        <w:t xml:space="preserve"> of criminological thought and </w:t>
      </w:r>
      <w:r w:rsidR="004E3224">
        <w:rPr>
          <w:rFonts w:ascii="Arial" w:eastAsia="Times New Roman" w:hAnsi="Arial" w:cs="Arial"/>
          <w:color w:val="000000"/>
          <w:sz w:val="24"/>
          <w:szCs w:val="24"/>
          <w:lang w:eastAsia="en-GB"/>
        </w:rPr>
        <w:t xml:space="preserve">has </w:t>
      </w:r>
      <w:r>
        <w:rPr>
          <w:rFonts w:ascii="Arial" w:eastAsia="Times New Roman" w:hAnsi="Arial" w:cs="Arial"/>
          <w:color w:val="000000"/>
          <w:sz w:val="24"/>
          <w:szCs w:val="24"/>
          <w:lang w:eastAsia="en-GB"/>
        </w:rPr>
        <w:t>homed in on rational choice theory as</w:t>
      </w:r>
      <w:r w:rsidR="004E3224">
        <w:rPr>
          <w:rFonts w:ascii="Arial" w:eastAsia="Times New Roman" w:hAnsi="Arial" w:cs="Arial"/>
          <w:color w:val="000000"/>
          <w:sz w:val="24"/>
          <w:szCs w:val="24"/>
          <w:lang w:eastAsia="en-GB"/>
        </w:rPr>
        <w:t xml:space="preserve"> well as social control theory to present two different perspectives within criminology. The essay has then applied modern case examples observed within modern crime issues to determine which theory or perspective is most relevant, with the conclusion ultimately finding that both perspectives are equally relevant and impactfully witnessed when observing deviant behaviour from the perspectives that these theories propose.</w:t>
      </w:r>
      <w:r w:rsidR="00B178D8">
        <w:rPr>
          <w:rFonts w:ascii="Arial" w:eastAsia="Times New Roman" w:hAnsi="Arial" w:cs="Arial"/>
          <w:color w:val="000000"/>
          <w:sz w:val="24"/>
          <w:szCs w:val="24"/>
          <w:lang w:eastAsia="en-GB"/>
        </w:rPr>
        <w:br w:type="page"/>
      </w:r>
    </w:p>
    <w:p w14:paraId="07C57E12" w14:textId="0C5ACA74" w:rsidR="005165B5"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sz w:val="24"/>
          <w:szCs w:val="24"/>
          <w:u w:val="single"/>
          <w:lang w:eastAsia="en-GB"/>
        </w:rPr>
        <w:lastRenderedPageBreak/>
        <w:t>Reference List</w:t>
      </w:r>
    </w:p>
    <w:p w14:paraId="12158B53" w14:textId="623B4B82" w:rsidR="00B178D8" w:rsidRPr="00B178D8" w:rsidRDefault="00B178D8" w:rsidP="00B178D8">
      <w:pPr>
        <w:spacing w:after="0" w:line="480" w:lineRule="auto"/>
        <w:rPr>
          <w:rFonts w:ascii="Arial" w:eastAsia="Times New Roman" w:hAnsi="Arial" w:cs="Arial"/>
          <w:sz w:val="24"/>
          <w:szCs w:val="24"/>
          <w:lang w:eastAsia="en-GB"/>
        </w:rPr>
      </w:pPr>
    </w:p>
    <w:p w14:paraId="7D73BBCB" w14:textId="4A855EE5" w:rsidR="00B178D8" w:rsidRPr="00B178D8" w:rsidRDefault="00B178D8" w:rsidP="00B178D8">
      <w:pPr>
        <w:numPr>
          <w:ilvl w:val="0"/>
          <w:numId w:val="1"/>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Aichhorn</w:t>
      </w:r>
      <w:proofErr w:type="spellEnd"/>
      <w:r w:rsidRPr="00B178D8">
        <w:rPr>
          <w:rFonts w:ascii="Arial" w:eastAsia="Times New Roman" w:hAnsi="Arial" w:cs="Arial"/>
          <w:color w:val="000000"/>
          <w:sz w:val="24"/>
          <w:szCs w:val="24"/>
          <w:lang w:eastAsia="en-GB"/>
        </w:rPr>
        <w:t>, A. (1925). Wayward Youth. New York: Meridian Books.</w:t>
      </w:r>
      <w:r w:rsidRPr="00B178D8">
        <w:rPr>
          <w:rFonts w:ascii="Arial" w:eastAsia="Times New Roman" w:hAnsi="Arial" w:cs="Arial"/>
          <w:sz w:val="24"/>
          <w:szCs w:val="24"/>
          <w:lang w:eastAsia="en-GB"/>
        </w:rPr>
        <w:br/>
      </w:r>
    </w:p>
    <w:p w14:paraId="5F19CCCD" w14:textId="597EBFE1" w:rsidR="00B178D8" w:rsidRPr="00B178D8" w:rsidRDefault="00B178D8" w:rsidP="00B178D8">
      <w:pPr>
        <w:numPr>
          <w:ilvl w:val="0"/>
          <w:numId w:val="2"/>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D. (2009). </w:t>
      </w:r>
      <w:r w:rsidRPr="00B178D8">
        <w:rPr>
          <w:rFonts w:ascii="Arial" w:eastAsia="Times New Roman" w:hAnsi="Arial" w:cs="Arial"/>
          <w:i/>
          <w:iCs/>
          <w:color w:val="000000"/>
          <w:sz w:val="24"/>
          <w:szCs w:val="24"/>
          <w:lang w:eastAsia="en-GB"/>
        </w:rPr>
        <w:t xml:space="preserve">CCTV As </w:t>
      </w:r>
      <w:proofErr w:type="gramStart"/>
      <w:r w:rsidRPr="00B178D8">
        <w:rPr>
          <w:rFonts w:ascii="Arial" w:eastAsia="Times New Roman" w:hAnsi="Arial" w:cs="Arial"/>
          <w:i/>
          <w:iCs/>
          <w:color w:val="000000"/>
          <w:sz w:val="24"/>
          <w:szCs w:val="24"/>
          <w:lang w:eastAsia="en-GB"/>
        </w:rPr>
        <w:t>A</w:t>
      </w:r>
      <w:proofErr w:type="gramEnd"/>
      <w:r w:rsidRPr="00B178D8">
        <w:rPr>
          <w:rFonts w:ascii="Arial" w:eastAsia="Times New Roman" w:hAnsi="Arial" w:cs="Arial"/>
          <w:i/>
          <w:iCs/>
          <w:color w:val="000000"/>
          <w:sz w:val="24"/>
          <w:szCs w:val="24"/>
          <w:lang w:eastAsia="en-GB"/>
        </w:rPr>
        <w:t xml:space="preserve"> Crime Prevention Strategy: A Review of the Literature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Cork: Centre for Criminal Justice &amp; Human Rights (CCJHR). Available at: </w:t>
      </w:r>
      <w:hyperlink r:id="rId8" w:history="1">
        <w:r w:rsidRPr="00B178D8">
          <w:rPr>
            <w:rFonts w:ascii="Arial" w:eastAsia="Times New Roman" w:hAnsi="Arial" w:cs="Arial"/>
            <w:color w:val="1155CC"/>
            <w:sz w:val="24"/>
            <w:szCs w:val="24"/>
            <w:u w:val="single"/>
            <w:lang w:eastAsia="en-GB"/>
          </w:rPr>
          <w:t>https://www.ucc.ie/en/media/academic/law/ccjhr/publicationsseptember2018/CCJHRCCTVasaCrimePreventionStrategyDApplebe2009.pdf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0B1B3FA" w14:textId="3085E94A" w:rsidR="00B178D8" w:rsidRPr="00B178D8" w:rsidRDefault="00B178D8" w:rsidP="00B178D8">
      <w:pPr>
        <w:numPr>
          <w:ilvl w:val="0"/>
          <w:numId w:val="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Becker, H. (1963). </w:t>
      </w:r>
      <w:r w:rsidRPr="00B178D8">
        <w:rPr>
          <w:rFonts w:ascii="Arial" w:eastAsia="Times New Roman" w:hAnsi="Arial" w:cs="Arial"/>
          <w:i/>
          <w:iCs/>
          <w:color w:val="000000"/>
          <w:sz w:val="24"/>
          <w:szCs w:val="24"/>
          <w:lang w:eastAsia="en-GB"/>
        </w:rPr>
        <w:t>Outsiders: Studies in the Sociology of Deviance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New York: The Free Press. Available at: </w:t>
      </w:r>
      <w:hyperlink r:id="rId9" w:history="1">
        <w:r w:rsidRPr="00B178D8">
          <w:rPr>
            <w:rFonts w:ascii="Arial" w:eastAsia="Times New Roman" w:hAnsi="Arial" w:cs="Arial"/>
            <w:color w:val="1155CC"/>
            <w:sz w:val="24"/>
            <w:szCs w:val="24"/>
            <w:u w:val="single"/>
            <w:lang w:eastAsia="en-GB"/>
          </w:rPr>
          <w:t>https://monoskop.org/images/2/2b/Becker_Howard_Outsiders_Studies_In_The_Sociogy_Of_Deviance_1963.pdf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0CE1F7A" w14:textId="6314F352" w:rsidR="00B178D8" w:rsidRPr="00B178D8" w:rsidRDefault="00B178D8" w:rsidP="00B178D8">
      <w:pPr>
        <w:numPr>
          <w:ilvl w:val="0"/>
          <w:numId w:val="4"/>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Bernard, T. (1983). </w:t>
      </w:r>
      <w:r w:rsidRPr="00B178D8">
        <w:rPr>
          <w:rFonts w:ascii="Arial" w:eastAsia="Times New Roman" w:hAnsi="Arial" w:cs="Arial"/>
          <w:i/>
          <w:iCs/>
          <w:color w:val="000000"/>
          <w:sz w:val="24"/>
          <w:szCs w:val="24"/>
          <w:lang w:eastAsia="en-GB"/>
        </w:rPr>
        <w:t>The Consensus-Conflict Debate</w:t>
      </w:r>
      <w:r w:rsidRPr="00B178D8">
        <w:rPr>
          <w:rFonts w:ascii="Arial" w:eastAsia="Times New Roman" w:hAnsi="Arial" w:cs="Arial"/>
          <w:color w:val="000000"/>
          <w:sz w:val="24"/>
          <w:szCs w:val="24"/>
          <w:lang w:eastAsia="en-GB"/>
        </w:rPr>
        <w:t>. New York: Columbia University Press.</w:t>
      </w:r>
      <w:r w:rsidRPr="00B178D8">
        <w:rPr>
          <w:rFonts w:ascii="Arial" w:eastAsia="Times New Roman" w:hAnsi="Arial" w:cs="Arial"/>
          <w:sz w:val="24"/>
          <w:szCs w:val="24"/>
          <w:lang w:eastAsia="en-GB"/>
        </w:rPr>
        <w:br/>
      </w:r>
    </w:p>
    <w:p w14:paraId="23AEED00" w14:textId="3083D0CF" w:rsidR="00B178D8" w:rsidRPr="00B178D8" w:rsidRDefault="00B178D8" w:rsidP="00B178D8">
      <w:pPr>
        <w:numPr>
          <w:ilvl w:val="0"/>
          <w:numId w:val="5"/>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Brown, A. and Charles, A. (2019). </w:t>
      </w:r>
      <w:r w:rsidRPr="00B178D8">
        <w:rPr>
          <w:rFonts w:ascii="Arial" w:eastAsia="Times New Roman" w:hAnsi="Arial" w:cs="Arial"/>
          <w:i/>
          <w:iCs/>
          <w:color w:val="000000"/>
          <w:sz w:val="24"/>
          <w:szCs w:val="24"/>
          <w:lang w:eastAsia="en-GB"/>
        </w:rPr>
        <w:t xml:space="preserve">The Minimum Age of Criminal Responsibility: The Need for </w:t>
      </w:r>
      <w:proofErr w:type="gramStart"/>
      <w:r w:rsidRPr="00B178D8">
        <w:rPr>
          <w:rFonts w:ascii="Arial" w:eastAsia="Times New Roman" w:hAnsi="Arial" w:cs="Arial"/>
          <w:i/>
          <w:iCs/>
          <w:color w:val="000000"/>
          <w:sz w:val="24"/>
          <w:szCs w:val="24"/>
          <w:lang w:eastAsia="en-GB"/>
        </w:rPr>
        <w:t>an</w:t>
      </w:r>
      <w:proofErr w:type="gramEnd"/>
      <w:r w:rsidRPr="00B178D8">
        <w:rPr>
          <w:rFonts w:ascii="Arial" w:eastAsia="Times New Roman" w:hAnsi="Arial" w:cs="Arial"/>
          <w:i/>
          <w:iCs/>
          <w:color w:val="000000"/>
          <w:sz w:val="24"/>
          <w:szCs w:val="24"/>
          <w:lang w:eastAsia="en-GB"/>
        </w:rPr>
        <w:t xml:space="preserve"> Holistic Approach. </w:t>
      </w:r>
      <w:r w:rsidRPr="00B178D8">
        <w:rPr>
          <w:rFonts w:ascii="Arial" w:eastAsia="Times New Roman" w:hAnsi="Arial" w:cs="Arial"/>
          <w:color w:val="000000"/>
          <w:sz w:val="24"/>
          <w:szCs w:val="24"/>
          <w:lang w:eastAsia="en-GB"/>
        </w:rPr>
        <w:t xml:space="preserve">Youth Justice, [online] 21(3). Available at: </w:t>
      </w:r>
      <w:hyperlink r:id="rId10" w:history="1">
        <w:r w:rsidRPr="00B178D8">
          <w:rPr>
            <w:rFonts w:ascii="Arial" w:eastAsia="Times New Roman" w:hAnsi="Arial" w:cs="Arial"/>
            <w:color w:val="1155CC"/>
            <w:sz w:val="24"/>
            <w:szCs w:val="24"/>
            <w:u w:val="single"/>
            <w:lang w:eastAsia="en-GB"/>
          </w:rPr>
          <w:t>https://cronfa.swan.ac.uk/Record/cronfa52705/Download/52705__16090__83bcd69ba5a246c8b80ebe26aa8bdf34.pdf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08C6DFA9" w14:textId="77777777" w:rsidR="00B178D8" w:rsidRPr="00B178D8" w:rsidRDefault="00B178D8" w:rsidP="00B178D8">
      <w:pPr>
        <w:numPr>
          <w:ilvl w:val="0"/>
          <w:numId w:val="6"/>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lastRenderedPageBreak/>
        <w:t xml:space="preserve">Burgess, E., McKenzie, R. and Park, R. (1925). </w:t>
      </w:r>
      <w:r w:rsidRPr="00B178D8">
        <w:rPr>
          <w:rFonts w:ascii="Arial" w:eastAsia="Times New Roman" w:hAnsi="Arial" w:cs="Arial"/>
          <w:i/>
          <w:iCs/>
          <w:color w:val="000000"/>
          <w:sz w:val="24"/>
          <w:szCs w:val="24"/>
          <w:lang w:eastAsia="en-GB"/>
        </w:rPr>
        <w:t xml:space="preserve">The </w:t>
      </w:r>
      <w:proofErr w:type="gramStart"/>
      <w:r w:rsidRPr="00B178D8">
        <w:rPr>
          <w:rFonts w:ascii="Arial" w:eastAsia="Times New Roman" w:hAnsi="Arial" w:cs="Arial"/>
          <w:i/>
          <w:iCs/>
          <w:color w:val="000000"/>
          <w:sz w:val="24"/>
          <w:szCs w:val="24"/>
          <w:lang w:eastAsia="en-GB"/>
        </w:rPr>
        <w:t>City</w:t>
      </w:r>
      <w:proofErr w:type="gramEnd"/>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Chicago: University of Chicago Press. Available at: </w:t>
      </w:r>
      <w:hyperlink r:id="rId11" w:history="1">
        <w:r w:rsidRPr="00B178D8">
          <w:rPr>
            <w:rFonts w:ascii="Arial" w:eastAsia="Times New Roman" w:hAnsi="Arial" w:cs="Arial"/>
            <w:color w:val="1155CC"/>
            <w:sz w:val="24"/>
            <w:szCs w:val="24"/>
            <w:u w:val="single"/>
            <w:lang w:eastAsia="en-GB"/>
          </w:rPr>
          <w:t>https://shora.tabriz.ir/Uploads/83/cms/user/File/657/E_Book/Urban%20Studies/park%20burgess%20the%20city.pdf</w:t>
        </w:r>
      </w:hyperlink>
      <w:r w:rsidRPr="00B178D8">
        <w:rPr>
          <w:rFonts w:ascii="Arial" w:eastAsia="Times New Roman" w:hAnsi="Arial" w:cs="Arial"/>
          <w:color w:val="000000"/>
          <w:sz w:val="24"/>
          <w:szCs w:val="24"/>
          <w:lang w:eastAsia="en-GB"/>
        </w:rPr>
        <w:t xml:space="preserve"> [Accessed 15 February 2022].</w:t>
      </w:r>
    </w:p>
    <w:p w14:paraId="507F14E2" w14:textId="4BEE57BC" w:rsidR="00B178D8" w:rsidRPr="00B178D8" w:rsidRDefault="00B178D8" w:rsidP="00B178D8">
      <w:pPr>
        <w:spacing w:after="0" w:line="480" w:lineRule="auto"/>
        <w:rPr>
          <w:rFonts w:ascii="Arial" w:eastAsia="Times New Roman" w:hAnsi="Arial" w:cs="Arial"/>
          <w:sz w:val="24"/>
          <w:szCs w:val="24"/>
          <w:lang w:eastAsia="en-GB"/>
        </w:rPr>
      </w:pPr>
    </w:p>
    <w:p w14:paraId="36510EAC" w14:textId="77777777" w:rsidR="00B178D8" w:rsidRPr="00B178D8" w:rsidRDefault="00B178D8" w:rsidP="00B178D8">
      <w:pPr>
        <w:numPr>
          <w:ilvl w:val="0"/>
          <w:numId w:val="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Burke, R. (2009). </w:t>
      </w:r>
      <w:r w:rsidRPr="00B178D8">
        <w:rPr>
          <w:rFonts w:ascii="Arial" w:eastAsia="Times New Roman" w:hAnsi="Arial" w:cs="Arial"/>
          <w:i/>
          <w:iCs/>
          <w:color w:val="000000"/>
          <w:sz w:val="24"/>
          <w:szCs w:val="24"/>
          <w:lang w:eastAsia="en-GB"/>
        </w:rPr>
        <w:t>An Introduction to Criminological Theory</w:t>
      </w:r>
      <w:r w:rsidRPr="00B178D8">
        <w:rPr>
          <w:rFonts w:ascii="Arial" w:eastAsia="Times New Roman" w:hAnsi="Arial" w:cs="Arial"/>
          <w:color w:val="000000"/>
          <w:sz w:val="24"/>
          <w:szCs w:val="24"/>
          <w:lang w:eastAsia="en-GB"/>
        </w:rPr>
        <w:t>. 3rd ed.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Devon: Willan Publishing. Available at: </w:t>
      </w:r>
      <w:hyperlink r:id="rId12" w:history="1">
        <w:r w:rsidRPr="00B178D8">
          <w:rPr>
            <w:rFonts w:ascii="Arial" w:eastAsia="Times New Roman" w:hAnsi="Arial" w:cs="Arial"/>
            <w:color w:val="1155CC"/>
            <w:sz w:val="24"/>
            <w:szCs w:val="24"/>
            <w:u w:val="single"/>
            <w:lang w:eastAsia="en-GB"/>
          </w:rPr>
          <w:t>https://mgnyunt.files.wordpress.com/2014/09/an-introduction-to-criminological-theory.pdf</w:t>
        </w:r>
      </w:hyperlink>
      <w:r w:rsidRPr="00B178D8">
        <w:rPr>
          <w:rFonts w:ascii="Arial" w:eastAsia="Times New Roman" w:hAnsi="Arial" w:cs="Arial"/>
          <w:color w:val="000000"/>
          <w:sz w:val="24"/>
          <w:szCs w:val="24"/>
          <w:lang w:eastAsia="en-GB"/>
        </w:rPr>
        <w:t xml:space="preserve"> [Accessed 15 February 2022].</w:t>
      </w:r>
    </w:p>
    <w:p w14:paraId="5EACBDE4" w14:textId="11A8AC87" w:rsidR="00B178D8" w:rsidRPr="00B178D8" w:rsidRDefault="00B178D8" w:rsidP="00B178D8">
      <w:pPr>
        <w:spacing w:after="0" w:line="480" w:lineRule="auto"/>
        <w:rPr>
          <w:rFonts w:ascii="Arial" w:eastAsia="Times New Roman" w:hAnsi="Arial" w:cs="Arial"/>
          <w:sz w:val="24"/>
          <w:szCs w:val="24"/>
          <w:lang w:eastAsia="en-GB"/>
        </w:rPr>
      </w:pPr>
    </w:p>
    <w:p w14:paraId="56BFC1FF" w14:textId="17B84C25" w:rsidR="00B178D8" w:rsidRPr="00B178D8" w:rsidRDefault="00B178D8" w:rsidP="00B178D8">
      <w:pPr>
        <w:numPr>
          <w:ilvl w:val="0"/>
          <w:numId w:val="8"/>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Burke, R. (2018). </w:t>
      </w:r>
      <w:r w:rsidRPr="00B178D8">
        <w:rPr>
          <w:rFonts w:ascii="Arial" w:eastAsia="Times New Roman" w:hAnsi="Arial" w:cs="Arial"/>
          <w:i/>
          <w:iCs/>
          <w:color w:val="000000"/>
          <w:sz w:val="24"/>
          <w:szCs w:val="24"/>
          <w:lang w:eastAsia="en-GB"/>
        </w:rPr>
        <w:t>An Introduction to Criminological Theory</w:t>
      </w:r>
      <w:r w:rsidRPr="00B178D8">
        <w:rPr>
          <w:rFonts w:ascii="Arial" w:eastAsia="Times New Roman" w:hAnsi="Arial" w:cs="Arial"/>
          <w:color w:val="000000"/>
          <w:sz w:val="24"/>
          <w:szCs w:val="24"/>
          <w:lang w:eastAsia="en-GB"/>
        </w:rPr>
        <w:t>. 5th ed.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Routledge. Available at: </w:t>
      </w:r>
      <w:hyperlink r:id="rId13" w:history="1">
        <w:r w:rsidRPr="00B178D8">
          <w:rPr>
            <w:rFonts w:ascii="Arial" w:eastAsia="Times New Roman" w:hAnsi="Arial" w:cs="Arial"/>
            <w:color w:val="1155CC"/>
            <w:sz w:val="24"/>
            <w:szCs w:val="24"/>
            <w:u w:val="single"/>
            <w:lang w:eastAsia="en-GB"/>
          </w:rPr>
          <w:t>https://www.taylorfrancis.com/books/mono/10.4324/9781315204871/introduction-criminological-theory-roger-hopkins-burke</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20585BA" w14:textId="70E745E2" w:rsidR="00B178D8" w:rsidRPr="00B178D8" w:rsidRDefault="00B178D8" w:rsidP="00B178D8">
      <w:pPr>
        <w:numPr>
          <w:ilvl w:val="0"/>
          <w:numId w:val="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Children's Commissioner. (2019). </w:t>
      </w:r>
      <w:r w:rsidRPr="00B178D8">
        <w:rPr>
          <w:rFonts w:ascii="Arial" w:eastAsia="Times New Roman" w:hAnsi="Arial" w:cs="Arial"/>
          <w:i/>
          <w:iCs/>
          <w:color w:val="000000"/>
          <w:sz w:val="24"/>
          <w:szCs w:val="24"/>
          <w:lang w:eastAsia="en-GB"/>
        </w:rPr>
        <w:t>Keeping Kids Safe - Improving Safeguarding Responses to Gang Violence and Criminal Exploitation</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Children's Commissioner. Available at: </w:t>
      </w:r>
      <w:hyperlink r:id="rId14" w:history="1">
        <w:r w:rsidRPr="00B178D8">
          <w:rPr>
            <w:rFonts w:ascii="Arial" w:eastAsia="Times New Roman" w:hAnsi="Arial" w:cs="Arial"/>
            <w:color w:val="1155CC"/>
            <w:sz w:val="24"/>
            <w:szCs w:val="24"/>
            <w:u w:val="single"/>
            <w:lang w:eastAsia="en-GB"/>
          </w:rPr>
          <w:t>https://www.childrenscommissioner.gov.uk/wp-content/uploads/2019/02/CCO-Gangs.pdf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8E81965" w14:textId="77777777" w:rsidR="00B178D8" w:rsidRPr="00B178D8" w:rsidRDefault="00B178D8" w:rsidP="00B178D8">
      <w:pPr>
        <w:numPr>
          <w:ilvl w:val="0"/>
          <w:numId w:val="10"/>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Clarke, R. and Cornish, D. (1986). </w:t>
      </w:r>
      <w:r w:rsidRPr="00B178D8">
        <w:rPr>
          <w:rFonts w:ascii="Arial" w:eastAsia="Times New Roman" w:hAnsi="Arial" w:cs="Arial"/>
          <w:i/>
          <w:iCs/>
          <w:color w:val="000000"/>
          <w:sz w:val="24"/>
          <w:szCs w:val="24"/>
          <w:lang w:eastAsia="en-GB"/>
        </w:rPr>
        <w:t>The Reasoning Criminal: Rational Choice Perspectives on Offending</w:t>
      </w:r>
      <w:r w:rsidRPr="00B178D8">
        <w:rPr>
          <w:rFonts w:ascii="Arial" w:eastAsia="Times New Roman" w:hAnsi="Arial" w:cs="Arial"/>
          <w:color w:val="000000"/>
          <w:sz w:val="24"/>
          <w:szCs w:val="24"/>
          <w:lang w:eastAsia="en-GB"/>
        </w:rPr>
        <w:t>. New York: Springer-Verlag.</w:t>
      </w:r>
    </w:p>
    <w:p w14:paraId="2B2315F4" w14:textId="7370E0EA" w:rsidR="00B178D8" w:rsidRPr="00B178D8" w:rsidRDefault="00B178D8" w:rsidP="00B178D8">
      <w:pPr>
        <w:spacing w:after="0" w:line="480" w:lineRule="auto"/>
        <w:rPr>
          <w:rFonts w:ascii="Arial" w:eastAsia="Times New Roman" w:hAnsi="Arial" w:cs="Arial"/>
          <w:sz w:val="24"/>
          <w:szCs w:val="24"/>
          <w:lang w:eastAsia="en-GB"/>
        </w:rPr>
      </w:pPr>
    </w:p>
    <w:p w14:paraId="3F012034" w14:textId="2F46C37C" w:rsidR="00B178D8" w:rsidRPr="00B178D8" w:rsidRDefault="00B178D8" w:rsidP="00B178D8">
      <w:pPr>
        <w:numPr>
          <w:ilvl w:val="0"/>
          <w:numId w:val="1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lastRenderedPageBreak/>
        <w:t xml:space="preserve">Cohen, L. and Felson, M. (1979). </w:t>
      </w:r>
      <w:r w:rsidRPr="00B178D8">
        <w:rPr>
          <w:rFonts w:ascii="Arial" w:eastAsia="Times New Roman" w:hAnsi="Arial" w:cs="Arial"/>
          <w:i/>
          <w:iCs/>
          <w:color w:val="000000"/>
          <w:sz w:val="24"/>
          <w:szCs w:val="24"/>
          <w:lang w:eastAsia="en-GB"/>
        </w:rPr>
        <w:t>Social Change and Crime Rate Trends: A Routine Activity Approach</w:t>
      </w:r>
      <w:r w:rsidRPr="00B178D8">
        <w:rPr>
          <w:rFonts w:ascii="Arial" w:eastAsia="Times New Roman" w:hAnsi="Arial" w:cs="Arial"/>
          <w:color w:val="000000"/>
          <w:sz w:val="24"/>
          <w:szCs w:val="24"/>
          <w:lang w:eastAsia="en-GB"/>
        </w:rPr>
        <w:t xml:space="preserve">. American Sociological Review, [online] 44(4). Available at: </w:t>
      </w:r>
      <w:hyperlink r:id="rId15" w:history="1">
        <w:r w:rsidRPr="00B178D8">
          <w:rPr>
            <w:rFonts w:ascii="Arial" w:eastAsia="Times New Roman" w:hAnsi="Arial" w:cs="Arial"/>
            <w:color w:val="1155CC"/>
            <w:sz w:val="24"/>
            <w:szCs w:val="24"/>
            <w:u w:val="single"/>
            <w:lang w:eastAsia="en-GB"/>
          </w:rPr>
          <w:t>http://faculty.washington.edu/matsueda/courses/587/readings/Cohen%20and%20Felson%201979%20Routine%20Activities.pdf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014F980" w14:textId="4CDE3134" w:rsidR="00B178D8" w:rsidRPr="00B178D8" w:rsidRDefault="00B178D8" w:rsidP="00B178D8">
      <w:pPr>
        <w:numPr>
          <w:ilvl w:val="0"/>
          <w:numId w:val="12"/>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Costello, B.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J. (2020). </w:t>
      </w:r>
      <w:r w:rsidRPr="00B178D8">
        <w:rPr>
          <w:rFonts w:ascii="Arial" w:eastAsia="Times New Roman" w:hAnsi="Arial" w:cs="Arial"/>
          <w:i/>
          <w:iCs/>
          <w:color w:val="000000"/>
          <w:sz w:val="24"/>
          <w:szCs w:val="24"/>
          <w:lang w:eastAsia="en-GB"/>
        </w:rPr>
        <w:t>Social Control Theory: The Legacy of Travis Hirschi's Causes of Delinquency</w:t>
      </w:r>
      <w:r w:rsidRPr="00B178D8">
        <w:rPr>
          <w:rFonts w:ascii="Arial" w:eastAsia="Times New Roman" w:hAnsi="Arial" w:cs="Arial"/>
          <w:color w:val="000000"/>
          <w:sz w:val="24"/>
          <w:szCs w:val="24"/>
          <w:lang w:eastAsia="en-GB"/>
        </w:rPr>
        <w:t xml:space="preserve">. Annual Review of Criminology, [online] 3, pp.21-41. Available at: </w:t>
      </w:r>
      <w:hyperlink r:id="rId16" w:history="1">
        <w:r w:rsidRPr="00B178D8">
          <w:rPr>
            <w:rFonts w:ascii="Arial" w:eastAsia="Times New Roman" w:hAnsi="Arial" w:cs="Arial"/>
            <w:color w:val="1155CC"/>
            <w:sz w:val="24"/>
            <w:szCs w:val="24"/>
            <w:u w:val="single"/>
            <w:lang w:eastAsia="en-GB"/>
          </w:rPr>
          <w:t>https://prohic.nl/wp-content/uploads/2021/01/150-14jan2021-SocialControlTheoryOverview.pdf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9EE87A4" w14:textId="531319F2" w:rsidR="00B178D8" w:rsidRPr="00B178D8" w:rsidRDefault="00B178D8" w:rsidP="00B178D8">
      <w:pPr>
        <w:numPr>
          <w:ilvl w:val="0"/>
          <w:numId w:val="1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Davies, M. and Farrington, D. (2018). </w:t>
      </w:r>
      <w:r w:rsidRPr="00B178D8">
        <w:rPr>
          <w:rFonts w:ascii="Arial" w:eastAsia="Times New Roman" w:hAnsi="Arial" w:cs="Arial"/>
          <w:i/>
          <w:iCs/>
          <w:color w:val="000000"/>
          <w:sz w:val="24"/>
          <w:szCs w:val="24"/>
          <w:lang w:eastAsia="en-GB"/>
        </w:rPr>
        <w:t>An Examination of the Effects on Crime of Switching Off Street Lighting</w:t>
      </w:r>
      <w:r w:rsidRPr="00B178D8">
        <w:rPr>
          <w:rFonts w:ascii="Arial" w:eastAsia="Times New Roman" w:hAnsi="Arial" w:cs="Arial"/>
          <w:color w:val="000000"/>
          <w:sz w:val="24"/>
          <w:szCs w:val="24"/>
          <w:lang w:eastAsia="en-GB"/>
        </w:rPr>
        <w:t xml:space="preserve">. Criminology &amp; Criminal Justice, [online] 20(3), pp.339-357. Available at: </w:t>
      </w:r>
      <w:hyperlink r:id="rId17" w:history="1">
        <w:r w:rsidRPr="00B178D8">
          <w:rPr>
            <w:rFonts w:ascii="Arial" w:eastAsia="Times New Roman" w:hAnsi="Arial" w:cs="Arial"/>
            <w:color w:val="1155CC"/>
            <w:sz w:val="24"/>
            <w:szCs w:val="24"/>
            <w:u w:val="single"/>
            <w:lang w:eastAsia="en-GB"/>
          </w:rPr>
          <w:t>https://journals.sagepub.com/doi/full/10.1177/1748895818818861</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53948107" w14:textId="386EA7A7" w:rsidR="00B178D8" w:rsidRPr="00B178D8" w:rsidRDefault="00B178D8" w:rsidP="00B178D8">
      <w:pPr>
        <w:numPr>
          <w:ilvl w:val="0"/>
          <w:numId w:val="14"/>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Dewar, C. (2021). </w:t>
      </w:r>
      <w:r w:rsidRPr="00B178D8">
        <w:rPr>
          <w:rFonts w:ascii="Arial" w:eastAsia="Times New Roman" w:hAnsi="Arial" w:cs="Arial"/>
          <w:i/>
          <w:iCs/>
          <w:color w:val="000000"/>
          <w:sz w:val="24"/>
          <w:szCs w:val="24"/>
          <w:lang w:eastAsia="en-GB"/>
        </w:rPr>
        <w:t>Edinburgh Women Launch Volunteer Service to Get People Home Safe in Wake of Sarah Everard’s Death</w:t>
      </w:r>
      <w:r w:rsidRPr="00B178D8">
        <w:rPr>
          <w:rFonts w:ascii="Arial" w:eastAsia="Times New Roman" w:hAnsi="Arial" w:cs="Arial"/>
          <w:color w:val="000000"/>
          <w:sz w:val="24"/>
          <w:szCs w:val="24"/>
          <w:lang w:eastAsia="en-GB"/>
        </w:rPr>
        <w:t xml:space="preserve">. [online] Available at: </w:t>
      </w:r>
      <w:hyperlink r:id="rId18" w:history="1">
        <w:r w:rsidRPr="00B178D8">
          <w:rPr>
            <w:rFonts w:ascii="Arial" w:eastAsia="Times New Roman" w:hAnsi="Arial" w:cs="Arial"/>
            <w:color w:val="1155CC"/>
            <w:sz w:val="24"/>
            <w:szCs w:val="24"/>
            <w:u w:val="single"/>
            <w:lang w:eastAsia="en-GB"/>
          </w:rPr>
          <w:t>https://www.edinburghnews.scotsman.com/news/people/edinburgh-women-launch-volunteer-service-to-get-people-home-safe-in-wake-of-sarah-everards-death-3208073</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013F16FC" w14:textId="2A646976" w:rsidR="00B178D8" w:rsidRPr="00B178D8" w:rsidRDefault="00B178D8" w:rsidP="00B178D8">
      <w:pPr>
        <w:numPr>
          <w:ilvl w:val="0"/>
          <w:numId w:val="15"/>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lastRenderedPageBreak/>
        <w:t>Eassey</w:t>
      </w:r>
      <w:proofErr w:type="spellEnd"/>
      <w:r w:rsidRPr="00B178D8">
        <w:rPr>
          <w:rFonts w:ascii="Arial" w:eastAsia="Times New Roman" w:hAnsi="Arial" w:cs="Arial"/>
          <w:color w:val="000000"/>
          <w:sz w:val="24"/>
          <w:szCs w:val="24"/>
          <w:lang w:eastAsia="en-GB"/>
        </w:rPr>
        <w:t xml:space="preserve">, J. and </w:t>
      </w:r>
      <w:proofErr w:type="spellStart"/>
      <w:r w:rsidRPr="00B178D8">
        <w:rPr>
          <w:rFonts w:ascii="Arial" w:eastAsia="Times New Roman" w:hAnsi="Arial" w:cs="Arial"/>
          <w:color w:val="000000"/>
          <w:sz w:val="24"/>
          <w:szCs w:val="24"/>
          <w:lang w:eastAsia="en-GB"/>
        </w:rPr>
        <w:t>Krohn</w:t>
      </w:r>
      <w:proofErr w:type="spellEnd"/>
      <w:r w:rsidRPr="00B178D8">
        <w:rPr>
          <w:rFonts w:ascii="Arial" w:eastAsia="Times New Roman" w:hAnsi="Arial" w:cs="Arial"/>
          <w:color w:val="000000"/>
          <w:sz w:val="24"/>
          <w:szCs w:val="24"/>
          <w:lang w:eastAsia="en-GB"/>
        </w:rPr>
        <w:t xml:space="preserve">, M. (2014). </w:t>
      </w:r>
      <w:r w:rsidRPr="00B178D8">
        <w:rPr>
          <w:rFonts w:ascii="Arial" w:eastAsia="Times New Roman" w:hAnsi="Arial" w:cs="Arial"/>
          <w:i/>
          <w:iCs/>
          <w:color w:val="000000"/>
          <w:sz w:val="24"/>
          <w:szCs w:val="24"/>
          <w:lang w:eastAsia="en-GB"/>
        </w:rPr>
        <w:t>Integrated Theories of Crime</w:t>
      </w:r>
      <w:r w:rsidRPr="00B178D8">
        <w:rPr>
          <w:rFonts w:ascii="Arial" w:eastAsia="Times New Roman" w:hAnsi="Arial" w:cs="Arial"/>
          <w:color w:val="000000"/>
          <w:sz w:val="24"/>
          <w:szCs w:val="24"/>
          <w:lang w:eastAsia="en-GB"/>
        </w:rPr>
        <w:t xml:space="preserve">. The Encyclopaedia of Theoretical Criminology, [online] pp.1-6. Available at: </w:t>
      </w:r>
      <w:hyperlink r:id="rId19" w:history="1">
        <w:r w:rsidRPr="00B178D8">
          <w:rPr>
            <w:rFonts w:ascii="Arial" w:eastAsia="Times New Roman" w:hAnsi="Arial" w:cs="Arial"/>
            <w:color w:val="1155CC"/>
            <w:sz w:val="24"/>
            <w:szCs w:val="24"/>
            <w:u w:val="single"/>
            <w:lang w:eastAsia="en-GB"/>
          </w:rPr>
          <w:t>https://onlinelibrary.wiley.com/doi/full/10.1002/9781118517390.wbetc028</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7154D589" w14:textId="206E8075" w:rsidR="00B178D8" w:rsidRPr="00B178D8" w:rsidRDefault="00B178D8" w:rsidP="00B178D8">
      <w:pPr>
        <w:numPr>
          <w:ilvl w:val="0"/>
          <w:numId w:val="16"/>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Fitzgerald, C. (2011). </w:t>
      </w:r>
      <w:r w:rsidRPr="00B178D8">
        <w:rPr>
          <w:rFonts w:ascii="Arial" w:eastAsia="Times New Roman" w:hAnsi="Arial" w:cs="Arial"/>
          <w:i/>
          <w:iCs/>
          <w:color w:val="000000"/>
          <w:sz w:val="24"/>
          <w:szCs w:val="24"/>
          <w:lang w:eastAsia="en-GB"/>
        </w:rPr>
        <w:t>Historical Theories of Crime and Delinquency. Journal of Human Behaviour in the Social Environment</w:t>
      </w:r>
      <w:r w:rsidRPr="00B178D8">
        <w:rPr>
          <w:rFonts w:ascii="Arial" w:eastAsia="Times New Roman" w:hAnsi="Arial" w:cs="Arial"/>
          <w:color w:val="000000"/>
          <w:sz w:val="24"/>
          <w:szCs w:val="24"/>
          <w:lang w:eastAsia="en-GB"/>
        </w:rPr>
        <w:t xml:space="preserve">, [online] 21(3). Available at: </w:t>
      </w:r>
      <w:hyperlink r:id="rId20" w:history="1">
        <w:r w:rsidRPr="00B178D8">
          <w:rPr>
            <w:rFonts w:ascii="Arial" w:eastAsia="Times New Roman" w:hAnsi="Arial" w:cs="Arial"/>
            <w:color w:val="1155CC"/>
            <w:sz w:val="24"/>
            <w:szCs w:val="24"/>
            <w:u w:val="single"/>
            <w:lang w:eastAsia="en-GB"/>
          </w:rPr>
          <w:t>https://is.muni.cz/el/1423/jaro2015/SPR209/um/Fitzgeral_2011_Historical_Theories_of_Crime.pdf?fbclid=IwAR2B0m2XCsIiOVb9lmjbrA1GoUHbrjz_ErGhrgwBp5GxuCDbg-qL62PzrrI</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7829AB7E" w14:textId="1331F639" w:rsidR="00B178D8" w:rsidRPr="00B178D8" w:rsidRDefault="00B178D8" w:rsidP="00B178D8">
      <w:pPr>
        <w:numPr>
          <w:ilvl w:val="0"/>
          <w:numId w:val="1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Gottfredson, M. and Hirschi, T. (2019). </w:t>
      </w:r>
      <w:r w:rsidRPr="00B178D8">
        <w:rPr>
          <w:rFonts w:ascii="Arial" w:eastAsia="Times New Roman" w:hAnsi="Arial" w:cs="Arial"/>
          <w:i/>
          <w:iCs/>
          <w:color w:val="000000"/>
          <w:sz w:val="24"/>
          <w:szCs w:val="24"/>
          <w:lang w:eastAsia="en-GB"/>
        </w:rPr>
        <w:t>Modern Control Theory and the Limits of Criminal Justice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Oxford: Oxford University Press. Available at: </w:t>
      </w:r>
      <w:hyperlink r:id="rId21" w:history="1">
        <w:r w:rsidRPr="00B178D8">
          <w:rPr>
            <w:rFonts w:ascii="Arial" w:eastAsia="Times New Roman" w:hAnsi="Arial" w:cs="Arial"/>
            <w:color w:val="1155CC"/>
            <w:sz w:val="24"/>
            <w:szCs w:val="24"/>
            <w:u w:val="single"/>
            <w:lang w:eastAsia="en-GB"/>
          </w:rPr>
          <w:t>https://oxford.universitypressscholarship.com/view/10.1093/oso/9780190069797.001.0001/oso-9780190069797</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38A9853" w14:textId="4F4AB074" w:rsidR="00B178D8" w:rsidRPr="00B178D8" w:rsidRDefault="00B178D8" w:rsidP="00B178D8">
      <w:pPr>
        <w:numPr>
          <w:ilvl w:val="0"/>
          <w:numId w:val="18"/>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Grudtsina</w:t>
      </w:r>
      <w:proofErr w:type="spellEnd"/>
      <w:r w:rsidRPr="00B178D8">
        <w:rPr>
          <w:rFonts w:ascii="Arial" w:eastAsia="Times New Roman" w:hAnsi="Arial" w:cs="Arial"/>
          <w:color w:val="000000"/>
          <w:sz w:val="24"/>
          <w:szCs w:val="24"/>
          <w:lang w:eastAsia="en-GB"/>
        </w:rPr>
        <w:t xml:space="preserve">, L., Ivanov, A. and </w:t>
      </w:r>
      <w:proofErr w:type="spellStart"/>
      <w:r w:rsidRPr="00B178D8">
        <w:rPr>
          <w:rFonts w:ascii="Arial" w:eastAsia="Times New Roman" w:hAnsi="Arial" w:cs="Arial"/>
          <w:color w:val="000000"/>
          <w:sz w:val="24"/>
          <w:szCs w:val="24"/>
          <w:lang w:eastAsia="en-GB"/>
        </w:rPr>
        <w:t>Shagieva</w:t>
      </w:r>
      <w:proofErr w:type="spellEnd"/>
      <w:r w:rsidRPr="00B178D8">
        <w:rPr>
          <w:rFonts w:ascii="Arial" w:eastAsia="Times New Roman" w:hAnsi="Arial" w:cs="Arial"/>
          <w:color w:val="000000"/>
          <w:sz w:val="24"/>
          <w:szCs w:val="24"/>
          <w:lang w:eastAsia="en-GB"/>
        </w:rPr>
        <w:t xml:space="preserve">, R. (2017). </w:t>
      </w:r>
      <w:r w:rsidRPr="00B178D8">
        <w:rPr>
          <w:rFonts w:ascii="Arial" w:eastAsia="Times New Roman" w:hAnsi="Arial" w:cs="Arial"/>
          <w:i/>
          <w:iCs/>
          <w:color w:val="000000"/>
          <w:sz w:val="24"/>
          <w:szCs w:val="24"/>
          <w:lang w:eastAsia="en-GB"/>
        </w:rPr>
        <w:t>The Main Issue of Criminology: View Through the Prism of History</w:t>
      </w:r>
      <w:r w:rsidRPr="00B178D8">
        <w:rPr>
          <w:rFonts w:ascii="Arial" w:eastAsia="Times New Roman" w:hAnsi="Arial" w:cs="Arial"/>
          <w:color w:val="000000"/>
          <w:sz w:val="24"/>
          <w:szCs w:val="24"/>
          <w:lang w:eastAsia="en-GB"/>
        </w:rPr>
        <w:t xml:space="preserve">. International Journal of Environmental &amp; Science Education, [online] 12(1). Available at: </w:t>
      </w:r>
      <w:hyperlink r:id="rId22" w:history="1">
        <w:r w:rsidRPr="00B178D8">
          <w:rPr>
            <w:rFonts w:ascii="Arial" w:eastAsia="Times New Roman" w:hAnsi="Arial" w:cs="Arial"/>
            <w:color w:val="1155CC"/>
            <w:sz w:val="24"/>
            <w:szCs w:val="24"/>
            <w:u w:val="single"/>
            <w:lang w:eastAsia="en-GB"/>
          </w:rPr>
          <w:t>http://www.ijese.net/makale_indir/IJESE_1711_article_585aac2e00f77.pdf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197D99B4" w14:textId="09531458" w:rsidR="00B178D8" w:rsidRPr="00B178D8" w:rsidRDefault="00B178D8" w:rsidP="00B178D8">
      <w:pPr>
        <w:numPr>
          <w:ilvl w:val="0"/>
          <w:numId w:val="1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Hall, S. (2012). </w:t>
      </w:r>
      <w:r w:rsidRPr="00B178D8">
        <w:rPr>
          <w:rFonts w:ascii="Arial" w:eastAsia="Times New Roman" w:hAnsi="Arial" w:cs="Arial"/>
          <w:i/>
          <w:iCs/>
          <w:color w:val="000000"/>
          <w:sz w:val="24"/>
          <w:szCs w:val="24"/>
          <w:lang w:eastAsia="en-GB"/>
        </w:rPr>
        <w:t>Theorizing Crime &amp; Deviance: A New Perspective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Sage Publications. Available at: </w:t>
      </w:r>
      <w:hyperlink r:id="rId23" w:history="1">
        <w:r w:rsidRPr="00B178D8">
          <w:rPr>
            <w:rFonts w:ascii="Arial" w:eastAsia="Times New Roman" w:hAnsi="Arial" w:cs="Arial"/>
            <w:color w:val="1155CC"/>
            <w:sz w:val="24"/>
            <w:szCs w:val="24"/>
            <w:u w:val="single"/>
            <w:lang w:eastAsia="en-GB"/>
          </w:rPr>
          <w:t>https://sk-sagepub-com.ezproxy.uwtsd.ac.uk/books/theorizing-crime-and-deviance</w:t>
        </w:r>
      </w:hyperlink>
      <w:r w:rsidRPr="00B178D8">
        <w:rPr>
          <w:rFonts w:ascii="Arial" w:eastAsia="Times New Roman" w:hAnsi="Arial" w:cs="Arial"/>
          <w:color w:val="000000"/>
          <w:sz w:val="24"/>
          <w:szCs w:val="24"/>
          <w:lang w:eastAsia="en-GB"/>
        </w:rPr>
        <w:t xml:space="preserve"> [Accessed 15 </w:t>
      </w:r>
      <w:r w:rsidRPr="00B178D8">
        <w:rPr>
          <w:rFonts w:ascii="Arial" w:eastAsia="Times New Roman" w:hAnsi="Arial" w:cs="Arial"/>
          <w:color w:val="000000"/>
          <w:sz w:val="24"/>
          <w:szCs w:val="24"/>
          <w:lang w:eastAsia="en-GB"/>
        </w:rPr>
        <w:lastRenderedPageBreak/>
        <w:t>February 2022].</w:t>
      </w:r>
      <w:r w:rsidRPr="00B178D8">
        <w:rPr>
          <w:rFonts w:ascii="Arial" w:eastAsia="Times New Roman" w:hAnsi="Arial" w:cs="Arial"/>
          <w:sz w:val="24"/>
          <w:szCs w:val="24"/>
          <w:lang w:eastAsia="en-GB"/>
        </w:rPr>
        <w:br/>
      </w:r>
    </w:p>
    <w:p w14:paraId="40FC6FF5" w14:textId="2E3F4908" w:rsidR="00B178D8" w:rsidRPr="00B178D8" w:rsidRDefault="00B178D8" w:rsidP="00B178D8">
      <w:pPr>
        <w:numPr>
          <w:ilvl w:val="0"/>
          <w:numId w:val="20"/>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Herfeld</w:t>
      </w:r>
      <w:proofErr w:type="spellEnd"/>
      <w:r w:rsidRPr="00B178D8">
        <w:rPr>
          <w:rFonts w:ascii="Arial" w:eastAsia="Times New Roman" w:hAnsi="Arial" w:cs="Arial"/>
          <w:color w:val="000000"/>
          <w:sz w:val="24"/>
          <w:szCs w:val="24"/>
          <w:lang w:eastAsia="en-GB"/>
        </w:rPr>
        <w:t xml:space="preserve">, C. (2021). </w:t>
      </w:r>
      <w:r w:rsidRPr="00B178D8">
        <w:rPr>
          <w:rFonts w:ascii="Arial" w:eastAsia="Times New Roman" w:hAnsi="Arial" w:cs="Arial"/>
          <w:i/>
          <w:iCs/>
          <w:color w:val="000000"/>
          <w:sz w:val="24"/>
          <w:szCs w:val="24"/>
          <w:lang w:eastAsia="en-GB"/>
        </w:rPr>
        <w:t>Revisiting the Criticisms of Rational Choice Theories</w:t>
      </w:r>
      <w:r w:rsidRPr="00B178D8">
        <w:rPr>
          <w:rFonts w:ascii="Arial" w:eastAsia="Times New Roman" w:hAnsi="Arial" w:cs="Arial"/>
          <w:color w:val="000000"/>
          <w:sz w:val="24"/>
          <w:szCs w:val="24"/>
          <w:lang w:eastAsia="en-GB"/>
        </w:rPr>
        <w:t xml:space="preserve">. Philosophy Compass, [online] 17(1). Available at: </w:t>
      </w:r>
      <w:hyperlink r:id="rId24" w:history="1">
        <w:r w:rsidRPr="00B178D8">
          <w:rPr>
            <w:rFonts w:ascii="Arial" w:eastAsia="Times New Roman" w:hAnsi="Arial" w:cs="Arial"/>
            <w:color w:val="1155CC"/>
            <w:sz w:val="24"/>
            <w:szCs w:val="24"/>
            <w:u w:val="single"/>
            <w:lang w:eastAsia="en-GB"/>
          </w:rPr>
          <w:t>https://compass.onlinelibrary.wiley.com/doi/full/10.1111/phc3.12774</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0DD43137" w14:textId="1DF53FA9" w:rsidR="00B178D8" w:rsidRPr="00B178D8" w:rsidRDefault="00B178D8" w:rsidP="00B178D8">
      <w:pPr>
        <w:numPr>
          <w:ilvl w:val="0"/>
          <w:numId w:val="2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Jaynes, C., Paternoster, R. and Wilson, T. (2017). </w:t>
      </w:r>
      <w:r w:rsidRPr="00B178D8">
        <w:rPr>
          <w:rFonts w:ascii="Arial" w:eastAsia="Times New Roman" w:hAnsi="Arial" w:cs="Arial"/>
          <w:i/>
          <w:iCs/>
          <w:color w:val="000000"/>
          <w:sz w:val="24"/>
          <w:szCs w:val="24"/>
          <w:lang w:eastAsia="en-GB"/>
        </w:rPr>
        <w:t>Rational Choice Theory and Interest in the "Fortune of Others."</w:t>
      </w:r>
      <w:r w:rsidRPr="00B178D8">
        <w:rPr>
          <w:rFonts w:ascii="Arial" w:eastAsia="Times New Roman" w:hAnsi="Arial" w:cs="Arial"/>
          <w:color w:val="000000"/>
          <w:sz w:val="24"/>
          <w:szCs w:val="24"/>
          <w:lang w:eastAsia="en-GB"/>
        </w:rPr>
        <w:t xml:space="preserve">. Journal of Research in Crime and Delinquency, [online] 54(6). Available at: </w:t>
      </w:r>
      <w:hyperlink r:id="rId25" w:history="1">
        <w:r w:rsidRPr="00B178D8">
          <w:rPr>
            <w:rFonts w:ascii="Arial" w:eastAsia="Times New Roman" w:hAnsi="Arial" w:cs="Arial"/>
            <w:color w:val="1155CC"/>
            <w:sz w:val="24"/>
            <w:szCs w:val="24"/>
            <w:u w:val="single"/>
            <w:lang w:eastAsia="en-GB"/>
          </w:rPr>
          <w:t>https://journals.sagepub.com/doi/full/10.1177/0022427817707240</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070BED5" w14:textId="77777777" w:rsidR="00B178D8" w:rsidRPr="00B178D8" w:rsidRDefault="00B178D8" w:rsidP="00B178D8">
      <w:pPr>
        <w:numPr>
          <w:ilvl w:val="0"/>
          <w:numId w:val="22"/>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Kempf</w:t>
      </w:r>
      <w:proofErr w:type="spellEnd"/>
      <w:r w:rsidRPr="00B178D8">
        <w:rPr>
          <w:rFonts w:ascii="Arial" w:eastAsia="Times New Roman" w:hAnsi="Arial" w:cs="Arial"/>
          <w:color w:val="000000"/>
          <w:sz w:val="24"/>
          <w:szCs w:val="24"/>
          <w:lang w:eastAsia="en-GB"/>
        </w:rPr>
        <w:t xml:space="preserve">-Leonard, K. and Morris, N. (2012). </w:t>
      </w:r>
      <w:r w:rsidRPr="00B178D8">
        <w:rPr>
          <w:rFonts w:ascii="Arial" w:eastAsia="Times New Roman" w:hAnsi="Arial" w:cs="Arial"/>
          <w:i/>
          <w:iCs/>
          <w:color w:val="000000"/>
          <w:sz w:val="24"/>
          <w:szCs w:val="24"/>
          <w:lang w:eastAsia="en-GB"/>
        </w:rPr>
        <w:t>Social Control Theory</w:t>
      </w:r>
      <w:r w:rsidRPr="00B178D8">
        <w:rPr>
          <w:rFonts w:ascii="Arial" w:eastAsia="Times New Roman" w:hAnsi="Arial" w:cs="Arial"/>
          <w:color w:val="000000"/>
          <w:sz w:val="24"/>
          <w:szCs w:val="24"/>
          <w:lang w:eastAsia="en-GB"/>
        </w:rPr>
        <w:t xml:space="preserve">. [online] Oxford Bibliographies. Available at: </w:t>
      </w:r>
      <w:hyperlink r:id="rId26" w:history="1">
        <w:r w:rsidRPr="00B178D8">
          <w:rPr>
            <w:rFonts w:ascii="Arial" w:eastAsia="Times New Roman" w:hAnsi="Arial" w:cs="Arial"/>
            <w:color w:val="1155CC"/>
            <w:sz w:val="24"/>
            <w:szCs w:val="24"/>
            <w:u w:val="single"/>
            <w:lang w:eastAsia="en-GB"/>
          </w:rPr>
          <w:t>https://www.oxfordbibliographies.com/view/document/obo-9780195396607/obo-9780195396607-0091.xml</w:t>
        </w:r>
      </w:hyperlink>
      <w:r w:rsidRPr="00B178D8">
        <w:rPr>
          <w:rFonts w:ascii="Arial" w:eastAsia="Times New Roman" w:hAnsi="Arial" w:cs="Arial"/>
          <w:color w:val="000000"/>
          <w:sz w:val="24"/>
          <w:szCs w:val="24"/>
          <w:lang w:eastAsia="en-GB"/>
        </w:rPr>
        <w:t xml:space="preserve"> [Accessed 15 February 2022].</w:t>
      </w:r>
    </w:p>
    <w:p w14:paraId="2055BF88" w14:textId="64980405" w:rsidR="00B178D8" w:rsidRPr="00B178D8" w:rsidRDefault="00B178D8" w:rsidP="00B178D8">
      <w:pPr>
        <w:spacing w:after="0" w:line="480" w:lineRule="auto"/>
        <w:rPr>
          <w:rFonts w:ascii="Arial" w:eastAsia="Times New Roman" w:hAnsi="Arial" w:cs="Arial"/>
          <w:sz w:val="24"/>
          <w:szCs w:val="24"/>
          <w:lang w:eastAsia="en-GB"/>
        </w:rPr>
      </w:pPr>
    </w:p>
    <w:p w14:paraId="1418ECE7" w14:textId="6CD30500" w:rsidR="00B178D8" w:rsidRPr="00B178D8" w:rsidRDefault="00B178D8" w:rsidP="00B178D8">
      <w:pPr>
        <w:numPr>
          <w:ilvl w:val="0"/>
          <w:numId w:val="23"/>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D. and Sampson, R. (1997). “A Life-course Theory of Cumulative Disadvantage and the Stability of Delinquency” in: Thornberry, T. </w:t>
      </w:r>
      <w:r w:rsidRPr="00B178D8">
        <w:rPr>
          <w:rFonts w:ascii="Arial" w:eastAsia="Times New Roman" w:hAnsi="Arial" w:cs="Arial"/>
          <w:i/>
          <w:iCs/>
          <w:color w:val="000000"/>
          <w:sz w:val="24"/>
          <w:szCs w:val="24"/>
          <w:lang w:eastAsia="en-GB"/>
        </w:rPr>
        <w:t>Developmental Theories of Crime and Delinquency</w:t>
      </w:r>
      <w:r w:rsidRPr="00B178D8">
        <w:rPr>
          <w:rFonts w:ascii="Arial" w:eastAsia="Times New Roman" w:hAnsi="Arial" w:cs="Arial"/>
          <w:color w:val="000000"/>
          <w:sz w:val="24"/>
          <w:szCs w:val="24"/>
          <w:lang w:eastAsia="en-GB"/>
        </w:rPr>
        <w:t>. Advances in Criminological Theory, 7. New Brunswick, NJ: Transaction Publications.</w:t>
      </w:r>
      <w:r w:rsidRPr="00B178D8">
        <w:rPr>
          <w:rFonts w:ascii="Arial" w:eastAsia="Times New Roman" w:hAnsi="Arial" w:cs="Arial"/>
          <w:sz w:val="24"/>
          <w:szCs w:val="24"/>
          <w:lang w:eastAsia="en-GB"/>
        </w:rPr>
        <w:br/>
      </w:r>
    </w:p>
    <w:p w14:paraId="441F81DA" w14:textId="64F97CBB" w:rsidR="00B178D8" w:rsidRPr="00B178D8" w:rsidRDefault="00B178D8" w:rsidP="00B178D8">
      <w:pPr>
        <w:numPr>
          <w:ilvl w:val="0"/>
          <w:numId w:val="24"/>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lastRenderedPageBreak/>
        <w:t>Liska</w:t>
      </w:r>
      <w:proofErr w:type="spellEnd"/>
      <w:r w:rsidRPr="00B178D8">
        <w:rPr>
          <w:rFonts w:ascii="Arial" w:eastAsia="Times New Roman" w:hAnsi="Arial" w:cs="Arial"/>
          <w:color w:val="000000"/>
          <w:sz w:val="24"/>
          <w:szCs w:val="24"/>
          <w:lang w:eastAsia="en-GB"/>
        </w:rPr>
        <w:t xml:space="preserve">, A. and Warner, B. (1991). </w:t>
      </w:r>
      <w:r w:rsidRPr="00B178D8">
        <w:rPr>
          <w:rFonts w:ascii="Arial" w:eastAsia="Times New Roman" w:hAnsi="Arial" w:cs="Arial"/>
          <w:i/>
          <w:iCs/>
          <w:color w:val="000000"/>
          <w:sz w:val="24"/>
          <w:szCs w:val="24"/>
          <w:lang w:eastAsia="en-GB"/>
        </w:rPr>
        <w:t>Functions of Crime: A Paradoxical Process</w:t>
      </w:r>
      <w:r w:rsidRPr="00B178D8">
        <w:rPr>
          <w:rFonts w:ascii="Arial" w:eastAsia="Times New Roman" w:hAnsi="Arial" w:cs="Arial"/>
          <w:color w:val="000000"/>
          <w:sz w:val="24"/>
          <w:szCs w:val="24"/>
          <w:lang w:eastAsia="en-GB"/>
        </w:rPr>
        <w:t xml:space="preserve">. American Journal of Sociology, [online] 96(6). Available at: </w:t>
      </w:r>
      <w:hyperlink r:id="rId27" w:history="1">
        <w:r w:rsidRPr="00B178D8">
          <w:rPr>
            <w:rFonts w:ascii="Arial" w:eastAsia="Times New Roman" w:hAnsi="Arial" w:cs="Arial"/>
            <w:color w:val="1155CC"/>
            <w:sz w:val="24"/>
            <w:szCs w:val="24"/>
            <w:u w:val="single"/>
            <w:lang w:eastAsia="en-GB"/>
          </w:rPr>
          <w:t>https://www.jstor.org/stable/2781906</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CC4489F" w14:textId="301BD432" w:rsidR="00B178D8" w:rsidRPr="00B178D8" w:rsidRDefault="00B178D8" w:rsidP="00B178D8">
      <w:pPr>
        <w:numPr>
          <w:ilvl w:val="0"/>
          <w:numId w:val="25"/>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Lombroso, C. (1875). </w:t>
      </w:r>
      <w:proofErr w:type="spellStart"/>
      <w:r w:rsidRPr="00B178D8">
        <w:rPr>
          <w:rFonts w:ascii="Arial" w:eastAsia="Times New Roman" w:hAnsi="Arial" w:cs="Arial"/>
          <w:i/>
          <w:iCs/>
          <w:color w:val="000000"/>
          <w:sz w:val="24"/>
          <w:szCs w:val="24"/>
          <w:lang w:eastAsia="en-GB"/>
        </w:rPr>
        <w:t>L'uomo</w:t>
      </w:r>
      <w:proofErr w:type="spellEnd"/>
      <w:r w:rsidRPr="00B178D8">
        <w:rPr>
          <w:rFonts w:ascii="Arial" w:eastAsia="Times New Roman" w:hAnsi="Arial" w:cs="Arial"/>
          <w:i/>
          <w:iCs/>
          <w:color w:val="000000"/>
          <w:sz w:val="24"/>
          <w:szCs w:val="24"/>
          <w:lang w:eastAsia="en-GB"/>
        </w:rPr>
        <w:t xml:space="preserve"> </w:t>
      </w:r>
      <w:proofErr w:type="spellStart"/>
      <w:r w:rsidRPr="00B178D8">
        <w:rPr>
          <w:rFonts w:ascii="Arial" w:eastAsia="Times New Roman" w:hAnsi="Arial" w:cs="Arial"/>
          <w:i/>
          <w:iCs/>
          <w:color w:val="000000"/>
          <w:sz w:val="24"/>
          <w:szCs w:val="24"/>
          <w:lang w:eastAsia="en-GB"/>
        </w:rPr>
        <w:t>Delinquente</w:t>
      </w:r>
      <w:proofErr w:type="spellEnd"/>
      <w:r w:rsidRPr="00B178D8">
        <w:rPr>
          <w:rFonts w:ascii="Arial" w:eastAsia="Times New Roman" w:hAnsi="Arial" w:cs="Arial"/>
          <w:i/>
          <w:iCs/>
          <w:color w:val="000000"/>
          <w:sz w:val="24"/>
          <w:szCs w:val="24"/>
          <w:lang w:eastAsia="en-GB"/>
        </w:rPr>
        <w:t xml:space="preserve"> (The Criminal Man)</w:t>
      </w:r>
      <w:r w:rsidRPr="00B178D8">
        <w:rPr>
          <w:rFonts w:ascii="Arial" w:eastAsia="Times New Roman" w:hAnsi="Arial" w:cs="Arial"/>
          <w:color w:val="000000"/>
          <w:sz w:val="24"/>
          <w:szCs w:val="24"/>
          <w:lang w:eastAsia="en-GB"/>
        </w:rPr>
        <w:t xml:space="preserve">. Milan: </w:t>
      </w:r>
      <w:proofErr w:type="spellStart"/>
      <w:r w:rsidRPr="00B178D8">
        <w:rPr>
          <w:rFonts w:ascii="Arial" w:eastAsia="Times New Roman" w:hAnsi="Arial" w:cs="Arial"/>
          <w:color w:val="000000"/>
          <w:sz w:val="24"/>
          <w:szCs w:val="24"/>
          <w:lang w:eastAsia="en-GB"/>
        </w:rPr>
        <w:t>Hoepli</w:t>
      </w:r>
      <w:proofErr w:type="spellEnd"/>
      <w:r w:rsidRPr="00B178D8">
        <w:rPr>
          <w:rFonts w:ascii="Arial" w:eastAsia="Times New Roman" w:hAnsi="Arial" w:cs="Arial"/>
          <w:color w:val="000000"/>
          <w:sz w:val="24"/>
          <w:szCs w:val="24"/>
          <w:lang w:eastAsia="en-GB"/>
        </w:rPr>
        <w:t>.</w:t>
      </w:r>
      <w:r w:rsidRPr="00B178D8">
        <w:rPr>
          <w:rFonts w:ascii="Arial" w:eastAsia="Times New Roman" w:hAnsi="Arial" w:cs="Arial"/>
          <w:sz w:val="24"/>
          <w:szCs w:val="24"/>
          <w:lang w:eastAsia="en-GB"/>
        </w:rPr>
        <w:br/>
      </w:r>
    </w:p>
    <w:p w14:paraId="5122C0FF" w14:textId="77777777" w:rsidR="00B178D8" w:rsidRPr="00B178D8" w:rsidRDefault="00B178D8" w:rsidP="00B178D8">
      <w:pPr>
        <w:numPr>
          <w:ilvl w:val="0"/>
          <w:numId w:val="26"/>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N. (2016). “Social Control and Self-Control Theories” in: Wortley, S. </w:t>
      </w:r>
      <w:r w:rsidRPr="00B178D8">
        <w:rPr>
          <w:rFonts w:ascii="Arial" w:eastAsia="Times New Roman" w:hAnsi="Arial" w:cs="Arial"/>
          <w:i/>
          <w:iCs/>
          <w:color w:val="000000"/>
          <w:sz w:val="24"/>
          <w:szCs w:val="24"/>
          <w:lang w:eastAsia="en-GB"/>
        </w:rPr>
        <w:t>The Root Causes of Youth Violence: A Review of Major Theoretical Perspectives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Ontario: Ministry of Children, Community and Social Services. Available at: </w:t>
      </w:r>
      <w:hyperlink r:id="rId28" w:history="1">
        <w:r w:rsidRPr="00B178D8">
          <w:rPr>
            <w:rFonts w:ascii="Arial" w:eastAsia="Times New Roman" w:hAnsi="Arial" w:cs="Arial"/>
            <w:color w:val="1155CC"/>
            <w:sz w:val="24"/>
            <w:szCs w:val="24"/>
            <w:u w:val="single"/>
            <w:lang w:eastAsia="en-GB"/>
          </w:rPr>
          <w:t>http://www.children.gov.on.ca/htdocs/English/professionals/oyap/roots/volume5/index.aspx</w:t>
        </w:r>
      </w:hyperlink>
      <w:r w:rsidRPr="00B178D8">
        <w:rPr>
          <w:rFonts w:ascii="Arial" w:eastAsia="Times New Roman" w:hAnsi="Arial" w:cs="Arial"/>
          <w:color w:val="000000"/>
          <w:sz w:val="24"/>
          <w:szCs w:val="24"/>
          <w:lang w:eastAsia="en-GB"/>
        </w:rPr>
        <w:t xml:space="preserve"> [Accessed 15 February 2022].</w:t>
      </w:r>
    </w:p>
    <w:p w14:paraId="3D52CA2F" w14:textId="36A84FCA" w:rsidR="00B178D8" w:rsidRPr="00B178D8" w:rsidRDefault="00B178D8" w:rsidP="00B178D8">
      <w:pPr>
        <w:spacing w:after="0" w:line="480" w:lineRule="auto"/>
        <w:rPr>
          <w:rFonts w:ascii="Arial" w:eastAsia="Times New Roman" w:hAnsi="Arial" w:cs="Arial"/>
          <w:sz w:val="24"/>
          <w:szCs w:val="24"/>
          <w:lang w:eastAsia="en-GB"/>
        </w:rPr>
      </w:pPr>
    </w:p>
    <w:p w14:paraId="2C2334DB" w14:textId="77777777" w:rsidR="00B178D8" w:rsidRPr="00B178D8" w:rsidRDefault="00B178D8" w:rsidP="00B178D8">
      <w:pPr>
        <w:numPr>
          <w:ilvl w:val="0"/>
          <w:numId w:val="2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Mednick, S., Moffit, T. and Stack, S. (1987). </w:t>
      </w:r>
      <w:r w:rsidRPr="00B178D8">
        <w:rPr>
          <w:rFonts w:ascii="Arial" w:eastAsia="Times New Roman" w:hAnsi="Arial" w:cs="Arial"/>
          <w:i/>
          <w:iCs/>
          <w:color w:val="000000"/>
          <w:sz w:val="24"/>
          <w:szCs w:val="24"/>
          <w:lang w:eastAsia="en-GB"/>
        </w:rPr>
        <w:t>The Causes of Crime: New Biological Approaches</w:t>
      </w:r>
      <w:r w:rsidRPr="00B178D8">
        <w:rPr>
          <w:rFonts w:ascii="Arial" w:eastAsia="Times New Roman" w:hAnsi="Arial" w:cs="Arial"/>
          <w:color w:val="000000"/>
          <w:sz w:val="24"/>
          <w:szCs w:val="24"/>
          <w:lang w:eastAsia="en-GB"/>
        </w:rPr>
        <w:t>. Cambridge: Cambridge University Press.</w:t>
      </w:r>
    </w:p>
    <w:p w14:paraId="5DAF8FD8" w14:textId="7209D91D" w:rsidR="00B178D8" w:rsidRPr="00B178D8" w:rsidRDefault="00B178D8" w:rsidP="00B178D8">
      <w:pPr>
        <w:spacing w:after="0" w:line="480" w:lineRule="auto"/>
        <w:rPr>
          <w:rFonts w:ascii="Arial" w:eastAsia="Times New Roman" w:hAnsi="Arial" w:cs="Arial"/>
          <w:sz w:val="24"/>
          <w:szCs w:val="24"/>
          <w:lang w:eastAsia="en-GB"/>
        </w:rPr>
      </w:pPr>
    </w:p>
    <w:p w14:paraId="124AED4F" w14:textId="3936ECF7" w:rsidR="00B178D8" w:rsidRPr="00B178D8" w:rsidRDefault="00B178D8" w:rsidP="00B178D8">
      <w:pPr>
        <w:numPr>
          <w:ilvl w:val="0"/>
          <w:numId w:val="28"/>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Myers, N. (2016). “Rational Choice and Routine Activities Theory” in: Wortley, S. </w:t>
      </w:r>
      <w:r w:rsidRPr="00B178D8">
        <w:rPr>
          <w:rFonts w:ascii="Arial" w:eastAsia="Times New Roman" w:hAnsi="Arial" w:cs="Arial"/>
          <w:i/>
          <w:iCs/>
          <w:color w:val="000000"/>
          <w:sz w:val="24"/>
          <w:szCs w:val="24"/>
          <w:lang w:eastAsia="en-GB"/>
        </w:rPr>
        <w:t>The Root Causes of Youth Violence: A Review of Major Theoretical Perspectives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Ontario: Ministry of Children, Community and Social Services. Available at: </w:t>
      </w:r>
      <w:hyperlink r:id="rId29" w:history="1">
        <w:r w:rsidRPr="00B178D8">
          <w:rPr>
            <w:rFonts w:ascii="Arial" w:eastAsia="Times New Roman" w:hAnsi="Arial" w:cs="Arial"/>
            <w:color w:val="1155CC"/>
            <w:sz w:val="24"/>
            <w:szCs w:val="24"/>
            <w:u w:val="single"/>
            <w:lang w:eastAsia="en-GB"/>
          </w:rPr>
          <w:t>http://www.children.gov.on.ca/htdocs/English/professionals/oyap/roots/volume5/index.aspx</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16DF7730" w14:textId="2835AC82" w:rsidR="00B178D8" w:rsidRPr="00B178D8" w:rsidRDefault="00B178D8" w:rsidP="00B178D8">
      <w:pPr>
        <w:numPr>
          <w:ilvl w:val="0"/>
          <w:numId w:val="2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Neighbourhood Watch. (2022). </w:t>
      </w:r>
      <w:r w:rsidRPr="00B178D8">
        <w:rPr>
          <w:rFonts w:ascii="Arial" w:eastAsia="Times New Roman" w:hAnsi="Arial" w:cs="Arial"/>
          <w:i/>
          <w:iCs/>
          <w:color w:val="000000"/>
          <w:sz w:val="24"/>
          <w:szCs w:val="24"/>
          <w:lang w:eastAsia="en-GB"/>
        </w:rPr>
        <w:t>Crime Prevention Advice</w:t>
      </w:r>
      <w:r w:rsidRPr="00B178D8">
        <w:rPr>
          <w:rFonts w:ascii="Arial" w:eastAsia="Times New Roman" w:hAnsi="Arial" w:cs="Arial"/>
          <w:color w:val="000000"/>
          <w:sz w:val="24"/>
          <w:szCs w:val="24"/>
          <w:lang w:eastAsia="en-GB"/>
        </w:rPr>
        <w:t xml:space="preserve">. [online] Neighbourhood Watch. Available at: </w:t>
      </w:r>
      <w:hyperlink r:id="rId30" w:history="1">
        <w:r w:rsidRPr="00B178D8">
          <w:rPr>
            <w:rFonts w:ascii="Arial" w:eastAsia="Times New Roman" w:hAnsi="Arial" w:cs="Arial"/>
            <w:color w:val="1155CC"/>
            <w:sz w:val="24"/>
            <w:szCs w:val="24"/>
            <w:u w:val="single"/>
            <w:lang w:eastAsia="en-GB"/>
          </w:rPr>
          <w:t>https://www.ourwatch.org.uk/crime-</w:t>
        </w:r>
        <w:r w:rsidRPr="00B178D8">
          <w:rPr>
            <w:rFonts w:ascii="Arial" w:eastAsia="Times New Roman" w:hAnsi="Arial" w:cs="Arial"/>
            <w:color w:val="1155CC"/>
            <w:sz w:val="24"/>
            <w:szCs w:val="24"/>
            <w:u w:val="single"/>
            <w:lang w:eastAsia="en-GB"/>
          </w:rPr>
          <w:lastRenderedPageBreak/>
          <w:t>prevention/crime-prevention-advice</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0F56A23" w14:textId="06553AF5" w:rsidR="00B178D8" w:rsidRPr="00B178D8" w:rsidRDefault="00B178D8" w:rsidP="00B178D8">
      <w:pPr>
        <w:numPr>
          <w:ilvl w:val="0"/>
          <w:numId w:val="30"/>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Newburn, T. (2016). </w:t>
      </w:r>
      <w:r w:rsidRPr="00B178D8">
        <w:rPr>
          <w:rFonts w:ascii="Arial" w:eastAsia="Times New Roman" w:hAnsi="Arial" w:cs="Arial"/>
          <w:i/>
          <w:iCs/>
          <w:color w:val="000000"/>
          <w:sz w:val="24"/>
          <w:szCs w:val="24"/>
          <w:lang w:eastAsia="en-GB"/>
        </w:rPr>
        <w:t>Social Disadvantage, Crime, and Punishment</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Oxford: Oxford University Press. Available at: </w:t>
      </w:r>
      <w:hyperlink r:id="rId31" w:history="1">
        <w:r w:rsidRPr="00B178D8">
          <w:rPr>
            <w:rFonts w:ascii="Arial" w:eastAsia="Times New Roman" w:hAnsi="Arial" w:cs="Arial"/>
            <w:color w:val="1155CC"/>
            <w:sz w:val="24"/>
            <w:szCs w:val="24"/>
            <w:u w:val="single"/>
            <w:lang w:eastAsia="en-GB"/>
          </w:rPr>
          <w:t>http://eprints.lse.ac.uk/68133/1/Newburn_Social%20Disadvantage%20and%20Crime.pdf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115665C" w14:textId="2A3E3F33" w:rsidR="00B178D8" w:rsidRPr="00B178D8" w:rsidRDefault="00B178D8" w:rsidP="00B178D8">
      <w:pPr>
        <w:numPr>
          <w:ilvl w:val="0"/>
          <w:numId w:val="3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New Zealand Government. (2017). </w:t>
      </w:r>
      <w:r w:rsidRPr="00B178D8">
        <w:rPr>
          <w:rFonts w:ascii="Arial" w:eastAsia="Times New Roman" w:hAnsi="Arial" w:cs="Arial"/>
          <w:i/>
          <w:iCs/>
          <w:color w:val="000000"/>
          <w:sz w:val="24"/>
          <w:szCs w:val="24"/>
          <w:lang w:eastAsia="en-GB"/>
        </w:rPr>
        <w:t>CCTV - Evidence Brief</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Wellington: New Zealand Police, Ministry of Justice, Department of Corrections. Available at: </w:t>
      </w:r>
      <w:hyperlink r:id="rId32" w:history="1">
        <w:r w:rsidRPr="00B178D8">
          <w:rPr>
            <w:rFonts w:ascii="Arial" w:eastAsia="Times New Roman" w:hAnsi="Arial" w:cs="Arial"/>
            <w:color w:val="1155CC"/>
            <w:sz w:val="24"/>
            <w:szCs w:val="24"/>
            <w:u w:val="single"/>
            <w:lang w:eastAsia="en-GB"/>
          </w:rPr>
          <w:t>https://www.justice.govt.nz/assets/Documents/Publications/CCTV.pdf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8871AB6" w14:textId="24D4B33B" w:rsidR="00B178D8" w:rsidRPr="00B178D8" w:rsidRDefault="00B178D8" w:rsidP="00B178D8">
      <w:pPr>
        <w:numPr>
          <w:ilvl w:val="0"/>
          <w:numId w:val="32"/>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NSPCC. (2022). </w:t>
      </w:r>
      <w:r w:rsidRPr="00B178D8">
        <w:rPr>
          <w:rFonts w:ascii="Arial" w:eastAsia="Times New Roman" w:hAnsi="Arial" w:cs="Arial"/>
          <w:i/>
          <w:iCs/>
          <w:color w:val="000000"/>
          <w:sz w:val="24"/>
          <w:szCs w:val="24"/>
          <w:lang w:eastAsia="en-GB"/>
        </w:rPr>
        <w:t>Criminal Exploitation and Gangs</w:t>
      </w:r>
      <w:r w:rsidRPr="00B178D8">
        <w:rPr>
          <w:rFonts w:ascii="Arial" w:eastAsia="Times New Roman" w:hAnsi="Arial" w:cs="Arial"/>
          <w:color w:val="000000"/>
          <w:sz w:val="24"/>
          <w:szCs w:val="24"/>
          <w:lang w:eastAsia="en-GB"/>
        </w:rPr>
        <w:t xml:space="preserve">. [online] NSPCC. Available at: </w:t>
      </w:r>
      <w:hyperlink r:id="rId33" w:history="1">
        <w:r w:rsidRPr="00B178D8">
          <w:rPr>
            <w:rFonts w:ascii="Arial" w:eastAsia="Times New Roman" w:hAnsi="Arial" w:cs="Arial"/>
            <w:color w:val="1155CC"/>
            <w:sz w:val="24"/>
            <w:szCs w:val="24"/>
            <w:u w:val="single"/>
            <w:lang w:eastAsia="en-GB"/>
          </w:rPr>
          <w:t>https://www.nspcc.org.uk/what-is-child-abuse/types-of-abuse/gangs-criminal-exploitation/</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5A99E66" w14:textId="6E759130" w:rsidR="00B178D8" w:rsidRPr="00B178D8" w:rsidRDefault="00B178D8" w:rsidP="00B178D8">
      <w:pPr>
        <w:numPr>
          <w:ilvl w:val="0"/>
          <w:numId w:val="33"/>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Ollerenshaw</w:t>
      </w:r>
      <w:proofErr w:type="spellEnd"/>
      <w:r w:rsidRPr="00B178D8">
        <w:rPr>
          <w:rFonts w:ascii="Arial" w:eastAsia="Times New Roman" w:hAnsi="Arial" w:cs="Arial"/>
          <w:color w:val="000000"/>
          <w:sz w:val="24"/>
          <w:szCs w:val="24"/>
          <w:lang w:eastAsia="en-GB"/>
        </w:rPr>
        <w:t xml:space="preserve">, T. (2020). </w:t>
      </w:r>
      <w:r w:rsidRPr="00B178D8">
        <w:rPr>
          <w:rFonts w:ascii="Arial" w:eastAsia="Times New Roman" w:hAnsi="Arial" w:cs="Arial"/>
          <w:i/>
          <w:iCs/>
          <w:color w:val="000000"/>
          <w:sz w:val="24"/>
          <w:szCs w:val="24"/>
          <w:lang w:eastAsia="en-GB"/>
        </w:rPr>
        <w:t xml:space="preserve">Life in a Gang: 'You don't know who's </w:t>
      </w:r>
      <w:proofErr w:type="spellStart"/>
      <w:r w:rsidRPr="00B178D8">
        <w:rPr>
          <w:rFonts w:ascii="Arial" w:eastAsia="Times New Roman" w:hAnsi="Arial" w:cs="Arial"/>
          <w:i/>
          <w:iCs/>
          <w:color w:val="000000"/>
          <w:sz w:val="24"/>
          <w:szCs w:val="24"/>
          <w:lang w:eastAsia="en-GB"/>
        </w:rPr>
        <w:t>gonna</w:t>
      </w:r>
      <w:proofErr w:type="spellEnd"/>
      <w:r w:rsidRPr="00B178D8">
        <w:rPr>
          <w:rFonts w:ascii="Arial" w:eastAsia="Times New Roman" w:hAnsi="Arial" w:cs="Arial"/>
          <w:i/>
          <w:iCs/>
          <w:color w:val="000000"/>
          <w:sz w:val="24"/>
          <w:szCs w:val="24"/>
          <w:lang w:eastAsia="en-GB"/>
        </w:rPr>
        <w:t xml:space="preserve"> die next'</w:t>
      </w:r>
      <w:r w:rsidRPr="00B178D8">
        <w:rPr>
          <w:rFonts w:ascii="Arial" w:eastAsia="Times New Roman" w:hAnsi="Arial" w:cs="Arial"/>
          <w:color w:val="000000"/>
          <w:sz w:val="24"/>
          <w:szCs w:val="24"/>
          <w:lang w:eastAsia="en-GB"/>
        </w:rPr>
        <w:t xml:space="preserve">. [online] BBC News. Available at: </w:t>
      </w:r>
      <w:hyperlink r:id="rId34" w:history="1">
        <w:r w:rsidRPr="00B178D8">
          <w:rPr>
            <w:rFonts w:ascii="Arial" w:eastAsia="Times New Roman" w:hAnsi="Arial" w:cs="Arial"/>
            <w:color w:val="1155CC"/>
            <w:sz w:val="24"/>
            <w:szCs w:val="24"/>
            <w:u w:val="single"/>
            <w:lang w:eastAsia="en-GB"/>
          </w:rPr>
          <w:t>https://www.bbc.co.uk/news/newsbeat-55302854</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D46E1E2" w14:textId="1E77029E" w:rsidR="00B178D8" w:rsidRPr="00B178D8" w:rsidRDefault="00B178D8" w:rsidP="00B178D8">
      <w:pPr>
        <w:numPr>
          <w:ilvl w:val="0"/>
          <w:numId w:val="34"/>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Painter, K. (1999). </w:t>
      </w:r>
      <w:r w:rsidRPr="00B178D8">
        <w:rPr>
          <w:rFonts w:ascii="Arial" w:eastAsia="Times New Roman" w:hAnsi="Arial" w:cs="Arial"/>
          <w:i/>
          <w:iCs/>
          <w:color w:val="000000"/>
          <w:sz w:val="24"/>
          <w:szCs w:val="24"/>
          <w:lang w:eastAsia="en-GB"/>
        </w:rPr>
        <w:t>Street Lighting and Crime: Diffusion of Benefits in the Stoke-on-Trent Project</w:t>
      </w:r>
      <w:r w:rsidRPr="00B178D8">
        <w:rPr>
          <w:rFonts w:ascii="Arial" w:eastAsia="Times New Roman" w:hAnsi="Arial" w:cs="Arial"/>
          <w:color w:val="000000"/>
          <w:sz w:val="24"/>
          <w:szCs w:val="24"/>
          <w:lang w:eastAsia="en-GB"/>
        </w:rPr>
        <w:t xml:space="preserve">. Crime Prevention Studies, [online] 10. Available at: </w:t>
      </w:r>
      <w:hyperlink r:id="rId35" w:history="1">
        <w:r w:rsidRPr="00B178D8">
          <w:rPr>
            <w:rFonts w:ascii="Arial" w:eastAsia="Times New Roman" w:hAnsi="Arial" w:cs="Arial"/>
            <w:color w:val="1155CC"/>
            <w:sz w:val="24"/>
            <w:szCs w:val="24"/>
            <w:u w:val="single"/>
            <w:lang w:eastAsia="en-GB"/>
          </w:rPr>
          <w:t>https://citeseerx.ist.psu.edu/viewdoc/download?doi=10.1.1.362.602&amp;rep=rep1</w:t>
        </w:r>
        <w:r w:rsidRPr="00B178D8">
          <w:rPr>
            <w:rFonts w:ascii="Arial" w:eastAsia="Times New Roman" w:hAnsi="Arial" w:cs="Arial"/>
            <w:color w:val="1155CC"/>
            <w:sz w:val="24"/>
            <w:szCs w:val="24"/>
            <w:u w:val="single"/>
            <w:lang w:eastAsia="en-GB"/>
          </w:rPr>
          <w:lastRenderedPageBreak/>
          <w:t>&amp;type=pdf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AB80BFB" w14:textId="2F4960F3" w:rsidR="00B178D8" w:rsidRPr="00B178D8" w:rsidRDefault="00B178D8" w:rsidP="00B178D8">
      <w:pPr>
        <w:numPr>
          <w:ilvl w:val="0"/>
          <w:numId w:val="35"/>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Parent, M. (2003). </w:t>
      </w:r>
      <w:r w:rsidRPr="00B178D8">
        <w:rPr>
          <w:rFonts w:ascii="Arial" w:eastAsia="Times New Roman" w:hAnsi="Arial" w:cs="Arial"/>
          <w:i/>
          <w:iCs/>
          <w:color w:val="000000"/>
          <w:sz w:val="24"/>
          <w:szCs w:val="24"/>
          <w:lang w:eastAsia="en-GB"/>
        </w:rPr>
        <w:t xml:space="preserve">Self-Control vs Social Control </w:t>
      </w:r>
      <w:proofErr w:type="gramStart"/>
      <w:r w:rsidRPr="00B178D8">
        <w:rPr>
          <w:rFonts w:ascii="Arial" w:eastAsia="Times New Roman" w:hAnsi="Arial" w:cs="Arial"/>
          <w:i/>
          <w:iCs/>
          <w:color w:val="000000"/>
          <w:sz w:val="24"/>
          <w:szCs w:val="24"/>
          <w:lang w:eastAsia="en-GB"/>
        </w:rPr>
        <w:t>As</w:t>
      </w:r>
      <w:proofErr w:type="gramEnd"/>
      <w:r w:rsidRPr="00B178D8">
        <w:rPr>
          <w:rFonts w:ascii="Arial" w:eastAsia="Times New Roman" w:hAnsi="Arial" w:cs="Arial"/>
          <w:i/>
          <w:iCs/>
          <w:color w:val="000000"/>
          <w:sz w:val="24"/>
          <w:szCs w:val="24"/>
          <w:lang w:eastAsia="en-GB"/>
        </w:rPr>
        <w:t xml:space="preserve"> An Explanation of Delinquency</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Windsor: University of Windsor. Available at: </w:t>
      </w:r>
      <w:hyperlink r:id="rId36" w:history="1">
        <w:r w:rsidRPr="00B178D8">
          <w:rPr>
            <w:rFonts w:ascii="Arial" w:eastAsia="Times New Roman" w:hAnsi="Arial" w:cs="Arial"/>
            <w:color w:val="1155CC"/>
            <w:sz w:val="24"/>
            <w:szCs w:val="24"/>
            <w:u w:val="single"/>
            <w:lang w:eastAsia="en-GB"/>
          </w:rPr>
          <w:t>https://scholar.uwindsor.ca/cgi/viewcontent.cgi?article=4414&amp;context=etd</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98457AA" w14:textId="2F27920F" w:rsidR="00B178D8" w:rsidRPr="00B178D8" w:rsidRDefault="00B178D8" w:rsidP="00B178D8">
      <w:pPr>
        <w:numPr>
          <w:ilvl w:val="0"/>
          <w:numId w:val="36"/>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Piaget, J. (1932). </w:t>
      </w:r>
      <w:r w:rsidRPr="00B178D8">
        <w:rPr>
          <w:rFonts w:ascii="Arial" w:eastAsia="Times New Roman" w:hAnsi="Arial" w:cs="Arial"/>
          <w:i/>
          <w:iCs/>
          <w:color w:val="000000"/>
          <w:sz w:val="24"/>
          <w:szCs w:val="24"/>
          <w:lang w:eastAsia="en-GB"/>
        </w:rPr>
        <w:t>The Moral Judgement of the Child</w:t>
      </w:r>
      <w:r w:rsidRPr="00B178D8">
        <w:rPr>
          <w:rFonts w:ascii="Arial" w:eastAsia="Times New Roman" w:hAnsi="Arial" w:cs="Arial"/>
          <w:color w:val="000000"/>
          <w:sz w:val="24"/>
          <w:szCs w:val="24"/>
          <w:lang w:eastAsia="en-GB"/>
        </w:rPr>
        <w:t>. London: Routledge &amp; Kegan Paul.</w:t>
      </w:r>
      <w:r w:rsidRPr="00B178D8">
        <w:rPr>
          <w:rFonts w:ascii="Arial" w:eastAsia="Times New Roman" w:hAnsi="Arial" w:cs="Arial"/>
          <w:sz w:val="24"/>
          <w:szCs w:val="24"/>
          <w:lang w:eastAsia="en-GB"/>
        </w:rPr>
        <w:br/>
      </w:r>
    </w:p>
    <w:p w14:paraId="6B99D6E0" w14:textId="491789F3" w:rsidR="00B178D8" w:rsidRPr="00B178D8" w:rsidRDefault="00B178D8" w:rsidP="00B178D8">
      <w:pPr>
        <w:numPr>
          <w:ilvl w:val="0"/>
          <w:numId w:val="3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Pratt, T. (2008). </w:t>
      </w:r>
      <w:r w:rsidRPr="00B178D8">
        <w:rPr>
          <w:rFonts w:ascii="Arial" w:eastAsia="Times New Roman" w:hAnsi="Arial" w:cs="Arial"/>
          <w:i/>
          <w:iCs/>
          <w:color w:val="000000"/>
          <w:sz w:val="24"/>
          <w:szCs w:val="24"/>
          <w:lang w:eastAsia="en-GB"/>
        </w:rPr>
        <w:t>Rational Choice Theory, Crime Control Policy, and Criminological Relevance</w:t>
      </w:r>
      <w:r w:rsidRPr="00B178D8">
        <w:rPr>
          <w:rFonts w:ascii="Arial" w:eastAsia="Times New Roman" w:hAnsi="Arial" w:cs="Arial"/>
          <w:color w:val="000000"/>
          <w:sz w:val="24"/>
          <w:szCs w:val="24"/>
          <w:lang w:eastAsia="en-GB"/>
        </w:rPr>
        <w:t xml:space="preserve">. Criminology &amp; Public Policy, [online] 7(1). Available at: </w:t>
      </w:r>
      <w:hyperlink r:id="rId37" w:history="1">
        <w:r w:rsidRPr="00B178D8">
          <w:rPr>
            <w:rFonts w:ascii="Arial" w:eastAsia="Times New Roman" w:hAnsi="Arial" w:cs="Arial"/>
            <w:color w:val="1155CC"/>
            <w:sz w:val="24"/>
            <w:szCs w:val="24"/>
            <w:u w:val="single"/>
            <w:lang w:eastAsia="en-GB"/>
          </w:rPr>
          <w:t>https://heinonline.org/HOL/LandingPage?handle=hein.journals/crpp7&amp;div=8&amp;id=&amp;page=</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1CE1F7F2" w14:textId="137632F4" w:rsidR="00B178D8" w:rsidRPr="00B178D8" w:rsidRDefault="00B178D8" w:rsidP="00B178D8">
      <w:pPr>
        <w:numPr>
          <w:ilvl w:val="0"/>
          <w:numId w:val="38"/>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Sellin</w:t>
      </w:r>
      <w:proofErr w:type="spellEnd"/>
      <w:r w:rsidRPr="00B178D8">
        <w:rPr>
          <w:rFonts w:ascii="Arial" w:eastAsia="Times New Roman" w:hAnsi="Arial" w:cs="Arial"/>
          <w:color w:val="000000"/>
          <w:sz w:val="24"/>
          <w:szCs w:val="24"/>
          <w:lang w:eastAsia="en-GB"/>
        </w:rPr>
        <w:t xml:space="preserve">, T. (1938). </w:t>
      </w:r>
      <w:r w:rsidRPr="00B178D8">
        <w:rPr>
          <w:rFonts w:ascii="Arial" w:eastAsia="Times New Roman" w:hAnsi="Arial" w:cs="Arial"/>
          <w:i/>
          <w:iCs/>
          <w:color w:val="000000"/>
          <w:sz w:val="24"/>
          <w:szCs w:val="24"/>
          <w:lang w:eastAsia="en-GB"/>
        </w:rPr>
        <w:t>Culture, Conflict and Crime</w:t>
      </w:r>
      <w:r w:rsidRPr="00B178D8">
        <w:rPr>
          <w:rFonts w:ascii="Arial" w:eastAsia="Times New Roman" w:hAnsi="Arial" w:cs="Arial"/>
          <w:color w:val="000000"/>
          <w:sz w:val="24"/>
          <w:szCs w:val="24"/>
          <w:lang w:eastAsia="en-GB"/>
        </w:rPr>
        <w:t>. New York: Social Research Council.</w:t>
      </w:r>
      <w:r w:rsidRPr="00B178D8">
        <w:rPr>
          <w:rFonts w:ascii="Arial" w:eastAsia="Times New Roman" w:hAnsi="Arial" w:cs="Arial"/>
          <w:sz w:val="24"/>
          <w:szCs w:val="24"/>
          <w:lang w:eastAsia="en-GB"/>
        </w:rPr>
        <w:br/>
      </w:r>
    </w:p>
    <w:p w14:paraId="23F1CC8B" w14:textId="77777777" w:rsidR="00B178D8" w:rsidRPr="00B178D8" w:rsidRDefault="00B178D8" w:rsidP="00B178D8">
      <w:pPr>
        <w:numPr>
          <w:ilvl w:val="0"/>
          <w:numId w:val="3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Skinner, B. (1938). </w:t>
      </w:r>
      <w:r w:rsidRPr="00B178D8">
        <w:rPr>
          <w:rFonts w:ascii="Arial" w:eastAsia="Times New Roman" w:hAnsi="Arial" w:cs="Arial"/>
          <w:i/>
          <w:iCs/>
          <w:color w:val="000000"/>
          <w:sz w:val="24"/>
          <w:szCs w:val="24"/>
          <w:lang w:eastAsia="en-GB"/>
        </w:rPr>
        <w:t>The Behaviour of Organisms</w:t>
      </w:r>
      <w:r w:rsidRPr="00B178D8">
        <w:rPr>
          <w:rFonts w:ascii="Arial" w:eastAsia="Times New Roman" w:hAnsi="Arial" w:cs="Arial"/>
          <w:color w:val="000000"/>
          <w:sz w:val="24"/>
          <w:szCs w:val="24"/>
          <w:lang w:eastAsia="en-GB"/>
        </w:rPr>
        <w:t>. New York: Appleton-Century-Crofts.</w:t>
      </w:r>
    </w:p>
    <w:p w14:paraId="0E40AADE" w14:textId="388D7203" w:rsidR="00B178D8" w:rsidRPr="00B178D8" w:rsidRDefault="00B178D8" w:rsidP="00B178D8">
      <w:pPr>
        <w:spacing w:after="0" w:line="480" w:lineRule="auto"/>
        <w:rPr>
          <w:rFonts w:ascii="Arial" w:eastAsia="Times New Roman" w:hAnsi="Arial" w:cs="Arial"/>
          <w:sz w:val="24"/>
          <w:szCs w:val="24"/>
          <w:lang w:eastAsia="en-GB"/>
        </w:rPr>
      </w:pPr>
    </w:p>
    <w:p w14:paraId="61E7CD3B" w14:textId="77777777" w:rsidR="00B178D8" w:rsidRPr="00B178D8" w:rsidRDefault="00B178D8" w:rsidP="00B178D8">
      <w:pPr>
        <w:numPr>
          <w:ilvl w:val="0"/>
          <w:numId w:val="40"/>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Smith, A. (1776). </w:t>
      </w:r>
      <w:r w:rsidRPr="00B178D8">
        <w:rPr>
          <w:rFonts w:ascii="Arial" w:eastAsia="Times New Roman" w:hAnsi="Arial" w:cs="Arial"/>
          <w:i/>
          <w:iCs/>
          <w:color w:val="000000"/>
          <w:sz w:val="24"/>
          <w:szCs w:val="24"/>
          <w:lang w:eastAsia="en-GB"/>
        </w:rPr>
        <w:t>An Inquiry into the Nature and Causes of the Wealth of Nations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w:t>
      </w:r>
      <w:proofErr w:type="spellStart"/>
      <w:r w:rsidRPr="00B178D8">
        <w:rPr>
          <w:rFonts w:ascii="Arial" w:eastAsia="Times New Roman" w:hAnsi="Arial" w:cs="Arial"/>
          <w:color w:val="000000"/>
          <w:sz w:val="24"/>
          <w:szCs w:val="24"/>
          <w:lang w:eastAsia="en-GB"/>
        </w:rPr>
        <w:t>Cadwell</w:t>
      </w:r>
      <w:proofErr w:type="spellEnd"/>
      <w:r w:rsidRPr="00B178D8">
        <w:rPr>
          <w:rFonts w:ascii="Arial" w:eastAsia="Times New Roman" w:hAnsi="Arial" w:cs="Arial"/>
          <w:color w:val="000000"/>
          <w:sz w:val="24"/>
          <w:szCs w:val="24"/>
          <w:lang w:eastAsia="en-GB"/>
        </w:rPr>
        <w:t xml:space="preserve"> and Strahan. Available at: </w:t>
      </w:r>
      <w:hyperlink r:id="rId38" w:history="1">
        <w:r w:rsidRPr="00B178D8">
          <w:rPr>
            <w:rFonts w:ascii="Arial" w:eastAsia="Times New Roman" w:hAnsi="Arial" w:cs="Arial"/>
            <w:color w:val="1155CC"/>
            <w:sz w:val="24"/>
            <w:szCs w:val="24"/>
            <w:u w:val="single"/>
            <w:lang w:eastAsia="en-GB"/>
          </w:rPr>
          <w:t>https://www.earlymoderntexts.com/assets/pdfs/smith1776_1.pdf</w:t>
        </w:r>
      </w:hyperlink>
      <w:r w:rsidRPr="00B178D8">
        <w:rPr>
          <w:rFonts w:ascii="Arial" w:eastAsia="Times New Roman" w:hAnsi="Arial" w:cs="Arial"/>
          <w:color w:val="000000"/>
          <w:sz w:val="24"/>
          <w:szCs w:val="24"/>
          <w:lang w:eastAsia="en-GB"/>
        </w:rPr>
        <w:t xml:space="preserve"> [Accessed 15 February 2022].</w:t>
      </w:r>
    </w:p>
    <w:p w14:paraId="14B92E52" w14:textId="255BBFD9" w:rsidR="00B178D8" w:rsidRPr="00B178D8" w:rsidRDefault="00B178D8" w:rsidP="00B178D8">
      <w:pPr>
        <w:spacing w:after="0" w:line="480" w:lineRule="auto"/>
        <w:rPr>
          <w:rFonts w:ascii="Arial" w:eastAsia="Times New Roman" w:hAnsi="Arial" w:cs="Arial"/>
          <w:sz w:val="24"/>
          <w:szCs w:val="24"/>
          <w:lang w:eastAsia="en-GB"/>
        </w:rPr>
      </w:pPr>
    </w:p>
    <w:p w14:paraId="7A80C1ED" w14:textId="3EB497DE" w:rsidR="00B178D8" w:rsidRPr="00B178D8" w:rsidRDefault="00B178D8" w:rsidP="00B178D8">
      <w:pPr>
        <w:numPr>
          <w:ilvl w:val="0"/>
          <w:numId w:val="4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Topping, A. (2021). </w:t>
      </w:r>
      <w:r w:rsidRPr="00B178D8">
        <w:rPr>
          <w:rFonts w:ascii="Arial" w:eastAsia="Times New Roman" w:hAnsi="Arial" w:cs="Arial"/>
          <w:i/>
          <w:iCs/>
          <w:color w:val="000000"/>
          <w:sz w:val="24"/>
          <w:szCs w:val="24"/>
          <w:lang w:eastAsia="en-GB"/>
        </w:rPr>
        <w:t>"A Crossroads": The Impact of the Sarah Everard Case on Women's Safety</w:t>
      </w:r>
      <w:r w:rsidRPr="00B178D8">
        <w:rPr>
          <w:rFonts w:ascii="Arial" w:eastAsia="Times New Roman" w:hAnsi="Arial" w:cs="Arial"/>
          <w:color w:val="000000"/>
          <w:sz w:val="24"/>
          <w:szCs w:val="24"/>
          <w:lang w:eastAsia="en-GB"/>
        </w:rPr>
        <w:t xml:space="preserve">. [online] Available at: </w:t>
      </w:r>
      <w:hyperlink r:id="rId39" w:history="1">
        <w:r w:rsidRPr="00B178D8">
          <w:rPr>
            <w:rFonts w:ascii="Arial" w:eastAsia="Times New Roman" w:hAnsi="Arial" w:cs="Arial"/>
            <w:color w:val="1155CC"/>
            <w:sz w:val="24"/>
            <w:szCs w:val="24"/>
            <w:u w:val="single"/>
            <w:lang w:eastAsia="en-GB"/>
          </w:rPr>
          <w:t>https://www.theguardian.com/uk-news/2021/jul/09/a-crossroads-the-impact-of-the-sarah-everard-case-on-womens-safety</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D2F69EB" w14:textId="3A432220" w:rsidR="00B178D8" w:rsidRPr="00B178D8" w:rsidRDefault="00B178D8" w:rsidP="00B178D8">
      <w:pPr>
        <w:numPr>
          <w:ilvl w:val="0"/>
          <w:numId w:val="42"/>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Walters, G. (2015). </w:t>
      </w:r>
      <w:r w:rsidRPr="00B178D8">
        <w:rPr>
          <w:rFonts w:ascii="Arial" w:eastAsia="Times New Roman" w:hAnsi="Arial" w:cs="Arial"/>
          <w:i/>
          <w:iCs/>
          <w:color w:val="000000"/>
          <w:sz w:val="24"/>
          <w:szCs w:val="24"/>
          <w:lang w:eastAsia="en-GB"/>
        </w:rPr>
        <w:t xml:space="preserve">The Decision to Commit Crime: Rational or </w:t>
      </w:r>
      <w:proofErr w:type="gramStart"/>
      <w:r w:rsidRPr="00B178D8">
        <w:rPr>
          <w:rFonts w:ascii="Arial" w:eastAsia="Times New Roman" w:hAnsi="Arial" w:cs="Arial"/>
          <w:i/>
          <w:iCs/>
          <w:color w:val="000000"/>
          <w:sz w:val="24"/>
          <w:szCs w:val="24"/>
          <w:lang w:eastAsia="en-GB"/>
        </w:rPr>
        <w:t>Nonrational?</w:t>
      </w:r>
      <w:r w:rsidRPr="00B178D8">
        <w:rPr>
          <w:rFonts w:ascii="Arial" w:eastAsia="Times New Roman" w:hAnsi="Arial" w:cs="Arial"/>
          <w:color w:val="000000"/>
          <w:sz w:val="24"/>
          <w:szCs w:val="24"/>
          <w:lang w:eastAsia="en-GB"/>
        </w:rPr>
        <w:t>.</w:t>
      </w:r>
      <w:proofErr w:type="gramEnd"/>
      <w:r w:rsidRPr="00B178D8">
        <w:rPr>
          <w:rFonts w:ascii="Arial" w:eastAsia="Times New Roman" w:hAnsi="Arial" w:cs="Arial"/>
          <w:color w:val="000000"/>
          <w:sz w:val="24"/>
          <w:szCs w:val="24"/>
          <w:lang w:eastAsia="en-GB"/>
        </w:rPr>
        <w:t xml:space="preserve"> Criminology, Criminal Justice Law, &amp; Society, [online] 16(3). Available at: </w:t>
      </w:r>
      <w:hyperlink r:id="rId40" w:history="1">
        <w:r w:rsidRPr="00B178D8">
          <w:rPr>
            <w:rFonts w:ascii="Arial" w:eastAsia="Times New Roman" w:hAnsi="Arial" w:cs="Arial"/>
            <w:color w:val="1155CC"/>
            <w:sz w:val="24"/>
            <w:szCs w:val="24"/>
            <w:u w:val="single"/>
            <w:lang w:eastAsia="en-GB"/>
          </w:rPr>
          <w:t>https://ccjls.scholasticahq.com/api/v1/attachments/530/download</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D7B6435" w14:textId="18B354B7" w:rsidR="00B178D8" w:rsidRDefault="00B178D8" w:rsidP="00B178D8">
      <w:pPr>
        <w:numPr>
          <w:ilvl w:val="0"/>
          <w:numId w:val="4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Weston, D. (2020). </w:t>
      </w:r>
      <w:r w:rsidRPr="00B178D8">
        <w:rPr>
          <w:rFonts w:ascii="Arial" w:eastAsia="Times New Roman" w:hAnsi="Arial" w:cs="Arial"/>
          <w:i/>
          <w:iCs/>
          <w:color w:val="000000"/>
          <w:sz w:val="24"/>
          <w:szCs w:val="24"/>
          <w:lang w:eastAsia="en-GB"/>
        </w:rPr>
        <w:t>Rational Choice Theory</w:t>
      </w:r>
      <w:r w:rsidRPr="00B178D8">
        <w:rPr>
          <w:rFonts w:ascii="Arial" w:eastAsia="Times New Roman" w:hAnsi="Arial" w:cs="Arial"/>
          <w:color w:val="000000"/>
          <w:sz w:val="24"/>
          <w:szCs w:val="24"/>
          <w:lang w:eastAsia="en-GB"/>
        </w:rPr>
        <w:t xml:space="preserve">. [online] More Than Meets </w:t>
      </w:r>
      <w:proofErr w:type="gramStart"/>
      <w:r w:rsidRPr="00B178D8">
        <w:rPr>
          <w:rFonts w:ascii="Arial" w:eastAsia="Times New Roman" w:hAnsi="Arial" w:cs="Arial"/>
          <w:color w:val="000000"/>
          <w:sz w:val="24"/>
          <w:szCs w:val="24"/>
          <w:lang w:eastAsia="en-GB"/>
        </w:rPr>
        <w:t>The</w:t>
      </w:r>
      <w:proofErr w:type="gramEnd"/>
      <w:r w:rsidRPr="00B178D8">
        <w:rPr>
          <w:rFonts w:ascii="Arial" w:eastAsia="Times New Roman" w:hAnsi="Arial" w:cs="Arial"/>
          <w:color w:val="000000"/>
          <w:sz w:val="24"/>
          <w:szCs w:val="24"/>
          <w:lang w:eastAsia="en-GB"/>
        </w:rPr>
        <w:t xml:space="preserve"> Eye. Available at: </w:t>
      </w:r>
      <w:hyperlink r:id="rId41" w:history="1">
        <w:r w:rsidRPr="00B178D8">
          <w:rPr>
            <w:rFonts w:ascii="Arial" w:eastAsia="Times New Roman" w:hAnsi="Arial" w:cs="Arial"/>
            <w:color w:val="1155CC"/>
            <w:sz w:val="24"/>
            <w:szCs w:val="24"/>
            <w:u w:val="single"/>
            <w:lang w:eastAsia="en-GB"/>
          </w:rPr>
          <w:t>https://www.morethanmeets.co/rational-choice-theory/</w:t>
        </w:r>
      </w:hyperlink>
      <w:r w:rsidRPr="00B178D8">
        <w:rPr>
          <w:rFonts w:ascii="Arial" w:eastAsia="Times New Roman" w:hAnsi="Arial" w:cs="Arial"/>
          <w:color w:val="000000"/>
          <w:sz w:val="24"/>
          <w:szCs w:val="24"/>
          <w:lang w:eastAsia="en-GB"/>
        </w:rPr>
        <w:t xml:space="preserve"> [Accessed 15 February 2022].</w:t>
      </w:r>
    </w:p>
    <w:p w14:paraId="32C5BC3C" w14:textId="77777777" w:rsidR="00B178D8" w:rsidRPr="00B178D8" w:rsidRDefault="00B178D8" w:rsidP="00B178D8">
      <w:pPr>
        <w:spacing w:after="0" w:line="480" w:lineRule="auto"/>
        <w:ind w:left="720"/>
        <w:textAlignment w:val="baseline"/>
        <w:rPr>
          <w:rFonts w:ascii="Arial" w:eastAsia="Times New Roman" w:hAnsi="Arial" w:cs="Arial"/>
          <w:color w:val="000000"/>
          <w:sz w:val="24"/>
          <w:szCs w:val="24"/>
          <w:lang w:eastAsia="en-GB"/>
        </w:rPr>
      </w:pPr>
    </w:p>
    <w:p w14:paraId="17CCAF6B" w14:textId="6BC72261" w:rsidR="00B178D8" w:rsidRPr="00B178D8" w:rsidRDefault="00B178D8" w:rsidP="00B178D8">
      <w:pPr>
        <w:numPr>
          <w:ilvl w:val="0"/>
          <w:numId w:val="4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Wortley, S. (2016). </w:t>
      </w:r>
      <w:r w:rsidRPr="00B178D8">
        <w:rPr>
          <w:rFonts w:ascii="Arial" w:eastAsia="Times New Roman" w:hAnsi="Arial" w:cs="Arial"/>
          <w:i/>
          <w:iCs/>
          <w:color w:val="000000"/>
          <w:sz w:val="24"/>
          <w:szCs w:val="24"/>
          <w:lang w:eastAsia="en-GB"/>
        </w:rPr>
        <w:t>The Root Causes of Youth Violence: A Review of Major Theoretical Perspectives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Ontario: Ministry of Children, Community and Social Services. Available at: </w:t>
      </w:r>
      <w:hyperlink r:id="rId42" w:history="1">
        <w:r w:rsidRPr="00B178D8">
          <w:rPr>
            <w:rFonts w:ascii="Arial" w:eastAsia="Times New Roman" w:hAnsi="Arial" w:cs="Arial"/>
            <w:color w:val="1155CC"/>
            <w:sz w:val="24"/>
            <w:szCs w:val="24"/>
            <w:u w:val="single"/>
            <w:lang w:eastAsia="en-GB"/>
          </w:rPr>
          <w:t>http://www.children.gov.on.ca/htdocs/English/professionals/oyap/roots/volume5/index.aspx</w:t>
        </w:r>
      </w:hyperlink>
      <w:r w:rsidRPr="00B178D8">
        <w:rPr>
          <w:rFonts w:ascii="Arial" w:eastAsia="Times New Roman" w:hAnsi="Arial" w:cs="Arial"/>
          <w:color w:val="000000"/>
          <w:sz w:val="24"/>
          <w:szCs w:val="24"/>
          <w:lang w:eastAsia="en-GB"/>
        </w:rPr>
        <w:t xml:space="preserve"> [Accessed 15 February 2022].</w:t>
      </w:r>
    </w:p>
    <w:sectPr w:rsidR="00B178D8" w:rsidRPr="00B178D8" w:rsidSect="00D4460C">
      <w:headerReference w:type="default" r:id="rId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EC7C9" w14:textId="77777777" w:rsidR="00971272" w:rsidRDefault="00971272" w:rsidP="00D4460C">
      <w:pPr>
        <w:spacing w:after="0" w:line="240" w:lineRule="auto"/>
      </w:pPr>
      <w:r>
        <w:separator/>
      </w:r>
    </w:p>
  </w:endnote>
  <w:endnote w:type="continuationSeparator" w:id="0">
    <w:p w14:paraId="08A095BC" w14:textId="77777777" w:rsidR="00971272" w:rsidRDefault="00971272" w:rsidP="00D44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ADFB5" w14:textId="77777777" w:rsidR="00971272" w:rsidRDefault="00971272" w:rsidP="00D4460C">
      <w:pPr>
        <w:spacing w:after="0" w:line="240" w:lineRule="auto"/>
      </w:pPr>
      <w:r>
        <w:separator/>
      </w:r>
    </w:p>
  </w:footnote>
  <w:footnote w:type="continuationSeparator" w:id="0">
    <w:p w14:paraId="259C280E" w14:textId="77777777" w:rsidR="00971272" w:rsidRDefault="00971272" w:rsidP="00D446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75E44" w14:textId="77777777" w:rsidR="00D4460C" w:rsidRDefault="00D4460C" w:rsidP="00D4460C">
    <w:pPr>
      <w:pStyle w:val="Header"/>
    </w:pPr>
    <w:r>
      <w:t>Callum Samuel (1801402)</w:t>
    </w:r>
    <w:r>
      <w:tab/>
    </w:r>
    <w:r>
      <w:tab/>
      <w:t>MA – Criminal Justice and Policing</w:t>
    </w:r>
  </w:p>
  <w:p w14:paraId="55B0D8DD" w14:textId="77777777" w:rsidR="00D4460C" w:rsidRDefault="00D446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37E0D"/>
    <w:multiLevelType w:val="multilevel"/>
    <w:tmpl w:val="03C0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636CA"/>
    <w:multiLevelType w:val="multilevel"/>
    <w:tmpl w:val="45E6E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F0117"/>
    <w:multiLevelType w:val="multilevel"/>
    <w:tmpl w:val="FEA2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F152C8"/>
    <w:multiLevelType w:val="multilevel"/>
    <w:tmpl w:val="2E7C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345BD6"/>
    <w:multiLevelType w:val="multilevel"/>
    <w:tmpl w:val="E61A1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EE67CD"/>
    <w:multiLevelType w:val="multilevel"/>
    <w:tmpl w:val="BBE25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514947"/>
    <w:multiLevelType w:val="multilevel"/>
    <w:tmpl w:val="B83C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01D10"/>
    <w:multiLevelType w:val="multilevel"/>
    <w:tmpl w:val="34563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01B1D"/>
    <w:multiLevelType w:val="multilevel"/>
    <w:tmpl w:val="AFE8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8B3324"/>
    <w:multiLevelType w:val="multilevel"/>
    <w:tmpl w:val="5B88C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BE6518"/>
    <w:multiLevelType w:val="multilevel"/>
    <w:tmpl w:val="3D569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D361F7"/>
    <w:multiLevelType w:val="multilevel"/>
    <w:tmpl w:val="39DE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E14792"/>
    <w:multiLevelType w:val="multilevel"/>
    <w:tmpl w:val="DC10C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F95115"/>
    <w:multiLevelType w:val="multilevel"/>
    <w:tmpl w:val="A408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314F0F"/>
    <w:multiLevelType w:val="multilevel"/>
    <w:tmpl w:val="84D09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F027D6"/>
    <w:multiLevelType w:val="multilevel"/>
    <w:tmpl w:val="D9922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C9227F"/>
    <w:multiLevelType w:val="multilevel"/>
    <w:tmpl w:val="5506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5B2ABD"/>
    <w:multiLevelType w:val="multilevel"/>
    <w:tmpl w:val="91D2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C02AFB"/>
    <w:multiLevelType w:val="multilevel"/>
    <w:tmpl w:val="3CD06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220AB5"/>
    <w:multiLevelType w:val="multilevel"/>
    <w:tmpl w:val="F3D61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EE0CC8"/>
    <w:multiLevelType w:val="multilevel"/>
    <w:tmpl w:val="1E52B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5B30DB"/>
    <w:multiLevelType w:val="multilevel"/>
    <w:tmpl w:val="E9305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EC6774"/>
    <w:multiLevelType w:val="multilevel"/>
    <w:tmpl w:val="1FA2E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025681"/>
    <w:multiLevelType w:val="multilevel"/>
    <w:tmpl w:val="988A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D35FDF"/>
    <w:multiLevelType w:val="multilevel"/>
    <w:tmpl w:val="56DC8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15483D"/>
    <w:multiLevelType w:val="multilevel"/>
    <w:tmpl w:val="FCF6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1F275D"/>
    <w:multiLevelType w:val="multilevel"/>
    <w:tmpl w:val="A2424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6E357F"/>
    <w:multiLevelType w:val="multilevel"/>
    <w:tmpl w:val="3044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A6587E"/>
    <w:multiLevelType w:val="multilevel"/>
    <w:tmpl w:val="2494C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CF19EA"/>
    <w:multiLevelType w:val="multilevel"/>
    <w:tmpl w:val="A842A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F9600E"/>
    <w:multiLevelType w:val="multilevel"/>
    <w:tmpl w:val="6550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F73EB4"/>
    <w:multiLevelType w:val="multilevel"/>
    <w:tmpl w:val="5D1C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095725"/>
    <w:multiLevelType w:val="multilevel"/>
    <w:tmpl w:val="FCF86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FC2BDC"/>
    <w:multiLevelType w:val="multilevel"/>
    <w:tmpl w:val="92A8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4D55A6"/>
    <w:multiLevelType w:val="multilevel"/>
    <w:tmpl w:val="1178A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E47621"/>
    <w:multiLevelType w:val="multilevel"/>
    <w:tmpl w:val="32AC4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5F4036"/>
    <w:multiLevelType w:val="multilevel"/>
    <w:tmpl w:val="55B0D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D2726E"/>
    <w:multiLevelType w:val="multilevel"/>
    <w:tmpl w:val="4D703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B13696"/>
    <w:multiLevelType w:val="multilevel"/>
    <w:tmpl w:val="A7DC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0D4108"/>
    <w:multiLevelType w:val="multilevel"/>
    <w:tmpl w:val="311C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9069A3"/>
    <w:multiLevelType w:val="multilevel"/>
    <w:tmpl w:val="B6FA2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954F44"/>
    <w:multiLevelType w:val="multilevel"/>
    <w:tmpl w:val="76CC1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A8235B"/>
    <w:multiLevelType w:val="multilevel"/>
    <w:tmpl w:val="06506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33"/>
  </w:num>
  <w:num w:numId="3">
    <w:abstractNumId w:val="23"/>
  </w:num>
  <w:num w:numId="4">
    <w:abstractNumId w:val="26"/>
  </w:num>
  <w:num w:numId="5">
    <w:abstractNumId w:val="2"/>
  </w:num>
  <w:num w:numId="6">
    <w:abstractNumId w:val="6"/>
  </w:num>
  <w:num w:numId="7">
    <w:abstractNumId w:val="25"/>
  </w:num>
  <w:num w:numId="8">
    <w:abstractNumId w:val="32"/>
  </w:num>
  <w:num w:numId="9">
    <w:abstractNumId w:val="0"/>
  </w:num>
  <w:num w:numId="10">
    <w:abstractNumId w:val="17"/>
  </w:num>
  <w:num w:numId="11">
    <w:abstractNumId w:val="38"/>
  </w:num>
  <w:num w:numId="12">
    <w:abstractNumId w:val="37"/>
  </w:num>
  <w:num w:numId="13">
    <w:abstractNumId w:val="21"/>
  </w:num>
  <w:num w:numId="14">
    <w:abstractNumId w:val="8"/>
  </w:num>
  <w:num w:numId="15">
    <w:abstractNumId w:val="39"/>
  </w:num>
  <w:num w:numId="16">
    <w:abstractNumId w:val="5"/>
  </w:num>
  <w:num w:numId="17">
    <w:abstractNumId w:val="10"/>
  </w:num>
  <w:num w:numId="18">
    <w:abstractNumId w:val="15"/>
  </w:num>
  <w:num w:numId="19">
    <w:abstractNumId w:val="36"/>
  </w:num>
  <w:num w:numId="20">
    <w:abstractNumId w:val="11"/>
  </w:num>
  <w:num w:numId="21">
    <w:abstractNumId w:val="9"/>
  </w:num>
  <w:num w:numId="22">
    <w:abstractNumId w:val="29"/>
  </w:num>
  <w:num w:numId="23">
    <w:abstractNumId w:val="28"/>
  </w:num>
  <w:num w:numId="24">
    <w:abstractNumId w:val="40"/>
  </w:num>
  <w:num w:numId="25">
    <w:abstractNumId w:val="41"/>
  </w:num>
  <w:num w:numId="26">
    <w:abstractNumId w:val="35"/>
  </w:num>
  <w:num w:numId="27">
    <w:abstractNumId w:val="7"/>
  </w:num>
  <w:num w:numId="28">
    <w:abstractNumId w:val="12"/>
  </w:num>
  <w:num w:numId="29">
    <w:abstractNumId w:val="20"/>
  </w:num>
  <w:num w:numId="30">
    <w:abstractNumId w:val="19"/>
  </w:num>
  <w:num w:numId="31">
    <w:abstractNumId w:val="30"/>
  </w:num>
  <w:num w:numId="32">
    <w:abstractNumId w:val="4"/>
  </w:num>
  <w:num w:numId="33">
    <w:abstractNumId w:val="3"/>
  </w:num>
  <w:num w:numId="34">
    <w:abstractNumId w:val="24"/>
  </w:num>
  <w:num w:numId="35">
    <w:abstractNumId w:val="1"/>
  </w:num>
  <w:num w:numId="36">
    <w:abstractNumId w:val="34"/>
  </w:num>
  <w:num w:numId="37">
    <w:abstractNumId w:val="18"/>
  </w:num>
  <w:num w:numId="38">
    <w:abstractNumId w:val="31"/>
  </w:num>
  <w:num w:numId="39">
    <w:abstractNumId w:val="13"/>
  </w:num>
  <w:num w:numId="40">
    <w:abstractNumId w:val="27"/>
  </w:num>
  <w:num w:numId="41">
    <w:abstractNumId w:val="42"/>
  </w:num>
  <w:num w:numId="42">
    <w:abstractNumId w:val="16"/>
  </w:num>
  <w:num w:numId="4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005"/>
    <w:rsid w:val="000C1CF1"/>
    <w:rsid w:val="00146742"/>
    <w:rsid w:val="00185CEA"/>
    <w:rsid w:val="001D6CCD"/>
    <w:rsid w:val="00215921"/>
    <w:rsid w:val="0023620A"/>
    <w:rsid w:val="00252724"/>
    <w:rsid w:val="00263C15"/>
    <w:rsid w:val="002B6438"/>
    <w:rsid w:val="00312005"/>
    <w:rsid w:val="00313CC8"/>
    <w:rsid w:val="00377059"/>
    <w:rsid w:val="004E0E50"/>
    <w:rsid w:val="004E3224"/>
    <w:rsid w:val="0051253C"/>
    <w:rsid w:val="005165B5"/>
    <w:rsid w:val="00536EE6"/>
    <w:rsid w:val="005B6EBF"/>
    <w:rsid w:val="006F2B14"/>
    <w:rsid w:val="006F7E35"/>
    <w:rsid w:val="007104BF"/>
    <w:rsid w:val="0071063C"/>
    <w:rsid w:val="007D0B45"/>
    <w:rsid w:val="00855075"/>
    <w:rsid w:val="00971272"/>
    <w:rsid w:val="009D421F"/>
    <w:rsid w:val="00AD6CEB"/>
    <w:rsid w:val="00B11254"/>
    <w:rsid w:val="00B178D8"/>
    <w:rsid w:val="00B9077D"/>
    <w:rsid w:val="00BB5EA7"/>
    <w:rsid w:val="00CB6113"/>
    <w:rsid w:val="00D01D31"/>
    <w:rsid w:val="00D4460C"/>
    <w:rsid w:val="00D86779"/>
    <w:rsid w:val="00DD3C6B"/>
    <w:rsid w:val="00DE2A0C"/>
    <w:rsid w:val="00E33148"/>
    <w:rsid w:val="00E579C8"/>
    <w:rsid w:val="00E924FD"/>
    <w:rsid w:val="00E93894"/>
    <w:rsid w:val="00E96A69"/>
    <w:rsid w:val="00EB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FF900"/>
  <w15:chartTrackingRefBased/>
  <w15:docId w15:val="{1364C25F-5752-4445-9B12-486572B90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F2B14"/>
    <w:rPr>
      <w:sz w:val="16"/>
      <w:szCs w:val="16"/>
    </w:rPr>
  </w:style>
  <w:style w:type="paragraph" w:styleId="CommentText">
    <w:name w:val="annotation text"/>
    <w:basedOn w:val="Normal"/>
    <w:link w:val="CommentTextChar"/>
    <w:uiPriority w:val="99"/>
    <w:unhideWhenUsed/>
    <w:rsid w:val="006F2B14"/>
    <w:pPr>
      <w:spacing w:line="240" w:lineRule="auto"/>
    </w:pPr>
    <w:rPr>
      <w:sz w:val="20"/>
      <w:szCs w:val="20"/>
    </w:rPr>
  </w:style>
  <w:style w:type="character" w:customStyle="1" w:styleId="CommentTextChar">
    <w:name w:val="Comment Text Char"/>
    <w:basedOn w:val="DefaultParagraphFont"/>
    <w:link w:val="CommentText"/>
    <w:uiPriority w:val="99"/>
    <w:rsid w:val="006F2B14"/>
    <w:rPr>
      <w:sz w:val="20"/>
      <w:szCs w:val="20"/>
    </w:rPr>
  </w:style>
  <w:style w:type="paragraph" w:styleId="CommentSubject">
    <w:name w:val="annotation subject"/>
    <w:basedOn w:val="CommentText"/>
    <w:next w:val="CommentText"/>
    <w:link w:val="CommentSubjectChar"/>
    <w:uiPriority w:val="99"/>
    <w:semiHidden/>
    <w:unhideWhenUsed/>
    <w:rsid w:val="006F2B14"/>
    <w:rPr>
      <w:b/>
      <w:bCs/>
    </w:rPr>
  </w:style>
  <w:style w:type="character" w:customStyle="1" w:styleId="CommentSubjectChar">
    <w:name w:val="Comment Subject Char"/>
    <w:basedOn w:val="CommentTextChar"/>
    <w:link w:val="CommentSubject"/>
    <w:uiPriority w:val="99"/>
    <w:semiHidden/>
    <w:rsid w:val="006F2B14"/>
    <w:rPr>
      <w:b/>
      <w:bCs/>
      <w:sz w:val="20"/>
      <w:szCs w:val="20"/>
    </w:rPr>
  </w:style>
  <w:style w:type="paragraph" w:styleId="Header">
    <w:name w:val="header"/>
    <w:basedOn w:val="Normal"/>
    <w:link w:val="HeaderChar"/>
    <w:uiPriority w:val="99"/>
    <w:unhideWhenUsed/>
    <w:rsid w:val="00D44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60C"/>
  </w:style>
  <w:style w:type="paragraph" w:styleId="Footer">
    <w:name w:val="footer"/>
    <w:basedOn w:val="Normal"/>
    <w:link w:val="FooterChar"/>
    <w:uiPriority w:val="99"/>
    <w:unhideWhenUsed/>
    <w:rsid w:val="00D44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6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80900">
      <w:bodyDiv w:val="1"/>
      <w:marLeft w:val="0"/>
      <w:marRight w:val="0"/>
      <w:marTop w:val="0"/>
      <w:marBottom w:val="0"/>
      <w:divBdr>
        <w:top w:val="none" w:sz="0" w:space="0" w:color="auto"/>
        <w:left w:val="none" w:sz="0" w:space="0" w:color="auto"/>
        <w:bottom w:val="none" w:sz="0" w:space="0" w:color="auto"/>
        <w:right w:val="none" w:sz="0" w:space="0" w:color="auto"/>
      </w:divBdr>
    </w:div>
    <w:div w:id="168887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ylorfrancis.com/books/mono/10.4324/9781315204871/introduction-criminological-theory-roger-hopkins-burke" TargetMode="External"/><Relationship Id="rId18" Type="http://schemas.openxmlformats.org/officeDocument/2006/relationships/hyperlink" Target="https://www.edinburghnews.scotsman.com/news/people/edinburgh-women-launch-volunteer-service-to-get-people-home-safe-in-wake-of-sarah-everards-death-3208073" TargetMode="External"/><Relationship Id="rId26" Type="http://schemas.openxmlformats.org/officeDocument/2006/relationships/hyperlink" Target="https://www.oxfordbibliographies.com/view/document/obo-9780195396607/obo-9780195396607-0091.xml" TargetMode="External"/><Relationship Id="rId39" Type="http://schemas.openxmlformats.org/officeDocument/2006/relationships/hyperlink" Target="https://www.theguardian.com/uk-news/2021/jul/09/a-crossroads-the-impact-of-the-sarah-everard-case-on-womens-safety" TargetMode="External"/><Relationship Id="rId21" Type="http://schemas.openxmlformats.org/officeDocument/2006/relationships/hyperlink" Target="https://oxford.universitypressscholarship.com/view/10.1093/oso/9780190069797.001.0001/oso-9780190069797" TargetMode="External"/><Relationship Id="rId34" Type="http://schemas.openxmlformats.org/officeDocument/2006/relationships/hyperlink" Target="https://www.bbc.co.uk/news/newsbeat-55302854" TargetMode="External"/><Relationship Id="rId42" Type="http://schemas.openxmlformats.org/officeDocument/2006/relationships/hyperlink" Target="http://www.children.gov.on.ca/htdocs/English/professionals/oyap/roots/volume5/index.aspx"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rohic.nl/wp-content/uploads/2021/01/150-14jan2021-SocialControlTheoryOverview.pdf" TargetMode="External"/><Relationship Id="rId29" Type="http://schemas.openxmlformats.org/officeDocument/2006/relationships/hyperlink" Target="http://www.children.gov.on.ca/htdocs/English/professionals/oyap/roots/volume5/index.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ora.tabriz.ir/Uploads/83/cms/user/File/657/E_Book/Urban%20Studies/park%20burgess%20the%20city.pdf" TargetMode="External"/><Relationship Id="rId24" Type="http://schemas.openxmlformats.org/officeDocument/2006/relationships/hyperlink" Target="https://compass.onlinelibrary.wiley.com/doi/full/10.1111/phc3.12774" TargetMode="External"/><Relationship Id="rId32" Type="http://schemas.openxmlformats.org/officeDocument/2006/relationships/hyperlink" Target="https://www.justice.govt.nz/assets/Documents/Publications/CCTV.pdf" TargetMode="External"/><Relationship Id="rId37" Type="http://schemas.openxmlformats.org/officeDocument/2006/relationships/hyperlink" Target="https://heinonline.org/HOL/LandingPage?handle=hein.journals/crpp7&amp;div=8&amp;id=&amp;page=" TargetMode="External"/><Relationship Id="rId40" Type="http://schemas.openxmlformats.org/officeDocument/2006/relationships/hyperlink" Target="https://ccjls.scholasticahq.com/api/v1/attachments/530/download"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faculty.washington.edu/matsueda/courses/587/readings/Cohen%20and%20Felson%201979%20Routine%20Activities.pdf" TargetMode="External"/><Relationship Id="rId23" Type="http://schemas.openxmlformats.org/officeDocument/2006/relationships/hyperlink" Target="https://sk-sagepub-com.ezproxy.uwtsd.ac.uk/books/theorizing-crime-and-deviance" TargetMode="External"/><Relationship Id="rId28" Type="http://schemas.openxmlformats.org/officeDocument/2006/relationships/hyperlink" Target="http://www.children.gov.on.ca/htdocs/English/professionals/oyap/roots/volume5/index.aspx" TargetMode="External"/><Relationship Id="rId36" Type="http://schemas.openxmlformats.org/officeDocument/2006/relationships/hyperlink" Target="https://scholar.uwindsor.ca/cgi/viewcontent.cgi?article=4414&amp;context=etd" TargetMode="External"/><Relationship Id="rId10" Type="http://schemas.openxmlformats.org/officeDocument/2006/relationships/hyperlink" Target="https://cronfa.swan.ac.uk/Record/cronfa52705/Download/52705__16090__83bcd69ba5a246c8b80ebe26aa8bdf34.pdf" TargetMode="External"/><Relationship Id="rId19" Type="http://schemas.openxmlformats.org/officeDocument/2006/relationships/hyperlink" Target="https://onlinelibrary.wiley.com/doi/full/10.1002/9781118517390.wbetc028" TargetMode="External"/><Relationship Id="rId31" Type="http://schemas.openxmlformats.org/officeDocument/2006/relationships/hyperlink" Target="http://eprints.lse.ac.uk/68133/1/Newburn_Social%20Disadvantage%20and%20Crime.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noskop.org/images/2/2b/Becker_Howard_Outsiders_Studies_In_The_Sociogy_Of_Deviance_1963.pdf" TargetMode="External"/><Relationship Id="rId14" Type="http://schemas.openxmlformats.org/officeDocument/2006/relationships/hyperlink" Target="https://www.childrenscommissioner.gov.uk/wp-content/uploads/2019/02/CCO-Gangs.pdf" TargetMode="External"/><Relationship Id="rId22" Type="http://schemas.openxmlformats.org/officeDocument/2006/relationships/hyperlink" Target="http://www.ijese.net/makale_indir/IJESE_1711_article_585aac2e00f77.pdf" TargetMode="External"/><Relationship Id="rId27" Type="http://schemas.openxmlformats.org/officeDocument/2006/relationships/hyperlink" Target="https://www.jstor.org/stable/2781906" TargetMode="External"/><Relationship Id="rId30" Type="http://schemas.openxmlformats.org/officeDocument/2006/relationships/hyperlink" Target="https://www.ourwatch.org.uk/crime-prevention/crime-prevention-advice" TargetMode="External"/><Relationship Id="rId35" Type="http://schemas.openxmlformats.org/officeDocument/2006/relationships/hyperlink" Target="https://citeseerx.ist.psu.edu/viewdoc/download?doi=10.1.1.362.602&amp;rep=rep1&amp;type=pdf" TargetMode="External"/><Relationship Id="rId43" Type="http://schemas.openxmlformats.org/officeDocument/2006/relationships/header" Target="header1.xml"/><Relationship Id="rId8" Type="http://schemas.openxmlformats.org/officeDocument/2006/relationships/hyperlink" Target="https://www.ucc.ie/en/media/academic/law/ccjhr/publicationsseptember2018/CCJHRCCTVasaCrimePreventionStrategyDApplebe2009.pdf" TargetMode="External"/><Relationship Id="rId3" Type="http://schemas.openxmlformats.org/officeDocument/2006/relationships/styles" Target="styles.xml"/><Relationship Id="rId12" Type="http://schemas.openxmlformats.org/officeDocument/2006/relationships/hyperlink" Target="https://mgnyunt.files.wordpress.com/2014/09/an-introduction-to-criminological-theory.pdf" TargetMode="External"/><Relationship Id="rId17" Type="http://schemas.openxmlformats.org/officeDocument/2006/relationships/hyperlink" Target="https://journals.sagepub.com/doi/full/10.1177/1748895818818861" TargetMode="External"/><Relationship Id="rId25" Type="http://schemas.openxmlformats.org/officeDocument/2006/relationships/hyperlink" Target="https://journals.sagepub.com/doi/full/10.1177/0022427817707240" TargetMode="External"/><Relationship Id="rId33" Type="http://schemas.openxmlformats.org/officeDocument/2006/relationships/hyperlink" Target="https://www.nspcc.org.uk/what-is-child-abuse/types-of-abuse/gangs-criminal-exploitation/" TargetMode="External"/><Relationship Id="rId38" Type="http://schemas.openxmlformats.org/officeDocument/2006/relationships/hyperlink" Target="https://www.earlymoderntexts.com/assets/pdfs/smith1776_1.pdf" TargetMode="External"/><Relationship Id="rId20" Type="http://schemas.openxmlformats.org/officeDocument/2006/relationships/hyperlink" Target="https://is.muni.cz/el/1423/jaro2015/SPR209/um/Fitzgeral_2011_Historical_Theories_of_Crime.pdf?fbclid=IwAR2B0m2XCsIiOVb9lmjbrA1GoUHbrjz_ErGhrgwBp5GxuCDbg-qL62PzrrI" TargetMode="External"/><Relationship Id="rId41" Type="http://schemas.openxmlformats.org/officeDocument/2006/relationships/hyperlink" Target="https://www.morethanmeets.co/rational-choice-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2FD1B-6847-433E-AC1D-893EDDFC5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23</Pages>
  <Words>5467</Words>
  <Characters>31164</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Policing, Powers, Models &amp; Society – Assignment 1 - Lecturer: Dr. Luke Roach</dc:subject>
  <dc:creator>Callum Samuel – ID : 1801402</dc:creator>
  <cp:keywords/>
  <dc:description/>
  <cp:lastModifiedBy>Callum Samuel (1801402)</cp:lastModifiedBy>
  <cp:revision>35</cp:revision>
  <dcterms:created xsi:type="dcterms:W3CDTF">2022-02-26T19:55:00Z</dcterms:created>
  <dcterms:modified xsi:type="dcterms:W3CDTF">2022-03-04T22:38:00Z</dcterms:modified>
</cp:coreProperties>
</file>