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8761" w14:textId="77777777" w:rsidR="001150ED" w:rsidRPr="00AF1717" w:rsidRDefault="001150ED" w:rsidP="001150ED">
      <w:pPr>
        <w:jc w:val="center"/>
        <w:rPr>
          <w:rFonts w:ascii="Arial" w:hAnsi="Arial"/>
          <w:bCs/>
          <w:sz w:val="32"/>
        </w:rPr>
      </w:pPr>
      <w:r w:rsidRPr="00AF1717">
        <w:rPr>
          <w:rFonts w:ascii="Arial" w:hAnsi="Arial"/>
          <w:bCs/>
          <w:sz w:val="32"/>
        </w:rPr>
        <w:t>Module: Personal resourcing and development</w:t>
      </w:r>
    </w:p>
    <w:p w14:paraId="0ADA41F3" w14:textId="77777777" w:rsidR="001150ED" w:rsidRPr="00AF1717" w:rsidRDefault="001150ED" w:rsidP="001150ED">
      <w:pPr>
        <w:jc w:val="center"/>
        <w:rPr>
          <w:rFonts w:ascii="Arial" w:hAnsi="Arial"/>
          <w:bCs/>
          <w:sz w:val="32"/>
        </w:rPr>
      </w:pPr>
      <w:r w:rsidRPr="00AF1717">
        <w:rPr>
          <w:rFonts w:ascii="Arial" w:hAnsi="Arial"/>
          <w:bCs/>
          <w:sz w:val="32"/>
        </w:rPr>
        <w:t>Module code: BMIH5005</w:t>
      </w:r>
    </w:p>
    <w:p w14:paraId="46587A90" w14:textId="492F58B7" w:rsidR="001150ED" w:rsidRPr="00AF1717" w:rsidRDefault="00AF1717" w:rsidP="001150ED">
      <w:pPr>
        <w:jc w:val="center"/>
        <w:rPr>
          <w:rFonts w:ascii="Arial" w:hAnsi="Arial"/>
          <w:bCs/>
          <w:sz w:val="32"/>
        </w:rPr>
      </w:pPr>
      <w:r>
        <w:rPr>
          <w:rFonts w:ascii="Arial" w:hAnsi="Arial"/>
          <w:bCs/>
          <w:sz w:val="32"/>
        </w:rPr>
        <w:t>Lecturer: Kathryn Roberts</w:t>
      </w:r>
    </w:p>
    <w:p w14:paraId="4B62B4C3" w14:textId="423E6FC3" w:rsidR="001150ED" w:rsidRDefault="006065A8" w:rsidP="001150ED">
      <w:pPr>
        <w:jc w:val="center"/>
        <w:rPr>
          <w:rFonts w:ascii="Arial" w:hAnsi="Arial"/>
          <w:b/>
          <w:sz w:val="32"/>
        </w:rPr>
      </w:pPr>
      <w:r w:rsidRPr="00AF1717">
        <w:rPr>
          <w:rFonts w:ascii="Arial" w:hAnsi="Arial"/>
          <w:bCs/>
          <w:sz w:val="32"/>
        </w:rPr>
        <w:t>Student name: Sadia Mirza</w:t>
      </w:r>
      <w:r>
        <w:rPr>
          <w:rFonts w:ascii="Arial" w:hAnsi="Arial"/>
          <w:b/>
          <w:sz w:val="32"/>
        </w:rPr>
        <w:t xml:space="preserve"> </w:t>
      </w:r>
    </w:p>
    <w:p w14:paraId="2775E212" w14:textId="77777777" w:rsidR="00BE45F9" w:rsidRDefault="00BE45F9">
      <w:pPr>
        <w:spacing w:after="160" w:line="259" w:lineRule="auto"/>
        <w:jc w:val="left"/>
        <w:rPr>
          <w:b/>
          <w:bCs/>
          <w:sz w:val="32"/>
          <w:szCs w:val="32"/>
        </w:rPr>
      </w:pPr>
      <w:r>
        <w:rPr>
          <w:b/>
          <w:bCs/>
          <w:sz w:val="32"/>
          <w:szCs w:val="32"/>
        </w:rPr>
        <w:br w:type="page"/>
      </w:r>
    </w:p>
    <w:p w14:paraId="21C3CBEC" w14:textId="735182A1" w:rsidR="00BE45F9" w:rsidRPr="00513DF7" w:rsidRDefault="00BE45F9" w:rsidP="00BE45F9">
      <w:pPr>
        <w:pStyle w:val="Heading1"/>
        <w:jc w:val="center"/>
        <w:rPr>
          <w:rFonts w:ascii="Arial" w:hAnsi="Arial" w:cs="Arial"/>
          <w:color w:val="4472C4" w:themeColor="accent1"/>
          <w:u w:val="single"/>
        </w:rPr>
      </w:pPr>
      <w:r w:rsidRPr="00513DF7">
        <w:rPr>
          <w:rFonts w:ascii="Arial" w:hAnsi="Arial" w:cs="Arial"/>
          <w:color w:val="4472C4" w:themeColor="accent1"/>
          <w:u w:val="single"/>
        </w:rPr>
        <w:lastRenderedPageBreak/>
        <w:t>How to Engage Employees through Employee Lifecycle</w:t>
      </w:r>
    </w:p>
    <w:p w14:paraId="67C49709" w14:textId="781D19AD" w:rsidR="00BE45F9" w:rsidRPr="00513DF7" w:rsidRDefault="00BE45F9" w:rsidP="00605010">
      <w:pPr>
        <w:rPr>
          <w:rFonts w:ascii="Arial" w:hAnsi="Arial"/>
        </w:rPr>
      </w:pPr>
      <w:r w:rsidRPr="00513DF7">
        <w:rPr>
          <w:rFonts w:ascii="Arial" w:hAnsi="Arial"/>
        </w:rPr>
        <w:t xml:space="preserve">An effective management tool, the employee life cycle depicts an employee's journey through the many stages of their employment. All of an employee's interactions with a firm are accounted for in this approach. Employee engagement is an important component of the employee lifecycle that may help a firm make the most of its workforce's talents, yet it is often overlooked by major corporations. The term "employee engagement" refers to the mental and emotional attachment that workers feel to their jobs, their teams, and their employers. Employees who have a strong sense of belonging to their company are more likely to go above and beyond in their job, remain with the company for a longer period, and even inspire others around them to do the same (Sun &amp; </w:t>
      </w:r>
      <w:proofErr w:type="spellStart"/>
      <w:r w:rsidRPr="00513DF7">
        <w:rPr>
          <w:rFonts w:ascii="Arial" w:hAnsi="Arial"/>
        </w:rPr>
        <w:t>Bunchapattanasakda</w:t>
      </w:r>
      <w:proofErr w:type="spellEnd"/>
      <w:r w:rsidRPr="00513DF7">
        <w:rPr>
          <w:rFonts w:ascii="Arial" w:hAnsi="Arial"/>
        </w:rPr>
        <w:t>, 2019). More than 90 percent of CEOs and other company leaders are firm believers that an engaged workforce leads to improved performance at every level of the organization (Ewin et al., 2019). Using Hilton Hotels as an example of a company that has effectively implemented an employee lifecycle strategy, this article examines the topic of employee engagement at length across the employee lifetime.</w:t>
      </w:r>
    </w:p>
    <w:p w14:paraId="7BE31E5D" w14:textId="6D56B373" w:rsidR="00BE45F9" w:rsidRPr="00513DF7" w:rsidRDefault="00BE45F9" w:rsidP="00605010">
      <w:pPr>
        <w:rPr>
          <w:rFonts w:ascii="Arial" w:hAnsi="Arial"/>
        </w:rPr>
      </w:pPr>
      <w:r w:rsidRPr="00513DF7">
        <w:rPr>
          <w:rFonts w:ascii="Arial" w:hAnsi="Arial"/>
        </w:rPr>
        <w:t>Customer service is the backbone of the hotel sector, and workers are the only visible representatives of the company (Book et al., 2019). It just takes one mistake to turn a satisfied client into an angry one (Kurtzman, 2017). When workers believe they are contributing to the success of the firm as a whole, they take more pleasure in their work and are more invested in its future. Employee engagement is a major concern for every business, including those that run hotels on a global scale, and is a crucial HR problem (Mayne, 2017). Data shows that just around 15% of workers throughout the globe are invested in their jobs (Mayne, 2017). These numbers are eye-opening, and they highlight why leadership and HR should care so much about employee engagement. They also provide light on the expansion of the consulting, research, and advisory sectors related to employee engagement. Then, the obvious follow-up inquiry is: why are human resources involved?</w:t>
      </w:r>
    </w:p>
    <w:p w14:paraId="5310DDC7" w14:textId="605DC331" w:rsidR="00BE45F9" w:rsidRPr="00513DF7" w:rsidRDefault="00BE45F9" w:rsidP="00605010">
      <w:pPr>
        <w:rPr>
          <w:rFonts w:ascii="Arial" w:hAnsi="Arial"/>
        </w:rPr>
      </w:pPr>
      <w:r w:rsidRPr="00513DF7">
        <w:rPr>
          <w:rFonts w:ascii="Arial" w:hAnsi="Arial"/>
        </w:rPr>
        <w:t xml:space="preserve">To begin, human resources (HR) importance to employee engagement cannot be overstated (Half, 2022). Everyone in HR should give some thought to employee </w:t>
      </w:r>
      <w:r w:rsidRPr="00513DF7">
        <w:rPr>
          <w:rFonts w:ascii="Arial" w:hAnsi="Arial"/>
        </w:rPr>
        <w:lastRenderedPageBreak/>
        <w:t>engagement, notwithstanding the abundance of employee engagement programs and activities. The HR principles must be nailed down correctly if maximum employee engagement is to be attained (Bhardwaj &amp; Kalia, 2021). Employee engagement is more nuanced than it first seems since it affects almost every facet of human resources. However, for employee involvement to be effective, the HR department has to have a broad perspective of the employment agreement. Human resources are responsible for creating an atmosphere where workers may thrive and acquire the knowledge they need to do their jobs well.</w:t>
      </w:r>
    </w:p>
    <w:p w14:paraId="49190F35" w14:textId="77777777" w:rsidR="00BE45F9" w:rsidRPr="00513DF7" w:rsidRDefault="00BE45F9" w:rsidP="00605010">
      <w:pPr>
        <w:rPr>
          <w:rFonts w:ascii="Arial" w:hAnsi="Arial"/>
        </w:rPr>
      </w:pPr>
    </w:p>
    <w:p w14:paraId="61693E04" w14:textId="4A23F43E" w:rsidR="00BE45F9" w:rsidRPr="00513DF7" w:rsidRDefault="00BE45F9" w:rsidP="00605010">
      <w:pPr>
        <w:rPr>
          <w:rFonts w:ascii="Arial" w:hAnsi="Arial"/>
        </w:rPr>
      </w:pPr>
      <w:r w:rsidRPr="00513DF7">
        <w:rPr>
          <w:rFonts w:ascii="Arial" w:hAnsi="Arial"/>
        </w:rPr>
        <w:t xml:space="preserve">Furthermore, HR must continue training and developing staff to keep up the resulting levels of employee engagement. It must guarantee that the career pathways of its personnel are well-defined (Sun &amp; </w:t>
      </w:r>
      <w:proofErr w:type="spellStart"/>
      <w:r w:rsidRPr="00513DF7">
        <w:rPr>
          <w:rFonts w:ascii="Arial" w:hAnsi="Arial"/>
        </w:rPr>
        <w:t>Bunchapattanasakda</w:t>
      </w:r>
      <w:proofErr w:type="spellEnd"/>
      <w:r w:rsidRPr="00513DF7">
        <w:rPr>
          <w:rFonts w:ascii="Arial" w:hAnsi="Arial"/>
        </w:rPr>
        <w:t>, 2019). When workers are invested in their job, they understand their roles and responsibilities and put out the effort to achieve both their own and the company's objectives (</w:t>
      </w:r>
      <w:proofErr w:type="spellStart"/>
      <w:r w:rsidRPr="00513DF7">
        <w:rPr>
          <w:rFonts w:ascii="Arial" w:hAnsi="Arial"/>
        </w:rPr>
        <w:t>Rabiul</w:t>
      </w:r>
      <w:proofErr w:type="spellEnd"/>
      <w:r w:rsidRPr="00513DF7">
        <w:rPr>
          <w:rFonts w:ascii="Arial" w:hAnsi="Arial"/>
        </w:rPr>
        <w:t xml:space="preserve"> et al., 2021)</w:t>
      </w:r>
    </w:p>
    <w:p w14:paraId="1D7D1086" w14:textId="08161262" w:rsidR="00BE45F9" w:rsidRPr="00513DF7" w:rsidRDefault="00BE45F9" w:rsidP="00605010">
      <w:pPr>
        <w:rPr>
          <w:rFonts w:ascii="Arial" w:hAnsi="Arial"/>
        </w:rPr>
      </w:pPr>
      <w:r w:rsidRPr="00513DF7">
        <w:rPr>
          <w:rFonts w:ascii="Arial" w:hAnsi="Arial"/>
        </w:rPr>
        <w:t xml:space="preserve">After the importance of employee engagement has been established, it is necessary to determine how a team may become involved at work to improve output, client retention, and satisfaction. George, </w:t>
      </w:r>
      <w:proofErr w:type="spellStart"/>
      <w:r w:rsidRPr="00513DF7">
        <w:rPr>
          <w:rFonts w:ascii="Arial" w:hAnsi="Arial"/>
        </w:rPr>
        <w:t>Omuudu</w:t>
      </w:r>
      <w:proofErr w:type="spellEnd"/>
      <w:r w:rsidRPr="00513DF7">
        <w:rPr>
          <w:rFonts w:ascii="Arial" w:hAnsi="Arial"/>
        </w:rPr>
        <w:t>, and Francis (2020) argue that staying in touch with workers is the most effective method of employee engagement. In the absence of essential firm information, whether intentionally or not, workers will have to draw their conclusions about the business. Therefore, it is critical to provide employees with updates on the status of the company's financial performance, established objectives, and the reasons for the importance of such information as often as is practical (George et al., 2020). Involving the workforce in corporate happenings and keeping them informed builds loyalty.</w:t>
      </w:r>
    </w:p>
    <w:p w14:paraId="61EF9BD3" w14:textId="1EDFF705" w:rsidR="00BE45F9" w:rsidRPr="00513DF7" w:rsidRDefault="00BE45F9" w:rsidP="00605010">
      <w:pPr>
        <w:rPr>
          <w:rFonts w:ascii="Arial" w:hAnsi="Arial"/>
        </w:rPr>
      </w:pPr>
      <w:r w:rsidRPr="00513DF7">
        <w:rPr>
          <w:rFonts w:ascii="Arial" w:hAnsi="Arial"/>
        </w:rPr>
        <w:t xml:space="preserve">An additional selling factor in employee engagement is a clear statement of expectations (Sun &amp; </w:t>
      </w:r>
      <w:proofErr w:type="spellStart"/>
      <w:r w:rsidRPr="00513DF7">
        <w:rPr>
          <w:rFonts w:ascii="Arial" w:hAnsi="Arial"/>
        </w:rPr>
        <w:t>Bunchapattanasakda</w:t>
      </w:r>
      <w:proofErr w:type="spellEnd"/>
      <w:r w:rsidRPr="00513DF7">
        <w:rPr>
          <w:rFonts w:ascii="Arial" w:hAnsi="Arial"/>
        </w:rPr>
        <w:t xml:space="preserve">, 2019). For example, if workers don't know what they're doing or how to accomplish it, it might be tough to get them interested in a project. When a task is assigned to a member of the company's staff, they should get a thorough briefing in which all relevant information is provided and all instructions and expectations are double-checked. The importance of the project to the overall corporate objectives should </w:t>
      </w:r>
      <w:r w:rsidRPr="00513DF7">
        <w:rPr>
          <w:rFonts w:ascii="Arial" w:hAnsi="Arial"/>
        </w:rPr>
        <w:lastRenderedPageBreak/>
        <w:t>be outlined, and the audience allowed to ask follow-up questions. Since not all initiatives are likely to be enjoyable, McBain (2007) advises against glossing over unfavorable aspects. The organization should be transparent about the requirements of such jobs. There is nothing worse for a company's reputation than being seen as dishonest about the job they are performing.</w:t>
      </w:r>
    </w:p>
    <w:p w14:paraId="4039E1DE" w14:textId="4F805EAB" w:rsidR="00BE45F9" w:rsidRPr="00513DF7" w:rsidRDefault="00BE45F9" w:rsidP="00605010">
      <w:pPr>
        <w:rPr>
          <w:rFonts w:ascii="Arial" w:hAnsi="Arial"/>
        </w:rPr>
      </w:pPr>
      <w:r w:rsidRPr="00513DF7">
        <w:rPr>
          <w:rFonts w:ascii="Arial" w:hAnsi="Arial"/>
        </w:rPr>
        <w:t>Being consistent is extremely important while interacting with workers at work. Each worker must be treated equally, and the business must cater to each individual's needs (Pandey, Gupta &amp; Hassan, 2020). One strategy to maintain uniformity is to apply the same standards to all staff. If management seems to favor some employees, they may lose some of their team's support. If you want to get your staff invested in the firm, you need to lead by example.</w:t>
      </w:r>
    </w:p>
    <w:p w14:paraId="079AD0ED" w14:textId="5D53B4E6" w:rsidR="00BE45F9" w:rsidRPr="00513DF7" w:rsidRDefault="00BE45F9" w:rsidP="00605010">
      <w:pPr>
        <w:rPr>
          <w:rFonts w:ascii="Arial" w:hAnsi="Arial"/>
        </w:rPr>
      </w:pPr>
      <w:r w:rsidRPr="00513DF7">
        <w:rPr>
          <w:rFonts w:ascii="Arial" w:hAnsi="Arial"/>
        </w:rPr>
        <w:t>The advantages of having invested workers are further explored by Herman (2022). One of the most important advantages is a decrease in absence, and although every company has its character, absenteeism is a common issue in most workplaces. This is seen not as an individual issue but rather as a managerial one. It might quickly get out of hand and cost the company a lot of money if something isn't done about it. Herman (2022) argues that focusing on employee motivation, satisfaction, and engagement may help reduce absenteeism. He cites studies showing that a 40% drop in absenteeism may be achieved by increasing employee engagement. This has the potential to boost morale inside the company, which in turn might boost productivity (Anthony-</w:t>
      </w:r>
      <w:proofErr w:type="spellStart"/>
      <w:r w:rsidRPr="00513DF7">
        <w:rPr>
          <w:rFonts w:ascii="Arial" w:hAnsi="Arial"/>
        </w:rPr>
        <w:t>McMannn</w:t>
      </w:r>
      <w:proofErr w:type="spellEnd"/>
      <w:r w:rsidRPr="00513DF7">
        <w:rPr>
          <w:rFonts w:ascii="Arial" w:hAnsi="Arial"/>
        </w:rPr>
        <w:t xml:space="preserve"> et al., 2017) An increased focus on employee safety is only one advantage of a well-engaged workforce (Herman, 2022). Simply put, this advantage is realized because businesses can count on regular attendance and participation from workers, who are more likely to take safety and quality concerns seriously (</w:t>
      </w:r>
      <w:proofErr w:type="spellStart"/>
      <w:r w:rsidRPr="00513DF7">
        <w:rPr>
          <w:rFonts w:ascii="Arial" w:hAnsi="Arial"/>
        </w:rPr>
        <w:t>Hinzman</w:t>
      </w:r>
      <w:proofErr w:type="spellEnd"/>
      <w:r w:rsidRPr="00513DF7">
        <w:rPr>
          <w:rFonts w:ascii="Arial" w:hAnsi="Arial"/>
        </w:rPr>
        <w:t xml:space="preserve">, </w:t>
      </w:r>
      <w:proofErr w:type="spellStart"/>
      <w:r w:rsidRPr="00513DF7">
        <w:rPr>
          <w:rFonts w:ascii="Arial" w:hAnsi="Arial"/>
        </w:rPr>
        <w:t>Rasticova</w:t>
      </w:r>
      <w:proofErr w:type="spellEnd"/>
      <w:r w:rsidRPr="00513DF7">
        <w:rPr>
          <w:rFonts w:ascii="Arial" w:hAnsi="Arial"/>
        </w:rPr>
        <w:t xml:space="preserve"> &amp; Sacha, 2019). Workers are less likely to make careless errors that might cause accidents on the job if they are in a positive frame of mind and experiencing low levels of stress and distraction. Employees that are invested in their job are more likely to take precautions, resulting in a 70% decrease in safety occurrences, when they work for a reliable and stable company (Herman, 2022). Hilton Hotels, one of the best in the world, is a great case study of employee engagement in the hospitality industry.</w:t>
      </w:r>
    </w:p>
    <w:p w14:paraId="594DCE51" w14:textId="11142B00" w:rsidR="00BE45F9" w:rsidRPr="00513DF7" w:rsidRDefault="00BE45F9" w:rsidP="00605010">
      <w:pPr>
        <w:rPr>
          <w:rFonts w:ascii="Arial" w:hAnsi="Arial"/>
        </w:rPr>
      </w:pPr>
      <w:r w:rsidRPr="00513DF7">
        <w:rPr>
          <w:rFonts w:ascii="Arial" w:hAnsi="Arial"/>
        </w:rPr>
        <w:lastRenderedPageBreak/>
        <w:t>When it comes to hotel management, Hilton Hotels Corporation, currently known as Hilton Worldwide Holdings, has a strong presence in the United Kingdom. At least 162 Hilton Hotels may be found in the United Kingdom, each of which, according to Hilton (n.d.), is in the "people serving people" business. It is important to the firm that its employees succeed, thus it invests in their professional development. The firm has recruited people from all around the United Kingdom to work for its team and help them advance in their chosen professions. In addition, the hotel claims to provide its members with training on social concerns relevant to achieving its 2030 objectives. The Thrive at Hilton initiative was created the same year to assist employees in "growing and flourishing" in all aspects of life. That's what the numbers say (Hilton, n.d.). Hilton says that the business believes all employees should have the opportunity for a successful career, thus it gives them training and other resources to do so. Hilton employees, for instance, have access to Hilton University, where they may take advantage of free online instruction and a supplementary six-part course. In this regard, the hotel chain is exemplary, serving as a model for how to treat one's staff and make them feel indispensable.</w:t>
      </w:r>
    </w:p>
    <w:p w14:paraId="18F0D870" w14:textId="4DC24A9C" w:rsidR="00BE45F9" w:rsidRPr="00513DF7" w:rsidRDefault="00BE45F9" w:rsidP="00605010">
      <w:pPr>
        <w:rPr>
          <w:rFonts w:ascii="Arial" w:hAnsi="Arial"/>
        </w:rPr>
      </w:pPr>
      <w:r w:rsidRPr="00513DF7">
        <w:rPr>
          <w:rFonts w:ascii="Arial" w:hAnsi="Arial"/>
        </w:rPr>
        <w:t>Hilton Hotels must recognize the natural and unavoidable movement of their employees through the employee life cycle (ELC) to grasp employee engagement. Human resource managers may aid staff in reaching their maximum potential by following this cycle. On the other hand, businesses can better comprehend the risk of employee turnover and implement measures to reduce it if they have a complete picture of the cycle (</w:t>
      </w:r>
      <w:proofErr w:type="spellStart"/>
      <w:r w:rsidRPr="00513DF7">
        <w:rPr>
          <w:rFonts w:ascii="Arial" w:hAnsi="Arial"/>
        </w:rPr>
        <w:t>Personio</w:t>
      </w:r>
      <w:proofErr w:type="spellEnd"/>
      <w:r w:rsidRPr="00513DF7">
        <w:rPr>
          <w:rFonts w:ascii="Arial" w:hAnsi="Arial"/>
        </w:rPr>
        <w:t>, 2022). Throughout their tenure with a firm, workers go through a series of transitional phases that are articulated in the employee life cycle model. Hilton expects the best from its workers at every stage of their careers there.</w:t>
      </w:r>
    </w:p>
    <w:p w14:paraId="425DD0F4" w14:textId="77777777" w:rsidR="000C04D7" w:rsidRPr="000C04D7" w:rsidRDefault="000C04D7" w:rsidP="00605010">
      <w:pPr>
        <w:rPr>
          <w:rFonts w:ascii="Arial" w:hAnsi="Arial"/>
        </w:rPr>
      </w:pPr>
      <w:r w:rsidRPr="000C04D7">
        <w:rPr>
          <w:rFonts w:ascii="Arial" w:hAnsi="Arial"/>
        </w:rPr>
        <w:t>A company's brand attracts potential employees (Nguyen et al., 2021). Hilton's worldwide renown attracts the industry's greatest brains. The hotel's expansion plan guaranteed profit. Recruitment involves the journey from "applicant" to "full-fledged employee." The company's image is formed by how it treats candidates at this stage. All Hilton Hotels hire new employees via a series of exams and interviews by HR (Vincent, 2009). Management uses group activities, role-playing, and the "tray exercise" to verify new hires match the hotel's culture and ideals.</w:t>
      </w:r>
    </w:p>
    <w:p w14:paraId="2425E99F" w14:textId="45621B45" w:rsidR="000C04D7" w:rsidRPr="000C04D7" w:rsidRDefault="000C04D7" w:rsidP="00605010">
      <w:pPr>
        <w:rPr>
          <w:rFonts w:ascii="Arial" w:hAnsi="Arial"/>
        </w:rPr>
      </w:pPr>
      <w:r w:rsidRPr="000C04D7">
        <w:rPr>
          <w:rFonts w:ascii="Arial" w:hAnsi="Arial"/>
        </w:rPr>
        <w:lastRenderedPageBreak/>
        <w:t xml:space="preserve">The third phase is onboarding (Sekhar, 2021). You'll help your employees understand and contribute to the company's culture at this phase. Making recruits feel comfortable and at ease at this point might help them perceive themselves as significant contributors to the business. Each Hilton department performs a distinct job, emphasizing labor separation. During the employment process, employees are actively taught </w:t>
      </w:r>
      <w:r>
        <w:rPr>
          <w:rFonts w:ascii="Arial" w:hAnsi="Arial"/>
        </w:rPr>
        <w:t>about</w:t>
      </w:r>
      <w:r w:rsidRPr="000C04D7">
        <w:rPr>
          <w:rFonts w:ascii="Arial" w:hAnsi="Arial"/>
        </w:rPr>
        <w:t xml:space="preserve"> department criteria. The hotel uses the following to keep guests pleased.</w:t>
      </w:r>
    </w:p>
    <w:p w14:paraId="5D804F74" w14:textId="634A26C8" w:rsidR="000C04D7" w:rsidRPr="000C04D7" w:rsidRDefault="000C04D7" w:rsidP="00605010">
      <w:pPr>
        <w:rPr>
          <w:rFonts w:ascii="Arial" w:hAnsi="Arial"/>
        </w:rPr>
      </w:pPr>
      <w:r w:rsidRPr="000C04D7">
        <w:rPr>
          <w:rFonts w:ascii="Arial" w:hAnsi="Arial"/>
        </w:rPr>
        <w:t xml:space="preserve">Retention—keeping the finest employees—is the fourth step (Adeyemi, 2018). This phase of the employee life cycle is crucial because firms may take long-term workers for granted (Chan, </w:t>
      </w:r>
      <w:proofErr w:type="spellStart"/>
      <w:r w:rsidRPr="000C04D7">
        <w:rPr>
          <w:rFonts w:ascii="Arial" w:hAnsi="Arial"/>
        </w:rPr>
        <w:t>Hooi</w:t>
      </w:r>
      <w:proofErr w:type="spellEnd"/>
      <w:r w:rsidRPr="000C04D7">
        <w:rPr>
          <w:rFonts w:ascii="Arial" w:hAnsi="Arial"/>
        </w:rPr>
        <w:t xml:space="preserve"> &amp; </w:t>
      </w:r>
      <w:proofErr w:type="spellStart"/>
      <w:r w:rsidRPr="000C04D7">
        <w:rPr>
          <w:rFonts w:ascii="Arial" w:hAnsi="Arial"/>
        </w:rPr>
        <w:t>Ngui</w:t>
      </w:r>
      <w:proofErr w:type="spellEnd"/>
      <w:r w:rsidRPr="000C04D7">
        <w:rPr>
          <w:rFonts w:ascii="Arial" w:hAnsi="Arial"/>
        </w:rPr>
        <w:t xml:space="preserve">, 2021). </w:t>
      </w:r>
      <w:r w:rsidR="006662FE" w:rsidRPr="000C04D7">
        <w:rPr>
          <w:rFonts w:ascii="Arial" w:hAnsi="Arial"/>
        </w:rPr>
        <w:t>So,</w:t>
      </w:r>
      <w:r w:rsidRPr="000C04D7">
        <w:rPr>
          <w:rFonts w:ascii="Arial" w:hAnsi="Arial"/>
        </w:rPr>
        <w:t xml:space="preserve"> staff can track their progress, </w:t>
      </w:r>
      <w:r>
        <w:rPr>
          <w:rFonts w:ascii="Arial" w:hAnsi="Arial"/>
        </w:rPr>
        <w:t xml:space="preserve">and </w:t>
      </w:r>
      <w:r w:rsidRPr="000C04D7">
        <w:rPr>
          <w:rFonts w:ascii="Arial" w:hAnsi="Arial"/>
        </w:rPr>
        <w:t>address difficult subjects like rewards right now (Osborne &amp; Hammoud, 2017). Each Hilton hotel tries to outdo the others since the brand is so well-known worldwide. Hilton recognizes its best workers with internal awards (Hilton, n.d.). This is a great way to retain key employees and recruit top talent.</w:t>
      </w:r>
    </w:p>
    <w:p w14:paraId="1E74F50D" w14:textId="77777777" w:rsidR="000C04D7" w:rsidRPr="000C04D7" w:rsidRDefault="000C04D7" w:rsidP="00605010">
      <w:pPr>
        <w:rPr>
          <w:rFonts w:ascii="Arial" w:hAnsi="Arial"/>
        </w:rPr>
      </w:pPr>
    </w:p>
    <w:p w14:paraId="07E9BA62" w14:textId="77777777" w:rsidR="000C04D7" w:rsidRPr="000C04D7" w:rsidRDefault="000C04D7" w:rsidP="00605010">
      <w:pPr>
        <w:rPr>
          <w:rFonts w:ascii="Arial" w:hAnsi="Arial"/>
        </w:rPr>
      </w:pPr>
      <w:r w:rsidRPr="000C04D7">
        <w:rPr>
          <w:rFonts w:ascii="Arial" w:hAnsi="Arial"/>
        </w:rPr>
        <w:t>After that, most people join career development programs to grow in their jobs (Han et al., 2019). A company must consider strategic growth's various benefits to maximize employee performance. Like all good things, employment ends with separation (</w:t>
      </w:r>
      <w:proofErr w:type="spellStart"/>
      <w:r w:rsidRPr="000C04D7">
        <w:rPr>
          <w:rFonts w:ascii="Arial" w:hAnsi="Arial"/>
        </w:rPr>
        <w:t>Personio</w:t>
      </w:r>
      <w:proofErr w:type="spellEnd"/>
      <w:r w:rsidRPr="000C04D7">
        <w:rPr>
          <w:rFonts w:ascii="Arial" w:hAnsi="Arial"/>
        </w:rPr>
        <w:t>, 2022). Employees quit for several reasons. An effective offboarding process that lets personnel reflect on their experiences and identify development opportunities is advised. If an employee quits or is fired, the company's rules ensure a smooth transfer. Even while this data is unavailable, former employees' comments imply that leaving the organization was not difficult. Illustrative</w:t>
      </w:r>
    </w:p>
    <w:p w14:paraId="2CA00018" w14:textId="77777777" w:rsidR="000C04D7" w:rsidRPr="000C04D7" w:rsidRDefault="000C04D7" w:rsidP="00605010">
      <w:pPr>
        <w:rPr>
          <w:rFonts w:ascii="Arial" w:hAnsi="Arial"/>
        </w:rPr>
      </w:pPr>
      <w:r w:rsidRPr="000C04D7">
        <w:rPr>
          <w:rFonts w:ascii="Arial" w:hAnsi="Arial"/>
        </w:rPr>
        <w:t xml:space="preserve">I want my hotel workers to take pleasure in their profession, so I've made it a point to understand how to keep them involved throughout the life cycle. After identifying issues, I'll employ these remedies to enhance company productivity. Introducing myself to the staff is easy. Spending time with colleagues is a simple and efficient way to get them engaged. I could build deeper relationships with folks there. Next, I'd make sure they got the resources they needed to succeed. I would also communicate the company's objectives, provide possibilities for promotion, show unwavering support, publicly </w:t>
      </w:r>
      <w:r w:rsidRPr="000C04D7">
        <w:rPr>
          <w:rFonts w:ascii="Arial" w:hAnsi="Arial"/>
        </w:rPr>
        <w:lastRenderedPageBreak/>
        <w:t>acknowledge successes, personally congratulate employees, establish great teams, and provide financial incentives.</w:t>
      </w:r>
    </w:p>
    <w:p w14:paraId="190D46FD" w14:textId="11305EEE" w:rsidR="00BE45F9" w:rsidRPr="00513DF7" w:rsidRDefault="000C04D7" w:rsidP="00605010">
      <w:pPr>
        <w:rPr>
          <w:rFonts w:ascii="Arial" w:hAnsi="Arial"/>
        </w:rPr>
      </w:pPr>
      <w:r w:rsidRPr="000C04D7">
        <w:rPr>
          <w:rFonts w:ascii="Arial" w:hAnsi="Arial"/>
        </w:rPr>
        <w:t xml:space="preserve">Employee engagement models seek to understand what makes employees happy and productive. The Zinger framework is ideal for increasing employee engagement via management initiatives (Sun &amp; </w:t>
      </w:r>
      <w:proofErr w:type="spellStart"/>
      <w:r w:rsidRPr="000C04D7">
        <w:rPr>
          <w:rFonts w:ascii="Arial" w:hAnsi="Arial"/>
        </w:rPr>
        <w:t>Bunchapattanasakda</w:t>
      </w:r>
      <w:proofErr w:type="spellEnd"/>
      <w:r w:rsidRPr="000C04D7">
        <w:rPr>
          <w:rFonts w:ascii="Arial" w:hAnsi="Arial"/>
        </w:rPr>
        <w:t xml:space="preserve">, 2019). </w:t>
      </w:r>
      <w:proofErr w:type="spellStart"/>
      <w:r w:rsidRPr="000C04D7">
        <w:rPr>
          <w:rFonts w:ascii="Arial" w:hAnsi="Arial"/>
        </w:rPr>
        <w:t>Bengougam</w:t>
      </w:r>
      <w:proofErr w:type="spellEnd"/>
      <w:r w:rsidRPr="000C04D7">
        <w:rPr>
          <w:rFonts w:ascii="Arial" w:hAnsi="Arial"/>
        </w:rPr>
        <w:t xml:space="preserve"> (2019) discusses how Hilton Hotels uses employee engagement to build a lasting culture. This pyramidal model emphasizes employee engagement. This strategy should emphasize giving individuals the minimal tools they need to achieve high-quality products. The first row is this, whereas the second row represents business cohesion (Pandey et al., 2020). Relationship-building and recognition-fostering are key phases after integrating personnel. The third column emphasizes productivity and teamwork. The company's priority is development and performance (Liu et al., 2022). Success sits atop the pyramid. Any employee engagement initiative aims to boost profits and productivity by engaging employees. The first step to employee engagement is setting strategic engagement objectives to ensure desired results (Ewing et al, 2019).</w:t>
      </w:r>
    </w:p>
    <w:p w14:paraId="6189C374" w14:textId="77777777" w:rsidR="00BE45F9" w:rsidRDefault="00BE45F9" w:rsidP="00605010">
      <w:pPr>
        <w:spacing w:after="160"/>
        <w:jc w:val="left"/>
      </w:pPr>
      <w:r>
        <w:br w:type="page"/>
      </w:r>
    </w:p>
    <w:p w14:paraId="5CB69AF6" w14:textId="66387B70" w:rsidR="00BE45F9" w:rsidRPr="00513DF7" w:rsidRDefault="00BE45F9" w:rsidP="00605010">
      <w:pPr>
        <w:pStyle w:val="Heading1"/>
        <w:spacing w:line="360" w:lineRule="auto"/>
        <w:rPr>
          <w:rFonts w:ascii="Arial" w:hAnsi="Arial" w:cs="Arial"/>
        </w:rPr>
      </w:pPr>
      <w:r w:rsidRPr="00513DF7">
        <w:rPr>
          <w:rFonts w:ascii="Arial" w:hAnsi="Arial" w:cs="Arial"/>
        </w:rPr>
        <w:lastRenderedPageBreak/>
        <w:t>References</w:t>
      </w:r>
    </w:p>
    <w:p w14:paraId="44E93D3C" w14:textId="77777777" w:rsidR="00BE45F9" w:rsidRPr="00BE45F9" w:rsidRDefault="00BE45F9" w:rsidP="00605010">
      <w:pPr>
        <w:rPr>
          <w:rFonts w:ascii="Arial" w:hAnsi="Arial"/>
        </w:rPr>
      </w:pPr>
      <w:r w:rsidRPr="00BE45F9">
        <w:rPr>
          <w:rFonts w:ascii="Arial" w:hAnsi="Arial"/>
        </w:rPr>
        <w:t xml:space="preserve">Adeyemi, A. (2018). </w:t>
      </w:r>
      <w:r w:rsidRPr="00BE45F9">
        <w:rPr>
          <w:rFonts w:ascii="Arial" w:hAnsi="Arial"/>
          <w:i/>
        </w:rPr>
        <w:t>Business managers use strategies to engage chemical industry</w:t>
      </w:r>
      <w:r w:rsidRPr="00BE45F9">
        <w:rPr>
          <w:rFonts w:ascii="Arial" w:hAnsi="Arial"/>
        </w:rPr>
        <w:t xml:space="preserve"> employees (Doctoral dissertation, Walden University).</w:t>
      </w:r>
    </w:p>
    <w:p w14:paraId="20C29F53" w14:textId="77777777" w:rsidR="00BE1C70" w:rsidRDefault="00BE45F9" w:rsidP="00605010">
      <w:pPr>
        <w:rPr>
          <w:rFonts w:ascii="Arial" w:hAnsi="Arial"/>
        </w:rPr>
      </w:pPr>
      <w:r w:rsidRPr="00BE45F9">
        <w:rPr>
          <w:rFonts w:ascii="Arial" w:hAnsi="Arial"/>
        </w:rPr>
        <w:t>Anthony</w:t>
      </w:r>
      <w:r w:rsidRPr="00BE45F9">
        <w:rPr>
          <w:rFonts w:ascii="Cambria Math" w:hAnsi="Cambria Math" w:cs="Cambria Math"/>
        </w:rPr>
        <w:t>‐</w:t>
      </w:r>
      <w:r w:rsidRPr="00BE45F9">
        <w:rPr>
          <w:rFonts w:ascii="Arial" w:hAnsi="Arial"/>
        </w:rPr>
        <w:t xml:space="preserve">McMann, P. E., Ellinger, A. D., </w:t>
      </w:r>
      <w:proofErr w:type="spellStart"/>
      <w:r w:rsidRPr="00BE45F9">
        <w:rPr>
          <w:rFonts w:ascii="Arial" w:hAnsi="Arial"/>
        </w:rPr>
        <w:t>Astakhova</w:t>
      </w:r>
      <w:proofErr w:type="spellEnd"/>
      <w:r w:rsidRPr="00BE45F9">
        <w:rPr>
          <w:rFonts w:ascii="Arial" w:hAnsi="Arial"/>
        </w:rPr>
        <w:t xml:space="preserve">, M., &amp; Halbesleben, J. R. (2017). Exploring different operationalizations of employee engagement and their relationships with workplace stress and burnout. </w:t>
      </w:r>
      <w:r w:rsidRPr="00BE45F9">
        <w:rPr>
          <w:rFonts w:ascii="Arial" w:hAnsi="Arial"/>
          <w:i/>
        </w:rPr>
        <w:t>Human Resource Development Quarterly</w:t>
      </w:r>
      <w:r w:rsidRPr="00BE45F9">
        <w:rPr>
          <w:rFonts w:ascii="Arial" w:hAnsi="Arial"/>
        </w:rPr>
        <w:t xml:space="preserve">, </w:t>
      </w:r>
      <w:r w:rsidRPr="00BE45F9">
        <w:rPr>
          <w:rFonts w:ascii="Arial" w:hAnsi="Arial"/>
          <w:i/>
        </w:rPr>
        <w:t>28</w:t>
      </w:r>
      <w:r w:rsidRPr="00BE45F9">
        <w:rPr>
          <w:rFonts w:ascii="Arial" w:hAnsi="Arial"/>
        </w:rPr>
        <w:t>(2), 163-195.</w:t>
      </w:r>
    </w:p>
    <w:p w14:paraId="3869A4FC" w14:textId="589D2C8A" w:rsidR="00BE45F9" w:rsidRPr="00BE45F9" w:rsidRDefault="00BE45F9" w:rsidP="00605010">
      <w:pPr>
        <w:rPr>
          <w:rFonts w:ascii="Arial" w:hAnsi="Arial"/>
        </w:rPr>
      </w:pPr>
      <w:proofErr w:type="spellStart"/>
      <w:r w:rsidRPr="00BE45F9">
        <w:rPr>
          <w:rFonts w:ascii="Arial" w:hAnsi="Arial"/>
        </w:rPr>
        <w:t>Bengougam</w:t>
      </w:r>
      <w:proofErr w:type="spellEnd"/>
      <w:r w:rsidRPr="00BE45F9">
        <w:rPr>
          <w:rFonts w:ascii="Arial" w:hAnsi="Arial"/>
        </w:rPr>
        <w:t xml:space="preserve">, B. (2019, September 6). Creating a culture fit to last at Hilton. </w:t>
      </w:r>
      <w:r w:rsidRPr="00BE45F9">
        <w:rPr>
          <w:rFonts w:ascii="Arial" w:hAnsi="Arial"/>
          <w:i/>
        </w:rPr>
        <w:t xml:space="preserve">HR Magazine. </w:t>
      </w:r>
    </w:p>
    <w:p w14:paraId="47EB325D" w14:textId="77777777" w:rsidR="00BE45F9" w:rsidRPr="00BE45F9" w:rsidRDefault="00BE45F9" w:rsidP="00605010">
      <w:pPr>
        <w:rPr>
          <w:rFonts w:ascii="Arial" w:hAnsi="Arial"/>
        </w:rPr>
      </w:pPr>
      <w:r w:rsidRPr="00BE45F9">
        <w:rPr>
          <w:rFonts w:ascii="Arial" w:hAnsi="Arial"/>
        </w:rPr>
        <w:t xml:space="preserve">Bhardwaj, B., &amp; Kalia, N. (2021). Contextual and task performance: role of employee engagement and organizational culture in the hospitality industry. </w:t>
      </w:r>
      <w:proofErr w:type="spellStart"/>
      <w:r w:rsidRPr="00BE45F9">
        <w:rPr>
          <w:rFonts w:ascii="Arial" w:hAnsi="Arial"/>
          <w:i/>
        </w:rPr>
        <w:t>VilakshanXIMB</w:t>
      </w:r>
      <w:proofErr w:type="spellEnd"/>
      <w:r w:rsidRPr="00BE45F9">
        <w:rPr>
          <w:rFonts w:ascii="Arial" w:hAnsi="Arial"/>
          <w:i/>
        </w:rPr>
        <w:t xml:space="preserve"> Journal of Management</w:t>
      </w:r>
      <w:r w:rsidRPr="00BE45F9">
        <w:rPr>
          <w:rFonts w:ascii="Arial" w:hAnsi="Arial"/>
        </w:rPr>
        <w:t>.</w:t>
      </w:r>
    </w:p>
    <w:p w14:paraId="24F7E9F6" w14:textId="77777777" w:rsidR="00BE45F9" w:rsidRPr="00BE45F9" w:rsidRDefault="00BE45F9" w:rsidP="00605010">
      <w:pPr>
        <w:rPr>
          <w:rFonts w:ascii="Arial" w:hAnsi="Arial"/>
        </w:rPr>
      </w:pPr>
      <w:r w:rsidRPr="00BE45F9">
        <w:rPr>
          <w:rFonts w:ascii="Arial" w:hAnsi="Arial"/>
        </w:rPr>
        <w:t xml:space="preserve">Book, L., Gatling, A., &amp; Kim, J. (2019). The effects of leadership satisfaction on employee engagement, loyalty, and retention in the hospitality industry. </w:t>
      </w:r>
      <w:r w:rsidRPr="00BE45F9">
        <w:rPr>
          <w:rFonts w:ascii="Arial" w:hAnsi="Arial"/>
          <w:i/>
        </w:rPr>
        <w:t>Journal of Human Resources in Hospitality &amp; Tourism</w:t>
      </w:r>
      <w:r w:rsidRPr="00BE45F9">
        <w:rPr>
          <w:rFonts w:ascii="Arial" w:hAnsi="Arial"/>
        </w:rPr>
        <w:t xml:space="preserve">, </w:t>
      </w:r>
      <w:r w:rsidRPr="00BE45F9">
        <w:rPr>
          <w:rFonts w:ascii="Arial" w:hAnsi="Arial"/>
          <w:i/>
        </w:rPr>
        <w:t>18</w:t>
      </w:r>
      <w:r w:rsidRPr="00BE45F9">
        <w:rPr>
          <w:rFonts w:ascii="Arial" w:hAnsi="Arial"/>
        </w:rPr>
        <w:t>(3), 368– 393.</w:t>
      </w:r>
    </w:p>
    <w:p w14:paraId="55D7437B" w14:textId="77777777" w:rsidR="00BE45F9" w:rsidRPr="00BE45F9" w:rsidRDefault="00BE45F9" w:rsidP="00605010">
      <w:pPr>
        <w:rPr>
          <w:rFonts w:ascii="Arial" w:hAnsi="Arial"/>
        </w:rPr>
      </w:pPr>
      <w:r w:rsidRPr="00BE45F9">
        <w:rPr>
          <w:rFonts w:ascii="Arial" w:hAnsi="Arial"/>
        </w:rPr>
        <w:t xml:space="preserve">Chan, A. J., </w:t>
      </w:r>
      <w:proofErr w:type="spellStart"/>
      <w:r w:rsidRPr="00BE45F9">
        <w:rPr>
          <w:rFonts w:ascii="Arial" w:hAnsi="Arial"/>
        </w:rPr>
        <w:t>Hooi</w:t>
      </w:r>
      <w:proofErr w:type="spellEnd"/>
      <w:r w:rsidRPr="00BE45F9">
        <w:rPr>
          <w:rFonts w:ascii="Arial" w:hAnsi="Arial"/>
        </w:rPr>
        <w:t xml:space="preserve">, L. W., &amp; </w:t>
      </w:r>
      <w:proofErr w:type="spellStart"/>
      <w:r w:rsidRPr="00BE45F9">
        <w:rPr>
          <w:rFonts w:ascii="Arial" w:hAnsi="Arial"/>
        </w:rPr>
        <w:t>Ngui</w:t>
      </w:r>
      <w:proofErr w:type="spellEnd"/>
      <w:r w:rsidRPr="00BE45F9">
        <w:rPr>
          <w:rFonts w:ascii="Arial" w:hAnsi="Arial"/>
        </w:rPr>
        <w:t xml:space="preserve">, K. S. (2021). Do digital literacies matter in employee engagement in the digitalized workplace? </w:t>
      </w:r>
      <w:r w:rsidRPr="00BE45F9">
        <w:rPr>
          <w:rFonts w:ascii="Arial" w:hAnsi="Arial"/>
          <w:i/>
        </w:rPr>
        <w:t>Journal of Asia Business Studies</w:t>
      </w:r>
      <w:r w:rsidRPr="00BE45F9">
        <w:rPr>
          <w:rFonts w:ascii="Arial" w:hAnsi="Arial"/>
        </w:rPr>
        <w:t>.</w:t>
      </w:r>
    </w:p>
    <w:p w14:paraId="3E44999B" w14:textId="77777777" w:rsidR="00BE45F9" w:rsidRPr="00BE45F9" w:rsidRDefault="00BE45F9" w:rsidP="00605010">
      <w:pPr>
        <w:rPr>
          <w:rFonts w:ascii="Arial" w:hAnsi="Arial"/>
        </w:rPr>
      </w:pPr>
      <w:r w:rsidRPr="00BE45F9">
        <w:rPr>
          <w:rFonts w:ascii="Arial" w:hAnsi="Arial"/>
        </w:rPr>
        <w:t xml:space="preserve">Ewing, M., Men, L. R., &amp; O’Neil, J. (2019). Using social media to engage employees: Insights from internal communication managers. </w:t>
      </w:r>
      <w:r w:rsidRPr="00BE45F9">
        <w:rPr>
          <w:rFonts w:ascii="Arial" w:hAnsi="Arial"/>
          <w:i/>
        </w:rPr>
        <w:t>International Journal of Strategic Communication</w:t>
      </w:r>
      <w:r w:rsidRPr="00BE45F9">
        <w:rPr>
          <w:rFonts w:ascii="Arial" w:hAnsi="Arial"/>
        </w:rPr>
        <w:t xml:space="preserve">, </w:t>
      </w:r>
      <w:r w:rsidRPr="00BE45F9">
        <w:rPr>
          <w:rFonts w:ascii="Arial" w:hAnsi="Arial"/>
          <w:i/>
        </w:rPr>
        <w:t>13</w:t>
      </w:r>
      <w:r w:rsidRPr="00BE45F9">
        <w:rPr>
          <w:rFonts w:ascii="Arial" w:hAnsi="Arial"/>
        </w:rPr>
        <w:t>(2), 110–132.</w:t>
      </w:r>
    </w:p>
    <w:p w14:paraId="68C59391" w14:textId="77777777" w:rsidR="00BE45F9" w:rsidRPr="00BE45F9" w:rsidRDefault="00BE45F9" w:rsidP="00605010">
      <w:pPr>
        <w:rPr>
          <w:rFonts w:ascii="Arial" w:hAnsi="Arial"/>
        </w:rPr>
      </w:pPr>
      <w:r w:rsidRPr="00BE45F9">
        <w:rPr>
          <w:rFonts w:ascii="Arial" w:hAnsi="Arial"/>
        </w:rPr>
        <w:t xml:space="preserve">George, C., </w:t>
      </w:r>
      <w:proofErr w:type="spellStart"/>
      <w:r w:rsidRPr="00BE45F9">
        <w:rPr>
          <w:rFonts w:ascii="Arial" w:hAnsi="Arial"/>
        </w:rPr>
        <w:t>Omuudu</w:t>
      </w:r>
      <w:proofErr w:type="spellEnd"/>
      <w:r w:rsidRPr="00BE45F9">
        <w:rPr>
          <w:rFonts w:ascii="Arial" w:hAnsi="Arial"/>
        </w:rPr>
        <w:t xml:space="preserve">, O. S., &amp; Francis, K. (2020). Employee engagement: a mediator between organizational inducements and industry loyalty among workers in the hospitality industry in Uganda. </w:t>
      </w:r>
      <w:r w:rsidRPr="00BE45F9">
        <w:rPr>
          <w:rFonts w:ascii="Arial" w:hAnsi="Arial"/>
          <w:i/>
        </w:rPr>
        <w:t>Journal of Human Resources in Hospitality &amp; Tourism</w:t>
      </w:r>
      <w:r w:rsidRPr="00BE45F9">
        <w:rPr>
          <w:rFonts w:ascii="Arial" w:hAnsi="Arial"/>
        </w:rPr>
        <w:t xml:space="preserve">, </w:t>
      </w:r>
      <w:r w:rsidRPr="00BE45F9">
        <w:rPr>
          <w:rFonts w:ascii="Arial" w:hAnsi="Arial"/>
          <w:i/>
        </w:rPr>
        <w:t>19</w:t>
      </w:r>
      <w:r w:rsidRPr="00BE45F9">
        <w:rPr>
          <w:rFonts w:ascii="Arial" w:hAnsi="Arial"/>
        </w:rPr>
        <w:t>(2), 220-251.</w:t>
      </w:r>
    </w:p>
    <w:p w14:paraId="7EBB0DB8" w14:textId="77777777" w:rsidR="00BE45F9" w:rsidRPr="00BE45F9" w:rsidRDefault="00BE45F9" w:rsidP="00605010">
      <w:pPr>
        <w:rPr>
          <w:rFonts w:ascii="Arial" w:hAnsi="Arial"/>
        </w:rPr>
      </w:pPr>
      <w:r w:rsidRPr="00BE45F9">
        <w:rPr>
          <w:rFonts w:ascii="Arial" w:hAnsi="Arial"/>
        </w:rPr>
        <w:t xml:space="preserve">Half, R. (2022). Motivating your team: 25 ways to increase employee engagement. </w:t>
      </w:r>
    </w:p>
    <w:p w14:paraId="4AA6FF05" w14:textId="3828FA78" w:rsidR="00BE45F9" w:rsidRPr="00BE45F9" w:rsidRDefault="00BE45F9" w:rsidP="00605010">
      <w:pPr>
        <w:rPr>
          <w:rFonts w:ascii="Arial" w:hAnsi="Arial"/>
        </w:rPr>
      </w:pPr>
      <w:r w:rsidRPr="00BE45F9">
        <w:rPr>
          <w:rFonts w:ascii="Arial" w:hAnsi="Arial"/>
          <w:i/>
        </w:rPr>
        <w:t xml:space="preserve">Robert Half® Talent Solutions. </w:t>
      </w:r>
    </w:p>
    <w:p w14:paraId="03924653" w14:textId="77777777" w:rsidR="00BE45F9" w:rsidRPr="00BE45F9" w:rsidRDefault="00BE45F9" w:rsidP="00605010">
      <w:pPr>
        <w:rPr>
          <w:rFonts w:ascii="Arial" w:hAnsi="Arial"/>
        </w:rPr>
      </w:pPr>
      <w:r w:rsidRPr="00BE45F9">
        <w:rPr>
          <w:rFonts w:ascii="Arial" w:hAnsi="Arial"/>
        </w:rPr>
        <w:t xml:space="preserve">Han, Z., Wang, Q., &amp; Yan, X. (2019). How responsible leadership motivates employees to engage in organizational citizenship behavior for the environment: A double-mediation model: </w:t>
      </w:r>
      <w:r w:rsidRPr="00BE45F9">
        <w:rPr>
          <w:rFonts w:ascii="Arial" w:hAnsi="Arial"/>
          <w:i/>
        </w:rPr>
        <w:t>Sustainability</w:t>
      </w:r>
      <w:r w:rsidRPr="00BE45F9">
        <w:rPr>
          <w:rFonts w:ascii="Arial" w:hAnsi="Arial"/>
        </w:rPr>
        <w:t xml:space="preserve">, </w:t>
      </w:r>
      <w:r w:rsidRPr="00BE45F9">
        <w:rPr>
          <w:rFonts w:ascii="Arial" w:hAnsi="Arial"/>
          <w:i/>
        </w:rPr>
        <w:t>11</w:t>
      </w:r>
      <w:r w:rsidRPr="00BE45F9">
        <w:rPr>
          <w:rFonts w:ascii="Arial" w:hAnsi="Arial"/>
        </w:rPr>
        <w:t>(3), 605.</w:t>
      </w:r>
    </w:p>
    <w:p w14:paraId="1DA09A06" w14:textId="77777777" w:rsidR="00BE45F9" w:rsidRPr="00BE45F9" w:rsidRDefault="00BE45F9" w:rsidP="00605010">
      <w:pPr>
        <w:rPr>
          <w:rFonts w:ascii="Arial" w:hAnsi="Arial"/>
        </w:rPr>
      </w:pPr>
      <w:proofErr w:type="spellStart"/>
      <w:r w:rsidRPr="00BE45F9">
        <w:rPr>
          <w:rFonts w:ascii="Arial" w:hAnsi="Arial"/>
        </w:rPr>
        <w:lastRenderedPageBreak/>
        <w:t>Hinzmann</w:t>
      </w:r>
      <w:proofErr w:type="spellEnd"/>
      <w:r w:rsidRPr="00BE45F9">
        <w:rPr>
          <w:rFonts w:ascii="Arial" w:hAnsi="Arial"/>
        </w:rPr>
        <w:t xml:space="preserve">, R. A., </w:t>
      </w:r>
      <w:proofErr w:type="spellStart"/>
      <w:r w:rsidRPr="00BE45F9">
        <w:rPr>
          <w:rFonts w:ascii="Arial" w:hAnsi="Arial"/>
        </w:rPr>
        <w:t>Rašticová</w:t>
      </w:r>
      <w:proofErr w:type="spellEnd"/>
      <w:r w:rsidRPr="00BE45F9">
        <w:rPr>
          <w:rFonts w:ascii="Arial" w:hAnsi="Arial"/>
        </w:rPr>
        <w:t xml:space="preserve">, M., &amp; </w:t>
      </w:r>
      <w:proofErr w:type="spellStart"/>
      <w:r w:rsidRPr="00BE45F9">
        <w:rPr>
          <w:rFonts w:ascii="Arial" w:hAnsi="Arial"/>
        </w:rPr>
        <w:t>Šácha</w:t>
      </w:r>
      <w:proofErr w:type="spellEnd"/>
      <w:r w:rsidRPr="00BE45F9">
        <w:rPr>
          <w:rFonts w:ascii="Arial" w:hAnsi="Arial"/>
        </w:rPr>
        <w:t xml:space="preserve">, J. (2019). Factors of employee engagement at the workplace. Do years of service count? </w:t>
      </w:r>
      <w:r w:rsidRPr="00BE45F9">
        <w:rPr>
          <w:rFonts w:ascii="Arial" w:hAnsi="Arial"/>
          <w:i/>
        </w:rPr>
        <w:t xml:space="preserve">Acta Universitatis </w:t>
      </w:r>
      <w:proofErr w:type="spellStart"/>
      <w:r w:rsidRPr="00BE45F9">
        <w:rPr>
          <w:rFonts w:ascii="Arial" w:hAnsi="Arial"/>
          <w:i/>
        </w:rPr>
        <w:t>Agriculturae</w:t>
      </w:r>
      <w:proofErr w:type="spellEnd"/>
      <w:r w:rsidRPr="00BE45F9">
        <w:rPr>
          <w:rFonts w:ascii="Arial" w:hAnsi="Arial"/>
          <w:i/>
        </w:rPr>
        <w:t xml:space="preserve"> et </w:t>
      </w:r>
      <w:proofErr w:type="spellStart"/>
      <w:r w:rsidRPr="00BE45F9">
        <w:rPr>
          <w:rFonts w:ascii="Arial" w:hAnsi="Arial"/>
          <w:i/>
        </w:rPr>
        <w:t>Silviculturae</w:t>
      </w:r>
      <w:proofErr w:type="spellEnd"/>
      <w:r w:rsidRPr="00BE45F9">
        <w:rPr>
          <w:rFonts w:ascii="Arial" w:hAnsi="Arial"/>
          <w:i/>
        </w:rPr>
        <w:t xml:space="preserve"> </w:t>
      </w:r>
      <w:proofErr w:type="spellStart"/>
      <w:r w:rsidRPr="00BE45F9">
        <w:rPr>
          <w:rFonts w:ascii="Arial" w:hAnsi="Arial"/>
          <w:i/>
        </w:rPr>
        <w:t>Mendelianae</w:t>
      </w:r>
      <w:proofErr w:type="spellEnd"/>
      <w:r w:rsidRPr="00BE45F9">
        <w:rPr>
          <w:rFonts w:ascii="Arial" w:hAnsi="Arial"/>
          <w:i/>
        </w:rPr>
        <w:t xml:space="preserve"> </w:t>
      </w:r>
      <w:proofErr w:type="spellStart"/>
      <w:r w:rsidRPr="00BE45F9">
        <w:rPr>
          <w:rFonts w:ascii="Arial" w:hAnsi="Arial"/>
          <w:i/>
        </w:rPr>
        <w:t>Brunensis</w:t>
      </w:r>
      <w:proofErr w:type="spellEnd"/>
      <w:r w:rsidRPr="00BE45F9">
        <w:rPr>
          <w:rFonts w:ascii="Arial" w:hAnsi="Arial"/>
        </w:rPr>
        <w:t>.</w:t>
      </w:r>
    </w:p>
    <w:p w14:paraId="354190AD" w14:textId="77777777" w:rsidR="00BE45F9" w:rsidRPr="00BE45F9" w:rsidRDefault="00BE45F9" w:rsidP="00605010">
      <w:pPr>
        <w:rPr>
          <w:rFonts w:ascii="Arial" w:hAnsi="Arial"/>
        </w:rPr>
      </w:pPr>
      <w:r w:rsidRPr="00BE45F9">
        <w:rPr>
          <w:rFonts w:ascii="Arial" w:hAnsi="Arial"/>
        </w:rPr>
        <w:t xml:space="preserve">Kurtzman, J. (2017). Why is employee engagement in the hospitality industry meaningful? </w:t>
      </w:r>
      <w:proofErr w:type="spellStart"/>
      <w:r w:rsidRPr="00BE45F9">
        <w:rPr>
          <w:rFonts w:ascii="Arial" w:hAnsi="Arial"/>
          <w:i/>
        </w:rPr>
        <w:t>Rewardian</w:t>
      </w:r>
      <w:proofErr w:type="spellEnd"/>
      <w:r w:rsidRPr="00BE45F9">
        <w:rPr>
          <w:rFonts w:ascii="Arial" w:hAnsi="Arial"/>
          <w:i/>
        </w:rPr>
        <w:t xml:space="preserve">. </w:t>
      </w:r>
    </w:p>
    <w:p w14:paraId="2F58150A" w14:textId="77777777" w:rsidR="00BE45F9" w:rsidRPr="00BE45F9" w:rsidRDefault="00BE45F9" w:rsidP="00605010">
      <w:pPr>
        <w:rPr>
          <w:rFonts w:ascii="Arial" w:hAnsi="Arial"/>
        </w:rPr>
      </w:pPr>
      <w:r w:rsidRPr="00BE45F9">
        <w:rPr>
          <w:rFonts w:ascii="Arial" w:hAnsi="Arial"/>
        </w:rPr>
        <w:t xml:space="preserve">Liu, X. R., Yu, J. J., Guo, Q., &amp; Li, J. J. (2022). Employee engagement, its antecedents, and effects on business performance in the hospitality industry: </w:t>
      </w:r>
    </w:p>
    <w:p w14:paraId="612BF274" w14:textId="77777777" w:rsidR="00BE45F9" w:rsidRPr="00BE45F9" w:rsidRDefault="00BE45F9" w:rsidP="00605010">
      <w:pPr>
        <w:rPr>
          <w:rFonts w:ascii="Arial" w:hAnsi="Arial"/>
        </w:rPr>
      </w:pPr>
      <w:r w:rsidRPr="00BE45F9">
        <w:rPr>
          <w:rFonts w:ascii="Arial" w:hAnsi="Arial"/>
        </w:rPr>
        <w:t xml:space="preserve">a multilevel analysis. </w:t>
      </w:r>
      <w:r w:rsidRPr="00BE45F9">
        <w:rPr>
          <w:rFonts w:ascii="Arial" w:hAnsi="Arial"/>
          <w:i/>
        </w:rPr>
        <w:t>International Journal of Contemporary Hospitality Management</w:t>
      </w:r>
      <w:r w:rsidRPr="00BE45F9">
        <w:rPr>
          <w:rFonts w:ascii="Arial" w:hAnsi="Arial"/>
        </w:rPr>
        <w:t>, (ahead-of-print).</w:t>
      </w:r>
    </w:p>
    <w:p w14:paraId="3F204894" w14:textId="53F8D4C8" w:rsidR="00BE45F9" w:rsidRPr="00BE45F9" w:rsidRDefault="00BE45F9" w:rsidP="00605010">
      <w:pPr>
        <w:rPr>
          <w:rFonts w:ascii="Arial" w:hAnsi="Arial"/>
        </w:rPr>
      </w:pPr>
      <w:r w:rsidRPr="00BE45F9">
        <w:rPr>
          <w:rFonts w:ascii="Arial" w:hAnsi="Arial"/>
        </w:rPr>
        <w:t xml:space="preserve">Mayne, T. (2017). What is HR's role in employee engagement? </w:t>
      </w:r>
      <w:r w:rsidRPr="00BE45F9">
        <w:rPr>
          <w:rFonts w:ascii="Arial" w:hAnsi="Arial"/>
          <w:i/>
        </w:rPr>
        <w:t>DPG</w:t>
      </w:r>
      <w:r w:rsidRPr="00BE45F9">
        <w:rPr>
          <w:rFonts w:ascii="Arial" w:hAnsi="Arial"/>
        </w:rPr>
        <w:t xml:space="preserve"> </w:t>
      </w:r>
    </w:p>
    <w:p w14:paraId="548D226B" w14:textId="77777777" w:rsidR="00BE45F9" w:rsidRPr="00BE45F9" w:rsidRDefault="00BE45F9" w:rsidP="00605010">
      <w:pPr>
        <w:rPr>
          <w:rFonts w:ascii="Arial" w:hAnsi="Arial"/>
        </w:rPr>
      </w:pPr>
      <w:r w:rsidRPr="00BE45F9">
        <w:rPr>
          <w:rFonts w:ascii="Arial" w:hAnsi="Arial"/>
        </w:rPr>
        <w:t xml:space="preserve">Nguyen, M., Malik, A., &amp; Sharma, P. (2021). How to motivate employees to engage in online knowledge sharing? Differences between posters and lurkers. </w:t>
      </w:r>
      <w:r w:rsidRPr="00BE45F9">
        <w:rPr>
          <w:rFonts w:ascii="Arial" w:hAnsi="Arial"/>
          <w:i/>
        </w:rPr>
        <w:t>Journal of Knowledge Management</w:t>
      </w:r>
      <w:r w:rsidRPr="00BE45F9">
        <w:rPr>
          <w:rFonts w:ascii="Arial" w:hAnsi="Arial"/>
        </w:rPr>
        <w:t>.</w:t>
      </w:r>
    </w:p>
    <w:p w14:paraId="456E35BE" w14:textId="77777777" w:rsidR="00BE45F9" w:rsidRPr="00BE45F9" w:rsidRDefault="00BE45F9" w:rsidP="00605010">
      <w:pPr>
        <w:rPr>
          <w:rFonts w:ascii="Arial" w:hAnsi="Arial"/>
        </w:rPr>
      </w:pPr>
      <w:r w:rsidRPr="00BE45F9">
        <w:rPr>
          <w:rFonts w:ascii="Arial" w:hAnsi="Arial"/>
        </w:rPr>
        <w:t xml:space="preserve">Osborne, S., &amp; Hammoud, M. S. (2017). Effective employee engagement in the workplace. </w:t>
      </w:r>
      <w:r w:rsidRPr="00BE45F9">
        <w:rPr>
          <w:rFonts w:ascii="Arial" w:hAnsi="Arial"/>
          <w:i/>
        </w:rPr>
        <w:t>International Journal of Applied Management and Technology</w:t>
      </w:r>
      <w:r w:rsidRPr="00BE45F9">
        <w:rPr>
          <w:rFonts w:ascii="Arial" w:hAnsi="Arial"/>
        </w:rPr>
        <w:t xml:space="preserve">, </w:t>
      </w:r>
      <w:r w:rsidRPr="00BE45F9">
        <w:rPr>
          <w:rFonts w:ascii="Arial" w:hAnsi="Arial"/>
          <w:i/>
        </w:rPr>
        <w:t>16</w:t>
      </w:r>
      <w:r w:rsidRPr="00BE45F9">
        <w:rPr>
          <w:rFonts w:ascii="Arial" w:hAnsi="Arial"/>
        </w:rPr>
        <w:t>(1), 4.</w:t>
      </w:r>
    </w:p>
    <w:p w14:paraId="30108FD1" w14:textId="77777777" w:rsidR="00BE45F9" w:rsidRPr="00BE45F9" w:rsidRDefault="00BE45F9" w:rsidP="00605010">
      <w:pPr>
        <w:rPr>
          <w:rFonts w:ascii="Arial" w:hAnsi="Arial"/>
        </w:rPr>
      </w:pPr>
      <w:r w:rsidRPr="00BE45F9">
        <w:rPr>
          <w:rFonts w:ascii="Arial" w:hAnsi="Arial"/>
        </w:rPr>
        <w:t xml:space="preserve">Pandey, J., Gupta, M., &amp; Hassan, Y. (2020). Intrapreneurship to engage employees: role of psychological capital. </w:t>
      </w:r>
      <w:r w:rsidRPr="00BE45F9">
        <w:rPr>
          <w:rFonts w:ascii="Arial" w:hAnsi="Arial"/>
          <w:i/>
        </w:rPr>
        <w:t>Management Decision</w:t>
      </w:r>
      <w:r w:rsidRPr="00BE45F9">
        <w:rPr>
          <w:rFonts w:ascii="Arial" w:hAnsi="Arial"/>
        </w:rPr>
        <w:t>.</w:t>
      </w:r>
    </w:p>
    <w:p w14:paraId="300B784D" w14:textId="0C07DFA4" w:rsidR="00BE45F9" w:rsidRPr="00BE45F9" w:rsidRDefault="00BE45F9" w:rsidP="00605010">
      <w:pPr>
        <w:rPr>
          <w:rFonts w:ascii="Arial" w:hAnsi="Arial"/>
        </w:rPr>
      </w:pPr>
      <w:proofErr w:type="spellStart"/>
      <w:r w:rsidRPr="00BE45F9">
        <w:rPr>
          <w:rFonts w:ascii="Arial" w:hAnsi="Arial"/>
        </w:rPr>
        <w:t>Personio</w:t>
      </w:r>
      <w:proofErr w:type="spellEnd"/>
      <w:r w:rsidRPr="00BE45F9">
        <w:rPr>
          <w:rFonts w:ascii="Arial" w:hAnsi="Arial"/>
        </w:rPr>
        <w:t xml:space="preserve">. (2022). The employee life cycle. Success in 6 stages. </w:t>
      </w:r>
    </w:p>
    <w:p w14:paraId="4312DBF8" w14:textId="77777777" w:rsidR="00BE45F9" w:rsidRPr="00BE45F9" w:rsidRDefault="00BE45F9" w:rsidP="00605010">
      <w:pPr>
        <w:rPr>
          <w:rFonts w:ascii="Arial" w:hAnsi="Arial"/>
        </w:rPr>
      </w:pPr>
      <w:proofErr w:type="spellStart"/>
      <w:r w:rsidRPr="00BE45F9">
        <w:rPr>
          <w:rFonts w:ascii="Arial" w:hAnsi="Arial"/>
        </w:rPr>
        <w:t>Rabiul</w:t>
      </w:r>
      <w:proofErr w:type="spellEnd"/>
      <w:r w:rsidRPr="00BE45F9">
        <w:rPr>
          <w:rFonts w:ascii="Arial" w:hAnsi="Arial"/>
        </w:rPr>
        <w:t xml:space="preserve">, M. K., Mohamed, A. E., </w:t>
      </w:r>
      <w:proofErr w:type="spellStart"/>
      <w:r w:rsidRPr="00BE45F9">
        <w:rPr>
          <w:rFonts w:ascii="Arial" w:hAnsi="Arial"/>
        </w:rPr>
        <w:t>Patwary</w:t>
      </w:r>
      <w:proofErr w:type="spellEnd"/>
      <w:r w:rsidRPr="00BE45F9">
        <w:rPr>
          <w:rFonts w:ascii="Arial" w:hAnsi="Arial"/>
        </w:rPr>
        <w:t xml:space="preserve">, A. K., Yean, T. F., &amp; Osman, S. Z. (2021). Linking human resources practices to employee engagement in the hospitality industry: the mediating influences of psychological safety, availability, and meaningfulness. </w:t>
      </w:r>
      <w:r w:rsidRPr="00BE45F9">
        <w:rPr>
          <w:rFonts w:ascii="Arial" w:hAnsi="Arial"/>
          <w:i/>
        </w:rPr>
        <w:t>European Journal of Management and Business Economics</w:t>
      </w:r>
      <w:r w:rsidRPr="00BE45F9">
        <w:rPr>
          <w:rFonts w:ascii="Arial" w:hAnsi="Arial"/>
        </w:rPr>
        <w:t>.</w:t>
      </w:r>
    </w:p>
    <w:p w14:paraId="5815131D" w14:textId="77777777" w:rsidR="00BE45F9" w:rsidRPr="00BE45F9" w:rsidRDefault="00BE45F9" w:rsidP="00605010">
      <w:pPr>
        <w:rPr>
          <w:rFonts w:ascii="Arial" w:hAnsi="Arial"/>
        </w:rPr>
      </w:pPr>
      <w:r w:rsidRPr="00BE45F9">
        <w:rPr>
          <w:rFonts w:ascii="Arial" w:hAnsi="Arial"/>
        </w:rPr>
        <w:t xml:space="preserve">Sekhar, C. (2021). Do high-commitment work systems engage employees? Mediating role of psychological capital. </w:t>
      </w:r>
      <w:r w:rsidRPr="00BE45F9">
        <w:rPr>
          <w:rFonts w:ascii="Arial" w:hAnsi="Arial"/>
          <w:i/>
        </w:rPr>
        <w:t>International Journal of Organizational Analysis</w:t>
      </w:r>
      <w:r w:rsidRPr="00BE45F9">
        <w:rPr>
          <w:rFonts w:ascii="Arial" w:hAnsi="Arial"/>
        </w:rPr>
        <w:t>.</w:t>
      </w:r>
    </w:p>
    <w:p w14:paraId="3B8B2FC7" w14:textId="77777777" w:rsidR="00BE45F9" w:rsidRPr="00BE45F9" w:rsidRDefault="00BE45F9" w:rsidP="00605010">
      <w:pPr>
        <w:rPr>
          <w:rFonts w:ascii="Arial" w:hAnsi="Arial"/>
        </w:rPr>
      </w:pPr>
      <w:r w:rsidRPr="00BE45F9">
        <w:rPr>
          <w:rFonts w:ascii="Arial" w:hAnsi="Arial"/>
        </w:rPr>
        <w:t xml:space="preserve">Sun, L., &amp; </w:t>
      </w:r>
      <w:proofErr w:type="spellStart"/>
      <w:r w:rsidRPr="00BE45F9">
        <w:rPr>
          <w:rFonts w:ascii="Arial" w:hAnsi="Arial"/>
        </w:rPr>
        <w:t>Bunchapattanasakda</w:t>
      </w:r>
      <w:proofErr w:type="spellEnd"/>
      <w:r w:rsidRPr="00BE45F9">
        <w:rPr>
          <w:rFonts w:ascii="Arial" w:hAnsi="Arial"/>
        </w:rPr>
        <w:t xml:space="preserve">, C. (2019). Employee engagement: A literature review. </w:t>
      </w:r>
      <w:r w:rsidRPr="00BE45F9">
        <w:rPr>
          <w:rFonts w:ascii="Arial" w:hAnsi="Arial"/>
          <w:i/>
        </w:rPr>
        <w:t>International Journal of Human Resource Studies</w:t>
      </w:r>
      <w:r w:rsidRPr="00BE45F9">
        <w:rPr>
          <w:rFonts w:ascii="Arial" w:hAnsi="Arial"/>
        </w:rPr>
        <w:t xml:space="preserve">, </w:t>
      </w:r>
      <w:r w:rsidRPr="00BE45F9">
        <w:rPr>
          <w:rFonts w:ascii="Arial" w:hAnsi="Arial"/>
          <w:i/>
        </w:rPr>
        <w:t>9</w:t>
      </w:r>
      <w:r w:rsidRPr="00BE45F9">
        <w:rPr>
          <w:rFonts w:ascii="Arial" w:hAnsi="Arial"/>
        </w:rPr>
        <w:t>(1), 63–80.</w:t>
      </w:r>
    </w:p>
    <w:p w14:paraId="1FE47412" w14:textId="77777777" w:rsidR="00BE45F9" w:rsidRPr="00BE45F9" w:rsidRDefault="00BE45F9" w:rsidP="00605010"/>
    <w:sectPr w:rsidR="00BE45F9" w:rsidRPr="00BE45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QwtTA1NDE2NTaxMDVW0lEKTi0uzszPAykwrAUA9I0O7CwAAAA="/>
  </w:docVars>
  <w:rsids>
    <w:rsidRoot w:val="00BE45F9"/>
    <w:rsid w:val="00052E4A"/>
    <w:rsid w:val="00067F48"/>
    <w:rsid w:val="000C04D7"/>
    <w:rsid w:val="000D7234"/>
    <w:rsid w:val="001150ED"/>
    <w:rsid w:val="00141230"/>
    <w:rsid w:val="00152469"/>
    <w:rsid w:val="00167FD3"/>
    <w:rsid w:val="00286659"/>
    <w:rsid w:val="00367706"/>
    <w:rsid w:val="003803BA"/>
    <w:rsid w:val="003D0F41"/>
    <w:rsid w:val="004778EB"/>
    <w:rsid w:val="004B7F0A"/>
    <w:rsid w:val="00513DF7"/>
    <w:rsid w:val="005A2A55"/>
    <w:rsid w:val="005A48CF"/>
    <w:rsid w:val="005B1636"/>
    <w:rsid w:val="005C12D4"/>
    <w:rsid w:val="00605010"/>
    <w:rsid w:val="006065A8"/>
    <w:rsid w:val="006662FE"/>
    <w:rsid w:val="00673220"/>
    <w:rsid w:val="006E5A40"/>
    <w:rsid w:val="006F1C91"/>
    <w:rsid w:val="00861E54"/>
    <w:rsid w:val="008A0C92"/>
    <w:rsid w:val="008C475D"/>
    <w:rsid w:val="009C7049"/>
    <w:rsid w:val="00AF1717"/>
    <w:rsid w:val="00B13E52"/>
    <w:rsid w:val="00B45FDC"/>
    <w:rsid w:val="00BA0905"/>
    <w:rsid w:val="00BA791B"/>
    <w:rsid w:val="00BE1C70"/>
    <w:rsid w:val="00BE45F9"/>
    <w:rsid w:val="00C178DA"/>
    <w:rsid w:val="00C33103"/>
    <w:rsid w:val="00C742B0"/>
    <w:rsid w:val="00E44D3A"/>
    <w:rsid w:val="00F474BF"/>
    <w:rsid w:val="00F658D6"/>
    <w:rsid w:val="00FB4BAB"/>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06A4"/>
  <w15:chartTrackingRefBased/>
  <w15:docId w15:val="{BF1C9835-45F4-4D8F-928F-DEC0C020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905"/>
    <w:pPr>
      <w:spacing w:after="70" w:line="360" w:lineRule="auto"/>
      <w:jc w:val="both"/>
    </w:pPr>
    <w:rPr>
      <w:rFonts w:ascii="Times New Roman" w:hAnsi="Times New Roman" w:cs="Arial"/>
      <w:color w:val="000000"/>
      <w:sz w:val="24"/>
      <w:szCs w:val="28"/>
      <w:lang w:bidi="as-IN"/>
    </w:rPr>
  </w:style>
  <w:style w:type="paragraph" w:styleId="Heading1">
    <w:name w:val="heading 1"/>
    <w:basedOn w:val="Normal"/>
    <w:next w:val="Normal"/>
    <w:link w:val="Heading1Char"/>
    <w:uiPriority w:val="9"/>
    <w:qFormat/>
    <w:rsid w:val="003803BA"/>
    <w:pPr>
      <w:keepNext/>
      <w:keepLines/>
      <w:spacing w:before="120" w:after="120" w:line="339" w:lineRule="auto"/>
      <w:outlineLvl w:val="0"/>
    </w:pPr>
    <w:rPr>
      <w:rFonts w:cstheme="majorBidi"/>
      <w:b/>
      <w:i/>
      <w:sz w:val="36"/>
      <w:szCs w:val="32"/>
    </w:rPr>
  </w:style>
  <w:style w:type="paragraph" w:styleId="Heading2">
    <w:name w:val="heading 2"/>
    <w:basedOn w:val="Normal"/>
    <w:next w:val="Normal"/>
    <w:link w:val="Heading2Char"/>
    <w:uiPriority w:val="9"/>
    <w:unhideWhenUsed/>
    <w:qFormat/>
    <w:rsid w:val="00BA0905"/>
    <w:pPr>
      <w:keepNext/>
      <w:keepLines/>
      <w:spacing w:before="40" w:line="452" w:lineRule="auto"/>
      <w:outlineLvl w:val="1"/>
    </w:pPr>
    <w:rPr>
      <w:rFonts w:eastAsiaTheme="majorEastAsia" w:cstheme="majorBidi"/>
      <w:b/>
      <w:i/>
      <w:color w:val="4472C4" w:themeColor="accent1"/>
      <w:sz w:val="32"/>
      <w:szCs w:val="26"/>
    </w:rPr>
  </w:style>
  <w:style w:type="paragraph" w:styleId="Heading3">
    <w:name w:val="heading 3"/>
    <w:basedOn w:val="Normal"/>
    <w:next w:val="Normal"/>
    <w:link w:val="Heading3Char"/>
    <w:uiPriority w:val="9"/>
    <w:unhideWhenUsed/>
    <w:qFormat/>
    <w:rsid w:val="00673220"/>
    <w:pPr>
      <w:keepNext/>
      <w:keepLines/>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B13E52"/>
    <w:pPr>
      <w:keepNext/>
      <w:keepLines/>
      <w:spacing w:before="40" w:line="452" w:lineRule="auto"/>
      <w:jc w:val="left"/>
      <w:outlineLvl w:val="3"/>
    </w:pPr>
    <w:rPr>
      <w:rFonts w:eastAsiaTheme="majorEastAsia" w:cstheme="majorBidi"/>
      <w:b/>
      <w:i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0C92"/>
    <w:pPr>
      <w:spacing w:before="120" w:after="120" w:line="339" w:lineRule="auto"/>
      <w:ind w:right="8"/>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8A0C92"/>
    <w:rPr>
      <w:rFonts w:ascii="Times New Roman" w:eastAsiaTheme="majorEastAsia" w:hAnsi="Times New Roman" w:cstheme="majorBidi"/>
      <w:b/>
      <w:color w:val="000000"/>
      <w:spacing w:val="-10"/>
      <w:kern w:val="28"/>
      <w:sz w:val="44"/>
      <w:szCs w:val="56"/>
      <w:lang w:bidi="as-IN"/>
    </w:rPr>
  </w:style>
  <w:style w:type="paragraph" w:styleId="NoSpacing">
    <w:name w:val="No Spacing"/>
    <w:uiPriority w:val="1"/>
    <w:qFormat/>
    <w:rsid w:val="00C33103"/>
    <w:pPr>
      <w:spacing w:before="240" w:after="0" w:line="360" w:lineRule="auto"/>
      <w:ind w:left="14" w:hanging="14"/>
      <w:jc w:val="both"/>
    </w:pPr>
    <w:rPr>
      <w:rFonts w:ascii="Times New Roman" w:hAnsi="Times New Roman"/>
      <w:color w:val="000000" w:themeColor="text1"/>
      <w:sz w:val="24"/>
    </w:rPr>
  </w:style>
  <w:style w:type="character" w:customStyle="1" w:styleId="Heading1Char">
    <w:name w:val="Heading 1 Char"/>
    <w:basedOn w:val="DefaultParagraphFont"/>
    <w:link w:val="Heading1"/>
    <w:uiPriority w:val="9"/>
    <w:rsid w:val="003803BA"/>
    <w:rPr>
      <w:rFonts w:ascii="Times New Roman" w:hAnsi="Times New Roman" w:cstheme="majorBidi"/>
      <w:b/>
      <w:i/>
      <w:color w:val="000000"/>
      <w:sz w:val="36"/>
      <w:szCs w:val="32"/>
      <w:lang w:bidi="as-IN"/>
    </w:rPr>
  </w:style>
  <w:style w:type="character" w:customStyle="1" w:styleId="Heading2Char">
    <w:name w:val="Heading 2 Char"/>
    <w:basedOn w:val="DefaultParagraphFont"/>
    <w:link w:val="Heading2"/>
    <w:uiPriority w:val="9"/>
    <w:rsid w:val="00BA0905"/>
    <w:rPr>
      <w:rFonts w:ascii="Times New Roman" w:eastAsiaTheme="majorEastAsia" w:hAnsi="Times New Roman" w:cstheme="majorBidi"/>
      <w:b/>
      <w:i/>
      <w:color w:val="4472C4" w:themeColor="accent1"/>
      <w:sz w:val="32"/>
      <w:szCs w:val="26"/>
      <w:lang w:bidi="as-IN"/>
    </w:rPr>
  </w:style>
  <w:style w:type="paragraph" w:styleId="Subtitle">
    <w:name w:val="Subtitle"/>
    <w:basedOn w:val="Normal"/>
    <w:next w:val="Normal"/>
    <w:link w:val="SubtitleChar"/>
    <w:uiPriority w:val="11"/>
    <w:qFormat/>
    <w:rsid w:val="008A0C92"/>
    <w:pPr>
      <w:numPr>
        <w:ilvl w:val="1"/>
      </w:numPr>
      <w:spacing w:after="157" w:line="343" w:lineRule="auto"/>
      <w:ind w:left="14" w:hanging="14"/>
      <w:jc w:val="center"/>
    </w:pPr>
    <w:rPr>
      <w:rFonts w:eastAsiaTheme="minorEastAsia"/>
      <w:b/>
      <w:spacing w:val="15"/>
      <w:sz w:val="36"/>
    </w:rPr>
  </w:style>
  <w:style w:type="character" w:customStyle="1" w:styleId="SubtitleChar">
    <w:name w:val="Subtitle Char"/>
    <w:basedOn w:val="DefaultParagraphFont"/>
    <w:link w:val="Subtitle"/>
    <w:uiPriority w:val="11"/>
    <w:rsid w:val="008A0C92"/>
    <w:rPr>
      <w:rFonts w:ascii="Times New Roman" w:eastAsiaTheme="minorEastAsia" w:hAnsi="Times New Roman" w:cs="Calibri"/>
      <w:b/>
      <w:color w:val="000000"/>
      <w:spacing w:val="15"/>
      <w:sz w:val="36"/>
      <w:szCs w:val="28"/>
      <w:lang w:bidi="as-IN"/>
    </w:rPr>
  </w:style>
  <w:style w:type="character" w:customStyle="1" w:styleId="Heading3Char">
    <w:name w:val="Heading 3 Char"/>
    <w:basedOn w:val="DefaultParagraphFont"/>
    <w:link w:val="Heading3"/>
    <w:uiPriority w:val="9"/>
    <w:rsid w:val="00673220"/>
    <w:rPr>
      <w:rFonts w:ascii="Times New Roman" w:eastAsiaTheme="majorEastAsia" w:hAnsi="Times New Roman" w:cstheme="majorBidi"/>
      <w:b/>
      <w:sz w:val="28"/>
      <w:szCs w:val="24"/>
    </w:rPr>
  </w:style>
  <w:style w:type="character" w:customStyle="1" w:styleId="Heading4Char">
    <w:name w:val="Heading 4 Char"/>
    <w:basedOn w:val="DefaultParagraphFont"/>
    <w:link w:val="Heading4"/>
    <w:uiPriority w:val="9"/>
    <w:rsid w:val="00B13E52"/>
    <w:rPr>
      <w:rFonts w:ascii="Times New Roman" w:eastAsiaTheme="majorEastAsia" w:hAnsi="Times New Roman" w:cstheme="majorBidi"/>
      <w:b/>
      <w:iCs/>
      <w:sz w:val="40"/>
      <w:szCs w:val="28"/>
      <w:lang w:bidi="as-IN"/>
    </w:rPr>
  </w:style>
  <w:style w:type="character" w:styleId="Hyperlink">
    <w:name w:val="Hyperlink"/>
    <w:basedOn w:val="DefaultParagraphFont"/>
    <w:uiPriority w:val="99"/>
    <w:unhideWhenUsed/>
    <w:rsid w:val="00BE45F9"/>
    <w:rPr>
      <w:color w:val="0563C1" w:themeColor="hyperlink"/>
      <w:u w:val="single"/>
    </w:rPr>
  </w:style>
  <w:style w:type="character" w:customStyle="1" w:styleId="UnresolvedMention1">
    <w:name w:val="Unresolved Mention1"/>
    <w:basedOn w:val="DefaultParagraphFont"/>
    <w:uiPriority w:val="99"/>
    <w:semiHidden/>
    <w:unhideWhenUsed/>
    <w:rsid w:val="00BE4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2512</Words>
  <Characters>14322</Characters>
  <Application>Microsoft Office Word</Application>
  <DocSecurity>0</DocSecurity>
  <Lines>119</Lines>
  <Paragraphs>33</Paragraphs>
  <ScaleCrop>false</ScaleCrop>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Zaphran Mirza</dc:creator>
  <cp:keywords/>
  <dc:description/>
  <cp:lastModifiedBy>Zaphran Mirza</cp:lastModifiedBy>
  <cp:revision>2</cp:revision>
  <dcterms:created xsi:type="dcterms:W3CDTF">2023-02-07T12:40:00Z</dcterms:created>
  <dcterms:modified xsi:type="dcterms:W3CDTF">2023-02-07T12:40:00Z</dcterms:modified>
</cp:coreProperties>
</file>