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DA018C" w14:textId="04FD8602" w:rsidR="00553A42" w:rsidRPr="00553A42" w:rsidRDefault="00553A42" w:rsidP="00553A42">
      <w:pPr>
        <w:rPr>
          <w:b/>
          <w:bCs/>
          <w:sz w:val="24"/>
          <w:szCs w:val="24"/>
        </w:rPr>
      </w:pPr>
      <w:r w:rsidRPr="00553A42">
        <w:rPr>
          <w:b/>
          <w:bCs/>
          <w:sz w:val="24"/>
          <w:szCs w:val="24"/>
        </w:rPr>
        <w:t>Section 2 ALN</w:t>
      </w:r>
    </w:p>
    <w:p w14:paraId="59544AE2" w14:textId="4DDDE315" w:rsidR="00553A42" w:rsidRPr="00553A42" w:rsidRDefault="00553A42" w:rsidP="00553A42">
      <w:pPr>
        <w:rPr>
          <w:sz w:val="24"/>
          <w:szCs w:val="24"/>
        </w:rPr>
      </w:pPr>
      <w:r w:rsidRPr="00553A42">
        <w:rPr>
          <w:sz w:val="24"/>
          <w:szCs w:val="24"/>
        </w:rPr>
        <w:t xml:space="preserve">Policy reform around inclusion in Wales Our focus on inclusive education policy in Wales </w:t>
      </w:r>
      <w:proofErr w:type="spellStart"/>
      <w:r w:rsidRPr="00553A42">
        <w:rPr>
          <w:sz w:val="24"/>
          <w:szCs w:val="24"/>
        </w:rPr>
        <w:t>centers</w:t>
      </w:r>
      <w:proofErr w:type="spellEnd"/>
      <w:r w:rsidRPr="00553A42">
        <w:rPr>
          <w:sz w:val="24"/>
          <w:szCs w:val="24"/>
        </w:rPr>
        <w:t xml:space="preserve"> around the dual development of the new Curriculum for Wales and the ALN system a new statutory support system for children and young people aged 0–25 years with a learning difficulty or disability, which will be enacted in 2021</w:t>
      </w:r>
      <w:r w:rsidRPr="00553A42">
        <w:rPr>
          <w:b/>
          <w:bCs/>
          <w:sz w:val="24"/>
          <w:szCs w:val="24"/>
        </w:rPr>
        <w:t xml:space="preserve"> (Welsh Government, 2018). </w:t>
      </w:r>
      <w:r w:rsidRPr="00553A42">
        <w:rPr>
          <w:sz w:val="24"/>
          <w:szCs w:val="24"/>
        </w:rPr>
        <w:t>Whereas the previous system has been criticized for being segmented and inconsistent</w:t>
      </w:r>
      <w:r w:rsidRPr="00553A42">
        <w:rPr>
          <w:b/>
          <w:bCs/>
          <w:sz w:val="24"/>
          <w:szCs w:val="24"/>
        </w:rPr>
        <w:t xml:space="preserve"> (Chaney, 2012</w:t>
      </w:r>
      <w:r w:rsidRPr="00553A42">
        <w:rPr>
          <w:sz w:val="24"/>
          <w:szCs w:val="24"/>
        </w:rPr>
        <w:t xml:space="preserve">), the new system will bring together early years (pre-3-years-old), 3−16, and further education (16+) to create a unified system for ages 0–25. This aims to ensure greater consistency and continuity in provision, and, unlike the current system, ensures that rights are protected regardless of the severity or complexity of needs </w:t>
      </w:r>
      <w:r w:rsidRPr="00553A42">
        <w:rPr>
          <w:b/>
          <w:bCs/>
          <w:sz w:val="24"/>
          <w:szCs w:val="24"/>
        </w:rPr>
        <w:t xml:space="preserve">(Welsh Government, 2018). </w:t>
      </w:r>
      <w:r w:rsidRPr="00553A42">
        <w:rPr>
          <w:sz w:val="24"/>
          <w:szCs w:val="24"/>
        </w:rPr>
        <w:t>However, while the new ALN system in Wales focuses on support for individuals with identified ALNs, it currently does not place focus on the need for inclusive education for every child</w:t>
      </w:r>
      <w:r w:rsidRPr="00553A42">
        <w:rPr>
          <w:b/>
          <w:bCs/>
          <w:sz w:val="24"/>
          <w:szCs w:val="24"/>
        </w:rPr>
        <w:t xml:space="preserve"> (Knight &amp; Crick, 2020a). </w:t>
      </w:r>
      <w:r w:rsidRPr="00553A42">
        <w:rPr>
          <w:sz w:val="24"/>
          <w:szCs w:val="24"/>
        </w:rPr>
        <w:t>Therefore, it is necessary to look to the curriculum in order to question how the needs of all children are met within the Welsh education system, more so in the context of major education system-level reforms.</w:t>
      </w:r>
      <w:r>
        <w:rPr>
          <w:sz w:val="24"/>
          <w:szCs w:val="24"/>
        </w:rPr>
        <w:t xml:space="preserve"> </w:t>
      </w:r>
      <w:r w:rsidRPr="00553A42">
        <w:rPr>
          <w:sz w:val="24"/>
          <w:szCs w:val="24"/>
        </w:rPr>
        <w:t>The new Curriculum for Wales is competency-based, advocating a developmental, experiential approach to teaching and learning. It has therefore been developed and articulated in a way that should allow these goals to be met with the same aims and programs running across the mainstream and special sector. Furthermore, it aims to provide practitioners with the autonomy and agency to adapt both their content and delivery to provide the differentiation needed to create an inclusive classroom, with the potential to create truly inclusive teaching practices across the curriculum.</w:t>
      </w:r>
      <w:r>
        <w:rPr>
          <w:sz w:val="24"/>
          <w:szCs w:val="24"/>
        </w:rPr>
        <w:t xml:space="preserve"> </w:t>
      </w:r>
      <w:r w:rsidRPr="00553A42">
        <w:rPr>
          <w:sz w:val="24"/>
          <w:szCs w:val="24"/>
        </w:rPr>
        <w:t xml:space="preserve">Inclusive curricula Making adjustments to the curriculum is central to the understanding of inclusive education; a </w:t>
      </w:r>
      <w:proofErr w:type="spellStart"/>
      <w:r w:rsidRPr="00553A42">
        <w:rPr>
          <w:sz w:val="24"/>
          <w:szCs w:val="24"/>
        </w:rPr>
        <w:t>noninclusive</w:t>
      </w:r>
      <w:proofErr w:type="spellEnd"/>
      <w:r w:rsidRPr="00553A42">
        <w:rPr>
          <w:sz w:val="24"/>
          <w:szCs w:val="24"/>
        </w:rPr>
        <w:t xml:space="preserve"> curriculum would be a significant barrier to inclusive classrooms.</w:t>
      </w:r>
      <w:r w:rsidRPr="00553A42">
        <w:rPr>
          <w:b/>
          <w:bCs/>
          <w:sz w:val="24"/>
          <w:szCs w:val="24"/>
        </w:rPr>
        <w:t xml:space="preserve"> </w:t>
      </w:r>
      <w:proofErr w:type="spellStart"/>
      <w:r w:rsidRPr="00553A42">
        <w:rPr>
          <w:b/>
          <w:bCs/>
          <w:sz w:val="24"/>
          <w:szCs w:val="24"/>
        </w:rPr>
        <w:t>Opertti</w:t>
      </w:r>
      <w:proofErr w:type="spellEnd"/>
      <w:r w:rsidRPr="00553A42">
        <w:rPr>
          <w:b/>
          <w:bCs/>
          <w:sz w:val="24"/>
          <w:szCs w:val="24"/>
        </w:rPr>
        <w:t xml:space="preserve"> and Brady (2011) </w:t>
      </w:r>
      <w:r w:rsidRPr="00553A42">
        <w:rPr>
          <w:sz w:val="24"/>
          <w:szCs w:val="24"/>
        </w:rPr>
        <w:t>suggest that in order for a curriculum to be inclusive it should combine the density and strength of key concepts (</w:t>
      </w:r>
      <w:proofErr w:type="gramStart"/>
      <w:r w:rsidRPr="00553A42">
        <w:rPr>
          <w:sz w:val="24"/>
          <w:szCs w:val="24"/>
        </w:rPr>
        <w:t>i.e.</w:t>
      </w:r>
      <w:proofErr w:type="gramEnd"/>
      <w:r w:rsidRPr="00553A42">
        <w:rPr>
          <w:sz w:val="24"/>
          <w:szCs w:val="24"/>
        </w:rPr>
        <w:t xml:space="preserve"> the value of diversity, the right to lifelong learning,</w:t>
      </w:r>
      <w:r w:rsidRPr="00553A42">
        <w:rPr>
          <w:b/>
          <w:bCs/>
          <w:sz w:val="24"/>
          <w:szCs w:val="24"/>
        </w:rPr>
        <w:t xml:space="preserve"> </w:t>
      </w:r>
      <w:r w:rsidRPr="00553A42">
        <w:rPr>
          <w:sz w:val="24"/>
          <w:szCs w:val="24"/>
        </w:rPr>
        <w:t>comprehensive citizenship education) through options, flexibility, and consideration of all learners within schools and classrooms, to guarantee their individual right to education.</w:t>
      </w:r>
      <w:r w:rsidRPr="00553A42">
        <w:rPr>
          <w:b/>
          <w:bCs/>
          <w:sz w:val="24"/>
          <w:szCs w:val="24"/>
        </w:rPr>
        <w:t xml:space="preserve"> (p. 462)</w:t>
      </w:r>
      <w:r>
        <w:rPr>
          <w:sz w:val="24"/>
          <w:szCs w:val="24"/>
        </w:rPr>
        <w:t xml:space="preserve"> </w:t>
      </w:r>
      <w:r w:rsidRPr="00553A42">
        <w:rPr>
          <w:sz w:val="24"/>
          <w:szCs w:val="24"/>
        </w:rPr>
        <w:t>A rights-based approach where the views, wishes and feelings of the child, child’s parent or young person are central to the planning and provision of support; and the child, child’s parent or young person is enabled to participate as fully as possible in the decision-making processes and has effective rights to challenge decisions about ALN, ALP and related matters.</w:t>
      </w:r>
      <w:r w:rsidRPr="00553A42">
        <w:rPr>
          <w:b/>
          <w:bCs/>
          <w:sz w:val="24"/>
          <w:szCs w:val="24"/>
        </w:rPr>
        <w:t xml:space="preserve"> (p. 38) (EXTRACT 4)</w:t>
      </w:r>
      <w:r>
        <w:rPr>
          <w:b/>
          <w:bCs/>
          <w:sz w:val="24"/>
          <w:szCs w:val="24"/>
        </w:rPr>
        <w:t xml:space="preserve"> </w:t>
      </w:r>
      <w:r w:rsidRPr="00553A42">
        <w:rPr>
          <w:sz w:val="24"/>
          <w:szCs w:val="24"/>
        </w:rPr>
        <w:t>The adopted curriculum must be implemented in a way that (a) enables each pupil to develop in the ways described in the four purposes, (b) secures teaching and learning that offers appropriate progression for each pupil, (c) is suitable for each pupil’s age, ability and aptitude, (d) takes account of each pupil’s ALN (if any), and (e) secures broad and balanced teaching and learning for each pupil</w:t>
      </w:r>
      <w:r w:rsidRPr="00553A42">
        <w:rPr>
          <w:b/>
          <w:bCs/>
          <w:sz w:val="24"/>
          <w:szCs w:val="24"/>
        </w:rPr>
        <w:t>. (p. 10) (EXTRACT 6)</w:t>
      </w:r>
      <w:r>
        <w:rPr>
          <w:b/>
          <w:bCs/>
          <w:sz w:val="24"/>
          <w:szCs w:val="24"/>
        </w:rPr>
        <w:t xml:space="preserve">. </w:t>
      </w:r>
      <w:r w:rsidRPr="00553A42">
        <w:rPr>
          <w:b/>
          <w:bCs/>
          <w:sz w:val="24"/>
          <w:szCs w:val="24"/>
        </w:rPr>
        <w:t xml:space="preserve">Curriculum for Wales Guidance (2020) </w:t>
      </w:r>
      <w:r w:rsidRPr="00553A42">
        <w:rPr>
          <w:sz w:val="24"/>
          <w:szCs w:val="24"/>
        </w:rPr>
        <w:t xml:space="preserve">The Curriculum for Wales Guidance released in 2020 was designed to help schools to design and implement their own local curricula. It sets out the proposed curriculum requirements which aim to ensure all schools cover the same core learning and to provide a foundation for developing a consistency of approach for learners across Wales. On the whole, the curriculum’s aims align with the diversity paradigm on the “values” continuum. It is stated that: “The Framework reflects Wales, its cultural heritage and diversity, its languages and </w:t>
      </w:r>
      <w:r w:rsidRPr="00553A42">
        <w:rPr>
          <w:sz w:val="24"/>
          <w:szCs w:val="24"/>
        </w:rPr>
        <w:lastRenderedPageBreak/>
        <w:t>the values, histories and traditions of its communities and all of its people”</w:t>
      </w:r>
      <w:r w:rsidRPr="00553A42">
        <w:rPr>
          <w:b/>
          <w:bCs/>
          <w:sz w:val="24"/>
          <w:szCs w:val="24"/>
        </w:rPr>
        <w:t xml:space="preserve"> (p. 30) (EXTRACT 8).</w:t>
      </w:r>
      <w:r>
        <w:rPr>
          <w:b/>
          <w:bCs/>
          <w:sz w:val="24"/>
          <w:szCs w:val="24"/>
        </w:rPr>
        <w:t xml:space="preserve"> </w:t>
      </w:r>
      <w:r w:rsidRPr="00553A42">
        <w:rPr>
          <w:sz w:val="24"/>
          <w:szCs w:val="24"/>
        </w:rPr>
        <w:t>The guidance goes on to state that “creating a curriculum which recognises the diverse culture of their society enables learners to celebrate the diverse nature of all societies. This promotes equality, inclusion, social cohesion and a feeling of being valued”</w:t>
      </w:r>
      <w:r w:rsidRPr="00553A42">
        <w:rPr>
          <w:b/>
          <w:bCs/>
          <w:sz w:val="24"/>
          <w:szCs w:val="24"/>
        </w:rPr>
        <w:t xml:space="preserve"> (p. 42) (EXTRACT 9). </w:t>
      </w:r>
      <w:r w:rsidRPr="00553A42">
        <w:rPr>
          <w:sz w:val="24"/>
          <w:szCs w:val="24"/>
        </w:rPr>
        <w:t>Thus, while these aims do not refer to practice, they suggest that the curriculum for Wales values diversity.</w:t>
      </w:r>
      <w:r>
        <w:rPr>
          <w:sz w:val="24"/>
          <w:szCs w:val="24"/>
        </w:rPr>
        <w:t xml:space="preserve"> </w:t>
      </w:r>
      <w:r w:rsidRPr="00553A42">
        <w:rPr>
          <w:sz w:val="24"/>
          <w:szCs w:val="24"/>
        </w:rPr>
        <w:t xml:space="preserve">Professional Standards for Teaching and Leadership (2017) The professional standards are a set of regulatory standards for practitioners in Wales. They provide a set of descriptors “that exemplify how the standards could apply to a teacher’s work depending on where that teacher is in terms of their role and career” (p. 4) </w:t>
      </w:r>
      <w:r w:rsidRPr="00553A42">
        <w:rPr>
          <w:b/>
          <w:bCs/>
          <w:sz w:val="24"/>
          <w:szCs w:val="24"/>
        </w:rPr>
        <w:t>(EXTRACT 13).</w:t>
      </w:r>
      <w:r w:rsidRPr="00553A42">
        <w:rPr>
          <w:sz w:val="24"/>
          <w:szCs w:val="24"/>
        </w:rPr>
        <w:t xml:space="preserve"> Specifically relating to inclusion, these standards regularly refer to meeting the needs of all learners</w:t>
      </w:r>
      <w:r w:rsidRPr="00553A42">
        <w:rPr>
          <w:sz w:val="24"/>
          <w:szCs w:val="24"/>
        </w:rPr>
        <w:t xml:space="preserve">. </w:t>
      </w:r>
      <w:r w:rsidRPr="00553A42">
        <w:rPr>
          <w:sz w:val="24"/>
          <w:szCs w:val="24"/>
        </w:rPr>
        <w:t xml:space="preserve">At the leadership level, it is stated that “leadership ensures that all learners, including those with ALN, gain full access to opportunities and achieve” (p. 80) </w:t>
      </w:r>
      <w:r w:rsidRPr="00553A42">
        <w:rPr>
          <w:b/>
          <w:bCs/>
          <w:sz w:val="24"/>
          <w:szCs w:val="24"/>
        </w:rPr>
        <w:t>(EXTRACT 15).</w:t>
      </w:r>
      <w:r w:rsidRPr="00553A42">
        <w:rPr>
          <w:sz w:val="24"/>
          <w:szCs w:val="24"/>
        </w:rPr>
        <w:t xml:space="preserve"> </w:t>
      </w:r>
      <w:r w:rsidRPr="00553A42">
        <w:rPr>
          <w:sz w:val="24"/>
          <w:szCs w:val="24"/>
        </w:rPr>
        <w:t xml:space="preserve">Inclusion and Pupil Support 2016 This document was produced by the Welsh Government to provide guidance on inclusion and support for learners in compulsory education. Within this document, inclusion is defined as: a process through which all pupils access common opportunities in ways relevant to their needs, and which ensures that they fully belong to the school community. Inclusion requires the active involvement of all concerned. It places the onus on schools to adapt their organisation and their ways of responding to both meet the needs and value the development of all children and young people in all areas of school life. In particular, inclusion of pupils involves much more than the placement of a child or young person in a mainstream or a special school. It requires an inclusive curriculum and measures to improve teaching and other staff’s awareness of inclusive learning and equality issues. (p. 2, emphasis added) </w:t>
      </w:r>
      <w:r w:rsidRPr="00553A42">
        <w:rPr>
          <w:b/>
          <w:bCs/>
          <w:sz w:val="24"/>
          <w:szCs w:val="24"/>
        </w:rPr>
        <w:t>(EXTRACT 18)</w:t>
      </w:r>
      <w:r w:rsidRPr="00553A42">
        <w:rPr>
          <w:sz w:val="24"/>
          <w:szCs w:val="24"/>
        </w:rPr>
        <w:t xml:space="preserve"> </w:t>
      </w:r>
      <w:r w:rsidRPr="00553A42">
        <w:rPr>
          <w:sz w:val="24"/>
          <w:szCs w:val="24"/>
        </w:rPr>
        <w:t xml:space="preserve">This emphasis on the providing for “all learners,” and suggesting that inclusion is a process of adapting the environment to meet the needs of all learners, aligns with the social </w:t>
      </w:r>
      <w:proofErr w:type="gramStart"/>
      <w:r w:rsidRPr="00553A42">
        <w:rPr>
          <w:sz w:val="24"/>
          <w:szCs w:val="24"/>
        </w:rPr>
        <w:t>practices</w:t>
      </w:r>
      <w:proofErr w:type="gramEnd"/>
      <w:r w:rsidRPr="00553A42">
        <w:rPr>
          <w:sz w:val="24"/>
          <w:szCs w:val="24"/>
        </w:rPr>
        <w:t xml:space="preserve"> paradigm. Furthermore, person-</w:t>
      </w:r>
      <w:proofErr w:type="spellStart"/>
      <w:r w:rsidRPr="00553A42">
        <w:rPr>
          <w:sz w:val="24"/>
          <w:szCs w:val="24"/>
        </w:rPr>
        <w:t>centered</w:t>
      </w:r>
      <w:proofErr w:type="spellEnd"/>
      <w:r w:rsidRPr="00553A42">
        <w:rPr>
          <w:sz w:val="24"/>
          <w:szCs w:val="24"/>
        </w:rPr>
        <w:t xml:space="preserve"> approaches are foregrounded: “All children should be involved in making decisions, where possible right from the start of their education” (p. 9) </w:t>
      </w:r>
      <w:r w:rsidRPr="00553A42">
        <w:rPr>
          <w:b/>
          <w:bCs/>
          <w:sz w:val="24"/>
          <w:szCs w:val="24"/>
        </w:rPr>
        <w:t>(EXTRACT 19),</w:t>
      </w:r>
      <w:r w:rsidRPr="00553A42">
        <w:rPr>
          <w:sz w:val="24"/>
          <w:szCs w:val="24"/>
        </w:rPr>
        <w:t xml:space="preserve"> also portraying the social paradigm.</w:t>
      </w:r>
      <w:r w:rsidRPr="00553A42">
        <w:rPr>
          <w:sz w:val="24"/>
          <w:szCs w:val="24"/>
        </w:rPr>
        <w:t xml:space="preserve"> </w:t>
      </w:r>
      <w:r w:rsidRPr="00553A42">
        <w:rPr>
          <w:sz w:val="24"/>
          <w:szCs w:val="24"/>
        </w:rPr>
        <w:t>In 2019, the Welsh Government published a number of documents providing guidance on “vision impairment,” “hearing impairment,” “multi-sensory impairment,” “attention deficit hyperactivity disorder”, and ASD. These documents are based on rapid evidence assessment of educational interventions to support children with the different needs.</w:t>
      </w:r>
      <w:r w:rsidRPr="00553A42">
        <w:rPr>
          <w:sz w:val="24"/>
          <w:szCs w:val="24"/>
        </w:rPr>
        <w:t xml:space="preserve"> </w:t>
      </w:r>
      <w:r w:rsidRPr="00553A42">
        <w:rPr>
          <w:sz w:val="24"/>
          <w:szCs w:val="24"/>
        </w:rPr>
        <w:t>However, the documents also show alignment with the “social” side of the continuum where practices are targeted towards removing barriers in the environment for all pupils. The definition of inclusion in the “Inclusion and Pupil Support” guidance has a focus on the education environment required for a school to be inclusive.</w:t>
      </w:r>
      <w:r>
        <w:rPr>
          <w:sz w:val="24"/>
          <w:szCs w:val="24"/>
        </w:rPr>
        <w:t xml:space="preserve"> </w:t>
      </w:r>
      <w:r w:rsidRPr="00553A42">
        <w:rPr>
          <w:sz w:val="24"/>
          <w:szCs w:val="24"/>
        </w:rPr>
        <w:t>There are examples of where a person-</w:t>
      </w:r>
      <w:proofErr w:type="spellStart"/>
      <w:r w:rsidRPr="00553A42">
        <w:rPr>
          <w:sz w:val="24"/>
          <w:szCs w:val="24"/>
        </w:rPr>
        <w:t>centered</w:t>
      </w:r>
      <w:proofErr w:type="spellEnd"/>
      <w:r w:rsidRPr="00553A42">
        <w:rPr>
          <w:sz w:val="24"/>
          <w:szCs w:val="24"/>
        </w:rPr>
        <w:t xml:space="preserve"> approach to provision is advocated (EXTRACT 4, 19) and the child and their family are included in the decision-making processes. This also aligns with the social model where the aim is not to identify and “fix” their impairment, but to work with the individual to identify barriers in their environment which may prevent them from accessing education, and to consider how they can be removed (</w:t>
      </w:r>
      <w:proofErr w:type="spellStart"/>
      <w:r w:rsidRPr="00553A42">
        <w:rPr>
          <w:sz w:val="24"/>
          <w:szCs w:val="24"/>
        </w:rPr>
        <w:t>Kattari</w:t>
      </w:r>
      <w:proofErr w:type="spellEnd"/>
      <w:r w:rsidRPr="00553A42">
        <w:rPr>
          <w:sz w:val="24"/>
          <w:szCs w:val="24"/>
        </w:rPr>
        <w:t xml:space="preserve"> et al., 2017).</w:t>
      </w:r>
    </w:p>
    <w:p w14:paraId="11C9B66B" w14:textId="77777777" w:rsidR="00553A42" w:rsidRPr="00553A42" w:rsidRDefault="00553A42" w:rsidP="00553A42">
      <w:pPr>
        <w:rPr>
          <w:b/>
          <w:bCs/>
          <w:sz w:val="24"/>
          <w:szCs w:val="24"/>
        </w:rPr>
      </w:pPr>
    </w:p>
    <w:p w14:paraId="7F75FCE1" w14:textId="0267D315" w:rsidR="00553A42" w:rsidRPr="00553A42" w:rsidRDefault="00553A42" w:rsidP="00553A42">
      <w:pPr>
        <w:rPr>
          <w:sz w:val="24"/>
          <w:szCs w:val="24"/>
        </w:rPr>
      </w:pPr>
    </w:p>
    <w:p w14:paraId="78972C06" w14:textId="77777777" w:rsidR="00EE2824" w:rsidRPr="00EE2824" w:rsidRDefault="00EE2824" w:rsidP="00EE2824">
      <w:pPr>
        <w:rPr>
          <w:b/>
          <w:bCs/>
          <w:sz w:val="24"/>
          <w:szCs w:val="24"/>
        </w:rPr>
      </w:pPr>
      <w:r w:rsidRPr="00EE2824">
        <w:rPr>
          <w:b/>
          <w:bCs/>
          <w:sz w:val="24"/>
          <w:szCs w:val="24"/>
        </w:rPr>
        <w:lastRenderedPageBreak/>
        <w:t xml:space="preserve">Section 3 Poverty </w:t>
      </w:r>
    </w:p>
    <w:p w14:paraId="776315F2" w14:textId="625D6655" w:rsidR="00EE2824" w:rsidRPr="00EE2824" w:rsidRDefault="00EE2824" w:rsidP="00EE2824">
      <w:pPr>
        <w:rPr>
          <w:sz w:val="24"/>
          <w:szCs w:val="24"/>
        </w:rPr>
      </w:pPr>
      <w:r w:rsidRPr="00EE2824">
        <w:rPr>
          <w:sz w:val="24"/>
          <w:szCs w:val="24"/>
        </w:rPr>
        <w:t>Childhood poverty in Wales and its significance Almost one third of children in Wales live in poverty (Joseph Rowntree Foundation, 2018). This is a higher proportion than in any other nation in the UK and equates to almost 200,000 children (Save the Children, 2017).</w:t>
      </w:r>
      <w:r w:rsidRPr="00EE2824">
        <w:rPr>
          <w:color w:val="000000" w:themeColor="text1"/>
        </w:rPr>
        <w:t xml:space="preserve"> </w:t>
      </w:r>
      <w:r w:rsidRPr="00EE2824">
        <w:rPr>
          <w:sz w:val="24"/>
          <w:szCs w:val="24"/>
        </w:rPr>
        <w:t>These are the various circumstances and stressors experienced by children or their family members that tend to co-occur with or exacerbate existing childhood poverty. The core set of factors includes: unemployment or economic inactivity; in work poverty; lone parenthood; low parental education attainment; teenage parenthood; lack of affordable and accessible childcare; lack of qualifications among young people; poor health; problem behaviour; abuse and neglect and residence in deprived neighbourhoods or in substandard housing. Childhood poverty is highly significant because it can have a major and permanent impact on the lives of individuals in ways which are different to those of adults. A child brought up in poverty is more likely to suffer from the effects of malnutrition, poor quality housing, overcrowding, poorer health, family tensions, stigma (due to visible signs of poverty) and have less access to a wide range of social and cultural activities (Ridge, 2014). Childhood poverty can have negative effects on social development. Through the effects of poverty and inadequate space and resources, poorer children can often find it difficult to sustain friendship and engage in social interaction and can, therefore, be exposed to bullying and experience exclusion (Pahl, 2000). Bullying can often occur when children ‘do not belong to the proper race, religion, social class, or, even do not wear ‘appropriate clothing’, do not belong to the ‘in’ groups and do not share in the values and pastimes of their peers’ (Ambert, 1995: 186). It has also been reported that children from deprived backgrounds have much worse levels of health and wellbeing than other children (Roberts and Bell, 2015). However, it been noted recently that since 2010, children from lower-income backgrounds have been catching up with those from better-off backgrounds on educational attainment (Joseph Rowntree Foundation, 2018). Despite this, disadvantaged learners tend to have weaker language and communication skills, significant difficulties in basic literacy and numeracy skills and are more likely to experience frequent behaviour difficulties (Sutton Trust, 2010). Children and young people from families in poverty participate in fewer organised out-of-school activities than their more affluent peers and therefore are denied important learning experiences, which may affect their levels of engagement in more formal learning activities in school (Egan, 2007).</w:t>
      </w:r>
      <w:r w:rsidRPr="00EE2824">
        <w:rPr>
          <w:color w:val="000000" w:themeColor="text1"/>
        </w:rPr>
        <w:t xml:space="preserve"> </w:t>
      </w:r>
      <w:r w:rsidRPr="00EE2824">
        <w:rPr>
          <w:sz w:val="24"/>
          <w:szCs w:val="24"/>
        </w:rPr>
        <w:t xml:space="preserve">Yet not all pupils from impoverished backgrounds fail and there is research evidence to suggest both that good teachers make a difference and that negative stereotypes about impoverished children based on deficit assumptions can perpetuate inequality (Cummings et al., 2012). Recently the government has decided to double the PDG for their youngest learners, ‘so that every child has the opportunity to reach their potential’ (Williams, 2017) Regular and effective use of approaches such as classroom observations, learner, teacher and parent surveys, scrutiny of learners’ book, learning walks, communication with parents/carers, discussions with learners, and reflective questioning techniques, are being used by schools attempting to combat the effect of poverty on learners (WCEE, 2014b). Trainee teachers feel that there are a number of different ways in which the education system can help to reduce the negative effects of poverty. The most important of these is providing a positive ethos which </w:t>
      </w:r>
      <w:r w:rsidRPr="00EE2824">
        <w:rPr>
          <w:sz w:val="24"/>
          <w:szCs w:val="24"/>
        </w:rPr>
        <w:lastRenderedPageBreak/>
        <w:t xml:space="preserve">places the school: at the heart of the life of the community; values and cares for each individual; acknowledges the potential of everyone; places a strong emphasis on parental as well as pupil engagement; and provides relevant, motivating learning experiences which enrich the different aspects of the lives of all its pupils. Implicit in the figures is the understanding that poverty can hold people back in so many different ways. Every single respondent felt that for schools to function effectively they needed to make tackling the effects of poverty a key part of their mission. Some emphasised that this should also be part of each teacher’s personal mission. Almost all of the respondents felt that creating a positive psychosocial environment could help schools reduce the impact of poverty. There were also a number of practical ways in which the respondents felt that schools could have a positive impact on the lives of poorer children. These included providing free meals and free breakfast clubs. An empty stomach was seen as a major barrier to pupil progress. Three-quarters (73%) felt that schools should also provide laptops and </w:t>
      </w:r>
      <w:proofErr w:type="spellStart"/>
      <w:r w:rsidRPr="00EE2824">
        <w:rPr>
          <w:sz w:val="24"/>
          <w:szCs w:val="24"/>
        </w:rPr>
        <w:t>IPads</w:t>
      </w:r>
      <w:proofErr w:type="spellEnd"/>
      <w:r w:rsidRPr="00EE2824">
        <w:rPr>
          <w:sz w:val="24"/>
          <w:szCs w:val="24"/>
        </w:rPr>
        <w:t xml:space="preserve"> for pupils. As was noted above there was a strong feeling that access to modern technology and the internet could enable all pupils, regardless of background, to access information and communicate in ways which would have, traditionally, been impossible.</w:t>
      </w:r>
    </w:p>
    <w:p w14:paraId="2F4DD95B" w14:textId="77777777" w:rsidR="00EE2824" w:rsidRPr="00EE2824" w:rsidRDefault="00EE2824" w:rsidP="00EE2824">
      <w:pPr>
        <w:rPr>
          <w:b/>
          <w:bCs/>
          <w:sz w:val="24"/>
          <w:szCs w:val="24"/>
        </w:rPr>
      </w:pPr>
    </w:p>
    <w:p w14:paraId="1E3B9821" w14:textId="58983606" w:rsidR="00553A42" w:rsidRPr="00553A42" w:rsidRDefault="00553A42" w:rsidP="00EE2824">
      <w:pPr>
        <w:rPr>
          <w:sz w:val="24"/>
          <w:szCs w:val="24"/>
        </w:rPr>
      </w:pPr>
    </w:p>
    <w:p w14:paraId="34A5DD48" w14:textId="5A26DAB6" w:rsidR="00553A42" w:rsidRDefault="00553A42" w:rsidP="00553A42"/>
    <w:p w14:paraId="1FA163DE" w14:textId="0D80F6C5" w:rsidR="00553A42" w:rsidRDefault="00553A42" w:rsidP="00553A42"/>
    <w:p w14:paraId="2787A31B" w14:textId="19891DD9" w:rsidR="00553A42" w:rsidRDefault="00553A42" w:rsidP="00553A42"/>
    <w:p w14:paraId="3C4ADBE8" w14:textId="1EE33776" w:rsidR="00553A42" w:rsidRDefault="00553A42" w:rsidP="00553A42"/>
    <w:p w14:paraId="0DD37E17" w14:textId="0598F221" w:rsidR="00553A42" w:rsidRDefault="00553A42" w:rsidP="00553A42"/>
    <w:p w14:paraId="578D9130" w14:textId="6D07B6ED" w:rsidR="00553A42" w:rsidRDefault="00553A42" w:rsidP="00553A42"/>
    <w:p w14:paraId="5C018FCB" w14:textId="77777777" w:rsidR="00553A42" w:rsidRDefault="00553A42" w:rsidP="00553A42"/>
    <w:p w14:paraId="34C2FCBC" w14:textId="77777777" w:rsidR="00553A42" w:rsidRDefault="00553A42" w:rsidP="00553A42"/>
    <w:sectPr w:rsidR="00553A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E271FD" w14:textId="77777777" w:rsidR="00EE2824" w:rsidRDefault="00EE2824" w:rsidP="00EE2824">
      <w:pPr>
        <w:spacing w:after="0" w:line="240" w:lineRule="auto"/>
      </w:pPr>
      <w:r>
        <w:separator/>
      </w:r>
    </w:p>
  </w:endnote>
  <w:endnote w:type="continuationSeparator" w:id="0">
    <w:p w14:paraId="46426387" w14:textId="77777777" w:rsidR="00EE2824" w:rsidRDefault="00EE2824" w:rsidP="00EE28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D3AC53" w14:textId="77777777" w:rsidR="00EE2824" w:rsidRDefault="00EE2824" w:rsidP="00EE2824">
      <w:pPr>
        <w:spacing w:after="0" w:line="240" w:lineRule="auto"/>
      </w:pPr>
      <w:r>
        <w:separator/>
      </w:r>
    </w:p>
  </w:footnote>
  <w:footnote w:type="continuationSeparator" w:id="0">
    <w:p w14:paraId="17C4CD1A" w14:textId="77777777" w:rsidR="00EE2824" w:rsidRDefault="00EE2824" w:rsidP="00EE282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3A42"/>
    <w:rsid w:val="002C1569"/>
    <w:rsid w:val="0037159A"/>
    <w:rsid w:val="004E013E"/>
    <w:rsid w:val="00553A42"/>
    <w:rsid w:val="00EE28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EF0B77"/>
  <w15:chartTrackingRefBased/>
  <w15:docId w15:val="{3F84B2F1-EB18-4114-8072-7DD78D705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E28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2824"/>
  </w:style>
  <w:style w:type="paragraph" w:styleId="Footer">
    <w:name w:val="footer"/>
    <w:basedOn w:val="Normal"/>
    <w:link w:val="FooterChar"/>
    <w:uiPriority w:val="99"/>
    <w:unhideWhenUsed/>
    <w:rsid w:val="00EE28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28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1878</Words>
  <Characters>10705</Characters>
  <Application>Microsoft Office Word</Application>
  <DocSecurity>0</DocSecurity>
  <Lines>89</Lines>
  <Paragraphs>25</Paragraphs>
  <ScaleCrop>false</ScaleCrop>
  <Company/>
  <LinksUpToDate>false</LinksUpToDate>
  <CharactersWithSpaces>12558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R.K .</dc:creator>
  <cp:keywords/>
  <dc:description/>
  <cp:lastModifiedBy>R.K .</cp:lastModifiedBy>
  <cp:revision>2</cp:revision>
  <dcterms:created xsi:type="dcterms:W3CDTF">2021-11-22T01:22:00Z</dcterms:created>
  <dcterms:modified xsi:type="dcterms:W3CDTF">2021-11-22T01:22:00Z</dcterms:modified>
</cp:coreProperties>
</file>