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bookmarkStart w:id="0" w:name="_GoBack"/>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7A9C0F6F" w14:textId="77777777" w:rsidR="00F06C62" w:rsidRDefault="00F06C62" w:rsidP="00F06C6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Learner’s name: Sian Marie Ley</w:t>
            </w:r>
          </w:p>
          <w:p w14:paraId="50091587" w14:textId="77777777" w:rsidR="00F06C62" w:rsidRDefault="00F06C62" w:rsidP="00F06C62">
            <w:pPr>
              <w:overflowPunct/>
              <w:autoSpaceDE/>
              <w:adjustRightInd/>
              <w:ind w:right="-957"/>
              <w:rPr>
                <w:rFonts w:ascii="Times New Roman" w:hAnsi="Times New Roman" w:cs="Times New Roman"/>
                <w:b/>
                <w:color w:val="auto"/>
                <w:sz w:val="48"/>
              </w:rPr>
            </w:pPr>
          </w:p>
          <w:p w14:paraId="078BADCB" w14:textId="77777777" w:rsidR="00F06C62" w:rsidRDefault="00F06C62" w:rsidP="00F06C6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Email address: 0351370@student.uwtsd.ac.uk</w:t>
            </w:r>
          </w:p>
          <w:p w14:paraId="1496FEBE" w14:textId="77777777" w:rsidR="00F06C62" w:rsidRDefault="00F06C62" w:rsidP="00F06C6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sian.ley70@gmail.com</w:t>
            </w:r>
          </w:p>
          <w:p w14:paraId="7FB78920" w14:textId="77777777" w:rsidR="00F06C62" w:rsidRDefault="00F06C62" w:rsidP="00F06C62">
            <w:pPr>
              <w:overflowPunct/>
              <w:autoSpaceDE/>
              <w:adjustRightInd/>
              <w:ind w:right="-957"/>
              <w:rPr>
                <w:rFonts w:ascii="Times New Roman" w:hAnsi="Times New Roman" w:cs="Times New Roman"/>
                <w:b/>
                <w:color w:val="auto"/>
                <w:sz w:val="48"/>
              </w:rPr>
            </w:pPr>
          </w:p>
          <w:p w14:paraId="3F14831E" w14:textId="77777777" w:rsidR="00F06C62" w:rsidRDefault="00F06C62" w:rsidP="00F06C6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Learner’s University Registration Number:</w:t>
            </w:r>
          </w:p>
          <w:p w14:paraId="10F6DE5B" w14:textId="77777777" w:rsidR="00F06C62" w:rsidRDefault="00F06C62" w:rsidP="00F06C62">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0351370</w:t>
            </w:r>
          </w:p>
          <w:p w14:paraId="69BD1555" w14:textId="77777777" w:rsidR="00F06C62" w:rsidRDefault="00F06C62" w:rsidP="00F06C62">
            <w:pPr>
              <w:overflowPunct/>
              <w:autoSpaceDE/>
              <w:adjustRightInd/>
              <w:ind w:right="-957"/>
              <w:rPr>
                <w:rFonts w:ascii="Times New Roman" w:hAnsi="Times New Roman" w:cs="Times New Roman"/>
                <w:b/>
                <w:color w:val="auto"/>
                <w:sz w:val="48"/>
              </w:rPr>
            </w:pPr>
          </w:p>
          <w:p w14:paraId="5F84129B" w14:textId="15E85AA3" w:rsidR="0085230E" w:rsidRPr="005D3F07" w:rsidRDefault="00F06C62" w:rsidP="00F06C6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Cohort: 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42C2BC0A" w14:textId="77777777" w:rsidR="00AC3B98" w:rsidRDefault="00AC3B98" w:rsidP="00FF7EBB">
      <w:pPr>
        <w:jc w:val="both"/>
      </w:pPr>
    </w:p>
    <w:p w14:paraId="066A890D" w14:textId="0491D631" w:rsidR="008A18EE" w:rsidRPr="00B06C2B" w:rsidRDefault="00AC3B98" w:rsidP="008A18EE">
      <w:pPr>
        <w:spacing w:line="360" w:lineRule="auto"/>
        <w:jc w:val="both"/>
        <w:rPr>
          <w:sz w:val="24"/>
          <w:szCs w:val="24"/>
        </w:rPr>
      </w:pPr>
      <w:r w:rsidRPr="00B06C2B">
        <w:rPr>
          <w:sz w:val="24"/>
          <w:szCs w:val="24"/>
        </w:rPr>
        <w:t xml:space="preserve">Section 126(1) of the Social Services and Well-being (Wales) Act 2014 </w:t>
      </w:r>
      <w:r w:rsidR="00D87CFA">
        <w:rPr>
          <w:sz w:val="24"/>
          <w:szCs w:val="24"/>
        </w:rPr>
        <w:t xml:space="preserve">[SSWBWA] </w:t>
      </w:r>
      <w:r w:rsidRPr="00B06C2B">
        <w:rPr>
          <w:sz w:val="24"/>
          <w:szCs w:val="24"/>
        </w:rPr>
        <w:t>defines an “adul</w:t>
      </w:r>
      <w:r w:rsidR="00D87CFA">
        <w:rPr>
          <w:sz w:val="24"/>
          <w:szCs w:val="24"/>
        </w:rPr>
        <w:t xml:space="preserve">t at risk” as an adult who </w:t>
      </w:r>
      <w:r w:rsidRPr="00B06C2B">
        <w:rPr>
          <w:sz w:val="24"/>
          <w:szCs w:val="24"/>
        </w:rPr>
        <w:t xml:space="preserve">is experiencing or is </w:t>
      </w:r>
      <w:r w:rsidR="00D87CFA">
        <w:rPr>
          <w:sz w:val="24"/>
          <w:szCs w:val="24"/>
        </w:rPr>
        <w:t xml:space="preserve">at risk of abuse or neglect; </w:t>
      </w:r>
      <w:r w:rsidR="004A0F39" w:rsidRPr="00B06C2B">
        <w:rPr>
          <w:sz w:val="24"/>
          <w:szCs w:val="24"/>
        </w:rPr>
        <w:t>h</w:t>
      </w:r>
      <w:r w:rsidR="004A0F39">
        <w:rPr>
          <w:sz w:val="24"/>
          <w:szCs w:val="24"/>
        </w:rPr>
        <w:t xml:space="preserve">as needs for care and support or </w:t>
      </w:r>
      <w:r w:rsidR="00D87CFA" w:rsidRPr="00B06C2B">
        <w:rPr>
          <w:sz w:val="24"/>
          <w:szCs w:val="24"/>
        </w:rPr>
        <w:t>is unable to protec</w:t>
      </w:r>
      <w:r w:rsidR="00C44912">
        <w:rPr>
          <w:sz w:val="24"/>
          <w:szCs w:val="24"/>
        </w:rPr>
        <w:t>t himself or herself against</w:t>
      </w:r>
      <w:r w:rsidR="00D87CFA" w:rsidRPr="00B06C2B">
        <w:rPr>
          <w:sz w:val="24"/>
          <w:szCs w:val="24"/>
        </w:rPr>
        <w:t xml:space="preserve"> abu</w:t>
      </w:r>
      <w:r w:rsidR="00D87CFA">
        <w:rPr>
          <w:sz w:val="24"/>
          <w:szCs w:val="24"/>
        </w:rPr>
        <w:t>se or neg</w:t>
      </w:r>
      <w:r w:rsidR="004A0F39">
        <w:rPr>
          <w:sz w:val="24"/>
          <w:szCs w:val="24"/>
        </w:rPr>
        <w:t>lect or the risk of it.</w:t>
      </w:r>
      <w:r w:rsidR="00D87CFA">
        <w:rPr>
          <w:sz w:val="24"/>
          <w:szCs w:val="24"/>
        </w:rPr>
        <w:t xml:space="preserve">  The </w:t>
      </w:r>
      <w:r w:rsidR="00856F99">
        <w:rPr>
          <w:sz w:val="24"/>
          <w:szCs w:val="24"/>
        </w:rPr>
        <w:t>SSWB</w:t>
      </w:r>
      <w:r w:rsidR="008919EC">
        <w:rPr>
          <w:sz w:val="24"/>
          <w:szCs w:val="24"/>
        </w:rPr>
        <w:t>W</w:t>
      </w:r>
      <w:r w:rsidR="00856F99">
        <w:rPr>
          <w:sz w:val="24"/>
          <w:szCs w:val="24"/>
        </w:rPr>
        <w:t>A provides the legal framework for improving the well-being of people, part 7 relates to safeguarding, this legislation provides the outline for the</w:t>
      </w:r>
      <w:r w:rsidR="00566816">
        <w:rPr>
          <w:sz w:val="24"/>
          <w:szCs w:val="24"/>
        </w:rPr>
        <w:t xml:space="preserve"> Wales Safeguarding Procedures 2019</w:t>
      </w:r>
      <w:r w:rsidR="00856F99">
        <w:rPr>
          <w:sz w:val="24"/>
          <w:szCs w:val="24"/>
        </w:rPr>
        <w:t>.</w:t>
      </w:r>
      <w:r w:rsidR="008A18EE">
        <w:rPr>
          <w:sz w:val="24"/>
          <w:szCs w:val="24"/>
        </w:rPr>
        <w:t xml:space="preserve">  The Wales Safeguarding Procedures were designed for practitioners to apply the legislative requirements of the SSWBWA, the procedures also recognise other legislation such as </w:t>
      </w:r>
      <w:r w:rsidR="008A18EE" w:rsidRPr="00B06C2B">
        <w:rPr>
          <w:sz w:val="24"/>
          <w:szCs w:val="24"/>
        </w:rPr>
        <w:t>Domestic Abuse (Violence against Women, Domestic Abuse and Sexual Violence (Wales) Act 2015</w:t>
      </w:r>
      <w:r w:rsidR="008A18EE">
        <w:rPr>
          <w:sz w:val="24"/>
          <w:szCs w:val="24"/>
        </w:rPr>
        <w:t>.</w:t>
      </w:r>
    </w:p>
    <w:p w14:paraId="5FD91949" w14:textId="77777777" w:rsidR="00856F99" w:rsidRDefault="00856F99" w:rsidP="00AC3B98">
      <w:pPr>
        <w:spacing w:line="360" w:lineRule="auto"/>
        <w:jc w:val="both"/>
        <w:rPr>
          <w:sz w:val="24"/>
          <w:szCs w:val="24"/>
        </w:rPr>
      </w:pPr>
    </w:p>
    <w:p w14:paraId="3F46BDCC" w14:textId="270CDDD6" w:rsidR="007C1410" w:rsidRDefault="007C1410" w:rsidP="007C1410">
      <w:pPr>
        <w:spacing w:line="360" w:lineRule="auto"/>
        <w:jc w:val="both"/>
        <w:rPr>
          <w:sz w:val="24"/>
          <w:szCs w:val="24"/>
        </w:rPr>
      </w:pPr>
      <w:r>
        <w:rPr>
          <w:sz w:val="24"/>
          <w:szCs w:val="24"/>
        </w:rPr>
        <w:t>T</w:t>
      </w:r>
      <w:r w:rsidRPr="00B06C2B">
        <w:rPr>
          <w:sz w:val="24"/>
          <w:szCs w:val="24"/>
        </w:rPr>
        <w:t>he process of assessmen</w:t>
      </w:r>
      <w:r>
        <w:rPr>
          <w:sz w:val="24"/>
          <w:szCs w:val="24"/>
        </w:rPr>
        <w:t>t set out under Part 3 of the SSWB</w:t>
      </w:r>
      <w:r w:rsidR="00566816">
        <w:rPr>
          <w:sz w:val="24"/>
          <w:szCs w:val="24"/>
        </w:rPr>
        <w:t>W</w:t>
      </w:r>
      <w:r>
        <w:rPr>
          <w:sz w:val="24"/>
          <w:szCs w:val="24"/>
        </w:rPr>
        <w:t>A</w:t>
      </w:r>
      <w:r w:rsidRPr="00B06C2B">
        <w:rPr>
          <w:sz w:val="24"/>
          <w:szCs w:val="24"/>
        </w:rPr>
        <w:t xml:space="preserve"> will apply when an adult is suspected to be at risk of abuse or harm.  Se</w:t>
      </w:r>
      <w:r>
        <w:rPr>
          <w:sz w:val="24"/>
          <w:szCs w:val="24"/>
        </w:rPr>
        <w:t>ctions 19 and 24 of the SSWB</w:t>
      </w:r>
      <w:r w:rsidR="00566816">
        <w:rPr>
          <w:sz w:val="24"/>
          <w:szCs w:val="24"/>
        </w:rPr>
        <w:t>W</w:t>
      </w:r>
      <w:r>
        <w:rPr>
          <w:sz w:val="24"/>
          <w:szCs w:val="24"/>
        </w:rPr>
        <w:t>A</w:t>
      </w:r>
      <w:r w:rsidRPr="00B06C2B">
        <w:rPr>
          <w:sz w:val="24"/>
          <w:szCs w:val="24"/>
        </w:rPr>
        <w:t xml:space="preserve"> set out the duties on a local authority to assess an adult’s needs for care and support and a carer’s needs for support. The Care and Support (Assess</w:t>
      </w:r>
      <w:r>
        <w:rPr>
          <w:sz w:val="24"/>
          <w:szCs w:val="24"/>
        </w:rPr>
        <w:t>ment) (Wales) Regulations 2015</w:t>
      </w:r>
      <w:r w:rsidRPr="00B06C2B">
        <w:rPr>
          <w:sz w:val="24"/>
          <w:szCs w:val="24"/>
        </w:rPr>
        <w:t xml:space="preserve"> make further provision about such assessments. </w:t>
      </w:r>
    </w:p>
    <w:p w14:paraId="58C7E868" w14:textId="3473980D" w:rsidR="00AC3B98" w:rsidRPr="00B06C2B" w:rsidRDefault="00AC3B98" w:rsidP="00AC3B98">
      <w:pPr>
        <w:spacing w:line="360" w:lineRule="auto"/>
        <w:jc w:val="both"/>
        <w:rPr>
          <w:sz w:val="24"/>
          <w:szCs w:val="24"/>
        </w:rPr>
      </w:pPr>
    </w:p>
    <w:p w14:paraId="0458EEAC" w14:textId="491824DD" w:rsidR="0026192D" w:rsidRDefault="0026192D" w:rsidP="00AC3B98">
      <w:pPr>
        <w:spacing w:line="360" w:lineRule="auto"/>
        <w:jc w:val="both"/>
        <w:rPr>
          <w:sz w:val="24"/>
          <w:szCs w:val="24"/>
        </w:rPr>
      </w:pPr>
      <w:r w:rsidRPr="007940E5">
        <w:rPr>
          <w:sz w:val="24"/>
          <w:szCs w:val="24"/>
        </w:rPr>
        <w:t>The consent of t</w:t>
      </w:r>
      <w:r w:rsidR="007940E5" w:rsidRPr="007940E5">
        <w:rPr>
          <w:sz w:val="24"/>
          <w:szCs w:val="24"/>
        </w:rPr>
        <w:t>he adult is a significant issue</w:t>
      </w:r>
      <w:r w:rsidRPr="007940E5">
        <w:rPr>
          <w:sz w:val="24"/>
          <w:szCs w:val="24"/>
        </w:rPr>
        <w:t xml:space="preserve"> in deciding what action</w:t>
      </w:r>
      <w:r w:rsidR="007940E5" w:rsidRPr="007940E5">
        <w:rPr>
          <w:sz w:val="24"/>
          <w:szCs w:val="24"/>
        </w:rPr>
        <w:t>s</w:t>
      </w:r>
      <w:r w:rsidRPr="007940E5">
        <w:rPr>
          <w:sz w:val="24"/>
          <w:szCs w:val="24"/>
        </w:rPr>
        <w:t xml:space="preserve"> </w:t>
      </w:r>
      <w:r w:rsidR="007940E5" w:rsidRPr="007940E5">
        <w:rPr>
          <w:sz w:val="24"/>
          <w:szCs w:val="24"/>
        </w:rPr>
        <w:t>to take in response to a worry</w:t>
      </w:r>
      <w:r w:rsidRPr="007940E5">
        <w:rPr>
          <w:sz w:val="24"/>
          <w:szCs w:val="24"/>
        </w:rPr>
        <w:t xml:space="preserve"> or allegation</w:t>
      </w:r>
      <w:r w:rsidR="00566816">
        <w:rPr>
          <w:sz w:val="24"/>
          <w:szCs w:val="24"/>
        </w:rPr>
        <w:t xml:space="preserve"> of </w:t>
      </w:r>
      <w:r w:rsidR="00817E0F">
        <w:rPr>
          <w:sz w:val="24"/>
          <w:szCs w:val="24"/>
        </w:rPr>
        <w:t xml:space="preserve">adult </w:t>
      </w:r>
      <w:r w:rsidR="00566816">
        <w:rPr>
          <w:sz w:val="24"/>
          <w:szCs w:val="24"/>
        </w:rPr>
        <w:t>safeguarding</w:t>
      </w:r>
      <w:r w:rsidRPr="007940E5">
        <w:rPr>
          <w:sz w:val="24"/>
          <w:szCs w:val="24"/>
        </w:rPr>
        <w:t>. Adults with care a</w:t>
      </w:r>
      <w:r w:rsidR="007940E5" w:rsidRPr="007940E5">
        <w:rPr>
          <w:sz w:val="24"/>
          <w:szCs w:val="24"/>
        </w:rPr>
        <w:t xml:space="preserve">nd support needs may be capable of </w:t>
      </w:r>
      <w:r w:rsidRPr="007940E5">
        <w:rPr>
          <w:sz w:val="24"/>
          <w:szCs w:val="24"/>
        </w:rPr>
        <w:t>protect</w:t>
      </w:r>
      <w:r w:rsidR="007940E5" w:rsidRPr="007940E5">
        <w:rPr>
          <w:sz w:val="24"/>
          <w:szCs w:val="24"/>
        </w:rPr>
        <w:t>ing</w:t>
      </w:r>
      <w:r w:rsidRPr="007940E5">
        <w:rPr>
          <w:sz w:val="24"/>
          <w:szCs w:val="24"/>
        </w:rPr>
        <w:t xml:space="preserve"> themselves from abuse, neglect or exploitation </w:t>
      </w:r>
      <w:r w:rsidR="00817E0F">
        <w:rPr>
          <w:sz w:val="24"/>
          <w:szCs w:val="24"/>
        </w:rPr>
        <w:t>by others and are not predic</w:t>
      </w:r>
      <w:r w:rsidR="00AC2976">
        <w:rPr>
          <w:sz w:val="24"/>
          <w:szCs w:val="24"/>
        </w:rPr>
        <w:t>t</w:t>
      </w:r>
      <w:r w:rsidR="00817E0F">
        <w:rPr>
          <w:sz w:val="24"/>
          <w:szCs w:val="24"/>
        </w:rPr>
        <w:t>ably un</w:t>
      </w:r>
      <w:r w:rsidRPr="007940E5">
        <w:rPr>
          <w:sz w:val="24"/>
          <w:szCs w:val="24"/>
        </w:rPr>
        <w:t>able to protect themselves because of their age, frailty or d</w:t>
      </w:r>
      <w:r w:rsidR="007940E5" w:rsidRPr="007940E5">
        <w:rPr>
          <w:sz w:val="24"/>
          <w:szCs w:val="24"/>
        </w:rPr>
        <w:t>isability. In some situations</w:t>
      </w:r>
      <w:r w:rsidRPr="007940E5">
        <w:rPr>
          <w:sz w:val="24"/>
          <w:szCs w:val="24"/>
        </w:rPr>
        <w:t xml:space="preserve"> the ability of the adult to pr</w:t>
      </w:r>
      <w:r w:rsidR="008919EC" w:rsidRPr="007940E5">
        <w:rPr>
          <w:sz w:val="24"/>
          <w:szCs w:val="24"/>
        </w:rPr>
        <w:t>otect themselves</w:t>
      </w:r>
      <w:r w:rsidRPr="007940E5">
        <w:rPr>
          <w:sz w:val="24"/>
          <w:szCs w:val="24"/>
        </w:rPr>
        <w:t xml:space="preserve"> may be affected by their needs for care and support. These needs may affect how far they are able to make and </w:t>
      </w:r>
      <w:r w:rsidR="007940E5" w:rsidRPr="007940E5">
        <w:rPr>
          <w:sz w:val="24"/>
          <w:szCs w:val="24"/>
        </w:rPr>
        <w:t xml:space="preserve">carry out </w:t>
      </w:r>
      <w:r w:rsidRPr="007940E5">
        <w:rPr>
          <w:sz w:val="24"/>
          <w:szCs w:val="24"/>
        </w:rPr>
        <w:t>informed choices free from pressure or</w:t>
      </w:r>
      <w:r w:rsidR="007940E5" w:rsidRPr="007940E5">
        <w:rPr>
          <w:sz w:val="24"/>
          <w:szCs w:val="24"/>
        </w:rPr>
        <w:t xml:space="preserve"> coercion. P</w:t>
      </w:r>
      <w:r w:rsidRPr="007940E5">
        <w:rPr>
          <w:sz w:val="24"/>
          <w:szCs w:val="24"/>
        </w:rPr>
        <w:t>rofessional judgements are required where an individual is experiencing, or is at risk of, abuse, and they have needs for</w:t>
      </w:r>
      <w:r w:rsidR="007940E5" w:rsidRPr="007940E5">
        <w:rPr>
          <w:sz w:val="24"/>
          <w:szCs w:val="24"/>
        </w:rPr>
        <w:t xml:space="preserve"> care and support. Thought</w:t>
      </w:r>
      <w:r w:rsidRPr="007940E5">
        <w:rPr>
          <w:sz w:val="24"/>
          <w:szCs w:val="24"/>
        </w:rPr>
        <w:t xml:space="preserve"> must be given to ca</w:t>
      </w:r>
      <w:r w:rsidR="007940E5" w:rsidRPr="007940E5">
        <w:rPr>
          <w:sz w:val="24"/>
          <w:szCs w:val="24"/>
        </w:rPr>
        <w:t>pacity, the likelihood of coercion</w:t>
      </w:r>
      <w:r w:rsidRPr="007940E5">
        <w:rPr>
          <w:sz w:val="24"/>
          <w:szCs w:val="24"/>
        </w:rPr>
        <w:t>, and to the</w:t>
      </w:r>
      <w:r w:rsidR="00566816">
        <w:rPr>
          <w:sz w:val="24"/>
          <w:szCs w:val="24"/>
        </w:rPr>
        <w:t xml:space="preserve"> nature and effect of the needs (Welsh Government, 2019).</w:t>
      </w:r>
    </w:p>
    <w:p w14:paraId="4DE26188" w14:textId="77777777" w:rsidR="008919EC" w:rsidRPr="00B06C2B" w:rsidRDefault="008919EC" w:rsidP="00AC3B98">
      <w:pPr>
        <w:spacing w:line="360" w:lineRule="auto"/>
        <w:jc w:val="both"/>
        <w:rPr>
          <w:sz w:val="24"/>
          <w:szCs w:val="24"/>
        </w:rPr>
      </w:pPr>
    </w:p>
    <w:p w14:paraId="53387872" w14:textId="2C4EE5CD" w:rsidR="008919EC" w:rsidRDefault="00B01EB7" w:rsidP="008919EC">
      <w:pPr>
        <w:spacing w:line="360" w:lineRule="auto"/>
        <w:jc w:val="both"/>
        <w:rPr>
          <w:sz w:val="24"/>
          <w:szCs w:val="24"/>
        </w:rPr>
      </w:pPr>
      <w:r>
        <w:rPr>
          <w:sz w:val="24"/>
          <w:szCs w:val="24"/>
        </w:rPr>
        <w:t>All safeguarding matters</w:t>
      </w:r>
      <w:r w:rsidR="008919EC" w:rsidRPr="00B06C2B">
        <w:rPr>
          <w:sz w:val="24"/>
          <w:szCs w:val="24"/>
        </w:rPr>
        <w:t xml:space="preserve"> and decisions should take </w:t>
      </w:r>
      <w:r>
        <w:rPr>
          <w:sz w:val="24"/>
          <w:szCs w:val="24"/>
        </w:rPr>
        <w:t>into account the legal obligations of the Mental Capacity Act 2005.</w:t>
      </w:r>
      <w:r w:rsidR="008919EC">
        <w:rPr>
          <w:sz w:val="24"/>
          <w:szCs w:val="24"/>
        </w:rPr>
        <w:t xml:space="preserve">  </w:t>
      </w:r>
      <w:r>
        <w:rPr>
          <w:sz w:val="24"/>
          <w:szCs w:val="24"/>
        </w:rPr>
        <w:t xml:space="preserve"> The Mental Capacity Act</w:t>
      </w:r>
      <w:r w:rsidR="008919EC" w:rsidRPr="00B06C2B">
        <w:rPr>
          <w:sz w:val="24"/>
          <w:szCs w:val="24"/>
        </w:rPr>
        <w:t xml:space="preserve"> sets out five statutory principles which underpin the legal req</w:t>
      </w:r>
      <w:r w:rsidR="00FC39F3">
        <w:rPr>
          <w:sz w:val="24"/>
          <w:szCs w:val="24"/>
        </w:rPr>
        <w:t>uirements in the Act, presumption of capacity, individuals being supported to make their own decision, unwise decisions, best interest and least restrictive option. Capacity is decided if an individual cannot understand information, retain the information to make a decision or weigh up the information to make a decision.</w:t>
      </w:r>
    </w:p>
    <w:p w14:paraId="69388590" w14:textId="77777777" w:rsidR="00D205EF" w:rsidRPr="00B06C2B" w:rsidRDefault="00D205EF" w:rsidP="008919EC">
      <w:pPr>
        <w:spacing w:line="360" w:lineRule="auto"/>
        <w:jc w:val="both"/>
        <w:rPr>
          <w:sz w:val="24"/>
          <w:szCs w:val="24"/>
        </w:rPr>
      </w:pPr>
    </w:p>
    <w:p w14:paraId="18571A84" w14:textId="47F432D9" w:rsidR="00770D15" w:rsidRPr="00FC5D8E" w:rsidRDefault="00D205EF" w:rsidP="00AC3B98">
      <w:pPr>
        <w:spacing w:line="360" w:lineRule="auto"/>
        <w:jc w:val="both"/>
        <w:rPr>
          <w:sz w:val="24"/>
          <w:szCs w:val="24"/>
        </w:rPr>
      </w:pPr>
      <w:r w:rsidRPr="0027641A">
        <w:rPr>
          <w:sz w:val="24"/>
          <w:szCs w:val="24"/>
        </w:rPr>
        <w:t>Although the local authority has the lead role in making enquiries into safeguarding cases, where criminal activity is suspected, early involvement of the police will clarify whether a criminal investigation may be appropriate.  A criminal investigation by the police takes priority over all other enquiries, although they may run simultaneously</w:t>
      </w:r>
      <w:r w:rsidR="0027641A" w:rsidRPr="0027641A">
        <w:rPr>
          <w:sz w:val="24"/>
          <w:szCs w:val="24"/>
        </w:rPr>
        <w:t>. A collaborative</w:t>
      </w:r>
      <w:r w:rsidRPr="0027641A">
        <w:rPr>
          <w:sz w:val="24"/>
          <w:szCs w:val="24"/>
        </w:rPr>
        <w:t xml:space="preserve"> approach</w:t>
      </w:r>
      <w:r w:rsidR="0027641A" w:rsidRPr="0027641A">
        <w:rPr>
          <w:sz w:val="24"/>
          <w:szCs w:val="24"/>
        </w:rPr>
        <w:t xml:space="preserve"> by multi-agencies</w:t>
      </w:r>
      <w:r w:rsidRPr="0027641A">
        <w:rPr>
          <w:sz w:val="24"/>
          <w:szCs w:val="24"/>
        </w:rPr>
        <w:t xml:space="preserve"> should be agreed to ensure that the</w:t>
      </w:r>
      <w:r w:rsidR="0027641A" w:rsidRPr="0027641A">
        <w:rPr>
          <w:sz w:val="24"/>
          <w:szCs w:val="24"/>
        </w:rPr>
        <w:t xml:space="preserve"> best</w:t>
      </w:r>
      <w:r w:rsidRPr="0027641A">
        <w:rPr>
          <w:sz w:val="24"/>
          <w:szCs w:val="24"/>
        </w:rPr>
        <w:t xml:space="preserve"> interests and personal wishes of the adult are considered throughout, even if they do not wish to provide any evidence or support a prosecution.</w:t>
      </w:r>
      <w:r w:rsidR="0027641A" w:rsidRPr="0027641A">
        <w:rPr>
          <w:sz w:val="24"/>
          <w:szCs w:val="24"/>
        </w:rPr>
        <w:t xml:space="preserve">  </w:t>
      </w:r>
      <w:r w:rsidR="00460B2E" w:rsidRPr="0027641A">
        <w:rPr>
          <w:sz w:val="24"/>
          <w:szCs w:val="24"/>
        </w:rPr>
        <w:t>Everyo</w:t>
      </w:r>
      <w:r w:rsidR="00B01EB7" w:rsidRPr="0027641A">
        <w:rPr>
          <w:sz w:val="24"/>
          <w:szCs w:val="24"/>
        </w:rPr>
        <w:t>ne</w:t>
      </w:r>
      <w:r w:rsidR="00B01EB7" w:rsidRPr="00FC5D8E">
        <w:rPr>
          <w:sz w:val="24"/>
          <w:szCs w:val="24"/>
        </w:rPr>
        <w:t xml:space="preserve"> is entitled to the safety</w:t>
      </w:r>
      <w:r w:rsidR="00460B2E" w:rsidRPr="00FC5D8E">
        <w:rPr>
          <w:sz w:val="24"/>
          <w:szCs w:val="24"/>
        </w:rPr>
        <w:t xml:space="preserve"> of the law and </w:t>
      </w:r>
      <w:r w:rsidR="00B01EB7" w:rsidRPr="00FC5D8E">
        <w:rPr>
          <w:sz w:val="24"/>
          <w:szCs w:val="24"/>
        </w:rPr>
        <w:t xml:space="preserve">get the right </w:t>
      </w:r>
      <w:r w:rsidR="00460B2E" w:rsidRPr="00FC5D8E">
        <w:rPr>
          <w:sz w:val="24"/>
          <w:szCs w:val="24"/>
        </w:rPr>
        <w:t xml:space="preserve">access to justice. </w:t>
      </w:r>
    </w:p>
    <w:p w14:paraId="437664D8" w14:textId="40176BBE" w:rsidR="006B6E89" w:rsidRDefault="006B6E89" w:rsidP="00AC3B98">
      <w:pPr>
        <w:spacing w:line="360" w:lineRule="auto"/>
        <w:jc w:val="both"/>
        <w:rPr>
          <w:sz w:val="24"/>
          <w:szCs w:val="24"/>
        </w:rPr>
      </w:pPr>
    </w:p>
    <w:p w14:paraId="66205FF0" w14:textId="60975BFC" w:rsidR="00AC3B98" w:rsidRDefault="006B6E89" w:rsidP="006B6E89">
      <w:pPr>
        <w:spacing w:line="360" w:lineRule="auto"/>
        <w:jc w:val="both"/>
        <w:rPr>
          <w:sz w:val="24"/>
          <w:szCs w:val="24"/>
        </w:rPr>
      </w:pPr>
      <w:r>
        <w:rPr>
          <w:sz w:val="24"/>
          <w:szCs w:val="24"/>
        </w:rPr>
        <w:t>Word count:</w:t>
      </w:r>
      <w:r w:rsidR="00CF0D92">
        <w:rPr>
          <w:sz w:val="24"/>
          <w:szCs w:val="24"/>
        </w:rPr>
        <w:t xml:space="preserve"> 518</w:t>
      </w:r>
    </w:p>
    <w:p w14:paraId="7F05B41B" w14:textId="6DB8533D" w:rsidR="00A81718" w:rsidRDefault="00A81718" w:rsidP="006B6E89">
      <w:pPr>
        <w:spacing w:line="360" w:lineRule="auto"/>
        <w:jc w:val="both"/>
        <w:rPr>
          <w:sz w:val="24"/>
          <w:szCs w:val="24"/>
        </w:rPr>
      </w:pPr>
    </w:p>
    <w:p w14:paraId="535E35C8" w14:textId="58B02D3F" w:rsidR="00A81718" w:rsidRDefault="00A81718" w:rsidP="006B6E89">
      <w:pPr>
        <w:spacing w:line="360" w:lineRule="auto"/>
        <w:jc w:val="both"/>
      </w:pPr>
    </w:p>
    <w:p w14:paraId="79C4BBA0" w14:textId="77777777" w:rsidR="00817E0F" w:rsidRDefault="00817E0F" w:rsidP="006B6E89">
      <w:pPr>
        <w:spacing w:line="360" w:lineRule="auto"/>
        <w:jc w:val="both"/>
      </w:pPr>
    </w:p>
    <w:p w14:paraId="07880E93" w14:textId="77777777" w:rsidR="00AC3B98" w:rsidRDefault="00AC3B98" w:rsidP="00FF7EBB">
      <w:pPr>
        <w:jc w:val="both"/>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32C0B04D" w:rsidR="00FC0334" w:rsidRDefault="00FC0334" w:rsidP="00FC0334">
      <w:pPr>
        <w:rPr>
          <w:sz w:val="24"/>
          <w:szCs w:val="24"/>
        </w:rPr>
      </w:pPr>
    </w:p>
    <w:p w14:paraId="6CB8659D" w14:textId="37432F88" w:rsidR="001421F6" w:rsidRDefault="001421F6" w:rsidP="001421F6">
      <w:pPr>
        <w:spacing w:line="360" w:lineRule="auto"/>
        <w:jc w:val="both"/>
        <w:rPr>
          <w:sz w:val="24"/>
          <w:szCs w:val="24"/>
        </w:rPr>
      </w:pPr>
    </w:p>
    <w:p w14:paraId="200B1C55" w14:textId="4823E6AA" w:rsidR="003F7981" w:rsidRPr="00D72D56" w:rsidRDefault="001421F6" w:rsidP="003F7981">
      <w:pPr>
        <w:spacing w:line="360" w:lineRule="auto"/>
        <w:jc w:val="both"/>
        <w:rPr>
          <w:rFonts w:cstheme="minorHAnsi"/>
          <w:sz w:val="24"/>
          <w:szCs w:val="24"/>
        </w:rPr>
      </w:pPr>
      <w:r>
        <w:rPr>
          <w:sz w:val="24"/>
          <w:szCs w:val="24"/>
        </w:rPr>
        <w:t xml:space="preserve">The Wales Safeguarding Procedures </w:t>
      </w:r>
      <w:r w:rsidR="00AC2976">
        <w:rPr>
          <w:sz w:val="24"/>
          <w:szCs w:val="24"/>
        </w:rPr>
        <w:t xml:space="preserve">2019 </w:t>
      </w:r>
      <w:r>
        <w:rPr>
          <w:sz w:val="24"/>
          <w:szCs w:val="24"/>
        </w:rPr>
        <w:t xml:space="preserve">is one framework for safeguarding </w:t>
      </w:r>
      <w:r w:rsidR="00AC2976">
        <w:rPr>
          <w:sz w:val="24"/>
          <w:szCs w:val="24"/>
        </w:rPr>
        <w:t>both Adults and Children.  P</w:t>
      </w:r>
      <w:r>
        <w:rPr>
          <w:sz w:val="24"/>
          <w:szCs w:val="24"/>
        </w:rPr>
        <w:t xml:space="preserve">art 7 of the Social Services and Well-being (Wales) Act 2014 [SSWBWA], section 126 for adults and section 130 for children.  If a child is at risk S.47 of the Children Act 1989 is followed and there are clear guidelines and processes.  Children’s safeguarding procedures are more </w:t>
      </w:r>
      <w:r w:rsidR="00BB515B">
        <w:rPr>
          <w:sz w:val="24"/>
          <w:szCs w:val="24"/>
        </w:rPr>
        <w:t>rigorous</w:t>
      </w:r>
      <w:r>
        <w:rPr>
          <w:sz w:val="24"/>
          <w:szCs w:val="24"/>
        </w:rPr>
        <w:t xml:space="preserve"> than adult guidelines.  </w:t>
      </w:r>
      <w:r w:rsidR="00BC7FB5">
        <w:rPr>
          <w:sz w:val="24"/>
          <w:szCs w:val="24"/>
        </w:rPr>
        <w:t xml:space="preserve">Enquiries </w:t>
      </w:r>
      <w:r>
        <w:rPr>
          <w:sz w:val="24"/>
          <w:szCs w:val="24"/>
        </w:rPr>
        <w:t>carried out under section 126 of SSWBWA</w:t>
      </w:r>
      <w:r w:rsidR="00BC7FB5">
        <w:rPr>
          <w:sz w:val="24"/>
          <w:szCs w:val="24"/>
        </w:rPr>
        <w:t xml:space="preserve"> may decide no fu</w:t>
      </w:r>
      <w:r w:rsidR="00BB515B">
        <w:rPr>
          <w:sz w:val="24"/>
          <w:szCs w:val="24"/>
        </w:rPr>
        <w:t>r</w:t>
      </w:r>
      <w:r w:rsidR="00BC7FB5">
        <w:rPr>
          <w:sz w:val="24"/>
          <w:szCs w:val="24"/>
        </w:rPr>
        <w:t>ther action.</w:t>
      </w:r>
      <w:r w:rsidR="003F7981">
        <w:rPr>
          <w:sz w:val="24"/>
          <w:szCs w:val="24"/>
        </w:rPr>
        <w:t xml:space="preserve">  </w:t>
      </w:r>
      <w:r w:rsidR="003F7981" w:rsidRPr="00D72D56">
        <w:rPr>
          <w:rFonts w:cstheme="minorHAnsi"/>
          <w:bCs/>
          <w:color w:val="202124"/>
          <w:sz w:val="24"/>
          <w:szCs w:val="24"/>
          <w:shd w:val="clear" w:color="auto" w:fill="FFFFFF"/>
        </w:rPr>
        <w:t>Bramme</w:t>
      </w:r>
      <w:r w:rsidR="003F7981">
        <w:rPr>
          <w:rFonts w:cstheme="minorHAnsi"/>
          <w:bCs/>
          <w:color w:val="202124"/>
          <w:sz w:val="24"/>
          <w:szCs w:val="24"/>
          <w:shd w:val="clear" w:color="auto" w:fill="FFFFFF"/>
        </w:rPr>
        <w:t>r (2</w:t>
      </w:r>
      <w:r w:rsidR="002445BB">
        <w:rPr>
          <w:rFonts w:cstheme="minorHAnsi"/>
          <w:bCs/>
          <w:color w:val="202124"/>
          <w:sz w:val="24"/>
          <w:szCs w:val="24"/>
          <w:shd w:val="clear" w:color="auto" w:fill="FFFFFF"/>
        </w:rPr>
        <w:t>010</w:t>
      </w:r>
      <w:r w:rsidR="003F7981">
        <w:rPr>
          <w:rFonts w:cstheme="minorHAnsi"/>
          <w:bCs/>
          <w:color w:val="202124"/>
          <w:sz w:val="24"/>
          <w:szCs w:val="24"/>
          <w:shd w:val="clear" w:color="auto" w:fill="FFFFFF"/>
        </w:rPr>
        <w:t xml:space="preserve">) </w:t>
      </w:r>
      <w:r w:rsidR="002445BB">
        <w:rPr>
          <w:rFonts w:cstheme="minorHAnsi"/>
          <w:bCs/>
          <w:color w:val="202124"/>
          <w:sz w:val="24"/>
          <w:szCs w:val="24"/>
          <w:shd w:val="clear" w:color="auto" w:fill="FFFFFF"/>
        </w:rPr>
        <w:t xml:space="preserve">expressed concern for </w:t>
      </w:r>
      <w:r w:rsidR="003F7981" w:rsidRPr="00D72D56">
        <w:rPr>
          <w:rFonts w:cstheme="minorHAnsi"/>
          <w:bCs/>
          <w:color w:val="202124"/>
          <w:sz w:val="24"/>
          <w:szCs w:val="24"/>
          <w:shd w:val="clear" w:color="auto" w:fill="FFFFFF"/>
        </w:rPr>
        <w:t>major weaknesses of the framework for adult safeguarding and in contrast to the clear duty to investigate suspicions of significant harm to child</w:t>
      </w:r>
      <w:r w:rsidR="002445BB">
        <w:rPr>
          <w:rFonts w:cstheme="minorHAnsi"/>
          <w:bCs/>
          <w:color w:val="202124"/>
          <w:sz w:val="24"/>
          <w:szCs w:val="24"/>
          <w:shd w:val="clear" w:color="auto" w:fill="FFFFFF"/>
        </w:rPr>
        <w:t>ren under the Children Act 1989</w:t>
      </w:r>
      <w:r w:rsidR="003F7981" w:rsidRPr="00D72D56">
        <w:rPr>
          <w:rFonts w:cstheme="minorHAnsi"/>
          <w:bCs/>
          <w:color w:val="202124"/>
          <w:sz w:val="24"/>
          <w:szCs w:val="24"/>
          <w:shd w:val="clear" w:color="auto" w:fill="FFFFFF"/>
        </w:rPr>
        <w:t>.</w:t>
      </w:r>
    </w:p>
    <w:p w14:paraId="12A9F733" w14:textId="73D7E4AB" w:rsidR="00BC7FB5" w:rsidRDefault="00BC7FB5" w:rsidP="00BC7FB5">
      <w:pPr>
        <w:spacing w:line="360" w:lineRule="auto"/>
        <w:jc w:val="both"/>
        <w:rPr>
          <w:sz w:val="24"/>
          <w:szCs w:val="24"/>
        </w:rPr>
      </w:pPr>
      <w:r w:rsidRPr="00BC7FB5">
        <w:rPr>
          <w:sz w:val="24"/>
          <w:szCs w:val="24"/>
        </w:rPr>
        <w:t xml:space="preserve"> </w:t>
      </w:r>
    </w:p>
    <w:p w14:paraId="03B8515C" w14:textId="62B48433" w:rsidR="00BB515B" w:rsidRPr="00AC2976" w:rsidRDefault="00062FD2" w:rsidP="00BC7FB5">
      <w:pPr>
        <w:spacing w:line="360" w:lineRule="auto"/>
        <w:jc w:val="both"/>
        <w:rPr>
          <w:sz w:val="24"/>
          <w:szCs w:val="24"/>
        </w:rPr>
      </w:pPr>
      <w:r>
        <w:rPr>
          <w:sz w:val="24"/>
          <w:szCs w:val="24"/>
        </w:rPr>
        <w:t>A</w:t>
      </w:r>
      <w:r w:rsidR="00AC2976">
        <w:rPr>
          <w:sz w:val="24"/>
          <w:szCs w:val="24"/>
        </w:rPr>
        <w:t>n important difference</w:t>
      </w:r>
      <w:r>
        <w:rPr>
          <w:sz w:val="24"/>
          <w:szCs w:val="24"/>
        </w:rPr>
        <w:t xml:space="preserve"> between safeguarding adults and children</w:t>
      </w:r>
      <w:r w:rsidR="00AC2976">
        <w:rPr>
          <w:sz w:val="24"/>
          <w:szCs w:val="24"/>
        </w:rPr>
        <w:t>,</w:t>
      </w:r>
      <w:r>
        <w:rPr>
          <w:sz w:val="24"/>
          <w:szCs w:val="24"/>
        </w:rPr>
        <w:t xml:space="preserve"> is the adults right to self </w:t>
      </w:r>
      <w:r w:rsidR="00BB515B">
        <w:rPr>
          <w:sz w:val="24"/>
          <w:szCs w:val="24"/>
        </w:rPr>
        <w:t>-</w:t>
      </w:r>
      <w:r>
        <w:rPr>
          <w:sz w:val="24"/>
          <w:szCs w:val="24"/>
        </w:rPr>
        <w:t xml:space="preserve">determination.  </w:t>
      </w:r>
      <w:r w:rsidR="00BB515B">
        <w:rPr>
          <w:rFonts w:cstheme="minorHAnsi"/>
          <w:sz w:val="24"/>
          <w:szCs w:val="24"/>
        </w:rPr>
        <w:t>I</w:t>
      </w:r>
      <w:r w:rsidR="00CC21AB" w:rsidRPr="00D72D56">
        <w:rPr>
          <w:rFonts w:cstheme="minorHAnsi"/>
          <w:sz w:val="24"/>
          <w:szCs w:val="24"/>
        </w:rPr>
        <w:t>n line with the Human Rights Act 1998, article 8 ‘right to respect</w:t>
      </w:r>
      <w:r w:rsidR="00BB515B">
        <w:rPr>
          <w:rFonts w:cstheme="minorHAnsi"/>
          <w:sz w:val="24"/>
          <w:szCs w:val="24"/>
        </w:rPr>
        <w:t xml:space="preserve"> to a private and family life’, </w:t>
      </w:r>
      <w:r w:rsidR="00CC21AB" w:rsidRPr="00D72D56">
        <w:rPr>
          <w:rFonts w:cstheme="minorHAnsi"/>
          <w:sz w:val="24"/>
          <w:szCs w:val="24"/>
        </w:rPr>
        <w:t>people are free to make their own choices if they are assessed</w:t>
      </w:r>
      <w:r w:rsidR="00BB515B">
        <w:rPr>
          <w:rFonts w:cstheme="minorHAnsi"/>
          <w:sz w:val="24"/>
          <w:szCs w:val="24"/>
        </w:rPr>
        <w:t xml:space="preserve"> to have the capacity to do so.  </w:t>
      </w:r>
      <w:r>
        <w:rPr>
          <w:sz w:val="24"/>
          <w:szCs w:val="24"/>
        </w:rPr>
        <w:t>Adults have the right to make unwise decisions, however when assessing an adult at risk consideration needs to be give</w:t>
      </w:r>
      <w:r w:rsidR="00BB515B">
        <w:rPr>
          <w:sz w:val="24"/>
          <w:szCs w:val="24"/>
        </w:rPr>
        <w:t>n</w:t>
      </w:r>
      <w:r>
        <w:rPr>
          <w:sz w:val="24"/>
          <w:szCs w:val="24"/>
        </w:rPr>
        <w:t xml:space="preserve"> to coerciv</w:t>
      </w:r>
      <w:r w:rsidR="00AC2976">
        <w:rPr>
          <w:sz w:val="24"/>
          <w:szCs w:val="24"/>
        </w:rPr>
        <w:t xml:space="preserve">e control. </w:t>
      </w:r>
      <w:r w:rsidR="004A0F39" w:rsidRPr="00AC2976">
        <w:rPr>
          <w:sz w:val="24"/>
          <w:szCs w:val="24"/>
        </w:rPr>
        <w:t>“</w:t>
      </w:r>
      <w:r w:rsidR="004A0F39" w:rsidRPr="00AC2976">
        <w:rPr>
          <w:color w:val="0B0C0C"/>
          <w:sz w:val="24"/>
          <w:szCs w:val="24"/>
          <w:shd w:val="clear" w:color="auto" w:fill="FFFFFF"/>
        </w:rPr>
        <w:t>Coercive control creates invisible chains and a sense of fear that pervades all elements of a victim’s life. It works to limit their human rights by depriving them of their liberty and reducing their ability for action” (Home Office, 2023).</w:t>
      </w:r>
    </w:p>
    <w:p w14:paraId="63BF29CD" w14:textId="77777777" w:rsidR="00BB515B" w:rsidRDefault="00BB515B" w:rsidP="00BC7FB5">
      <w:pPr>
        <w:spacing w:line="360" w:lineRule="auto"/>
        <w:jc w:val="both"/>
        <w:rPr>
          <w:sz w:val="24"/>
          <w:szCs w:val="24"/>
        </w:rPr>
      </w:pPr>
    </w:p>
    <w:p w14:paraId="649EC043" w14:textId="3D25872A" w:rsidR="00062FD2" w:rsidRDefault="00062FD2" w:rsidP="00BC7FB5">
      <w:pPr>
        <w:spacing w:line="360" w:lineRule="auto"/>
        <w:jc w:val="both"/>
        <w:rPr>
          <w:sz w:val="24"/>
          <w:szCs w:val="24"/>
        </w:rPr>
      </w:pPr>
      <w:r>
        <w:rPr>
          <w:sz w:val="24"/>
          <w:szCs w:val="24"/>
        </w:rPr>
        <w:t>Victims are usually deprived of their Human Rights by the abuser.  Coercive behaviour should be dealt with as part of safeguarding procedures, adults may choose not to act to protect themselves and only in extreme circumstances the law can intervene.</w:t>
      </w:r>
      <w:r w:rsidR="001F0A7B">
        <w:rPr>
          <w:sz w:val="24"/>
          <w:szCs w:val="24"/>
        </w:rPr>
        <w:t xml:space="preserve">  </w:t>
      </w:r>
      <w:r w:rsidR="001F0A7B">
        <w:rPr>
          <w:rFonts w:cstheme="minorHAnsi"/>
          <w:sz w:val="24"/>
          <w:szCs w:val="24"/>
        </w:rPr>
        <w:t>I</w:t>
      </w:r>
      <w:r w:rsidR="001F0A7B" w:rsidRPr="00D72D56">
        <w:rPr>
          <w:rFonts w:cstheme="minorHAnsi"/>
          <w:sz w:val="24"/>
          <w:szCs w:val="24"/>
        </w:rPr>
        <w:t>f an adult is assessed not to have th</w:t>
      </w:r>
      <w:r w:rsidR="001F0A7B">
        <w:rPr>
          <w:rFonts w:cstheme="minorHAnsi"/>
          <w:sz w:val="24"/>
          <w:szCs w:val="24"/>
        </w:rPr>
        <w:t>e capacity to understand their</w:t>
      </w:r>
      <w:r w:rsidR="00D205EF">
        <w:rPr>
          <w:rFonts w:cstheme="minorHAnsi"/>
          <w:sz w:val="24"/>
          <w:szCs w:val="24"/>
        </w:rPr>
        <w:t xml:space="preserve"> situation and </w:t>
      </w:r>
      <w:r w:rsidR="001F0A7B" w:rsidRPr="00D72D56">
        <w:rPr>
          <w:rFonts w:cstheme="minorHAnsi"/>
          <w:sz w:val="24"/>
          <w:szCs w:val="24"/>
        </w:rPr>
        <w:t xml:space="preserve">harm and abuse is occurring this </w:t>
      </w:r>
      <w:r w:rsidR="001F0A7B">
        <w:rPr>
          <w:rFonts w:cstheme="minorHAnsi"/>
          <w:sz w:val="24"/>
          <w:szCs w:val="24"/>
        </w:rPr>
        <w:t xml:space="preserve">then </w:t>
      </w:r>
      <w:r w:rsidR="001F0A7B" w:rsidRPr="00D72D56">
        <w:rPr>
          <w:rFonts w:cstheme="minorHAnsi"/>
          <w:sz w:val="24"/>
          <w:szCs w:val="24"/>
        </w:rPr>
        <w:t>allows the L</w:t>
      </w:r>
      <w:r w:rsidR="001F0A7B">
        <w:rPr>
          <w:rFonts w:cstheme="minorHAnsi"/>
          <w:sz w:val="24"/>
          <w:szCs w:val="24"/>
        </w:rPr>
        <w:t xml:space="preserve">ocal Authority to intervene and </w:t>
      </w:r>
      <w:r w:rsidR="001F0A7B" w:rsidRPr="00D72D56">
        <w:rPr>
          <w:rFonts w:cstheme="minorHAnsi"/>
          <w:sz w:val="24"/>
          <w:szCs w:val="24"/>
        </w:rPr>
        <w:t>make decisions in their best interests</w:t>
      </w:r>
      <w:r w:rsidR="001F0A7B">
        <w:rPr>
          <w:rFonts w:cstheme="minorHAnsi"/>
          <w:sz w:val="24"/>
          <w:szCs w:val="24"/>
        </w:rPr>
        <w:t xml:space="preserve">. </w:t>
      </w:r>
      <w:r w:rsidR="001F0A7B" w:rsidRPr="00D72D56">
        <w:rPr>
          <w:rFonts w:cstheme="minorHAnsi"/>
          <w:sz w:val="24"/>
          <w:szCs w:val="24"/>
        </w:rPr>
        <w:t xml:space="preserve"> </w:t>
      </w:r>
    </w:p>
    <w:p w14:paraId="29E1C1B1" w14:textId="77777777" w:rsidR="00CC21AB" w:rsidRDefault="00CC21AB" w:rsidP="00BC7FB5">
      <w:pPr>
        <w:spacing w:line="360" w:lineRule="auto"/>
        <w:jc w:val="both"/>
        <w:rPr>
          <w:sz w:val="24"/>
          <w:szCs w:val="24"/>
        </w:rPr>
      </w:pPr>
    </w:p>
    <w:p w14:paraId="32856AAC" w14:textId="0B36E0EB" w:rsidR="00CC21AB" w:rsidRDefault="007F2F48" w:rsidP="00CC21AB">
      <w:pPr>
        <w:spacing w:line="360" w:lineRule="auto"/>
        <w:jc w:val="both"/>
        <w:rPr>
          <w:sz w:val="24"/>
          <w:szCs w:val="24"/>
        </w:rPr>
      </w:pPr>
      <w:r>
        <w:rPr>
          <w:sz w:val="24"/>
          <w:szCs w:val="24"/>
        </w:rPr>
        <w:lastRenderedPageBreak/>
        <w:t>Adults are</w:t>
      </w:r>
      <w:r w:rsidR="00CC21AB">
        <w:rPr>
          <w:sz w:val="24"/>
          <w:szCs w:val="24"/>
        </w:rPr>
        <w:t xml:space="preserve"> given the right to make unwise decisions under the Mental Capacity Act 2005.  </w:t>
      </w:r>
      <w:r>
        <w:rPr>
          <w:sz w:val="24"/>
          <w:szCs w:val="24"/>
        </w:rPr>
        <w:t>When assessing adults with learning disabilities</w:t>
      </w:r>
      <w:r w:rsidR="00CC21AB">
        <w:rPr>
          <w:sz w:val="24"/>
          <w:szCs w:val="24"/>
        </w:rPr>
        <w:t xml:space="preserve">, </w:t>
      </w:r>
      <w:r>
        <w:rPr>
          <w:sz w:val="24"/>
          <w:szCs w:val="24"/>
        </w:rPr>
        <w:t>even though their</w:t>
      </w:r>
      <w:r w:rsidR="00CC21AB">
        <w:rPr>
          <w:sz w:val="24"/>
          <w:szCs w:val="24"/>
        </w:rPr>
        <w:t xml:space="preserve"> chronological age dictates they are an adult</w:t>
      </w:r>
      <w:r>
        <w:rPr>
          <w:sz w:val="24"/>
          <w:szCs w:val="24"/>
        </w:rPr>
        <w:t xml:space="preserve">, </w:t>
      </w:r>
      <w:r w:rsidR="00CC21AB">
        <w:rPr>
          <w:sz w:val="24"/>
          <w:szCs w:val="24"/>
        </w:rPr>
        <w:t xml:space="preserve">in most circumstances their cognitive age is much lower.  Adults with learning disabilities will experience higher levels of bullying and abuse in the community.  Fyson &amp; Kilson (2010) state that </w:t>
      </w:r>
      <w:r w:rsidR="003F7981">
        <w:rPr>
          <w:sz w:val="24"/>
          <w:szCs w:val="24"/>
        </w:rPr>
        <w:t>‘</w:t>
      </w:r>
      <w:r w:rsidR="00CC21AB">
        <w:rPr>
          <w:sz w:val="24"/>
          <w:szCs w:val="24"/>
        </w:rPr>
        <w:t>great recognition of needs and vulnerabilities across the learning disability continuum is needed.  Assessments need to pay more attention to social ability and community dynamics</w:t>
      </w:r>
      <w:r w:rsidR="003F7981">
        <w:rPr>
          <w:sz w:val="24"/>
          <w:szCs w:val="24"/>
        </w:rPr>
        <w:t>’</w:t>
      </w:r>
      <w:r w:rsidR="00CC21AB">
        <w:rPr>
          <w:sz w:val="24"/>
          <w:szCs w:val="24"/>
        </w:rPr>
        <w:t>.</w:t>
      </w:r>
    </w:p>
    <w:p w14:paraId="7915D52A" w14:textId="6C92F364" w:rsidR="006B6E89" w:rsidRDefault="006B6E89" w:rsidP="00BC7FB5">
      <w:pPr>
        <w:spacing w:line="360" w:lineRule="auto"/>
        <w:jc w:val="both"/>
        <w:rPr>
          <w:sz w:val="24"/>
          <w:szCs w:val="24"/>
        </w:rPr>
      </w:pPr>
    </w:p>
    <w:p w14:paraId="5C9033CB" w14:textId="7401F86D" w:rsidR="006B6E89" w:rsidRDefault="006B6E89" w:rsidP="00BC7FB5">
      <w:pPr>
        <w:spacing w:line="360" w:lineRule="auto"/>
        <w:jc w:val="both"/>
        <w:rPr>
          <w:sz w:val="24"/>
          <w:szCs w:val="24"/>
        </w:rPr>
      </w:pPr>
      <w:r>
        <w:rPr>
          <w:sz w:val="24"/>
          <w:szCs w:val="24"/>
        </w:rPr>
        <w:t>Word count:</w:t>
      </w:r>
      <w:r w:rsidR="005D21FD">
        <w:rPr>
          <w:sz w:val="24"/>
          <w:szCs w:val="24"/>
        </w:rPr>
        <w:t xml:space="preserve"> 388</w:t>
      </w:r>
    </w:p>
    <w:p w14:paraId="27834CE6" w14:textId="4A351BFF" w:rsidR="001421F6" w:rsidRDefault="001421F6" w:rsidP="001421F6">
      <w:pPr>
        <w:spacing w:line="360" w:lineRule="auto"/>
        <w:jc w:val="both"/>
        <w:rPr>
          <w:sz w:val="24"/>
          <w:szCs w:val="24"/>
        </w:rPr>
      </w:pPr>
    </w:p>
    <w:sectPr w:rsidR="001421F6"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6D344B9" w:rsidR="00A5656A" w:rsidRDefault="00A5656A">
    <w:pPr>
      <w:pStyle w:val="Footer"/>
      <w:jc w:val="right"/>
    </w:pPr>
    <w:r>
      <w:fldChar w:fldCharType="begin"/>
    </w:r>
    <w:r>
      <w:instrText xml:space="preserve"> PAGE   \* MERGEFORMAT </w:instrText>
    </w:r>
    <w:r>
      <w:fldChar w:fldCharType="separate"/>
    </w:r>
    <w:r w:rsidR="001A675B">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17562"/>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2FD2"/>
    <w:rsid w:val="00064063"/>
    <w:rsid w:val="0006551A"/>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21B7"/>
    <w:rsid w:val="001421F6"/>
    <w:rsid w:val="001447F6"/>
    <w:rsid w:val="00147DE3"/>
    <w:rsid w:val="00150794"/>
    <w:rsid w:val="00151DA6"/>
    <w:rsid w:val="001608C4"/>
    <w:rsid w:val="00164832"/>
    <w:rsid w:val="00171418"/>
    <w:rsid w:val="001772BF"/>
    <w:rsid w:val="001772DE"/>
    <w:rsid w:val="0019496C"/>
    <w:rsid w:val="001961CF"/>
    <w:rsid w:val="001A59BB"/>
    <w:rsid w:val="001A607E"/>
    <w:rsid w:val="001A675B"/>
    <w:rsid w:val="001A6A51"/>
    <w:rsid w:val="001A79C4"/>
    <w:rsid w:val="001B331A"/>
    <w:rsid w:val="001C0237"/>
    <w:rsid w:val="001C0E74"/>
    <w:rsid w:val="001C4DB8"/>
    <w:rsid w:val="001C50B8"/>
    <w:rsid w:val="001D229F"/>
    <w:rsid w:val="001E2EB6"/>
    <w:rsid w:val="001F0A7B"/>
    <w:rsid w:val="001F4552"/>
    <w:rsid w:val="002019EB"/>
    <w:rsid w:val="00204B58"/>
    <w:rsid w:val="00205051"/>
    <w:rsid w:val="00205B05"/>
    <w:rsid w:val="002065D3"/>
    <w:rsid w:val="00211F65"/>
    <w:rsid w:val="00214047"/>
    <w:rsid w:val="00216563"/>
    <w:rsid w:val="0021792F"/>
    <w:rsid w:val="00220D06"/>
    <w:rsid w:val="002246A0"/>
    <w:rsid w:val="0023036F"/>
    <w:rsid w:val="00230439"/>
    <w:rsid w:val="00232A09"/>
    <w:rsid w:val="00235176"/>
    <w:rsid w:val="00236061"/>
    <w:rsid w:val="0024100E"/>
    <w:rsid w:val="00241C1B"/>
    <w:rsid w:val="0024288B"/>
    <w:rsid w:val="00243DB0"/>
    <w:rsid w:val="002445BB"/>
    <w:rsid w:val="00247265"/>
    <w:rsid w:val="00260663"/>
    <w:rsid w:val="0026192D"/>
    <w:rsid w:val="002657E9"/>
    <w:rsid w:val="0026665E"/>
    <w:rsid w:val="0027147E"/>
    <w:rsid w:val="002761F4"/>
    <w:rsid w:val="0027641A"/>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2F0D"/>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67EB"/>
    <w:rsid w:val="003C19F1"/>
    <w:rsid w:val="003C3C67"/>
    <w:rsid w:val="003C4186"/>
    <w:rsid w:val="003C6185"/>
    <w:rsid w:val="003D0D2D"/>
    <w:rsid w:val="003D1885"/>
    <w:rsid w:val="003D1BC0"/>
    <w:rsid w:val="003D20F1"/>
    <w:rsid w:val="003D4710"/>
    <w:rsid w:val="003D79FC"/>
    <w:rsid w:val="003E16D7"/>
    <w:rsid w:val="003E197E"/>
    <w:rsid w:val="003E4B70"/>
    <w:rsid w:val="003E54CF"/>
    <w:rsid w:val="003E5FBA"/>
    <w:rsid w:val="003F1233"/>
    <w:rsid w:val="003F67A4"/>
    <w:rsid w:val="003F7981"/>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0B2E"/>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0F39"/>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92"/>
    <w:rsid w:val="005414F4"/>
    <w:rsid w:val="00546187"/>
    <w:rsid w:val="00547B11"/>
    <w:rsid w:val="00557D77"/>
    <w:rsid w:val="00562EAA"/>
    <w:rsid w:val="00563B58"/>
    <w:rsid w:val="005640C4"/>
    <w:rsid w:val="00566816"/>
    <w:rsid w:val="0056684C"/>
    <w:rsid w:val="00574A0C"/>
    <w:rsid w:val="0057780F"/>
    <w:rsid w:val="00581E0A"/>
    <w:rsid w:val="00583F1F"/>
    <w:rsid w:val="00586D89"/>
    <w:rsid w:val="005877C8"/>
    <w:rsid w:val="00587923"/>
    <w:rsid w:val="00594F9F"/>
    <w:rsid w:val="005A1B4C"/>
    <w:rsid w:val="005A545C"/>
    <w:rsid w:val="005B271A"/>
    <w:rsid w:val="005B3A2D"/>
    <w:rsid w:val="005C1567"/>
    <w:rsid w:val="005C28D3"/>
    <w:rsid w:val="005C6CE5"/>
    <w:rsid w:val="005D21FD"/>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5F8D"/>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6E89"/>
    <w:rsid w:val="006C2EB5"/>
    <w:rsid w:val="006D18A3"/>
    <w:rsid w:val="006D5970"/>
    <w:rsid w:val="006E3259"/>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58C8"/>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0D15"/>
    <w:rsid w:val="007710AD"/>
    <w:rsid w:val="00772924"/>
    <w:rsid w:val="0078112D"/>
    <w:rsid w:val="007872F2"/>
    <w:rsid w:val="007873F9"/>
    <w:rsid w:val="007906E9"/>
    <w:rsid w:val="007908E0"/>
    <w:rsid w:val="00793EB3"/>
    <w:rsid w:val="007940E5"/>
    <w:rsid w:val="00794205"/>
    <w:rsid w:val="0079422A"/>
    <w:rsid w:val="007A1F6A"/>
    <w:rsid w:val="007A628F"/>
    <w:rsid w:val="007B0DE3"/>
    <w:rsid w:val="007B1BFD"/>
    <w:rsid w:val="007B7191"/>
    <w:rsid w:val="007C1410"/>
    <w:rsid w:val="007C1D94"/>
    <w:rsid w:val="007C556F"/>
    <w:rsid w:val="007C5ABE"/>
    <w:rsid w:val="007C6A87"/>
    <w:rsid w:val="007D0A07"/>
    <w:rsid w:val="007D0F11"/>
    <w:rsid w:val="007D133D"/>
    <w:rsid w:val="007D3EB4"/>
    <w:rsid w:val="007D3F16"/>
    <w:rsid w:val="007F10BD"/>
    <w:rsid w:val="007F2F48"/>
    <w:rsid w:val="007F312E"/>
    <w:rsid w:val="007F3F7E"/>
    <w:rsid w:val="007F4BA4"/>
    <w:rsid w:val="00807C51"/>
    <w:rsid w:val="00813CEC"/>
    <w:rsid w:val="0081534C"/>
    <w:rsid w:val="00816CE7"/>
    <w:rsid w:val="008171E4"/>
    <w:rsid w:val="00817E0F"/>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6F99"/>
    <w:rsid w:val="00861038"/>
    <w:rsid w:val="00865B58"/>
    <w:rsid w:val="00866B50"/>
    <w:rsid w:val="00867A63"/>
    <w:rsid w:val="008708F1"/>
    <w:rsid w:val="00871960"/>
    <w:rsid w:val="0087369F"/>
    <w:rsid w:val="00880539"/>
    <w:rsid w:val="008859E8"/>
    <w:rsid w:val="0088737B"/>
    <w:rsid w:val="00891078"/>
    <w:rsid w:val="008919EC"/>
    <w:rsid w:val="00892716"/>
    <w:rsid w:val="00893067"/>
    <w:rsid w:val="008933DE"/>
    <w:rsid w:val="00895FCE"/>
    <w:rsid w:val="00897F3E"/>
    <w:rsid w:val="008A18E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47F"/>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1718"/>
    <w:rsid w:val="00A85039"/>
    <w:rsid w:val="00A906AA"/>
    <w:rsid w:val="00A94C5E"/>
    <w:rsid w:val="00AA252C"/>
    <w:rsid w:val="00AA666E"/>
    <w:rsid w:val="00AA7960"/>
    <w:rsid w:val="00AB5518"/>
    <w:rsid w:val="00AB6968"/>
    <w:rsid w:val="00AC2976"/>
    <w:rsid w:val="00AC3A0E"/>
    <w:rsid w:val="00AC3B98"/>
    <w:rsid w:val="00AC4A04"/>
    <w:rsid w:val="00AC5679"/>
    <w:rsid w:val="00AD336F"/>
    <w:rsid w:val="00AE134C"/>
    <w:rsid w:val="00AE1868"/>
    <w:rsid w:val="00AE2564"/>
    <w:rsid w:val="00AE301F"/>
    <w:rsid w:val="00AE3302"/>
    <w:rsid w:val="00AE5BA6"/>
    <w:rsid w:val="00AE6231"/>
    <w:rsid w:val="00AE7077"/>
    <w:rsid w:val="00AF61C2"/>
    <w:rsid w:val="00AF6CC6"/>
    <w:rsid w:val="00B01EB7"/>
    <w:rsid w:val="00B0296A"/>
    <w:rsid w:val="00B06C2B"/>
    <w:rsid w:val="00B07E79"/>
    <w:rsid w:val="00B12295"/>
    <w:rsid w:val="00B137BE"/>
    <w:rsid w:val="00B15998"/>
    <w:rsid w:val="00B17FA0"/>
    <w:rsid w:val="00B2292C"/>
    <w:rsid w:val="00B22C3C"/>
    <w:rsid w:val="00B24344"/>
    <w:rsid w:val="00B26769"/>
    <w:rsid w:val="00B2754B"/>
    <w:rsid w:val="00B31C91"/>
    <w:rsid w:val="00B344D7"/>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15B"/>
    <w:rsid w:val="00BB5EAA"/>
    <w:rsid w:val="00BB5F11"/>
    <w:rsid w:val="00BB6638"/>
    <w:rsid w:val="00BB7FD2"/>
    <w:rsid w:val="00BC04FA"/>
    <w:rsid w:val="00BC1C22"/>
    <w:rsid w:val="00BC460B"/>
    <w:rsid w:val="00BC4ED3"/>
    <w:rsid w:val="00BC5725"/>
    <w:rsid w:val="00BC7FB5"/>
    <w:rsid w:val="00BD30B1"/>
    <w:rsid w:val="00BE0F7B"/>
    <w:rsid w:val="00BE10C2"/>
    <w:rsid w:val="00BF0D6C"/>
    <w:rsid w:val="00C01D14"/>
    <w:rsid w:val="00C01D97"/>
    <w:rsid w:val="00C025B4"/>
    <w:rsid w:val="00C029EC"/>
    <w:rsid w:val="00C04F95"/>
    <w:rsid w:val="00C13053"/>
    <w:rsid w:val="00C161FD"/>
    <w:rsid w:val="00C17C9F"/>
    <w:rsid w:val="00C23F17"/>
    <w:rsid w:val="00C246F2"/>
    <w:rsid w:val="00C26D0D"/>
    <w:rsid w:val="00C27C95"/>
    <w:rsid w:val="00C300D2"/>
    <w:rsid w:val="00C3270F"/>
    <w:rsid w:val="00C3278B"/>
    <w:rsid w:val="00C33375"/>
    <w:rsid w:val="00C34C23"/>
    <w:rsid w:val="00C368FA"/>
    <w:rsid w:val="00C42005"/>
    <w:rsid w:val="00C44912"/>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21AB"/>
    <w:rsid w:val="00CC7226"/>
    <w:rsid w:val="00CD0735"/>
    <w:rsid w:val="00CD45E3"/>
    <w:rsid w:val="00CD4771"/>
    <w:rsid w:val="00CD5089"/>
    <w:rsid w:val="00CD5D3F"/>
    <w:rsid w:val="00CD7E1F"/>
    <w:rsid w:val="00CE4BC4"/>
    <w:rsid w:val="00CE7DA2"/>
    <w:rsid w:val="00CF0D92"/>
    <w:rsid w:val="00CF2F8A"/>
    <w:rsid w:val="00CF3DB3"/>
    <w:rsid w:val="00D0274B"/>
    <w:rsid w:val="00D0503D"/>
    <w:rsid w:val="00D052BC"/>
    <w:rsid w:val="00D07026"/>
    <w:rsid w:val="00D146AE"/>
    <w:rsid w:val="00D205EF"/>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87CFA"/>
    <w:rsid w:val="00D90958"/>
    <w:rsid w:val="00DA1025"/>
    <w:rsid w:val="00DA22EC"/>
    <w:rsid w:val="00DA5682"/>
    <w:rsid w:val="00DA5860"/>
    <w:rsid w:val="00DA5C0C"/>
    <w:rsid w:val="00DB2767"/>
    <w:rsid w:val="00DC1B10"/>
    <w:rsid w:val="00DC2924"/>
    <w:rsid w:val="00DC3F6F"/>
    <w:rsid w:val="00DC4729"/>
    <w:rsid w:val="00DD31C5"/>
    <w:rsid w:val="00DD5020"/>
    <w:rsid w:val="00DD63BE"/>
    <w:rsid w:val="00DE306A"/>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677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6C62"/>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39F3"/>
    <w:rsid w:val="00FC51F9"/>
    <w:rsid w:val="00FC5B40"/>
    <w:rsid w:val="00FC5D8E"/>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859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C6409B-00C1-4BA7-B7E3-92804A71F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1114</Words>
  <Characters>5919</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Ley</cp:lastModifiedBy>
  <cp:revision>17</cp:revision>
  <cp:lastPrinted>2023-10-19T10:47:00Z</cp:lastPrinted>
  <dcterms:created xsi:type="dcterms:W3CDTF">2023-10-21T10:13:00Z</dcterms:created>
  <dcterms:modified xsi:type="dcterms:W3CDTF">2023-10-22T16:52:00Z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