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1C718" w14:textId="77777777" w:rsidR="005103D4" w:rsidRDefault="005103D4">
      <w:pPr>
        <w:jc w:val="center"/>
        <w:rPr>
          <w:b/>
          <w:bCs/>
          <w:sz w:val="40"/>
          <w:szCs w:val="40"/>
        </w:rPr>
      </w:pPr>
    </w:p>
    <w:p w14:paraId="6E3FB8D6" w14:textId="77777777" w:rsidR="005103D4" w:rsidRDefault="005769A0">
      <w:pPr>
        <w:jc w:val="center"/>
        <w:rPr>
          <w:b/>
          <w:bCs/>
          <w:sz w:val="40"/>
          <w:szCs w:val="40"/>
        </w:rPr>
      </w:pPr>
      <w:r>
        <w:rPr>
          <w:b/>
          <w:bCs/>
          <w:noProof/>
          <w:sz w:val="40"/>
          <w:szCs w:val="40"/>
        </w:rPr>
        <w:drawing>
          <wp:inline distT="114300" distB="114300" distL="114300" distR="114300" wp14:anchorId="0B3A0FCA" wp14:editId="4D7C8243">
            <wp:extent cx="2667000" cy="10572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667000" cy="1057275"/>
                    </a:xfrm>
                    <a:prstGeom prst="rect">
                      <a:avLst/>
                    </a:prstGeom>
                    <a:ln/>
                  </pic:spPr>
                </pic:pic>
              </a:graphicData>
            </a:graphic>
          </wp:inline>
        </w:drawing>
      </w:r>
    </w:p>
    <w:p w14:paraId="1DA2D0C5" w14:textId="77777777" w:rsidR="005103D4" w:rsidRDefault="005103D4">
      <w:pPr>
        <w:jc w:val="center"/>
        <w:rPr>
          <w:b/>
          <w:bCs/>
          <w:sz w:val="40"/>
          <w:szCs w:val="40"/>
        </w:rPr>
      </w:pPr>
    </w:p>
    <w:p w14:paraId="0A2FE61E" w14:textId="77777777" w:rsidR="005103D4" w:rsidRDefault="005769A0">
      <w:pPr>
        <w:jc w:val="center"/>
        <w:rPr>
          <w:b/>
          <w:bCs/>
          <w:sz w:val="36"/>
          <w:szCs w:val="36"/>
        </w:rPr>
      </w:pPr>
      <w:r>
        <w:rPr>
          <w:b/>
          <w:bCs/>
          <w:sz w:val="36"/>
          <w:szCs w:val="36"/>
        </w:rPr>
        <w:t xml:space="preserve">Module: Health Care System Organisation and Leadership </w:t>
      </w:r>
    </w:p>
    <w:p w14:paraId="6A9BCA7D" w14:textId="77777777" w:rsidR="005103D4" w:rsidRDefault="005769A0">
      <w:pPr>
        <w:jc w:val="center"/>
        <w:rPr>
          <w:b/>
          <w:bCs/>
          <w:sz w:val="36"/>
          <w:szCs w:val="36"/>
        </w:rPr>
      </w:pPr>
      <w:r>
        <w:rPr>
          <w:b/>
          <w:bCs/>
          <w:sz w:val="36"/>
          <w:szCs w:val="36"/>
        </w:rPr>
        <w:t xml:space="preserve">Module code: LCHS7002 </w:t>
      </w:r>
    </w:p>
    <w:p w14:paraId="75B40316" w14:textId="77777777" w:rsidR="005103D4" w:rsidRDefault="005103D4">
      <w:pPr>
        <w:jc w:val="center"/>
        <w:rPr>
          <w:b/>
          <w:bCs/>
          <w:sz w:val="40"/>
          <w:szCs w:val="40"/>
        </w:rPr>
      </w:pPr>
    </w:p>
    <w:p w14:paraId="15E74F7E" w14:textId="77777777" w:rsidR="005103D4" w:rsidRDefault="005769A0">
      <w:pPr>
        <w:jc w:val="center"/>
        <w:rPr>
          <w:b/>
          <w:bCs/>
          <w:sz w:val="40"/>
          <w:szCs w:val="40"/>
        </w:rPr>
      </w:pPr>
      <w:r>
        <w:rPr>
          <w:b/>
          <w:bCs/>
          <w:sz w:val="40"/>
          <w:szCs w:val="40"/>
        </w:rPr>
        <w:t xml:space="preserve">Case Study Analysis Report </w:t>
      </w:r>
    </w:p>
    <w:p w14:paraId="65E148D9" w14:textId="77777777" w:rsidR="005103D4" w:rsidRDefault="005103D4">
      <w:pPr>
        <w:jc w:val="center"/>
        <w:rPr>
          <w:b/>
          <w:bCs/>
          <w:sz w:val="40"/>
          <w:szCs w:val="40"/>
        </w:rPr>
      </w:pPr>
    </w:p>
    <w:p w14:paraId="0EB48FE4" w14:textId="77777777" w:rsidR="005103D4" w:rsidRDefault="005103D4">
      <w:pPr>
        <w:jc w:val="center"/>
        <w:rPr>
          <w:b/>
          <w:bCs/>
          <w:sz w:val="40"/>
          <w:szCs w:val="40"/>
        </w:rPr>
      </w:pPr>
    </w:p>
    <w:p w14:paraId="4000D640" w14:textId="6A967B7C" w:rsidR="005103D4" w:rsidRDefault="005769A0">
      <w:pPr>
        <w:jc w:val="center"/>
        <w:rPr>
          <w:b/>
          <w:bCs/>
          <w:sz w:val="32"/>
          <w:szCs w:val="32"/>
        </w:rPr>
      </w:pPr>
      <w:r>
        <w:rPr>
          <w:b/>
          <w:bCs/>
          <w:sz w:val="32"/>
          <w:szCs w:val="32"/>
        </w:rPr>
        <w:t>Student Name:</w:t>
      </w:r>
      <w:r w:rsidR="0090058B">
        <w:rPr>
          <w:b/>
          <w:bCs/>
          <w:sz w:val="32"/>
          <w:szCs w:val="32"/>
        </w:rPr>
        <w:t xml:space="preserve"> Vatsal Jitendra Gajre</w:t>
      </w:r>
    </w:p>
    <w:p w14:paraId="7B282678" w14:textId="3ADC7D6B" w:rsidR="005103D4" w:rsidRDefault="005769A0">
      <w:pPr>
        <w:jc w:val="center"/>
        <w:rPr>
          <w:b/>
          <w:bCs/>
          <w:sz w:val="32"/>
          <w:szCs w:val="32"/>
        </w:rPr>
      </w:pPr>
      <w:r>
        <w:rPr>
          <w:b/>
          <w:bCs/>
          <w:sz w:val="32"/>
          <w:szCs w:val="32"/>
        </w:rPr>
        <w:t>Student ID:</w:t>
      </w:r>
      <w:r w:rsidR="0090058B">
        <w:rPr>
          <w:b/>
          <w:bCs/>
          <w:sz w:val="32"/>
          <w:szCs w:val="32"/>
        </w:rPr>
        <w:t xml:space="preserve"> 2531883</w:t>
      </w:r>
      <w:r>
        <w:br w:type="page"/>
      </w:r>
    </w:p>
    <w:p w14:paraId="4E58C5E6" w14:textId="77777777" w:rsidR="005103D4" w:rsidRDefault="005769A0">
      <w:pPr>
        <w:jc w:val="center"/>
        <w:rPr>
          <w:b/>
          <w:bCs/>
          <w:sz w:val="28"/>
          <w:szCs w:val="28"/>
        </w:rPr>
      </w:pPr>
      <w:r>
        <w:rPr>
          <w:b/>
          <w:bCs/>
          <w:sz w:val="28"/>
          <w:szCs w:val="28"/>
        </w:rPr>
        <w:lastRenderedPageBreak/>
        <w:t>Table of Contents</w:t>
      </w:r>
    </w:p>
    <w:sdt>
      <w:sdtPr>
        <w:rPr>
          <w:rFonts w:ascii="Times New Roman" w:eastAsia="Times New Roman" w:hAnsi="Times New Roman" w:cs="Times New Roman"/>
          <w:color w:val="auto"/>
          <w:sz w:val="24"/>
          <w:szCs w:val="24"/>
          <w:lang w:val="en-GB" w:eastAsia="en-IN" w:bidi="gu-IN"/>
        </w:rPr>
        <w:id w:val="-2052754213"/>
        <w:docPartObj>
          <w:docPartGallery w:val="Table of Contents"/>
          <w:docPartUnique/>
        </w:docPartObj>
      </w:sdtPr>
      <w:sdtEndPr>
        <w:rPr>
          <w:b/>
          <w:bCs/>
          <w:noProof/>
        </w:rPr>
      </w:sdtEndPr>
      <w:sdtContent>
        <w:p w14:paraId="5AACDAED" w14:textId="629D2CF9" w:rsidR="00B94BC2" w:rsidRDefault="00B94BC2">
          <w:pPr>
            <w:pStyle w:val="TOCHeading"/>
          </w:pPr>
          <w:r>
            <w:t>Contents</w:t>
          </w:r>
        </w:p>
        <w:p w14:paraId="132D918E" w14:textId="230A043D"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7261925" w:history="1">
            <w:r w:rsidRPr="0010612F">
              <w:rPr>
                <w:rStyle w:val="Hyperlink"/>
                <w:noProof/>
              </w:rPr>
              <w:t>1. Introduction</w:t>
            </w:r>
            <w:r>
              <w:rPr>
                <w:noProof/>
                <w:webHidden/>
              </w:rPr>
              <w:tab/>
            </w:r>
            <w:r>
              <w:rPr>
                <w:noProof/>
                <w:webHidden/>
              </w:rPr>
              <w:fldChar w:fldCharType="begin"/>
            </w:r>
            <w:r>
              <w:rPr>
                <w:noProof/>
                <w:webHidden/>
              </w:rPr>
              <w:instrText xml:space="preserve"> PAGEREF _Toc237261925 \h </w:instrText>
            </w:r>
            <w:r>
              <w:rPr>
                <w:noProof/>
                <w:webHidden/>
              </w:rPr>
            </w:r>
            <w:r>
              <w:rPr>
                <w:noProof/>
                <w:webHidden/>
              </w:rPr>
              <w:fldChar w:fldCharType="separate"/>
            </w:r>
            <w:r>
              <w:rPr>
                <w:noProof/>
                <w:webHidden/>
              </w:rPr>
              <w:t>4</w:t>
            </w:r>
            <w:r>
              <w:rPr>
                <w:noProof/>
                <w:webHidden/>
              </w:rPr>
              <w:fldChar w:fldCharType="end"/>
            </w:r>
          </w:hyperlink>
        </w:p>
        <w:p w14:paraId="5635A810" w14:textId="16BDBC23"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26" w:history="1">
            <w:r w:rsidRPr="0010612F">
              <w:rPr>
                <w:rStyle w:val="Hyperlink"/>
                <w:noProof/>
              </w:rPr>
              <w:t>1.1 Background of the Case</w:t>
            </w:r>
            <w:r>
              <w:rPr>
                <w:noProof/>
                <w:webHidden/>
              </w:rPr>
              <w:tab/>
            </w:r>
            <w:r>
              <w:rPr>
                <w:noProof/>
                <w:webHidden/>
              </w:rPr>
              <w:fldChar w:fldCharType="begin"/>
            </w:r>
            <w:r>
              <w:rPr>
                <w:noProof/>
                <w:webHidden/>
              </w:rPr>
              <w:instrText xml:space="preserve"> PAGEREF _Toc237261926 \h </w:instrText>
            </w:r>
            <w:r>
              <w:rPr>
                <w:noProof/>
                <w:webHidden/>
              </w:rPr>
            </w:r>
            <w:r>
              <w:rPr>
                <w:noProof/>
                <w:webHidden/>
              </w:rPr>
              <w:fldChar w:fldCharType="separate"/>
            </w:r>
            <w:r>
              <w:rPr>
                <w:noProof/>
                <w:webHidden/>
              </w:rPr>
              <w:t>4</w:t>
            </w:r>
            <w:r>
              <w:rPr>
                <w:noProof/>
                <w:webHidden/>
              </w:rPr>
              <w:fldChar w:fldCharType="end"/>
            </w:r>
          </w:hyperlink>
        </w:p>
        <w:p w14:paraId="637D3F7C" w14:textId="4D01D2B5"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27" w:history="1">
            <w:r w:rsidRPr="0010612F">
              <w:rPr>
                <w:rStyle w:val="Hyperlink"/>
                <w:noProof/>
              </w:rPr>
              <w:t>1.2 Leadership in Health and Social Care</w:t>
            </w:r>
            <w:r>
              <w:rPr>
                <w:noProof/>
                <w:webHidden/>
              </w:rPr>
              <w:tab/>
            </w:r>
            <w:r>
              <w:rPr>
                <w:noProof/>
                <w:webHidden/>
              </w:rPr>
              <w:fldChar w:fldCharType="begin"/>
            </w:r>
            <w:r>
              <w:rPr>
                <w:noProof/>
                <w:webHidden/>
              </w:rPr>
              <w:instrText xml:space="preserve"> PAGEREF _Toc237261927 \h </w:instrText>
            </w:r>
            <w:r>
              <w:rPr>
                <w:noProof/>
                <w:webHidden/>
              </w:rPr>
            </w:r>
            <w:r>
              <w:rPr>
                <w:noProof/>
                <w:webHidden/>
              </w:rPr>
              <w:fldChar w:fldCharType="separate"/>
            </w:r>
            <w:r>
              <w:rPr>
                <w:noProof/>
                <w:webHidden/>
              </w:rPr>
              <w:t>4</w:t>
            </w:r>
            <w:r>
              <w:rPr>
                <w:noProof/>
                <w:webHidden/>
              </w:rPr>
              <w:fldChar w:fldCharType="end"/>
            </w:r>
          </w:hyperlink>
        </w:p>
        <w:p w14:paraId="56F9516F" w14:textId="6236E57C"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28" w:history="1">
            <w:r w:rsidRPr="0010612F">
              <w:rPr>
                <w:rStyle w:val="Hyperlink"/>
                <w:noProof/>
              </w:rPr>
              <w:t>1.3 Centralisation and Decentralisation</w:t>
            </w:r>
            <w:r>
              <w:rPr>
                <w:noProof/>
                <w:webHidden/>
              </w:rPr>
              <w:tab/>
            </w:r>
            <w:r>
              <w:rPr>
                <w:noProof/>
                <w:webHidden/>
              </w:rPr>
              <w:fldChar w:fldCharType="begin"/>
            </w:r>
            <w:r>
              <w:rPr>
                <w:noProof/>
                <w:webHidden/>
              </w:rPr>
              <w:instrText xml:space="preserve"> PAGEREF _Toc237261928 \h </w:instrText>
            </w:r>
            <w:r>
              <w:rPr>
                <w:noProof/>
                <w:webHidden/>
              </w:rPr>
            </w:r>
            <w:r>
              <w:rPr>
                <w:noProof/>
                <w:webHidden/>
              </w:rPr>
              <w:fldChar w:fldCharType="separate"/>
            </w:r>
            <w:r>
              <w:rPr>
                <w:noProof/>
                <w:webHidden/>
              </w:rPr>
              <w:t>4</w:t>
            </w:r>
            <w:r>
              <w:rPr>
                <w:noProof/>
                <w:webHidden/>
              </w:rPr>
              <w:fldChar w:fldCharType="end"/>
            </w:r>
          </w:hyperlink>
        </w:p>
        <w:p w14:paraId="35B603EA" w14:textId="246DFBB5"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29" w:history="1">
            <w:r w:rsidRPr="0010612F">
              <w:rPr>
                <w:rStyle w:val="Hyperlink"/>
                <w:noProof/>
              </w:rPr>
              <w:t>1.4 Leadership Theories</w:t>
            </w:r>
            <w:r>
              <w:rPr>
                <w:noProof/>
                <w:webHidden/>
              </w:rPr>
              <w:tab/>
            </w:r>
            <w:r>
              <w:rPr>
                <w:noProof/>
                <w:webHidden/>
              </w:rPr>
              <w:fldChar w:fldCharType="begin"/>
            </w:r>
            <w:r>
              <w:rPr>
                <w:noProof/>
                <w:webHidden/>
              </w:rPr>
              <w:instrText xml:space="preserve"> PAGEREF _Toc237261929 \h </w:instrText>
            </w:r>
            <w:r>
              <w:rPr>
                <w:noProof/>
                <w:webHidden/>
              </w:rPr>
            </w:r>
            <w:r>
              <w:rPr>
                <w:noProof/>
                <w:webHidden/>
              </w:rPr>
              <w:fldChar w:fldCharType="separate"/>
            </w:r>
            <w:r>
              <w:rPr>
                <w:noProof/>
                <w:webHidden/>
              </w:rPr>
              <w:t>5</w:t>
            </w:r>
            <w:r>
              <w:rPr>
                <w:noProof/>
                <w:webHidden/>
              </w:rPr>
              <w:fldChar w:fldCharType="end"/>
            </w:r>
          </w:hyperlink>
        </w:p>
        <w:p w14:paraId="22C0F3C3" w14:textId="79146337"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0" w:history="1">
            <w:r w:rsidRPr="0010612F">
              <w:rPr>
                <w:rStyle w:val="Hyperlink"/>
                <w:noProof/>
              </w:rPr>
              <w:t>1.5 Aim and Structure of the Report</w:t>
            </w:r>
            <w:r>
              <w:rPr>
                <w:noProof/>
                <w:webHidden/>
              </w:rPr>
              <w:tab/>
            </w:r>
            <w:r>
              <w:rPr>
                <w:noProof/>
                <w:webHidden/>
              </w:rPr>
              <w:fldChar w:fldCharType="begin"/>
            </w:r>
            <w:r>
              <w:rPr>
                <w:noProof/>
                <w:webHidden/>
              </w:rPr>
              <w:instrText xml:space="preserve"> PAGEREF _Toc237261930 \h </w:instrText>
            </w:r>
            <w:r>
              <w:rPr>
                <w:noProof/>
                <w:webHidden/>
              </w:rPr>
            </w:r>
            <w:r>
              <w:rPr>
                <w:noProof/>
                <w:webHidden/>
              </w:rPr>
              <w:fldChar w:fldCharType="separate"/>
            </w:r>
            <w:r>
              <w:rPr>
                <w:noProof/>
                <w:webHidden/>
              </w:rPr>
              <w:t>5</w:t>
            </w:r>
            <w:r>
              <w:rPr>
                <w:noProof/>
                <w:webHidden/>
              </w:rPr>
              <w:fldChar w:fldCharType="end"/>
            </w:r>
          </w:hyperlink>
        </w:p>
        <w:p w14:paraId="5F544BD1" w14:textId="13A522FF"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31" w:history="1">
            <w:r w:rsidRPr="0010612F">
              <w:rPr>
                <w:rStyle w:val="Hyperlink"/>
                <w:noProof/>
              </w:rPr>
              <w:t>Main Body</w:t>
            </w:r>
            <w:r>
              <w:rPr>
                <w:noProof/>
                <w:webHidden/>
              </w:rPr>
              <w:tab/>
            </w:r>
            <w:r>
              <w:rPr>
                <w:noProof/>
                <w:webHidden/>
              </w:rPr>
              <w:fldChar w:fldCharType="begin"/>
            </w:r>
            <w:r>
              <w:rPr>
                <w:noProof/>
                <w:webHidden/>
              </w:rPr>
              <w:instrText xml:space="preserve"> PAGEREF _Toc237261931 \h </w:instrText>
            </w:r>
            <w:r>
              <w:rPr>
                <w:noProof/>
                <w:webHidden/>
              </w:rPr>
            </w:r>
            <w:r>
              <w:rPr>
                <w:noProof/>
                <w:webHidden/>
              </w:rPr>
              <w:fldChar w:fldCharType="separate"/>
            </w:r>
            <w:r>
              <w:rPr>
                <w:noProof/>
                <w:webHidden/>
              </w:rPr>
              <w:t>6</w:t>
            </w:r>
            <w:r>
              <w:rPr>
                <w:noProof/>
                <w:webHidden/>
              </w:rPr>
              <w:fldChar w:fldCharType="end"/>
            </w:r>
          </w:hyperlink>
        </w:p>
        <w:p w14:paraId="3FED71CF" w14:textId="42BCDF4C"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32" w:history="1">
            <w:r w:rsidRPr="0010612F">
              <w:rPr>
                <w:rStyle w:val="Hyperlink"/>
                <w:noProof/>
              </w:rPr>
              <w:t>Section A: Identifying the Problem Using Systems Thinking</w:t>
            </w:r>
            <w:r>
              <w:rPr>
                <w:noProof/>
                <w:webHidden/>
              </w:rPr>
              <w:tab/>
            </w:r>
            <w:r>
              <w:rPr>
                <w:noProof/>
                <w:webHidden/>
              </w:rPr>
              <w:fldChar w:fldCharType="begin"/>
            </w:r>
            <w:r>
              <w:rPr>
                <w:noProof/>
                <w:webHidden/>
              </w:rPr>
              <w:instrText xml:space="preserve"> PAGEREF _Toc237261932 \h </w:instrText>
            </w:r>
            <w:r>
              <w:rPr>
                <w:noProof/>
                <w:webHidden/>
              </w:rPr>
            </w:r>
            <w:r>
              <w:rPr>
                <w:noProof/>
                <w:webHidden/>
              </w:rPr>
              <w:fldChar w:fldCharType="separate"/>
            </w:r>
            <w:r>
              <w:rPr>
                <w:noProof/>
                <w:webHidden/>
              </w:rPr>
              <w:t>6</w:t>
            </w:r>
            <w:r>
              <w:rPr>
                <w:noProof/>
                <w:webHidden/>
              </w:rPr>
              <w:fldChar w:fldCharType="end"/>
            </w:r>
          </w:hyperlink>
        </w:p>
        <w:p w14:paraId="1333E6B9" w14:textId="45B718A1"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3" w:history="1">
            <w:r w:rsidRPr="0010612F">
              <w:rPr>
                <w:rStyle w:val="Hyperlink"/>
                <w:noProof/>
              </w:rPr>
              <w:t>2.1 Overview of the Incident</w:t>
            </w:r>
            <w:r>
              <w:rPr>
                <w:noProof/>
                <w:webHidden/>
              </w:rPr>
              <w:tab/>
            </w:r>
            <w:r>
              <w:rPr>
                <w:noProof/>
                <w:webHidden/>
              </w:rPr>
              <w:fldChar w:fldCharType="begin"/>
            </w:r>
            <w:r>
              <w:rPr>
                <w:noProof/>
                <w:webHidden/>
              </w:rPr>
              <w:instrText xml:space="preserve"> PAGEREF _Toc237261933 \h </w:instrText>
            </w:r>
            <w:r>
              <w:rPr>
                <w:noProof/>
                <w:webHidden/>
              </w:rPr>
            </w:r>
            <w:r>
              <w:rPr>
                <w:noProof/>
                <w:webHidden/>
              </w:rPr>
              <w:fldChar w:fldCharType="separate"/>
            </w:r>
            <w:r>
              <w:rPr>
                <w:noProof/>
                <w:webHidden/>
              </w:rPr>
              <w:t>6</w:t>
            </w:r>
            <w:r>
              <w:rPr>
                <w:noProof/>
                <w:webHidden/>
              </w:rPr>
              <w:fldChar w:fldCharType="end"/>
            </w:r>
          </w:hyperlink>
        </w:p>
        <w:p w14:paraId="4926F67D" w14:textId="445AC67E"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4" w:history="1">
            <w:r w:rsidRPr="0010612F">
              <w:rPr>
                <w:rStyle w:val="Hyperlink"/>
                <w:noProof/>
              </w:rPr>
              <w:t>2.2 Global Context</w:t>
            </w:r>
            <w:r>
              <w:rPr>
                <w:noProof/>
                <w:webHidden/>
              </w:rPr>
              <w:tab/>
            </w:r>
            <w:r>
              <w:rPr>
                <w:noProof/>
                <w:webHidden/>
              </w:rPr>
              <w:fldChar w:fldCharType="begin"/>
            </w:r>
            <w:r>
              <w:rPr>
                <w:noProof/>
                <w:webHidden/>
              </w:rPr>
              <w:instrText xml:space="preserve"> PAGEREF _Toc237261934 \h </w:instrText>
            </w:r>
            <w:r>
              <w:rPr>
                <w:noProof/>
                <w:webHidden/>
              </w:rPr>
            </w:r>
            <w:r>
              <w:rPr>
                <w:noProof/>
                <w:webHidden/>
              </w:rPr>
              <w:fldChar w:fldCharType="separate"/>
            </w:r>
            <w:r>
              <w:rPr>
                <w:noProof/>
                <w:webHidden/>
              </w:rPr>
              <w:t>7</w:t>
            </w:r>
            <w:r>
              <w:rPr>
                <w:noProof/>
                <w:webHidden/>
              </w:rPr>
              <w:fldChar w:fldCharType="end"/>
            </w:r>
          </w:hyperlink>
        </w:p>
        <w:p w14:paraId="76CAE47C" w14:textId="14092769"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5" w:history="1">
            <w:r w:rsidRPr="0010612F">
              <w:rPr>
                <w:rStyle w:val="Hyperlink"/>
                <w:noProof/>
              </w:rPr>
              <w:t>2.3 National Context (UK)</w:t>
            </w:r>
            <w:r>
              <w:rPr>
                <w:noProof/>
                <w:webHidden/>
              </w:rPr>
              <w:tab/>
            </w:r>
            <w:r>
              <w:rPr>
                <w:noProof/>
                <w:webHidden/>
              </w:rPr>
              <w:fldChar w:fldCharType="begin"/>
            </w:r>
            <w:r>
              <w:rPr>
                <w:noProof/>
                <w:webHidden/>
              </w:rPr>
              <w:instrText xml:space="preserve"> PAGEREF _Toc237261935 \h </w:instrText>
            </w:r>
            <w:r>
              <w:rPr>
                <w:noProof/>
                <w:webHidden/>
              </w:rPr>
            </w:r>
            <w:r>
              <w:rPr>
                <w:noProof/>
                <w:webHidden/>
              </w:rPr>
              <w:fldChar w:fldCharType="separate"/>
            </w:r>
            <w:r>
              <w:rPr>
                <w:noProof/>
                <w:webHidden/>
              </w:rPr>
              <w:t>8</w:t>
            </w:r>
            <w:r>
              <w:rPr>
                <w:noProof/>
                <w:webHidden/>
              </w:rPr>
              <w:fldChar w:fldCharType="end"/>
            </w:r>
          </w:hyperlink>
        </w:p>
        <w:p w14:paraId="60AC6966" w14:textId="432FB476"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6" w:history="1">
            <w:r w:rsidRPr="0010612F">
              <w:rPr>
                <w:rStyle w:val="Hyperlink"/>
                <w:noProof/>
              </w:rPr>
              <w:t>2.4 System Weaknesses</w:t>
            </w:r>
            <w:r>
              <w:rPr>
                <w:noProof/>
                <w:webHidden/>
              </w:rPr>
              <w:tab/>
            </w:r>
            <w:r>
              <w:rPr>
                <w:noProof/>
                <w:webHidden/>
              </w:rPr>
              <w:fldChar w:fldCharType="begin"/>
            </w:r>
            <w:r>
              <w:rPr>
                <w:noProof/>
                <w:webHidden/>
              </w:rPr>
              <w:instrText xml:space="preserve"> PAGEREF _Toc237261936 \h </w:instrText>
            </w:r>
            <w:r>
              <w:rPr>
                <w:noProof/>
                <w:webHidden/>
              </w:rPr>
            </w:r>
            <w:r>
              <w:rPr>
                <w:noProof/>
                <w:webHidden/>
              </w:rPr>
              <w:fldChar w:fldCharType="separate"/>
            </w:r>
            <w:r>
              <w:rPr>
                <w:noProof/>
                <w:webHidden/>
              </w:rPr>
              <w:t>9</w:t>
            </w:r>
            <w:r>
              <w:rPr>
                <w:noProof/>
                <w:webHidden/>
              </w:rPr>
              <w:fldChar w:fldCharType="end"/>
            </w:r>
          </w:hyperlink>
        </w:p>
        <w:p w14:paraId="51544DBD" w14:textId="3F01AD5F"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7" w:history="1">
            <w:r w:rsidRPr="0010612F">
              <w:rPr>
                <w:rStyle w:val="Hyperlink"/>
                <w:noProof/>
              </w:rPr>
              <w:t>2.5 Governance Analysis</w:t>
            </w:r>
            <w:r>
              <w:rPr>
                <w:noProof/>
                <w:webHidden/>
              </w:rPr>
              <w:tab/>
            </w:r>
            <w:r>
              <w:rPr>
                <w:noProof/>
                <w:webHidden/>
              </w:rPr>
              <w:fldChar w:fldCharType="begin"/>
            </w:r>
            <w:r>
              <w:rPr>
                <w:noProof/>
                <w:webHidden/>
              </w:rPr>
              <w:instrText xml:space="preserve"> PAGEREF _Toc237261937 \h </w:instrText>
            </w:r>
            <w:r>
              <w:rPr>
                <w:noProof/>
                <w:webHidden/>
              </w:rPr>
            </w:r>
            <w:r>
              <w:rPr>
                <w:noProof/>
                <w:webHidden/>
              </w:rPr>
              <w:fldChar w:fldCharType="separate"/>
            </w:r>
            <w:r>
              <w:rPr>
                <w:noProof/>
                <w:webHidden/>
              </w:rPr>
              <w:t>9</w:t>
            </w:r>
            <w:r>
              <w:rPr>
                <w:noProof/>
                <w:webHidden/>
              </w:rPr>
              <w:fldChar w:fldCharType="end"/>
            </w:r>
          </w:hyperlink>
        </w:p>
        <w:p w14:paraId="2A3723C7" w14:textId="3E7EE10D"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38" w:history="1">
            <w:r w:rsidRPr="0010612F">
              <w:rPr>
                <w:rStyle w:val="Hyperlink"/>
                <w:noProof/>
              </w:rPr>
              <w:t>2.6 Rich Picture Analysis</w:t>
            </w:r>
            <w:r>
              <w:rPr>
                <w:noProof/>
                <w:webHidden/>
              </w:rPr>
              <w:tab/>
            </w:r>
            <w:r>
              <w:rPr>
                <w:noProof/>
                <w:webHidden/>
              </w:rPr>
              <w:fldChar w:fldCharType="begin"/>
            </w:r>
            <w:r>
              <w:rPr>
                <w:noProof/>
                <w:webHidden/>
              </w:rPr>
              <w:instrText xml:space="preserve"> PAGEREF _Toc237261938 \h </w:instrText>
            </w:r>
            <w:r>
              <w:rPr>
                <w:noProof/>
                <w:webHidden/>
              </w:rPr>
            </w:r>
            <w:r>
              <w:rPr>
                <w:noProof/>
                <w:webHidden/>
              </w:rPr>
              <w:fldChar w:fldCharType="separate"/>
            </w:r>
            <w:r>
              <w:rPr>
                <w:noProof/>
                <w:webHidden/>
              </w:rPr>
              <w:t>10</w:t>
            </w:r>
            <w:r>
              <w:rPr>
                <w:noProof/>
                <w:webHidden/>
              </w:rPr>
              <w:fldChar w:fldCharType="end"/>
            </w:r>
          </w:hyperlink>
        </w:p>
        <w:p w14:paraId="20645426" w14:textId="404976AE"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39" w:history="1">
            <w:r w:rsidRPr="0010612F">
              <w:rPr>
                <w:rStyle w:val="Hyperlink"/>
                <w:noProof/>
              </w:rPr>
              <w:t>Section B: Centralisation and Decentralisation Analysis</w:t>
            </w:r>
            <w:r>
              <w:rPr>
                <w:noProof/>
                <w:webHidden/>
              </w:rPr>
              <w:tab/>
            </w:r>
            <w:r>
              <w:rPr>
                <w:noProof/>
                <w:webHidden/>
              </w:rPr>
              <w:fldChar w:fldCharType="begin"/>
            </w:r>
            <w:r>
              <w:rPr>
                <w:noProof/>
                <w:webHidden/>
              </w:rPr>
              <w:instrText xml:space="preserve"> PAGEREF _Toc237261939 \h </w:instrText>
            </w:r>
            <w:r>
              <w:rPr>
                <w:noProof/>
                <w:webHidden/>
              </w:rPr>
            </w:r>
            <w:r>
              <w:rPr>
                <w:noProof/>
                <w:webHidden/>
              </w:rPr>
              <w:fldChar w:fldCharType="separate"/>
            </w:r>
            <w:r>
              <w:rPr>
                <w:noProof/>
                <w:webHidden/>
              </w:rPr>
              <w:t>12</w:t>
            </w:r>
            <w:r>
              <w:rPr>
                <w:noProof/>
                <w:webHidden/>
              </w:rPr>
              <w:fldChar w:fldCharType="end"/>
            </w:r>
          </w:hyperlink>
        </w:p>
        <w:p w14:paraId="43FCFAE3" w14:textId="7FE19B3E"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0" w:history="1">
            <w:r w:rsidRPr="0010612F">
              <w:rPr>
                <w:rStyle w:val="Hyperlink"/>
                <w:noProof/>
              </w:rPr>
              <w:t>3.1 NHS Organisational Structure</w:t>
            </w:r>
            <w:r>
              <w:rPr>
                <w:noProof/>
                <w:webHidden/>
              </w:rPr>
              <w:tab/>
            </w:r>
            <w:r>
              <w:rPr>
                <w:noProof/>
                <w:webHidden/>
              </w:rPr>
              <w:fldChar w:fldCharType="begin"/>
            </w:r>
            <w:r>
              <w:rPr>
                <w:noProof/>
                <w:webHidden/>
              </w:rPr>
              <w:instrText xml:space="preserve"> PAGEREF _Toc237261940 \h </w:instrText>
            </w:r>
            <w:r>
              <w:rPr>
                <w:noProof/>
                <w:webHidden/>
              </w:rPr>
            </w:r>
            <w:r>
              <w:rPr>
                <w:noProof/>
                <w:webHidden/>
              </w:rPr>
              <w:fldChar w:fldCharType="separate"/>
            </w:r>
            <w:r>
              <w:rPr>
                <w:noProof/>
                <w:webHidden/>
              </w:rPr>
              <w:t>12</w:t>
            </w:r>
            <w:r>
              <w:rPr>
                <w:noProof/>
                <w:webHidden/>
              </w:rPr>
              <w:fldChar w:fldCharType="end"/>
            </w:r>
          </w:hyperlink>
        </w:p>
        <w:p w14:paraId="5B31C26F" w14:textId="5F1417A0"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1" w:history="1">
            <w:r w:rsidRPr="0010612F">
              <w:rPr>
                <w:rStyle w:val="Hyperlink"/>
                <w:noProof/>
              </w:rPr>
              <w:t>3.2 Centralisation in Case Study</w:t>
            </w:r>
            <w:r>
              <w:rPr>
                <w:noProof/>
                <w:webHidden/>
              </w:rPr>
              <w:tab/>
            </w:r>
            <w:r>
              <w:rPr>
                <w:noProof/>
                <w:webHidden/>
              </w:rPr>
              <w:fldChar w:fldCharType="begin"/>
            </w:r>
            <w:r>
              <w:rPr>
                <w:noProof/>
                <w:webHidden/>
              </w:rPr>
              <w:instrText xml:space="preserve"> PAGEREF _Toc237261941 \h </w:instrText>
            </w:r>
            <w:r>
              <w:rPr>
                <w:noProof/>
                <w:webHidden/>
              </w:rPr>
            </w:r>
            <w:r>
              <w:rPr>
                <w:noProof/>
                <w:webHidden/>
              </w:rPr>
              <w:fldChar w:fldCharType="separate"/>
            </w:r>
            <w:r>
              <w:rPr>
                <w:noProof/>
                <w:webHidden/>
              </w:rPr>
              <w:t>13</w:t>
            </w:r>
            <w:r>
              <w:rPr>
                <w:noProof/>
                <w:webHidden/>
              </w:rPr>
              <w:fldChar w:fldCharType="end"/>
            </w:r>
          </w:hyperlink>
        </w:p>
        <w:p w14:paraId="1EFD12B7" w14:textId="1887F326"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2" w:history="1">
            <w:r w:rsidRPr="0010612F">
              <w:rPr>
                <w:rStyle w:val="Hyperlink"/>
                <w:noProof/>
              </w:rPr>
              <w:t>3.3 Decentralisation in Practice</w:t>
            </w:r>
            <w:r>
              <w:rPr>
                <w:noProof/>
                <w:webHidden/>
              </w:rPr>
              <w:tab/>
            </w:r>
            <w:r>
              <w:rPr>
                <w:noProof/>
                <w:webHidden/>
              </w:rPr>
              <w:fldChar w:fldCharType="begin"/>
            </w:r>
            <w:r>
              <w:rPr>
                <w:noProof/>
                <w:webHidden/>
              </w:rPr>
              <w:instrText xml:space="preserve"> PAGEREF _Toc237261942 \h </w:instrText>
            </w:r>
            <w:r>
              <w:rPr>
                <w:noProof/>
                <w:webHidden/>
              </w:rPr>
            </w:r>
            <w:r>
              <w:rPr>
                <w:noProof/>
                <w:webHidden/>
              </w:rPr>
              <w:fldChar w:fldCharType="separate"/>
            </w:r>
            <w:r>
              <w:rPr>
                <w:noProof/>
                <w:webHidden/>
              </w:rPr>
              <w:t>15</w:t>
            </w:r>
            <w:r>
              <w:rPr>
                <w:noProof/>
                <w:webHidden/>
              </w:rPr>
              <w:fldChar w:fldCharType="end"/>
            </w:r>
          </w:hyperlink>
        </w:p>
        <w:p w14:paraId="6DC3A9A7" w14:textId="1B6766A1"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3" w:history="1">
            <w:r w:rsidRPr="0010612F">
              <w:rPr>
                <w:rStyle w:val="Hyperlink"/>
                <w:noProof/>
              </w:rPr>
              <w:t>3.4 Critical Comparison</w:t>
            </w:r>
            <w:r>
              <w:rPr>
                <w:noProof/>
                <w:webHidden/>
              </w:rPr>
              <w:tab/>
            </w:r>
            <w:r>
              <w:rPr>
                <w:noProof/>
                <w:webHidden/>
              </w:rPr>
              <w:fldChar w:fldCharType="begin"/>
            </w:r>
            <w:r>
              <w:rPr>
                <w:noProof/>
                <w:webHidden/>
              </w:rPr>
              <w:instrText xml:space="preserve"> PAGEREF _Toc237261943 \h </w:instrText>
            </w:r>
            <w:r>
              <w:rPr>
                <w:noProof/>
                <w:webHidden/>
              </w:rPr>
            </w:r>
            <w:r>
              <w:rPr>
                <w:noProof/>
                <w:webHidden/>
              </w:rPr>
              <w:fldChar w:fldCharType="separate"/>
            </w:r>
            <w:r>
              <w:rPr>
                <w:noProof/>
                <w:webHidden/>
              </w:rPr>
              <w:t>15</w:t>
            </w:r>
            <w:r>
              <w:rPr>
                <w:noProof/>
                <w:webHidden/>
              </w:rPr>
              <w:fldChar w:fldCharType="end"/>
            </w:r>
          </w:hyperlink>
        </w:p>
        <w:p w14:paraId="06506E32" w14:textId="676983F9"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4" w:history="1">
            <w:r w:rsidRPr="0010612F">
              <w:rPr>
                <w:rStyle w:val="Hyperlink"/>
                <w:noProof/>
              </w:rPr>
              <w:t>3.5 Supporting Data</w:t>
            </w:r>
            <w:r>
              <w:rPr>
                <w:noProof/>
                <w:webHidden/>
              </w:rPr>
              <w:tab/>
            </w:r>
            <w:r>
              <w:rPr>
                <w:noProof/>
                <w:webHidden/>
              </w:rPr>
              <w:fldChar w:fldCharType="begin"/>
            </w:r>
            <w:r>
              <w:rPr>
                <w:noProof/>
                <w:webHidden/>
              </w:rPr>
              <w:instrText xml:space="preserve"> PAGEREF _Toc237261944 \h </w:instrText>
            </w:r>
            <w:r>
              <w:rPr>
                <w:noProof/>
                <w:webHidden/>
              </w:rPr>
            </w:r>
            <w:r>
              <w:rPr>
                <w:noProof/>
                <w:webHidden/>
              </w:rPr>
              <w:fldChar w:fldCharType="separate"/>
            </w:r>
            <w:r>
              <w:rPr>
                <w:noProof/>
                <w:webHidden/>
              </w:rPr>
              <w:t>16</w:t>
            </w:r>
            <w:r>
              <w:rPr>
                <w:noProof/>
                <w:webHidden/>
              </w:rPr>
              <w:fldChar w:fldCharType="end"/>
            </w:r>
          </w:hyperlink>
        </w:p>
        <w:p w14:paraId="56A037D3" w14:textId="458C1638"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45" w:history="1">
            <w:r w:rsidRPr="0010612F">
              <w:rPr>
                <w:rStyle w:val="Hyperlink"/>
                <w:noProof/>
              </w:rPr>
              <w:t>Section C: Leadership Theory Application</w:t>
            </w:r>
            <w:r>
              <w:rPr>
                <w:noProof/>
                <w:webHidden/>
              </w:rPr>
              <w:tab/>
            </w:r>
            <w:r>
              <w:rPr>
                <w:noProof/>
                <w:webHidden/>
              </w:rPr>
              <w:fldChar w:fldCharType="begin"/>
            </w:r>
            <w:r>
              <w:rPr>
                <w:noProof/>
                <w:webHidden/>
              </w:rPr>
              <w:instrText xml:space="preserve"> PAGEREF _Toc237261945 \h </w:instrText>
            </w:r>
            <w:r>
              <w:rPr>
                <w:noProof/>
                <w:webHidden/>
              </w:rPr>
            </w:r>
            <w:r>
              <w:rPr>
                <w:noProof/>
                <w:webHidden/>
              </w:rPr>
              <w:fldChar w:fldCharType="separate"/>
            </w:r>
            <w:r>
              <w:rPr>
                <w:noProof/>
                <w:webHidden/>
              </w:rPr>
              <w:t>18</w:t>
            </w:r>
            <w:r>
              <w:rPr>
                <w:noProof/>
                <w:webHidden/>
              </w:rPr>
              <w:fldChar w:fldCharType="end"/>
            </w:r>
          </w:hyperlink>
        </w:p>
        <w:p w14:paraId="5B8A7450" w14:textId="08605E17"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6" w:history="1">
            <w:r w:rsidRPr="0010612F">
              <w:rPr>
                <w:rStyle w:val="Hyperlink"/>
                <w:noProof/>
              </w:rPr>
              <w:t>4.1 Transformational Leadership</w:t>
            </w:r>
            <w:r>
              <w:rPr>
                <w:noProof/>
                <w:webHidden/>
              </w:rPr>
              <w:tab/>
            </w:r>
            <w:r>
              <w:rPr>
                <w:noProof/>
                <w:webHidden/>
              </w:rPr>
              <w:fldChar w:fldCharType="begin"/>
            </w:r>
            <w:r>
              <w:rPr>
                <w:noProof/>
                <w:webHidden/>
              </w:rPr>
              <w:instrText xml:space="preserve"> PAGEREF _Toc237261946 \h </w:instrText>
            </w:r>
            <w:r>
              <w:rPr>
                <w:noProof/>
                <w:webHidden/>
              </w:rPr>
            </w:r>
            <w:r>
              <w:rPr>
                <w:noProof/>
                <w:webHidden/>
              </w:rPr>
              <w:fldChar w:fldCharType="separate"/>
            </w:r>
            <w:r>
              <w:rPr>
                <w:noProof/>
                <w:webHidden/>
              </w:rPr>
              <w:t>18</w:t>
            </w:r>
            <w:r>
              <w:rPr>
                <w:noProof/>
                <w:webHidden/>
              </w:rPr>
              <w:fldChar w:fldCharType="end"/>
            </w:r>
          </w:hyperlink>
        </w:p>
        <w:p w14:paraId="699D1905" w14:textId="2EF16F10"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7" w:history="1">
            <w:r w:rsidRPr="0010612F">
              <w:rPr>
                <w:rStyle w:val="Hyperlink"/>
                <w:noProof/>
              </w:rPr>
              <w:t>4.2 Situational Leadership</w:t>
            </w:r>
            <w:r>
              <w:rPr>
                <w:noProof/>
                <w:webHidden/>
              </w:rPr>
              <w:tab/>
            </w:r>
            <w:r>
              <w:rPr>
                <w:noProof/>
                <w:webHidden/>
              </w:rPr>
              <w:fldChar w:fldCharType="begin"/>
            </w:r>
            <w:r>
              <w:rPr>
                <w:noProof/>
                <w:webHidden/>
              </w:rPr>
              <w:instrText xml:space="preserve"> PAGEREF _Toc237261947 \h </w:instrText>
            </w:r>
            <w:r>
              <w:rPr>
                <w:noProof/>
                <w:webHidden/>
              </w:rPr>
            </w:r>
            <w:r>
              <w:rPr>
                <w:noProof/>
                <w:webHidden/>
              </w:rPr>
              <w:fldChar w:fldCharType="separate"/>
            </w:r>
            <w:r>
              <w:rPr>
                <w:noProof/>
                <w:webHidden/>
              </w:rPr>
              <w:t>18</w:t>
            </w:r>
            <w:r>
              <w:rPr>
                <w:noProof/>
                <w:webHidden/>
              </w:rPr>
              <w:fldChar w:fldCharType="end"/>
            </w:r>
          </w:hyperlink>
        </w:p>
        <w:p w14:paraId="4AD5CD9A" w14:textId="1D4AF0D4"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8" w:history="1">
            <w:r w:rsidRPr="0010612F">
              <w:rPr>
                <w:rStyle w:val="Hyperlink"/>
                <w:noProof/>
              </w:rPr>
              <w:t>4.3 Distributed Leadership</w:t>
            </w:r>
            <w:r>
              <w:rPr>
                <w:noProof/>
                <w:webHidden/>
              </w:rPr>
              <w:tab/>
            </w:r>
            <w:r>
              <w:rPr>
                <w:noProof/>
                <w:webHidden/>
              </w:rPr>
              <w:fldChar w:fldCharType="begin"/>
            </w:r>
            <w:r>
              <w:rPr>
                <w:noProof/>
                <w:webHidden/>
              </w:rPr>
              <w:instrText xml:space="preserve"> PAGEREF _Toc237261948 \h </w:instrText>
            </w:r>
            <w:r>
              <w:rPr>
                <w:noProof/>
                <w:webHidden/>
              </w:rPr>
            </w:r>
            <w:r>
              <w:rPr>
                <w:noProof/>
                <w:webHidden/>
              </w:rPr>
              <w:fldChar w:fldCharType="separate"/>
            </w:r>
            <w:r>
              <w:rPr>
                <w:noProof/>
                <w:webHidden/>
              </w:rPr>
              <w:t>20</w:t>
            </w:r>
            <w:r>
              <w:rPr>
                <w:noProof/>
                <w:webHidden/>
              </w:rPr>
              <w:fldChar w:fldCharType="end"/>
            </w:r>
          </w:hyperlink>
        </w:p>
        <w:p w14:paraId="073D5F4C" w14:textId="774039E4"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49" w:history="1">
            <w:r w:rsidRPr="0010612F">
              <w:rPr>
                <w:rStyle w:val="Hyperlink"/>
                <w:noProof/>
              </w:rPr>
              <w:t>4.4 Transactional Leadership</w:t>
            </w:r>
            <w:r>
              <w:rPr>
                <w:noProof/>
                <w:webHidden/>
              </w:rPr>
              <w:tab/>
            </w:r>
            <w:r>
              <w:rPr>
                <w:noProof/>
                <w:webHidden/>
              </w:rPr>
              <w:fldChar w:fldCharType="begin"/>
            </w:r>
            <w:r>
              <w:rPr>
                <w:noProof/>
                <w:webHidden/>
              </w:rPr>
              <w:instrText xml:space="preserve"> PAGEREF _Toc237261949 \h </w:instrText>
            </w:r>
            <w:r>
              <w:rPr>
                <w:noProof/>
                <w:webHidden/>
              </w:rPr>
            </w:r>
            <w:r>
              <w:rPr>
                <w:noProof/>
                <w:webHidden/>
              </w:rPr>
              <w:fldChar w:fldCharType="separate"/>
            </w:r>
            <w:r>
              <w:rPr>
                <w:noProof/>
                <w:webHidden/>
              </w:rPr>
              <w:t>20</w:t>
            </w:r>
            <w:r>
              <w:rPr>
                <w:noProof/>
                <w:webHidden/>
              </w:rPr>
              <w:fldChar w:fldCharType="end"/>
            </w:r>
          </w:hyperlink>
        </w:p>
        <w:p w14:paraId="587D8B9F" w14:textId="0C59B893"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0" w:history="1">
            <w:r w:rsidRPr="0010612F">
              <w:rPr>
                <w:rStyle w:val="Hyperlink"/>
                <w:noProof/>
              </w:rPr>
              <w:t>4.5 Critical Leadership Evaluation</w:t>
            </w:r>
            <w:r>
              <w:rPr>
                <w:noProof/>
                <w:webHidden/>
              </w:rPr>
              <w:tab/>
            </w:r>
            <w:r>
              <w:rPr>
                <w:noProof/>
                <w:webHidden/>
              </w:rPr>
              <w:fldChar w:fldCharType="begin"/>
            </w:r>
            <w:r>
              <w:rPr>
                <w:noProof/>
                <w:webHidden/>
              </w:rPr>
              <w:instrText xml:space="preserve"> PAGEREF _Toc237261950 \h </w:instrText>
            </w:r>
            <w:r>
              <w:rPr>
                <w:noProof/>
                <w:webHidden/>
              </w:rPr>
            </w:r>
            <w:r>
              <w:rPr>
                <w:noProof/>
                <w:webHidden/>
              </w:rPr>
              <w:fldChar w:fldCharType="separate"/>
            </w:r>
            <w:r>
              <w:rPr>
                <w:noProof/>
                <w:webHidden/>
              </w:rPr>
              <w:t>21</w:t>
            </w:r>
            <w:r>
              <w:rPr>
                <w:noProof/>
                <w:webHidden/>
              </w:rPr>
              <w:fldChar w:fldCharType="end"/>
            </w:r>
          </w:hyperlink>
        </w:p>
        <w:p w14:paraId="6362489F" w14:textId="540DE64A"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51" w:history="1">
            <w:r w:rsidRPr="0010612F">
              <w:rPr>
                <w:rStyle w:val="Hyperlink"/>
                <w:noProof/>
              </w:rPr>
              <w:t>Section D: Improvements and Lessons Learned</w:t>
            </w:r>
            <w:r>
              <w:rPr>
                <w:noProof/>
                <w:webHidden/>
              </w:rPr>
              <w:tab/>
            </w:r>
            <w:r>
              <w:rPr>
                <w:noProof/>
                <w:webHidden/>
              </w:rPr>
              <w:fldChar w:fldCharType="begin"/>
            </w:r>
            <w:r>
              <w:rPr>
                <w:noProof/>
                <w:webHidden/>
              </w:rPr>
              <w:instrText xml:space="preserve"> PAGEREF _Toc237261951 \h </w:instrText>
            </w:r>
            <w:r>
              <w:rPr>
                <w:noProof/>
                <w:webHidden/>
              </w:rPr>
            </w:r>
            <w:r>
              <w:rPr>
                <w:noProof/>
                <w:webHidden/>
              </w:rPr>
              <w:fldChar w:fldCharType="separate"/>
            </w:r>
            <w:r>
              <w:rPr>
                <w:noProof/>
                <w:webHidden/>
              </w:rPr>
              <w:t>23</w:t>
            </w:r>
            <w:r>
              <w:rPr>
                <w:noProof/>
                <w:webHidden/>
              </w:rPr>
              <w:fldChar w:fldCharType="end"/>
            </w:r>
          </w:hyperlink>
        </w:p>
        <w:p w14:paraId="4C88F140" w14:textId="600F2464"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2" w:history="1">
            <w:r w:rsidRPr="0010612F">
              <w:rPr>
                <w:rStyle w:val="Hyperlink"/>
                <w:noProof/>
              </w:rPr>
              <w:t>5.1 Leadership Failures</w:t>
            </w:r>
            <w:r>
              <w:rPr>
                <w:noProof/>
                <w:webHidden/>
              </w:rPr>
              <w:tab/>
            </w:r>
            <w:r>
              <w:rPr>
                <w:noProof/>
                <w:webHidden/>
              </w:rPr>
              <w:fldChar w:fldCharType="begin"/>
            </w:r>
            <w:r>
              <w:rPr>
                <w:noProof/>
                <w:webHidden/>
              </w:rPr>
              <w:instrText xml:space="preserve"> PAGEREF _Toc237261952 \h </w:instrText>
            </w:r>
            <w:r>
              <w:rPr>
                <w:noProof/>
                <w:webHidden/>
              </w:rPr>
            </w:r>
            <w:r>
              <w:rPr>
                <w:noProof/>
                <w:webHidden/>
              </w:rPr>
              <w:fldChar w:fldCharType="separate"/>
            </w:r>
            <w:r>
              <w:rPr>
                <w:noProof/>
                <w:webHidden/>
              </w:rPr>
              <w:t>23</w:t>
            </w:r>
            <w:r>
              <w:rPr>
                <w:noProof/>
                <w:webHidden/>
              </w:rPr>
              <w:fldChar w:fldCharType="end"/>
            </w:r>
          </w:hyperlink>
        </w:p>
        <w:p w14:paraId="3C9BF6E5" w14:textId="0B9F02F8"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3" w:history="1">
            <w:r w:rsidRPr="0010612F">
              <w:rPr>
                <w:rStyle w:val="Hyperlink"/>
                <w:noProof/>
              </w:rPr>
              <w:t>5.2 Governance Failures</w:t>
            </w:r>
            <w:r>
              <w:rPr>
                <w:noProof/>
                <w:webHidden/>
              </w:rPr>
              <w:tab/>
            </w:r>
            <w:r>
              <w:rPr>
                <w:noProof/>
                <w:webHidden/>
              </w:rPr>
              <w:fldChar w:fldCharType="begin"/>
            </w:r>
            <w:r>
              <w:rPr>
                <w:noProof/>
                <w:webHidden/>
              </w:rPr>
              <w:instrText xml:space="preserve"> PAGEREF _Toc237261953 \h </w:instrText>
            </w:r>
            <w:r>
              <w:rPr>
                <w:noProof/>
                <w:webHidden/>
              </w:rPr>
            </w:r>
            <w:r>
              <w:rPr>
                <w:noProof/>
                <w:webHidden/>
              </w:rPr>
              <w:fldChar w:fldCharType="separate"/>
            </w:r>
            <w:r>
              <w:rPr>
                <w:noProof/>
                <w:webHidden/>
              </w:rPr>
              <w:t>23</w:t>
            </w:r>
            <w:r>
              <w:rPr>
                <w:noProof/>
                <w:webHidden/>
              </w:rPr>
              <w:fldChar w:fldCharType="end"/>
            </w:r>
          </w:hyperlink>
        </w:p>
        <w:p w14:paraId="465B9671" w14:textId="65B10A16"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4" w:history="1">
            <w:r w:rsidRPr="0010612F">
              <w:rPr>
                <w:rStyle w:val="Hyperlink"/>
                <w:noProof/>
              </w:rPr>
              <w:t>5.3 Evidence-Based Improvements</w:t>
            </w:r>
            <w:r>
              <w:rPr>
                <w:noProof/>
                <w:webHidden/>
              </w:rPr>
              <w:tab/>
            </w:r>
            <w:r>
              <w:rPr>
                <w:noProof/>
                <w:webHidden/>
              </w:rPr>
              <w:fldChar w:fldCharType="begin"/>
            </w:r>
            <w:r>
              <w:rPr>
                <w:noProof/>
                <w:webHidden/>
              </w:rPr>
              <w:instrText xml:space="preserve"> PAGEREF _Toc237261954 \h </w:instrText>
            </w:r>
            <w:r>
              <w:rPr>
                <w:noProof/>
                <w:webHidden/>
              </w:rPr>
            </w:r>
            <w:r>
              <w:rPr>
                <w:noProof/>
                <w:webHidden/>
              </w:rPr>
              <w:fldChar w:fldCharType="separate"/>
            </w:r>
            <w:r>
              <w:rPr>
                <w:noProof/>
                <w:webHidden/>
              </w:rPr>
              <w:t>24</w:t>
            </w:r>
            <w:r>
              <w:rPr>
                <w:noProof/>
                <w:webHidden/>
              </w:rPr>
              <w:fldChar w:fldCharType="end"/>
            </w:r>
          </w:hyperlink>
        </w:p>
        <w:p w14:paraId="42A7526E" w14:textId="5D93C6DE"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5" w:history="1">
            <w:r w:rsidRPr="0010612F">
              <w:rPr>
                <w:rStyle w:val="Hyperlink"/>
                <w:noProof/>
              </w:rPr>
              <w:t>5.4 Leadership Improvements</w:t>
            </w:r>
            <w:r>
              <w:rPr>
                <w:noProof/>
                <w:webHidden/>
              </w:rPr>
              <w:tab/>
            </w:r>
            <w:r>
              <w:rPr>
                <w:noProof/>
                <w:webHidden/>
              </w:rPr>
              <w:fldChar w:fldCharType="begin"/>
            </w:r>
            <w:r>
              <w:rPr>
                <w:noProof/>
                <w:webHidden/>
              </w:rPr>
              <w:instrText xml:space="preserve"> PAGEREF _Toc237261955 \h </w:instrText>
            </w:r>
            <w:r>
              <w:rPr>
                <w:noProof/>
                <w:webHidden/>
              </w:rPr>
            </w:r>
            <w:r>
              <w:rPr>
                <w:noProof/>
                <w:webHidden/>
              </w:rPr>
              <w:fldChar w:fldCharType="separate"/>
            </w:r>
            <w:r>
              <w:rPr>
                <w:noProof/>
                <w:webHidden/>
              </w:rPr>
              <w:t>25</w:t>
            </w:r>
            <w:r>
              <w:rPr>
                <w:noProof/>
                <w:webHidden/>
              </w:rPr>
              <w:fldChar w:fldCharType="end"/>
            </w:r>
          </w:hyperlink>
        </w:p>
        <w:p w14:paraId="28121696" w14:textId="246870F5"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6" w:history="1">
            <w:r w:rsidRPr="0010612F">
              <w:rPr>
                <w:rStyle w:val="Hyperlink"/>
                <w:noProof/>
              </w:rPr>
              <w:t>5.5 Lessons for Healthcare Organisations</w:t>
            </w:r>
            <w:r>
              <w:rPr>
                <w:noProof/>
                <w:webHidden/>
              </w:rPr>
              <w:tab/>
            </w:r>
            <w:r>
              <w:rPr>
                <w:noProof/>
                <w:webHidden/>
              </w:rPr>
              <w:fldChar w:fldCharType="begin"/>
            </w:r>
            <w:r>
              <w:rPr>
                <w:noProof/>
                <w:webHidden/>
              </w:rPr>
              <w:instrText xml:space="preserve"> PAGEREF _Toc237261956 \h </w:instrText>
            </w:r>
            <w:r>
              <w:rPr>
                <w:noProof/>
                <w:webHidden/>
              </w:rPr>
            </w:r>
            <w:r>
              <w:rPr>
                <w:noProof/>
                <w:webHidden/>
              </w:rPr>
              <w:fldChar w:fldCharType="separate"/>
            </w:r>
            <w:r>
              <w:rPr>
                <w:noProof/>
                <w:webHidden/>
              </w:rPr>
              <w:t>25</w:t>
            </w:r>
            <w:r>
              <w:rPr>
                <w:noProof/>
                <w:webHidden/>
              </w:rPr>
              <w:fldChar w:fldCharType="end"/>
            </w:r>
          </w:hyperlink>
        </w:p>
        <w:p w14:paraId="58F93D0D" w14:textId="149B1A0C"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57" w:history="1">
            <w:r w:rsidRPr="0010612F">
              <w:rPr>
                <w:rStyle w:val="Hyperlink"/>
                <w:noProof/>
              </w:rPr>
              <w:t>6. Recommendations</w:t>
            </w:r>
            <w:r>
              <w:rPr>
                <w:noProof/>
                <w:webHidden/>
              </w:rPr>
              <w:tab/>
            </w:r>
            <w:r>
              <w:rPr>
                <w:noProof/>
                <w:webHidden/>
              </w:rPr>
              <w:fldChar w:fldCharType="begin"/>
            </w:r>
            <w:r>
              <w:rPr>
                <w:noProof/>
                <w:webHidden/>
              </w:rPr>
              <w:instrText xml:space="preserve"> PAGEREF _Toc237261957 \h </w:instrText>
            </w:r>
            <w:r>
              <w:rPr>
                <w:noProof/>
                <w:webHidden/>
              </w:rPr>
            </w:r>
            <w:r>
              <w:rPr>
                <w:noProof/>
                <w:webHidden/>
              </w:rPr>
              <w:fldChar w:fldCharType="separate"/>
            </w:r>
            <w:r>
              <w:rPr>
                <w:noProof/>
                <w:webHidden/>
              </w:rPr>
              <w:t>27</w:t>
            </w:r>
            <w:r>
              <w:rPr>
                <w:noProof/>
                <w:webHidden/>
              </w:rPr>
              <w:fldChar w:fldCharType="end"/>
            </w:r>
          </w:hyperlink>
        </w:p>
        <w:p w14:paraId="6CA7FD47" w14:textId="2B13BE20"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8" w:history="1">
            <w:r w:rsidRPr="0010612F">
              <w:rPr>
                <w:rStyle w:val="Hyperlink"/>
                <w:noProof/>
              </w:rPr>
              <w:t>6.1 Leadership Recommendations</w:t>
            </w:r>
            <w:r>
              <w:rPr>
                <w:noProof/>
                <w:webHidden/>
              </w:rPr>
              <w:tab/>
            </w:r>
            <w:r>
              <w:rPr>
                <w:noProof/>
                <w:webHidden/>
              </w:rPr>
              <w:fldChar w:fldCharType="begin"/>
            </w:r>
            <w:r>
              <w:rPr>
                <w:noProof/>
                <w:webHidden/>
              </w:rPr>
              <w:instrText xml:space="preserve"> PAGEREF _Toc237261958 \h </w:instrText>
            </w:r>
            <w:r>
              <w:rPr>
                <w:noProof/>
                <w:webHidden/>
              </w:rPr>
            </w:r>
            <w:r>
              <w:rPr>
                <w:noProof/>
                <w:webHidden/>
              </w:rPr>
              <w:fldChar w:fldCharType="separate"/>
            </w:r>
            <w:r>
              <w:rPr>
                <w:noProof/>
                <w:webHidden/>
              </w:rPr>
              <w:t>27</w:t>
            </w:r>
            <w:r>
              <w:rPr>
                <w:noProof/>
                <w:webHidden/>
              </w:rPr>
              <w:fldChar w:fldCharType="end"/>
            </w:r>
          </w:hyperlink>
        </w:p>
        <w:p w14:paraId="03AC79AB" w14:textId="3333EF4A"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59" w:history="1">
            <w:r w:rsidRPr="0010612F">
              <w:rPr>
                <w:rStyle w:val="Hyperlink"/>
                <w:noProof/>
              </w:rPr>
              <w:t>6.2 Governance Recommendations</w:t>
            </w:r>
            <w:r>
              <w:rPr>
                <w:noProof/>
                <w:webHidden/>
              </w:rPr>
              <w:tab/>
            </w:r>
            <w:r>
              <w:rPr>
                <w:noProof/>
                <w:webHidden/>
              </w:rPr>
              <w:fldChar w:fldCharType="begin"/>
            </w:r>
            <w:r>
              <w:rPr>
                <w:noProof/>
                <w:webHidden/>
              </w:rPr>
              <w:instrText xml:space="preserve"> PAGEREF _Toc237261959 \h </w:instrText>
            </w:r>
            <w:r>
              <w:rPr>
                <w:noProof/>
                <w:webHidden/>
              </w:rPr>
            </w:r>
            <w:r>
              <w:rPr>
                <w:noProof/>
                <w:webHidden/>
              </w:rPr>
              <w:fldChar w:fldCharType="separate"/>
            </w:r>
            <w:r>
              <w:rPr>
                <w:noProof/>
                <w:webHidden/>
              </w:rPr>
              <w:t>27</w:t>
            </w:r>
            <w:r>
              <w:rPr>
                <w:noProof/>
                <w:webHidden/>
              </w:rPr>
              <w:fldChar w:fldCharType="end"/>
            </w:r>
          </w:hyperlink>
        </w:p>
        <w:p w14:paraId="0AC445C1" w14:textId="590B4C0A"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0" w:history="1">
            <w:r w:rsidRPr="0010612F">
              <w:rPr>
                <w:rStyle w:val="Hyperlink"/>
                <w:noProof/>
              </w:rPr>
              <w:t>6.3 Communication Improvements</w:t>
            </w:r>
            <w:r>
              <w:rPr>
                <w:noProof/>
                <w:webHidden/>
              </w:rPr>
              <w:tab/>
            </w:r>
            <w:r>
              <w:rPr>
                <w:noProof/>
                <w:webHidden/>
              </w:rPr>
              <w:fldChar w:fldCharType="begin"/>
            </w:r>
            <w:r>
              <w:rPr>
                <w:noProof/>
                <w:webHidden/>
              </w:rPr>
              <w:instrText xml:space="preserve"> PAGEREF _Toc237261960 \h </w:instrText>
            </w:r>
            <w:r>
              <w:rPr>
                <w:noProof/>
                <w:webHidden/>
              </w:rPr>
            </w:r>
            <w:r>
              <w:rPr>
                <w:noProof/>
                <w:webHidden/>
              </w:rPr>
              <w:fldChar w:fldCharType="separate"/>
            </w:r>
            <w:r>
              <w:rPr>
                <w:noProof/>
                <w:webHidden/>
              </w:rPr>
              <w:t>27</w:t>
            </w:r>
            <w:r>
              <w:rPr>
                <w:noProof/>
                <w:webHidden/>
              </w:rPr>
              <w:fldChar w:fldCharType="end"/>
            </w:r>
          </w:hyperlink>
        </w:p>
        <w:p w14:paraId="26B4AC2C" w14:textId="0591741E"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1" w:history="1">
            <w:r w:rsidRPr="0010612F">
              <w:rPr>
                <w:rStyle w:val="Hyperlink"/>
                <w:noProof/>
              </w:rPr>
              <w:t>6.4 Technical and Allocative Efficiency</w:t>
            </w:r>
            <w:r>
              <w:rPr>
                <w:noProof/>
                <w:webHidden/>
              </w:rPr>
              <w:tab/>
            </w:r>
            <w:r>
              <w:rPr>
                <w:noProof/>
                <w:webHidden/>
              </w:rPr>
              <w:fldChar w:fldCharType="begin"/>
            </w:r>
            <w:r>
              <w:rPr>
                <w:noProof/>
                <w:webHidden/>
              </w:rPr>
              <w:instrText xml:space="preserve"> PAGEREF _Toc237261961 \h </w:instrText>
            </w:r>
            <w:r>
              <w:rPr>
                <w:noProof/>
                <w:webHidden/>
              </w:rPr>
            </w:r>
            <w:r>
              <w:rPr>
                <w:noProof/>
                <w:webHidden/>
              </w:rPr>
              <w:fldChar w:fldCharType="separate"/>
            </w:r>
            <w:r>
              <w:rPr>
                <w:noProof/>
                <w:webHidden/>
              </w:rPr>
              <w:t>28</w:t>
            </w:r>
            <w:r>
              <w:rPr>
                <w:noProof/>
                <w:webHidden/>
              </w:rPr>
              <w:fldChar w:fldCharType="end"/>
            </w:r>
          </w:hyperlink>
        </w:p>
        <w:p w14:paraId="7C3DCA27" w14:textId="4914CFC6"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2" w:history="1">
            <w:r w:rsidRPr="0010612F">
              <w:rPr>
                <w:rStyle w:val="Hyperlink"/>
                <w:noProof/>
              </w:rPr>
              <w:t>6.5 Continuous Learning</w:t>
            </w:r>
            <w:r>
              <w:rPr>
                <w:noProof/>
                <w:webHidden/>
              </w:rPr>
              <w:tab/>
            </w:r>
            <w:r>
              <w:rPr>
                <w:noProof/>
                <w:webHidden/>
              </w:rPr>
              <w:fldChar w:fldCharType="begin"/>
            </w:r>
            <w:r>
              <w:rPr>
                <w:noProof/>
                <w:webHidden/>
              </w:rPr>
              <w:instrText xml:space="preserve"> PAGEREF _Toc237261962 \h </w:instrText>
            </w:r>
            <w:r>
              <w:rPr>
                <w:noProof/>
                <w:webHidden/>
              </w:rPr>
            </w:r>
            <w:r>
              <w:rPr>
                <w:noProof/>
                <w:webHidden/>
              </w:rPr>
              <w:fldChar w:fldCharType="separate"/>
            </w:r>
            <w:r>
              <w:rPr>
                <w:noProof/>
                <w:webHidden/>
              </w:rPr>
              <w:t>28</w:t>
            </w:r>
            <w:r>
              <w:rPr>
                <w:noProof/>
                <w:webHidden/>
              </w:rPr>
              <w:fldChar w:fldCharType="end"/>
            </w:r>
          </w:hyperlink>
        </w:p>
        <w:p w14:paraId="698146E2" w14:textId="7A0B1DA6"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63" w:history="1">
            <w:r w:rsidRPr="0010612F">
              <w:rPr>
                <w:rStyle w:val="Hyperlink"/>
                <w:noProof/>
              </w:rPr>
              <w:t>7. Conclusion</w:t>
            </w:r>
            <w:r>
              <w:rPr>
                <w:noProof/>
                <w:webHidden/>
              </w:rPr>
              <w:tab/>
            </w:r>
            <w:r>
              <w:rPr>
                <w:noProof/>
                <w:webHidden/>
              </w:rPr>
              <w:fldChar w:fldCharType="begin"/>
            </w:r>
            <w:r>
              <w:rPr>
                <w:noProof/>
                <w:webHidden/>
              </w:rPr>
              <w:instrText xml:space="preserve"> PAGEREF _Toc237261963 \h </w:instrText>
            </w:r>
            <w:r>
              <w:rPr>
                <w:noProof/>
                <w:webHidden/>
              </w:rPr>
            </w:r>
            <w:r>
              <w:rPr>
                <w:noProof/>
                <w:webHidden/>
              </w:rPr>
              <w:fldChar w:fldCharType="separate"/>
            </w:r>
            <w:r>
              <w:rPr>
                <w:noProof/>
                <w:webHidden/>
              </w:rPr>
              <w:t>29</w:t>
            </w:r>
            <w:r>
              <w:rPr>
                <w:noProof/>
                <w:webHidden/>
              </w:rPr>
              <w:fldChar w:fldCharType="end"/>
            </w:r>
          </w:hyperlink>
        </w:p>
        <w:p w14:paraId="1F892ABD" w14:textId="3DB35B19"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4" w:history="1">
            <w:r w:rsidRPr="0010612F">
              <w:rPr>
                <w:rStyle w:val="Hyperlink"/>
                <w:noProof/>
              </w:rPr>
              <w:t>7.1 Summary of Findings</w:t>
            </w:r>
            <w:r>
              <w:rPr>
                <w:noProof/>
                <w:webHidden/>
              </w:rPr>
              <w:tab/>
            </w:r>
            <w:r>
              <w:rPr>
                <w:noProof/>
                <w:webHidden/>
              </w:rPr>
              <w:fldChar w:fldCharType="begin"/>
            </w:r>
            <w:r>
              <w:rPr>
                <w:noProof/>
                <w:webHidden/>
              </w:rPr>
              <w:instrText xml:space="preserve"> PAGEREF _Toc237261964 \h </w:instrText>
            </w:r>
            <w:r>
              <w:rPr>
                <w:noProof/>
                <w:webHidden/>
              </w:rPr>
            </w:r>
            <w:r>
              <w:rPr>
                <w:noProof/>
                <w:webHidden/>
              </w:rPr>
              <w:fldChar w:fldCharType="separate"/>
            </w:r>
            <w:r>
              <w:rPr>
                <w:noProof/>
                <w:webHidden/>
              </w:rPr>
              <w:t>29</w:t>
            </w:r>
            <w:r>
              <w:rPr>
                <w:noProof/>
                <w:webHidden/>
              </w:rPr>
              <w:fldChar w:fldCharType="end"/>
            </w:r>
          </w:hyperlink>
        </w:p>
        <w:p w14:paraId="6C3957F2" w14:textId="29AEA48D"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5" w:history="1">
            <w:r w:rsidRPr="0010612F">
              <w:rPr>
                <w:rStyle w:val="Hyperlink"/>
                <w:noProof/>
              </w:rPr>
              <w:t>7.2 Overall Evaluation</w:t>
            </w:r>
            <w:r>
              <w:rPr>
                <w:noProof/>
                <w:webHidden/>
              </w:rPr>
              <w:tab/>
            </w:r>
            <w:r>
              <w:rPr>
                <w:noProof/>
                <w:webHidden/>
              </w:rPr>
              <w:fldChar w:fldCharType="begin"/>
            </w:r>
            <w:r>
              <w:rPr>
                <w:noProof/>
                <w:webHidden/>
              </w:rPr>
              <w:instrText xml:space="preserve"> PAGEREF _Toc237261965 \h </w:instrText>
            </w:r>
            <w:r>
              <w:rPr>
                <w:noProof/>
                <w:webHidden/>
              </w:rPr>
            </w:r>
            <w:r>
              <w:rPr>
                <w:noProof/>
                <w:webHidden/>
              </w:rPr>
              <w:fldChar w:fldCharType="separate"/>
            </w:r>
            <w:r>
              <w:rPr>
                <w:noProof/>
                <w:webHidden/>
              </w:rPr>
              <w:t>30</w:t>
            </w:r>
            <w:r>
              <w:rPr>
                <w:noProof/>
                <w:webHidden/>
              </w:rPr>
              <w:fldChar w:fldCharType="end"/>
            </w:r>
          </w:hyperlink>
        </w:p>
        <w:p w14:paraId="6EEFBD19" w14:textId="05E7D57B" w:rsidR="00B94BC2" w:rsidRDefault="00B94BC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261966" w:history="1">
            <w:r w:rsidRPr="0010612F">
              <w:rPr>
                <w:rStyle w:val="Hyperlink"/>
                <w:noProof/>
              </w:rPr>
              <w:t>7.3 Final Conclusion</w:t>
            </w:r>
            <w:r>
              <w:rPr>
                <w:noProof/>
                <w:webHidden/>
              </w:rPr>
              <w:tab/>
            </w:r>
            <w:r>
              <w:rPr>
                <w:noProof/>
                <w:webHidden/>
              </w:rPr>
              <w:fldChar w:fldCharType="begin"/>
            </w:r>
            <w:r>
              <w:rPr>
                <w:noProof/>
                <w:webHidden/>
              </w:rPr>
              <w:instrText xml:space="preserve"> PAGEREF _Toc237261966 \h </w:instrText>
            </w:r>
            <w:r>
              <w:rPr>
                <w:noProof/>
                <w:webHidden/>
              </w:rPr>
            </w:r>
            <w:r>
              <w:rPr>
                <w:noProof/>
                <w:webHidden/>
              </w:rPr>
              <w:fldChar w:fldCharType="separate"/>
            </w:r>
            <w:r>
              <w:rPr>
                <w:noProof/>
                <w:webHidden/>
              </w:rPr>
              <w:t>30</w:t>
            </w:r>
            <w:r>
              <w:rPr>
                <w:noProof/>
                <w:webHidden/>
              </w:rPr>
              <w:fldChar w:fldCharType="end"/>
            </w:r>
          </w:hyperlink>
        </w:p>
        <w:p w14:paraId="7E364E5B" w14:textId="4B64E5AD" w:rsidR="00B94BC2" w:rsidRDefault="00B94BC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261967" w:history="1">
            <w:r w:rsidRPr="0010612F">
              <w:rPr>
                <w:rStyle w:val="Hyperlink"/>
                <w:noProof/>
              </w:rPr>
              <w:t>References</w:t>
            </w:r>
            <w:r>
              <w:rPr>
                <w:noProof/>
                <w:webHidden/>
              </w:rPr>
              <w:tab/>
            </w:r>
            <w:r>
              <w:rPr>
                <w:noProof/>
                <w:webHidden/>
              </w:rPr>
              <w:fldChar w:fldCharType="begin"/>
            </w:r>
            <w:r>
              <w:rPr>
                <w:noProof/>
                <w:webHidden/>
              </w:rPr>
              <w:instrText xml:space="preserve"> PAGEREF _Toc237261967 \h </w:instrText>
            </w:r>
            <w:r>
              <w:rPr>
                <w:noProof/>
                <w:webHidden/>
              </w:rPr>
            </w:r>
            <w:r>
              <w:rPr>
                <w:noProof/>
                <w:webHidden/>
              </w:rPr>
              <w:fldChar w:fldCharType="separate"/>
            </w:r>
            <w:r>
              <w:rPr>
                <w:noProof/>
                <w:webHidden/>
              </w:rPr>
              <w:t>31</w:t>
            </w:r>
            <w:r>
              <w:rPr>
                <w:noProof/>
                <w:webHidden/>
              </w:rPr>
              <w:fldChar w:fldCharType="end"/>
            </w:r>
          </w:hyperlink>
        </w:p>
        <w:p w14:paraId="3457A79D" w14:textId="0468F704" w:rsidR="00B94BC2" w:rsidRDefault="00B94BC2">
          <w:r>
            <w:rPr>
              <w:b/>
              <w:bCs/>
              <w:noProof/>
            </w:rPr>
            <w:fldChar w:fldCharType="end"/>
          </w:r>
        </w:p>
      </w:sdtContent>
    </w:sdt>
    <w:p w14:paraId="00A052EE" w14:textId="2833A67E" w:rsidR="005103D4" w:rsidRDefault="005103D4" w:rsidP="00B94BC2">
      <w:pPr>
        <w:widowControl w:val="0"/>
        <w:tabs>
          <w:tab w:val="right" w:pos="9360"/>
        </w:tabs>
        <w:spacing w:before="60"/>
        <w:jc w:val="left"/>
        <w:rPr>
          <w:b/>
          <w:bCs/>
          <w:sz w:val="28"/>
          <w:szCs w:val="28"/>
        </w:rPr>
      </w:pPr>
    </w:p>
    <w:p w14:paraId="219A1A3A" w14:textId="77777777" w:rsidR="005103D4" w:rsidRDefault="005769A0">
      <w:pPr>
        <w:jc w:val="center"/>
        <w:rPr>
          <w:b/>
          <w:bCs/>
          <w:sz w:val="28"/>
          <w:szCs w:val="28"/>
        </w:rPr>
      </w:pPr>
      <w:r>
        <w:br w:type="page"/>
      </w:r>
    </w:p>
    <w:p w14:paraId="2FECEB87" w14:textId="77777777" w:rsidR="005103D4" w:rsidRDefault="005769A0">
      <w:pPr>
        <w:pStyle w:val="Heading1"/>
        <w:keepNext w:val="0"/>
        <w:keepLines w:val="0"/>
      </w:pPr>
      <w:bookmarkStart w:id="0" w:name="_heading=h.lg05cpvl7h7y" w:colFirst="0" w:colLast="0"/>
      <w:bookmarkStart w:id="1" w:name="_Toc237261925"/>
      <w:bookmarkEnd w:id="0"/>
      <w:r>
        <w:lastRenderedPageBreak/>
        <w:t>1. Introduction</w:t>
      </w:r>
      <w:bookmarkEnd w:id="1"/>
    </w:p>
    <w:p w14:paraId="2F1471D3" w14:textId="77777777" w:rsidR="005103D4" w:rsidRDefault="005769A0">
      <w:pPr>
        <w:pStyle w:val="Heading2"/>
        <w:keepNext w:val="0"/>
        <w:keepLines w:val="0"/>
      </w:pPr>
      <w:bookmarkStart w:id="2" w:name="_heading=h.r50tgl9nkwz1" w:colFirst="0" w:colLast="0"/>
      <w:bookmarkStart w:id="3" w:name="_Toc237261926"/>
      <w:bookmarkEnd w:id="2"/>
      <w:r>
        <w:t>1.1 Background of the Case</w:t>
      </w:r>
      <w:bookmarkEnd w:id="3"/>
    </w:p>
    <w:p w14:paraId="3E5F6A55" w14:textId="77777777" w:rsidR="005103D4" w:rsidRDefault="005769A0">
      <w:pPr>
        <w:spacing w:before="240" w:after="240"/>
      </w:pPr>
      <w:r>
        <w:rPr>
          <w:color w:val="222222"/>
        </w:rPr>
        <w:t>The case of patient X illustrates how a sub-optimal medicine-related treatment decision could have been reported as a preventable patient safety incident due to failures in medicine management, communication and organisational coordination. A patient was admitted with shortness of breath and recurrent epistaxis, so apixaban was discontinued for the short-term period to decrease the risk of bleeding. The Health Services Safety Investigations Body (2024) reported that despite the extended duration of the proc</w:t>
      </w:r>
      <w:r>
        <w:rPr>
          <w:color w:val="222222"/>
        </w:rPr>
        <w:t xml:space="preserve">edure, the Healthcare Trust committee failed to resume the anti-coagulation therapy following the pleural aspiration, which led to interruption of the therapy for 10 days, causing ischaemic stroke and death. </w:t>
      </w:r>
    </w:p>
    <w:p w14:paraId="6D7F0353" w14:textId="77777777" w:rsidR="005103D4" w:rsidRDefault="005769A0">
      <w:pPr>
        <w:pStyle w:val="Heading2"/>
        <w:keepNext w:val="0"/>
        <w:keepLines w:val="0"/>
      </w:pPr>
      <w:bookmarkStart w:id="4" w:name="_heading=h.vck4exr6lw9y" w:colFirst="0" w:colLast="0"/>
      <w:bookmarkStart w:id="5" w:name="_Toc237261927"/>
      <w:bookmarkEnd w:id="4"/>
      <w:r>
        <w:t>1.2 Leadership in Health and Social Care</w:t>
      </w:r>
      <w:bookmarkEnd w:id="5"/>
    </w:p>
    <w:p w14:paraId="3CAF7167" w14:textId="77777777" w:rsidR="005103D4" w:rsidRDefault="005769A0">
      <w:pPr>
        <w:spacing w:before="240" w:after="240"/>
      </w:pPr>
      <w:r>
        <w:rPr>
          <w:color w:val="222222"/>
        </w:rPr>
        <w:t>Strong leadership in health and social care is about leading healthcare staff and also</w:t>
      </w:r>
      <w:r>
        <w:rPr>
          <w:color w:val="222222"/>
        </w:rPr>
        <w:t xml:space="preserve"> about building the conditions of the organisation so that care and support are always safe and that staff work with other professionals and continually learn and improve their practice (HSSIB, 2024). According to West, Coia and Armit (2022), compassionate leadership underscores staff engagement, nurtures a sense of psychological safety and fosters timely reporting of clinical concerns to prevent harm from occurring. Leadership failures were identified in Patient X because there was no proactive oversight, </w:t>
      </w:r>
      <w:r>
        <w:rPr>
          <w:color w:val="222222"/>
        </w:rPr>
        <w:t>poor inter-disciplinary team communication, or monitoring of anticoagulation therapies in an extended hospital stay, and procedural timeliness morphed into an adverse medication event.</w:t>
      </w:r>
    </w:p>
    <w:p w14:paraId="319E45C6" w14:textId="77777777" w:rsidR="005103D4" w:rsidRDefault="005769A0">
      <w:pPr>
        <w:pStyle w:val="Heading2"/>
        <w:keepNext w:val="0"/>
        <w:keepLines w:val="0"/>
      </w:pPr>
      <w:bookmarkStart w:id="6" w:name="_heading=h.x947m5ctt912" w:colFirst="0" w:colLast="0"/>
      <w:bookmarkStart w:id="7" w:name="_Toc237261928"/>
      <w:bookmarkEnd w:id="6"/>
      <w:r>
        <w:t>1.3 Centralisation and Decentralisation</w:t>
      </w:r>
      <w:bookmarkEnd w:id="7"/>
    </w:p>
    <w:p w14:paraId="1FE7901A" w14:textId="77777777" w:rsidR="005103D4" w:rsidRDefault="005769A0">
      <w:pPr>
        <w:spacing w:before="240" w:after="240"/>
      </w:pPr>
      <w:r>
        <w:rPr>
          <w:color w:val="222222"/>
        </w:rPr>
        <w:t>Debie, Khatri and Assefa (2022) note that centralisation leads to consistency of policies and accountability, whilst decentralisation allows for decisions made by frontline clinicians to be patient-centred and timely, depending on the clinical context. From the case of patient X, it is obvious that although there is a system in place for prescribing anticoagulants, poor communication within the local healthcare system and a lack of timely review by a specialist or multidisciplinary team prevented the timely</w:t>
      </w:r>
      <w:r>
        <w:rPr>
          <w:color w:val="222222"/>
        </w:rPr>
        <w:t xml:space="preserve"> and appropriate reassessment and recommencement for apixaban.</w:t>
      </w:r>
    </w:p>
    <w:p w14:paraId="119000C0" w14:textId="77777777" w:rsidR="005103D4" w:rsidRDefault="005769A0">
      <w:pPr>
        <w:pStyle w:val="Heading2"/>
        <w:keepNext w:val="0"/>
        <w:keepLines w:val="0"/>
      </w:pPr>
      <w:bookmarkStart w:id="8" w:name="_heading=h.hh8bk1erua86" w:colFirst="0" w:colLast="0"/>
      <w:bookmarkStart w:id="9" w:name="_Toc237261929"/>
      <w:bookmarkEnd w:id="8"/>
      <w:r>
        <w:lastRenderedPageBreak/>
        <w:t>1.4 Leadership Theories</w:t>
      </w:r>
      <w:bookmarkEnd w:id="9"/>
    </w:p>
    <w:p w14:paraId="5C798E47" w14:textId="77777777" w:rsidR="005103D4" w:rsidRDefault="005769A0">
      <w:pPr>
        <w:spacing w:before="240" w:after="240"/>
      </w:pPr>
      <w:r>
        <w:rPr>
          <w:color w:val="222222"/>
        </w:rPr>
        <w:t>Leadership theories are an organised viewpoint for comprehending the influence of organisational behaviours on patient safety and clinical performance. Transformational Leadership fosters a shared vision, staff empowerment and proactive cultures of safety that cultivate a continuous improvement approach to problem-solving rather than a reactive approach (West, Coia and Armit, 2022). Moreover, distributed Leadership also fosters a shared responsibility approach within multidisciplinary teams for collaboratio</w:t>
      </w:r>
      <w:r>
        <w:rPr>
          <w:color w:val="222222"/>
        </w:rPr>
        <w:t xml:space="preserve">n within complex patient pathways and effective communication (The King's Fund, 2022). </w:t>
      </w:r>
    </w:p>
    <w:p w14:paraId="3E543367" w14:textId="77777777" w:rsidR="005103D4" w:rsidRDefault="005769A0">
      <w:pPr>
        <w:pStyle w:val="Heading2"/>
        <w:keepNext w:val="0"/>
        <w:keepLines w:val="0"/>
      </w:pPr>
      <w:bookmarkStart w:id="10" w:name="_heading=h.itf5esmc915" w:colFirst="0" w:colLast="0"/>
      <w:bookmarkStart w:id="11" w:name="_Toc237261930"/>
      <w:bookmarkEnd w:id="10"/>
      <w:r>
        <w:t>1.5 Aim and Structure of the Report</w:t>
      </w:r>
      <w:bookmarkEnd w:id="11"/>
    </w:p>
    <w:p w14:paraId="3F44C8B1" w14:textId="77777777" w:rsidR="005103D4" w:rsidRDefault="005769A0">
      <w:pPr>
        <w:spacing w:before="240" w:after="240"/>
      </w:pPr>
      <w:r>
        <w:rPr>
          <w:color w:val="222222"/>
        </w:rPr>
        <w:t>This report consciously reflects on the harm caused to Patient X as a result of</w:t>
      </w:r>
      <w:r>
        <w:rPr>
          <w:color w:val="222222"/>
        </w:rPr>
        <w:t xml:space="preserve"> medicines using systems thinking to identify where the failing practices within the organisation, leadership and governance may have contributed to this unsolvable and avoidable healthcare incident. It examines the role of central and decentralised decision-making, draws on applicable theories of leadership as well as considers governance arrangements and makes evidence-based recommendations for improving medication safety, inter-professional working and patient-centred working in NHS organisations.</w:t>
      </w:r>
    </w:p>
    <w:p w14:paraId="4CD3F2B6" w14:textId="77777777" w:rsidR="005103D4" w:rsidRDefault="005769A0">
      <w:pPr>
        <w:rPr>
          <w:b/>
          <w:bCs/>
          <w:sz w:val="28"/>
          <w:szCs w:val="28"/>
        </w:rPr>
      </w:pPr>
      <w:bookmarkStart w:id="12" w:name="_heading=h.ho1jyabnqcqq" w:colFirst="0" w:colLast="0"/>
      <w:bookmarkEnd w:id="12"/>
      <w:r>
        <w:br w:type="page"/>
      </w:r>
    </w:p>
    <w:p w14:paraId="7A1303BC" w14:textId="77777777" w:rsidR="005103D4" w:rsidRDefault="005769A0">
      <w:pPr>
        <w:pStyle w:val="Heading1"/>
      </w:pPr>
      <w:bookmarkStart w:id="13" w:name="_Toc237261931"/>
      <w:r>
        <w:lastRenderedPageBreak/>
        <w:t>Main Body</w:t>
      </w:r>
      <w:bookmarkEnd w:id="13"/>
      <w:r>
        <w:t xml:space="preserve"> </w:t>
      </w:r>
    </w:p>
    <w:p w14:paraId="46833869" w14:textId="77777777" w:rsidR="005103D4" w:rsidRDefault="005769A0">
      <w:pPr>
        <w:pStyle w:val="Heading1"/>
      </w:pPr>
      <w:bookmarkStart w:id="14" w:name="_heading=h.vum5a6fq28y4" w:colFirst="0" w:colLast="0"/>
      <w:bookmarkStart w:id="15" w:name="_Toc237261932"/>
      <w:bookmarkEnd w:id="14"/>
      <w:r>
        <w:t>Section A: Identifying the Problem Using Systems Thinking</w:t>
      </w:r>
      <w:bookmarkEnd w:id="15"/>
    </w:p>
    <w:p w14:paraId="3317EA63" w14:textId="77777777" w:rsidR="005103D4" w:rsidRDefault="005769A0">
      <w:pPr>
        <w:pStyle w:val="Heading2"/>
        <w:keepNext w:val="0"/>
        <w:keepLines w:val="0"/>
      </w:pPr>
      <w:bookmarkStart w:id="16" w:name="_heading=h.l21ha0r04hbk" w:colFirst="0" w:colLast="0"/>
      <w:bookmarkStart w:id="17" w:name="_Toc237261933"/>
      <w:bookmarkEnd w:id="16"/>
      <w:r>
        <w:t>2.1 Overview of the Incident</w:t>
      </w:r>
      <w:bookmarkEnd w:id="17"/>
    </w:p>
    <w:p w14:paraId="3787B46D" w14:textId="77777777" w:rsidR="005103D4" w:rsidRDefault="005103D4">
      <w:pPr>
        <w:jc w:val="center"/>
      </w:pPr>
    </w:p>
    <w:p w14:paraId="6C2198FB" w14:textId="77777777" w:rsidR="005103D4" w:rsidRDefault="005769A0">
      <w:pPr>
        <w:jc w:val="center"/>
      </w:pPr>
      <w:r>
        <w:rPr>
          <w:noProof/>
        </w:rPr>
        <w:drawing>
          <wp:inline distT="114300" distB="114300" distL="114300" distR="114300" wp14:anchorId="3C9E21ED" wp14:editId="198855EB">
            <wp:extent cx="3862305" cy="5329238"/>
            <wp:effectExtent l="12700" t="12700" r="12700" b="1270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3862305" cy="5329238"/>
                    </a:xfrm>
                    <a:prstGeom prst="rect">
                      <a:avLst/>
                    </a:prstGeom>
                    <a:ln w="12700">
                      <a:solidFill>
                        <a:srgbClr val="000000"/>
                      </a:solidFill>
                      <a:prstDash val="solid"/>
                    </a:ln>
                  </pic:spPr>
                </pic:pic>
              </a:graphicData>
            </a:graphic>
          </wp:inline>
        </w:drawing>
      </w:r>
    </w:p>
    <w:p w14:paraId="5FF6B7CA" w14:textId="77777777" w:rsidR="005103D4" w:rsidRDefault="005769A0">
      <w:pPr>
        <w:jc w:val="center"/>
      </w:pPr>
      <w:r>
        <w:t>Figure 1: Timeline of Patient X’s care Journey</w:t>
      </w:r>
    </w:p>
    <w:p w14:paraId="16F59BB9" w14:textId="77777777" w:rsidR="005103D4" w:rsidRDefault="005769A0">
      <w:pPr>
        <w:jc w:val="center"/>
      </w:pPr>
      <w:r>
        <w:t>Source: Self-designed</w:t>
      </w:r>
    </w:p>
    <w:p w14:paraId="6763CBCA" w14:textId="77777777" w:rsidR="005103D4" w:rsidRDefault="005769A0">
      <w:pPr>
        <w:spacing w:before="240" w:after="240"/>
      </w:pPr>
      <w:r>
        <w:rPr>
          <w:color w:val="222222"/>
        </w:rPr>
        <w:t xml:space="preserve">Long-term apixaban use was prescribed to patient X for stroke prevention, who presented to the hospital with recurrent epistaxis and shortness of breath. The first clinical choice to temporarily </w:t>
      </w:r>
      <w:r>
        <w:rPr>
          <w:color w:val="222222"/>
        </w:rPr>
        <w:lastRenderedPageBreak/>
        <w:t>discontinue antiplatelet drugs was made based on effective risks in line with National Institute for Health and Care Excellence (NICE) recommendations (2021), which stated that active bleeding risked haemorrhagic complications during future medical therapy. However, the investigation reveals that several delays were involved in the procedure, along with the lengthy inpatient waiting and unsuccessful attempts to reevaluate the anticoagulation, which ultimately led to rejection of apixaban for a total of 10 d</w:t>
      </w:r>
      <w:r>
        <w:rPr>
          <w:color w:val="222222"/>
        </w:rPr>
        <w:t xml:space="preserve">ays. Organisational and clinical issues worked jointly to cause the fatal stroke that show resulting in preventable patient harm that was exposed </w:t>
      </w:r>
      <w:r>
        <w:rPr>
          <w:color w:val="222222"/>
        </w:rPr>
        <w:t>as a result of the work (Health Services Safety Investigations Body, 2024).</w:t>
      </w:r>
    </w:p>
    <w:p w14:paraId="7A8DFE70" w14:textId="77777777" w:rsidR="005103D4" w:rsidRDefault="005769A0">
      <w:pPr>
        <w:pStyle w:val="Heading2"/>
        <w:keepNext w:val="0"/>
        <w:keepLines w:val="0"/>
      </w:pPr>
      <w:bookmarkStart w:id="18" w:name="_heading=h.7zmxsj9tj83y" w:colFirst="0" w:colLast="0"/>
      <w:bookmarkStart w:id="19" w:name="_Toc237261934"/>
      <w:bookmarkEnd w:id="18"/>
      <w:r>
        <w:t>2.2 Global Context</w:t>
      </w:r>
      <w:bookmarkEnd w:id="19"/>
      <w:r>
        <w:t xml:space="preserve"> </w:t>
      </w:r>
    </w:p>
    <w:p w14:paraId="34670AC5" w14:textId="77777777" w:rsidR="005103D4" w:rsidRDefault="005769A0">
      <w:pPr>
        <w:spacing w:before="240" w:after="240"/>
        <w:rPr>
          <w:color w:val="222222"/>
        </w:rPr>
      </w:pPr>
      <w:r>
        <w:rPr>
          <w:color w:val="222222"/>
        </w:rPr>
        <w:t xml:space="preserve">Medication-related harm is still one of the main patient safety issues worldwide and is especially prevalent among individuals who are being treated with high-risk medicines like direct oral anticoagulants (DOACs). Anticoagulants have been labelled by the World Health Organisation (2024) as high-alert medications because of the risks they pose of stroke, major bleeding and death that may result from brief interruptions or omissions in prescription. </w:t>
      </w:r>
    </w:p>
    <w:p w14:paraId="7014F99C" w14:textId="77777777" w:rsidR="005103D4" w:rsidRDefault="005769A0">
      <w:pPr>
        <w:spacing w:before="240" w:after="240"/>
        <w:rPr>
          <w:color w:val="222222"/>
        </w:rPr>
      </w:pPr>
      <w:r>
        <w:rPr>
          <w:color w:val="222222"/>
        </w:rPr>
        <w:t xml:space="preserve">The evidence suggests that prescribing omissions are the most common cause of drug errors with DOACs, as are delayed treatment resumption and lack of treatment monitoring, all of which lead to avoidable harm to patients within health services (Al Rowily </w:t>
      </w:r>
      <w:r>
        <w:rPr>
          <w:i/>
          <w:iCs/>
          <w:color w:val="222222"/>
        </w:rPr>
        <w:t>et al.</w:t>
      </w:r>
      <w:r>
        <w:rPr>
          <w:color w:val="222222"/>
        </w:rPr>
        <w:t>, 2022). Therefore, international patient care agendas are increasingly promoting system-wide solutions which improve medicine governance in the system, digital prescribing and inter-professional communication.</w:t>
      </w:r>
    </w:p>
    <w:p w14:paraId="6FB8D1E7" w14:textId="77777777" w:rsidR="005103D4" w:rsidRDefault="005769A0">
      <w:pPr>
        <w:spacing w:before="240" w:after="240"/>
        <w:rPr>
          <w:b/>
          <w:bCs/>
          <w:color w:val="222222"/>
        </w:rPr>
      </w:pPr>
      <w:r>
        <w:br w:type="page"/>
      </w:r>
    </w:p>
    <w:p w14:paraId="20596B0E" w14:textId="77777777" w:rsidR="005103D4" w:rsidRDefault="005769A0">
      <w:pPr>
        <w:spacing w:before="240" w:after="240"/>
      </w:pPr>
      <w:r>
        <w:rPr>
          <w:b/>
          <w:bCs/>
          <w:noProof/>
          <w:color w:val="222222"/>
        </w:rPr>
        <w:lastRenderedPageBreak/>
        <w:drawing>
          <wp:inline distT="114300" distB="114300" distL="114300" distR="114300" wp14:anchorId="1E54E387" wp14:editId="39A96CA3">
            <wp:extent cx="5943600" cy="55118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5511800"/>
                    </a:xfrm>
                    <a:prstGeom prst="rect">
                      <a:avLst/>
                    </a:prstGeom>
                    <a:ln/>
                  </pic:spPr>
                </pic:pic>
              </a:graphicData>
            </a:graphic>
          </wp:inline>
        </w:drawing>
      </w:r>
    </w:p>
    <w:p w14:paraId="216CAD5D" w14:textId="77777777" w:rsidR="005103D4" w:rsidRDefault="005769A0">
      <w:pPr>
        <w:pStyle w:val="Heading2"/>
        <w:keepNext w:val="0"/>
        <w:keepLines w:val="0"/>
      </w:pPr>
      <w:bookmarkStart w:id="20" w:name="_heading=h.etv24f5glbcs" w:colFirst="0" w:colLast="0"/>
      <w:bookmarkStart w:id="21" w:name="_Toc237261935"/>
      <w:bookmarkEnd w:id="20"/>
      <w:r>
        <w:t>2.3 National Context (UK)</w:t>
      </w:r>
      <w:bookmarkEnd w:id="21"/>
      <w:r>
        <w:t xml:space="preserve"> </w:t>
      </w:r>
    </w:p>
    <w:p w14:paraId="614381E1" w14:textId="77777777" w:rsidR="005103D4" w:rsidRDefault="005769A0">
      <w:pPr>
        <w:spacing w:before="240" w:after="240"/>
      </w:pPr>
      <w:r>
        <w:rPr>
          <w:color w:val="222222"/>
        </w:rPr>
        <w:t xml:space="preserve">Use of anticoagulants is consistently identified as medicines that were associated with serious preventable incidents within the NHS, one of the most common classes of patient safety incidents reported within the NHS. Medication incidents remain a significant percentage of patient safety events, as reported by NHS England (2023), highlighting the importance of understanding the need for better medicines optimisation, prescription rationalisation and medicines surveillance within healthcare institutions. In </w:t>
      </w:r>
      <w:r>
        <w:rPr>
          <w:color w:val="222222"/>
        </w:rPr>
        <w:t xml:space="preserve">the UK, DOACs are increasingly being used to supplant warfarin </w:t>
      </w:r>
      <w:r>
        <w:rPr>
          <w:color w:val="222222"/>
        </w:rPr>
        <w:t xml:space="preserve">as a result of their well-known pharmacological profile; their safety relies on rapid prescribing of these </w:t>
      </w:r>
      <w:r>
        <w:rPr>
          <w:color w:val="222222"/>
        </w:rPr>
        <w:lastRenderedPageBreak/>
        <w:t xml:space="preserve">and outstanding care continuity (Lip </w:t>
      </w:r>
      <w:r>
        <w:rPr>
          <w:i/>
          <w:iCs/>
          <w:color w:val="222222"/>
        </w:rPr>
        <w:t>et al.</w:t>
      </w:r>
      <w:r>
        <w:rPr>
          <w:color w:val="222222"/>
        </w:rPr>
        <w:t xml:space="preserve">, 2023). Additionally, the Health Services Safety Investigations Body (2024) identified the following issues relating to interacting organisational failures as contributing to the death of Patient X: delays in discharging a Patient, poor multidisciplinary communication within the Health Services, poor documentation, poor medication review process. </w:t>
      </w:r>
    </w:p>
    <w:p w14:paraId="75DA7E4F" w14:textId="77777777" w:rsidR="005103D4" w:rsidRDefault="005769A0">
      <w:pPr>
        <w:pStyle w:val="Heading2"/>
        <w:keepNext w:val="0"/>
        <w:keepLines w:val="0"/>
      </w:pPr>
      <w:bookmarkStart w:id="22" w:name="_heading=h.3yr9b3qyc1mf" w:colFirst="0" w:colLast="0"/>
      <w:bookmarkStart w:id="23" w:name="_Toc237261936"/>
      <w:bookmarkEnd w:id="22"/>
      <w:r>
        <w:t>2.4 System Weaknesses</w:t>
      </w:r>
      <w:bookmarkEnd w:id="23"/>
    </w:p>
    <w:p w14:paraId="5A2C9A47" w14:textId="77777777" w:rsidR="005103D4" w:rsidRDefault="005769A0">
      <w:pPr>
        <w:spacing w:before="240" w:after="240"/>
      </w:pPr>
      <w:r>
        <w:rPr>
          <w:color w:val="222222"/>
        </w:rPr>
        <w:t xml:space="preserve">There were several system failures which pointed to an individual prescribing error in the case of Patient X, from a systems thinking view. Medication incidents related to direct oral anticoagulants (DOACs) frequently result from latent factors of the systems of error and involve more than just a single individual's fault (Haque </w:t>
      </w:r>
      <w:r>
        <w:rPr>
          <w:i/>
          <w:iCs/>
          <w:color w:val="222222"/>
        </w:rPr>
        <w:t>et al.</w:t>
      </w:r>
      <w:r>
        <w:rPr>
          <w:color w:val="222222"/>
        </w:rPr>
        <w:t>, 2021). There was a poor collaborative effort among the admitting clinical team, procedural specialists, nursing staff and pharmacy to continually reassess the patient's thromboembolic risk as their clinical status changed. According to the National Institute for Health and Care Excellence (2023), systematic review and accountability for medicines prescribing is important for medicines optimisation and should take place on care transitions. Therefore, this represented a combination of failed areas, includi</w:t>
      </w:r>
      <w:r>
        <w:rPr>
          <w:color w:val="222222"/>
        </w:rPr>
        <w:t>ng clinical workflow, organisational communication, medication governance and monitoring of such, instead of merely individual poor performance.</w:t>
      </w:r>
    </w:p>
    <w:p w14:paraId="7C27801D" w14:textId="77777777" w:rsidR="005103D4" w:rsidRDefault="005769A0">
      <w:pPr>
        <w:pStyle w:val="Heading2"/>
        <w:keepNext w:val="0"/>
        <w:keepLines w:val="0"/>
      </w:pPr>
      <w:bookmarkStart w:id="24" w:name="_heading=h.n2cg0h1snzmi" w:colFirst="0" w:colLast="0"/>
      <w:bookmarkStart w:id="25" w:name="_Toc237261937"/>
      <w:bookmarkEnd w:id="24"/>
      <w:r>
        <w:t>2.5 Governance Analysis</w:t>
      </w:r>
      <w:bookmarkEnd w:id="25"/>
    </w:p>
    <w:p w14:paraId="126ACF13" w14:textId="77777777" w:rsidR="005103D4" w:rsidRDefault="005769A0">
      <w:pPr>
        <w:spacing w:before="240" w:after="240"/>
      </w:pPr>
      <w:r>
        <w:rPr>
          <w:color w:val="222222"/>
        </w:rPr>
        <w:t>The value of clinical governance lies in ensuring that healthcare organisations are held to account for enhancing the quality of care on an ongoing basis and protecting patients. Back, Owens and Benneyworth (2024) state that the shift to safety management systems of the modern era should focus on proactively identifying systemic risks rather than conducting an investigation</w:t>
      </w:r>
      <w:r>
        <w:rPr>
          <w:color w:val="222222"/>
        </w:rPr>
        <w:t xml:space="preserve"> after adverse incidents. However, in patient X's case, after multiple opportunities to review and collaborate with a multidisciplinary team, it was not addressed, and an interruption to anticoagulants persisted for an extended period. The incident therefore highlights the need for better medicines management alongside medicines management and clinical management systems, and the importance of the need for continuous monitoring of medicines with risk potential from the moment a patient comes into hospital.</w:t>
      </w:r>
    </w:p>
    <w:p w14:paraId="2696CD2B" w14:textId="77777777" w:rsidR="005103D4" w:rsidRDefault="005769A0">
      <w:pPr>
        <w:pStyle w:val="Heading2"/>
        <w:keepNext w:val="0"/>
        <w:keepLines w:val="0"/>
      </w:pPr>
      <w:bookmarkStart w:id="26" w:name="_heading=h.v0enugvuiq69" w:colFirst="0" w:colLast="0"/>
      <w:bookmarkStart w:id="27" w:name="_Toc237261938"/>
      <w:bookmarkEnd w:id="26"/>
      <w:r>
        <w:lastRenderedPageBreak/>
        <w:t>2.6 Rich Picture Analysis</w:t>
      </w:r>
      <w:bookmarkEnd w:id="27"/>
    </w:p>
    <w:p w14:paraId="0249A61E" w14:textId="77777777" w:rsidR="005103D4" w:rsidRDefault="005769A0">
      <w:pPr>
        <w:jc w:val="center"/>
      </w:pPr>
      <w:r>
        <w:rPr>
          <w:noProof/>
        </w:rPr>
        <w:drawing>
          <wp:inline distT="114300" distB="114300" distL="114300" distR="114300" wp14:anchorId="33B984B4" wp14:editId="6F24BEE9">
            <wp:extent cx="4464448" cy="5113476"/>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464448" cy="5113476"/>
                    </a:xfrm>
                    <a:prstGeom prst="rect">
                      <a:avLst/>
                    </a:prstGeom>
                    <a:ln w="12700">
                      <a:solidFill>
                        <a:srgbClr val="000000"/>
                      </a:solidFill>
                      <a:prstDash val="solid"/>
                    </a:ln>
                  </pic:spPr>
                </pic:pic>
              </a:graphicData>
            </a:graphic>
          </wp:inline>
        </w:drawing>
      </w:r>
    </w:p>
    <w:p w14:paraId="5E7688EA" w14:textId="77777777" w:rsidR="005103D4" w:rsidRDefault="005769A0">
      <w:pPr>
        <w:jc w:val="center"/>
        <w:rPr>
          <w:b/>
          <w:bCs/>
        </w:rPr>
      </w:pPr>
      <w:r>
        <w:rPr>
          <w:b/>
          <w:bCs/>
        </w:rPr>
        <w:t>Figure 2: Rich Picture</w:t>
      </w:r>
    </w:p>
    <w:p w14:paraId="046F65CF" w14:textId="77777777" w:rsidR="005103D4" w:rsidRDefault="005769A0">
      <w:pPr>
        <w:jc w:val="center"/>
      </w:pPr>
      <w:r>
        <w:t>Source: Self-designed</w:t>
      </w:r>
    </w:p>
    <w:p w14:paraId="40A176CA" w14:textId="77777777" w:rsidR="005103D4" w:rsidRDefault="005769A0">
      <w:pPr>
        <w:spacing w:before="240" w:after="240"/>
        <w:rPr>
          <w:color w:val="222222"/>
        </w:rPr>
      </w:pPr>
      <w:r>
        <w:rPr>
          <w:color w:val="222222"/>
        </w:rPr>
        <w:t xml:space="preserve">A rich picture analysis is an analysis that highlights Patient X's case as a relationship between a series of people, through organisational processes and clinical decisions, not as a linear error in medication that follows a sequence of steps. In complex care pathways, resilient healthcare systems are able to identify relationship issues between clinical teams, governance mechanisms and pressures on them to work (Ismail </w:t>
      </w:r>
      <w:r>
        <w:rPr>
          <w:i/>
          <w:iCs/>
          <w:color w:val="222222"/>
        </w:rPr>
        <w:t>et al.</w:t>
      </w:r>
      <w:r>
        <w:rPr>
          <w:color w:val="222222"/>
        </w:rPr>
        <w:t xml:space="preserve">, 2022). Patient X stayed within a system of emergency clinicians and ward physicians, specialist procedural teams, nurses, pharmacists and hospital management. Documentation, verbal communication and clinical records were used to share </w:t>
      </w:r>
      <w:r>
        <w:rPr>
          <w:color w:val="222222"/>
        </w:rPr>
        <w:lastRenderedPageBreak/>
        <w:t>information between these stakeholders, but multiple procedural delays disrupted effective information sharing and the opportunities for medication checking. Therefore, the rich picture shows that patient harm was caused by an interaction of failures of clinical, organisational and governance standards, not a single failing of one healthcare professional.</w:t>
      </w:r>
    </w:p>
    <w:p w14:paraId="0D56ECE4" w14:textId="77777777" w:rsidR="005103D4" w:rsidRDefault="005769A0" w:rsidP="00B94BC2">
      <w:r>
        <w:rPr>
          <w:noProof/>
        </w:rPr>
        <w:drawing>
          <wp:inline distT="114300" distB="114300" distL="114300" distR="114300" wp14:anchorId="6FBCE275" wp14:editId="3C489F69">
            <wp:extent cx="5943600" cy="4394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4394200"/>
                    </a:xfrm>
                    <a:prstGeom prst="rect">
                      <a:avLst/>
                    </a:prstGeom>
                    <a:ln/>
                  </pic:spPr>
                </pic:pic>
              </a:graphicData>
            </a:graphic>
          </wp:inline>
        </w:drawing>
      </w:r>
      <w:r>
        <w:br w:type="page"/>
      </w:r>
    </w:p>
    <w:p w14:paraId="5ACAA192" w14:textId="77777777" w:rsidR="005103D4" w:rsidRDefault="005103D4">
      <w:pPr>
        <w:spacing w:before="240" w:after="240"/>
        <w:rPr>
          <w:color w:val="222222"/>
        </w:rPr>
      </w:pPr>
    </w:p>
    <w:p w14:paraId="2AA54777" w14:textId="77777777" w:rsidR="005103D4" w:rsidRDefault="005769A0">
      <w:pPr>
        <w:pStyle w:val="Heading1"/>
      </w:pPr>
      <w:bookmarkStart w:id="28" w:name="_heading=h.gsehw2t3sasl" w:colFirst="0" w:colLast="0"/>
      <w:bookmarkStart w:id="29" w:name="_Toc237261939"/>
      <w:bookmarkEnd w:id="28"/>
      <w:r>
        <w:t>Section B: Centralisation and Decentralisation Analysis</w:t>
      </w:r>
      <w:bookmarkEnd w:id="29"/>
    </w:p>
    <w:p w14:paraId="21B36983" w14:textId="77777777" w:rsidR="005103D4" w:rsidRDefault="005769A0">
      <w:pPr>
        <w:pStyle w:val="Heading2"/>
        <w:keepNext w:val="0"/>
        <w:keepLines w:val="0"/>
      </w:pPr>
      <w:bookmarkStart w:id="30" w:name="_heading=h.z8pm8jz4444w" w:colFirst="0" w:colLast="0"/>
      <w:bookmarkStart w:id="31" w:name="_Toc237261940"/>
      <w:bookmarkEnd w:id="30"/>
      <w:r>
        <w:t>3.1 NHS Organisational Structure</w:t>
      </w:r>
      <w:bookmarkEnd w:id="31"/>
    </w:p>
    <w:p w14:paraId="7AE392CA" w14:textId="77777777" w:rsidR="005103D4" w:rsidRDefault="005769A0">
      <w:pPr>
        <w:spacing w:before="240" w:after="240"/>
        <w:rPr>
          <w:color w:val="222222"/>
        </w:rPr>
      </w:pPr>
      <w:r>
        <w:rPr>
          <w:color w:val="222222"/>
        </w:rPr>
        <w:t xml:space="preserve">The National Health Service (NHS) is a mixed model organisation, both centrally controlled and with clinical decision-making at the local level, while at the same time ensuring the quality of services and providing flexibility for clinical care at the local level. National organisations, such as NHS England, the National Institute for Health and Care Excellence (NICE) and the Health Services Safety Investigations Body (HSSIB) create policies and patient safety standards, and clinical governance frameworks, </w:t>
      </w:r>
      <w:r>
        <w:rPr>
          <w:color w:val="222222"/>
        </w:rPr>
        <w:t xml:space="preserve">based on evidence, which all NHS organisations are expected to follow. </w:t>
      </w:r>
      <w:r>
        <w:rPr>
          <w:color w:val="222222"/>
        </w:rPr>
        <w:t xml:space="preserve">Jajilan </w:t>
      </w:r>
      <w:r>
        <w:rPr>
          <w:i/>
          <w:iCs/>
          <w:color w:val="222222"/>
        </w:rPr>
        <w:t>et al.</w:t>
      </w:r>
      <w:r>
        <w:rPr>
          <w:color w:val="222222"/>
        </w:rPr>
        <w:t xml:space="preserve"> (2024) indicate that in hospitals, a proper accountability system is necessary between strategic planning and clinical implementation. Such a level of organisation and autonomy becomes particularly important for medicines with a potential for risks (such as direct oral anticoagulants (DOACs)), where medicines choices need to be continually reviewed to reflect the changing clinical situation. </w:t>
      </w:r>
    </w:p>
    <w:p w14:paraId="0783452D" w14:textId="77777777" w:rsidR="005103D4" w:rsidRDefault="005769A0">
      <w:pPr>
        <w:spacing w:before="240" w:after="240"/>
        <w:jc w:val="center"/>
        <w:rPr>
          <w:color w:val="222222"/>
        </w:rPr>
      </w:pPr>
      <w:r>
        <w:rPr>
          <w:noProof/>
          <w:color w:val="222222"/>
        </w:rPr>
        <w:drawing>
          <wp:inline distT="114300" distB="114300" distL="114300" distR="114300" wp14:anchorId="49185131" wp14:editId="44EF9AAB">
            <wp:extent cx="5943600" cy="2908300"/>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908300"/>
                    </a:xfrm>
                    <a:prstGeom prst="rect">
                      <a:avLst/>
                    </a:prstGeom>
                    <a:ln w="12700">
                      <a:solidFill>
                        <a:srgbClr val="000000"/>
                      </a:solidFill>
                      <a:prstDash val="solid"/>
                    </a:ln>
                  </pic:spPr>
                </pic:pic>
              </a:graphicData>
            </a:graphic>
          </wp:inline>
        </w:drawing>
      </w:r>
    </w:p>
    <w:p w14:paraId="52017124" w14:textId="77777777" w:rsidR="005103D4" w:rsidRDefault="005769A0">
      <w:pPr>
        <w:spacing w:before="240" w:after="240"/>
        <w:jc w:val="center"/>
        <w:rPr>
          <w:b/>
          <w:bCs/>
          <w:color w:val="222222"/>
        </w:rPr>
      </w:pPr>
      <w:r>
        <w:rPr>
          <w:b/>
          <w:bCs/>
          <w:color w:val="222222"/>
        </w:rPr>
        <w:t>Figure 3: NHS Governance Structure Chart</w:t>
      </w:r>
    </w:p>
    <w:p w14:paraId="1C5E48D9" w14:textId="77777777" w:rsidR="005103D4" w:rsidRDefault="005769A0">
      <w:pPr>
        <w:spacing w:before="240" w:after="240"/>
        <w:jc w:val="center"/>
        <w:rPr>
          <w:color w:val="222222"/>
        </w:rPr>
      </w:pPr>
      <w:r>
        <w:rPr>
          <w:color w:val="222222"/>
        </w:rPr>
        <w:t xml:space="preserve">(Source: NHS, 2026) </w:t>
      </w:r>
    </w:p>
    <w:p w14:paraId="681D6D58" w14:textId="77777777" w:rsidR="005103D4" w:rsidRDefault="005769A0">
      <w:pPr>
        <w:pStyle w:val="Heading2"/>
        <w:keepNext w:val="0"/>
        <w:keepLines w:val="0"/>
      </w:pPr>
      <w:bookmarkStart w:id="32" w:name="_heading=h.2ep767dzcs1f" w:colFirst="0" w:colLast="0"/>
      <w:bookmarkStart w:id="33" w:name="_Toc237261941"/>
      <w:bookmarkEnd w:id="32"/>
      <w:r>
        <w:lastRenderedPageBreak/>
        <w:t>3.2 Centralisation in Case Study</w:t>
      </w:r>
      <w:bookmarkEnd w:id="33"/>
    </w:p>
    <w:p w14:paraId="4BF8B1DE" w14:textId="77777777" w:rsidR="005103D4" w:rsidRDefault="005769A0">
      <w:pPr>
        <w:spacing w:before="240" w:after="240"/>
        <w:rPr>
          <w:color w:val="222222"/>
        </w:rPr>
      </w:pPr>
      <w:r>
        <w:rPr>
          <w:color w:val="222222"/>
        </w:rPr>
        <w:t>Centralisation is an organisational structure where policies, standards for care and procedures are made by governing bodies at a higher tier to ensure consistency, accountability and safety for patients across the healthcare organisation. In a patient with Patient X, the subsequent withholding of apixaban represented compliance with national guidelines for management of these anticoagulated patients, as there was a substantial increase in the apparent immediate bleeding risk in these patients before the pl</w:t>
      </w:r>
      <w:r>
        <w:rPr>
          <w:color w:val="222222"/>
        </w:rPr>
        <w:t xml:space="preserve">eural intervention. Luca </w:t>
      </w:r>
      <w:r>
        <w:rPr>
          <w:i/>
          <w:iCs/>
          <w:color w:val="222222"/>
        </w:rPr>
        <w:t>et al.</w:t>
      </w:r>
      <w:r>
        <w:rPr>
          <w:color w:val="222222"/>
        </w:rPr>
        <w:t xml:space="preserve"> (2023) describe how, in some cases, temporary boluses of DOACs before an invasive procedure, when personal bleeding risk is greater than the risk of thromboembolism, may be clinically appropriate. The use of apixaban discontinuation was therefore in keeping with sound clinical practice and evidence-based clinical protocols.</w:t>
      </w:r>
    </w:p>
    <w:p w14:paraId="1ECC76E1" w14:textId="77777777" w:rsidR="005103D4" w:rsidRDefault="005769A0">
      <w:pPr>
        <w:spacing w:before="240" w:after="240"/>
        <w:rPr>
          <w:color w:val="222222"/>
        </w:rPr>
      </w:pPr>
      <w:r>
        <w:rPr>
          <w:color w:val="222222"/>
        </w:rPr>
        <w:t>However, centralised governance alone was not enough to prevent patient harm, as the organisation's system did not guarantee that the reprocessing would be done regularly and that the interruption would not go beyond the expected duration due to delays in the procedures. National prescribing guidelines were available forming clear guidance on medicines optimisation and although their guidance was not always used in practice when lasting in hospital. Thus, in the context of the outcome of patient X, it can b</w:t>
      </w:r>
      <w:r>
        <w:rPr>
          <w:color w:val="222222"/>
        </w:rPr>
        <w:t>e concluded that centralised policies will only work if they can be effectively implemented, communicated and have regular clinical supervision.</w:t>
      </w:r>
    </w:p>
    <w:p w14:paraId="24F9586D" w14:textId="77777777" w:rsidR="005103D4" w:rsidRDefault="005769A0">
      <w:pPr>
        <w:spacing w:before="240" w:after="240"/>
        <w:rPr>
          <w:color w:val="222222"/>
        </w:rPr>
      </w:pPr>
      <w:r>
        <w:rPr>
          <w:noProof/>
          <w:color w:val="222222"/>
        </w:rPr>
        <w:lastRenderedPageBreak/>
        <w:drawing>
          <wp:inline distT="114300" distB="114300" distL="114300" distR="114300" wp14:anchorId="370D721B" wp14:editId="19DF4370">
            <wp:extent cx="5265740" cy="542607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265740" cy="5426075"/>
                    </a:xfrm>
                    <a:prstGeom prst="rect">
                      <a:avLst/>
                    </a:prstGeom>
                    <a:ln/>
                  </pic:spPr>
                </pic:pic>
              </a:graphicData>
            </a:graphic>
          </wp:inline>
        </w:drawing>
      </w:r>
      <w:r>
        <w:br w:type="page"/>
      </w:r>
    </w:p>
    <w:p w14:paraId="0CC21A67" w14:textId="77777777" w:rsidR="005103D4" w:rsidRDefault="005103D4">
      <w:pPr>
        <w:pStyle w:val="Heading1"/>
        <w:keepNext w:val="0"/>
        <w:keepLines w:val="0"/>
        <w:spacing w:before="480" w:after="120"/>
      </w:pPr>
      <w:bookmarkStart w:id="34" w:name="_heading=h.oovcyce3i1vj" w:colFirst="0" w:colLast="0"/>
      <w:bookmarkEnd w:id="34"/>
    </w:p>
    <w:p w14:paraId="0D7B9BDE" w14:textId="77777777" w:rsidR="005103D4" w:rsidRDefault="005769A0">
      <w:pPr>
        <w:pStyle w:val="Heading2"/>
        <w:keepNext w:val="0"/>
        <w:keepLines w:val="0"/>
      </w:pPr>
      <w:bookmarkStart w:id="35" w:name="_heading=h.c1rg7i29jpcx" w:colFirst="0" w:colLast="0"/>
      <w:bookmarkStart w:id="36" w:name="_Toc237261942"/>
      <w:bookmarkEnd w:id="35"/>
      <w:r>
        <w:t>3.3 Decentralisation in Practice</w:t>
      </w:r>
      <w:bookmarkEnd w:id="36"/>
    </w:p>
    <w:p w14:paraId="5A173AD6" w14:textId="77777777" w:rsidR="005103D4" w:rsidRDefault="005769A0">
      <w:pPr>
        <w:spacing w:before="240" w:after="240"/>
      </w:pPr>
      <w:r>
        <w:rPr>
          <w:color w:val="222222"/>
        </w:rPr>
        <w:t xml:space="preserve">Within the NHS, decentralisation allows frontline health care staff to make clinical decisions in line with local healthcare needs, within a national landscape of governance. This facilitates timely decision-making by all the multidisciplinary teams charged with making decisions around evolving clinical risks during a patient's hospital stay. Terrier </w:t>
      </w:r>
      <w:r>
        <w:rPr>
          <w:i/>
          <w:iCs/>
          <w:color w:val="222222"/>
        </w:rPr>
        <w:t>et al.</w:t>
      </w:r>
      <w:r>
        <w:rPr>
          <w:color w:val="222222"/>
        </w:rPr>
        <w:t xml:space="preserve"> (2023) noted that the successful management of DOAs relies on ongoing, local reassessment since delays are often associated with adjustments to the perioperative anticoagulant treatment plan. In the case of Patient X, it would have been only appropriate for the ward clinician to have had some autonomy in clinical decisions, to have braved the wrath of their colleagues to review the prolonged withholding of apixaban because of the frequent delays in investigations and aspiration of the pleura. However, </w:t>
      </w:r>
      <w:r>
        <w:rPr>
          <w:color w:val="222222"/>
        </w:rPr>
        <w:t xml:space="preserve">decentralisat decision making was ineffective due to lack of ownership of responsibility for the management of anticoagulation across several professional groups. Thus, there were several medical staff, specialist teams, nursing staff and pharmacists involved in the care of Patient X and none of these groups reviewed consistently whether the original prescribing decision was the most appropriate. </w:t>
      </w:r>
    </w:p>
    <w:p w14:paraId="4838FD82" w14:textId="77777777" w:rsidR="005103D4" w:rsidRDefault="005769A0">
      <w:pPr>
        <w:pStyle w:val="Heading2"/>
        <w:keepNext w:val="0"/>
        <w:keepLines w:val="0"/>
      </w:pPr>
      <w:bookmarkStart w:id="37" w:name="_heading=h.lv2g7bzaq2zf" w:colFirst="0" w:colLast="0"/>
      <w:bookmarkStart w:id="38" w:name="_Toc237261943"/>
      <w:bookmarkEnd w:id="37"/>
      <w:r>
        <w:t>3.4 Critical Comparison</w:t>
      </w:r>
      <w:bookmarkEnd w:id="38"/>
    </w:p>
    <w:p w14:paraId="4D622EEE" w14:textId="77777777" w:rsidR="005103D4" w:rsidRDefault="005769A0">
      <w:pPr>
        <w:spacing w:before="240" w:after="240"/>
        <w:rPr>
          <w:color w:val="222222"/>
        </w:rPr>
      </w:pPr>
      <w:r>
        <w:rPr>
          <w:color w:val="222222"/>
        </w:rPr>
        <w:t>The weaknesses between organisational governance and front-line clinical practice highlight that neither centralisation nor decentralisation alone guaranteed the safe management of anticoagulation, as identified with patient X. The use of successful, recurrent use of centralised systems to discontinue apixaban (oxy) upon the presence of active bleeding is an example of good compliance with recognised guidelines on anticoagulation. According to Back, Owens and Benneyworth</w:t>
      </w:r>
      <w:r>
        <w:rPr>
          <w:color w:val="222222"/>
        </w:rPr>
        <w:t xml:space="preserve"> (2024), while an investigation is sometimes warranted, contemporary healthcare organisations should implement safety management systems that will help identify changing risks ahead of adverse events, not retrospectively.</w:t>
      </w:r>
    </w:p>
    <w:p w14:paraId="4AAF3DF9" w14:textId="77777777" w:rsidR="005103D4" w:rsidRDefault="005769A0">
      <w:pPr>
        <w:spacing w:before="240" w:after="240"/>
        <w:rPr>
          <w:color w:val="222222"/>
        </w:rPr>
      </w:pPr>
      <w:r>
        <w:rPr>
          <w:color w:val="222222"/>
        </w:rPr>
        <w:t xml:space="preserve">According to Li </w:t>
      </w:r>
      <w:r>
        <w:rPr>
          <w:i/>
          <w:iCs/>
          <w:color w:val="222222"/>
        </w:rPr>
        <w:t>et al.</w:t>
      </w:r>
      <w:r>
        <w:rPr>
          <w:color w:val="222222"/>
        </w:rPr>
        <w:t xml:space="preserve"> (2024), better multidisciplinary teamwork and a more supportive clinical setting result in significant enhancements in patient safety outcomes, which include the prevention of preventable medication-related harm. Thus, while the clinical professionals had the flexibility </w:t>
      </w:r>
      <w:r>
        <w:rPr>
          <w:color w:val="222222"/>
        </w:rPr>
        <w:lastRenderedPageBreak/>
        <w:t>to work in their profession, they lacked coordinated supervision, so timely intervention was not possible.</w:t>
      </w:r>
    </w:p>
    <w:p w14:paraId="3FE9474F" w14:textId="77777777" w:rsidR="005103D4" w:rsidRDefault="005769A0">
      <w:pPr>
        <w:spacing w:before="240" w:after="240"/>
        <w:rPr>
          <w:color w:val="222222"/>
        </w:rPr>
      </w:pPr>
      <w:r>
        <w:rPr>
          <w:noProof/>
          <w:color w:val="222222"/>
        </w:rPr>
        <w:drawing>
          <wp:inline distT="114300" distB="114300" distL="114300" distR="114300" wp14:anchorId="252ADA0F" wp14:editId="77FC3807">
            <wp:extent cx="4514850" cy="5409864"/>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514850" cy="5409864"/>
                    </a:xfrm>
                    <a:prstGeom prst="rect">
                      <a:avLst/>
                    </a:prstGeom>
                    <a:ln/>
                  </pic:spPr>
                </pic:pic>
              </a:graphicData>
            </a:graphic>
          </wp:inline>
        </w:drawing>
      </w:r>
    </w:p>
    <w:p w14:paraId="736170F8" w14:textId="77777777" w:rsidR="005103D4" w:rsidRDefault="005769A0">
      <w:pPr>
        <w:pStyle w:val="Heading2"/>
        <w:keepNext w:val="0"/>
        <w:keepLines w:val="0"/>
      </w:pPr>
      <w:bookmarkStart w:id="39" w:name="_heading=h.jgbhf22zaruu" w:colFirst="0" w:colLast="0"/>
      <w:bookmarkStart w:id="40" w:name="_Toc237261944"/>
      <w:bookmarkEnd w:id="39"/>
      <w:r>
        <w:t>3.5 Supporting Data</w:t>
      </w:r>
      <w:bookmarkEnd w:id="40"/>
    </w:p>
    <w:p w14:paraId="7C37E109" w14:textId="77777777" w:rsidR="005103D4" w:rsidRDefault="005769A0">
      <w:pPr>
        <w:spacing w:before="240" w:after="240"/>
      </w:pPr>
      <w:r>
        <w:rPr>
          <w:color w:val="222222"/>
        </w:rPr>
        <w:t xml:space="preserve">Despite patient safety governance innovation, medication-related harm is shown to be a major problem internationally. Data from the Organisation for Economic Co-operation and Development (2024) suggests that avoidable adverse events are about 15% of the total cost of all OECD health systems, and one of the most prevalent causes of avoidable harm is the occurrence of medication error. In England, NHS England (2024) has also rated anticoagulants as a high priority for </w:t>
      </w:r>
      <w:r>
        <w:rPr>
          <w:color w:val="222222"/>
        </w:rPr>
        <w:lastRenderedPageBreak/>
        <w:t>enhanced monitoring, medicines optimisation and incident learning, as the frequency of items being prescribed is known to be linked to serious patient outcomes. Therefore, these wider organisational issues must be emphasised, as seen in the case of Patient X, and that governance is integrated, digital prescribing support is in place, and complex medicine review and review of the MDC is an ongoing process.</w:t>
      </w:r>
    </w:p>
    <w:p w14:paraId="06C11BB8" w14:textId="77777777" w:rsidR="005103D4" w:rsidRDefault="005769A0">
      <w:pPr>
        <w:rPr>
          <w:b/>
          <w:bCs/>
          <w:sz w:val="28"/>
          <w:szCs w:val="28"/>
        </w:rPr>
      </w:pPr>
      <w:bookmarkStart w:id="41" w:name="_heading=h.w0a11gpv2mv9" w:colFirst="0" w:colLast="0"/>
      <w:bookmarkEnd w:id="41"/>
      <w:r>
        <w:br w:type="page"/>
      </w:r>
    </w:p>
    <w:p w14:paraId="395128A7" w14:textId="77777777" w:rsidR="005103D4" w:rsidRDefault="005769A0">
      <w:pPr>
        <w:pStyle w:val="Heading1"/>
      </w:pPr>
      <w:bookmarkStart w:id="42" w:name="_Toc237261945"/>
      <w:r>
        <w:lastRenderedPageBreak/>
        <w:t>Section C: Leadership Theory Application</w:t>
      </w:r>
      <w:bookmarkEnd w:id="42"/>
      <w:r>
        <w:t xml:space="preserve"> </w:t>
      </w:r>
    </w:p>
    <w:p w14:paraId="79915B17" w14:textId="77777777" w:rsidR="005103D4" w:rsidRDefault="005769A0">
      <w:pPr>
        <w:pStyle w:val="Heading2"/>
        <w:keepNext w:val="0"/>
        <w:keepLines w:val="0"/>
      </w:pPr>
      <w:bookmarkStart w:id="43" w:name="_heading=h.cqx8o83fnvx3" w:colFirst="0" w:colLast="0"/>
      <w:bookmarkStart w:id="44" w:name="_Toc237261946"/>
      <w:bookmarkEnd w:id="43"/>
      <w:r>
        <w:t>4.1 Transformational Leadership</w:t>
      </w:r>
      <w:bookmarkEnd w:id="44"/>
    </w:p>
    <w:p w14:paraId="58608C0C" w14:textId="77777777" w:rsidR="005103D4" w:rsidRDefault="005769A0">
      <w:pPr>
        <w:spacing w:before="240" w:after="240"/>
        <w:rPr>
          <w:color w:val="222222"/>
        </w:rPr>
      </w:pPr>
      <w:r>
        <w:rPr>
          <w:color w:val="222222"/>
        </w:rPr>
        <w:t>Transformational leadership places a focus on persuading healthcare professionals to support a unified goal of adopting patient-centred care approaches through innovation, collaboration and constant quality improvement. Transformational leaders are more likely to challenge and break the norms of organisational practice rather than simply abiding by established procedures; they are more likely to facilitate teams that do this, and more likely to be talking about potential risks, issues and problems before an</w:t>
      </w:r>
      <w:r>
        <w:rPr>
          <w:color w:val="222222"/>
        </w:rPr>
        <w:t xml:space="preserve">y adverse events happen. West, Coia and Armit (2022) state that compassionate and transformational leadership enhances organisational learning by fostering psychologically safe cultures in which healthcare workers know that they are not at fault in bringing up concerns when they report issues. </w:t>
      </w:r>
    </w:p>
    <w:p w14:paraId="0AE98A98" w14:textId="77777777" w:rsidR="005103D4" w:rsidRDefault="005769A0">
      <w:pPr>
        <w:spacing w:before="240" w:after="240"/>
      </w:pPr>
      <w:r>
        <w:rPr>
          <w:color w:val="222222"/>
        </w:rPr>
        <w:t xml:space="preserve">In Patient X's case, transformational leadership may have aided in communication within the multidisciplinary team during the extended period of disruption of apixaban treatment. Furthermore, Huang </w:t>
      </w:r>
      <w:r>
        <w:rPr>
          <w:i/>
          <w:iCs/>
          <w:color w:val="222222"/>
        </w:rPr>
        <w:t>et al.</w:t>
      </w:r>
      <w:r>
        <w:rPr>
          <w:color w:val="222222"/>
        </w:rPr>
        <w:t xml:space="preserve"> (2024) identified that leadership has a significant impact on patient safety culture by enhancing communication, teamwork, and suitability of the organisation to manage clinical risks. In addition, NHS England reported that there were around 2.8 million patient safety incidents in England in 2022–2023, highlighting the need for leadership strategies as well as strategies to help identify risks at an early stage and work collaboratively to improve safety, rather than just reactively investigate an incident </w:t>
      </w:r>
      <w:r>
        <w:rPr>
          <w:color w:val="222222"/>
        </w:rPr>
        <w:t>as it happens (NHS England, 2023).</w:t>
      </w:r>
    </w:p>
    <w:p w14:paraId="3C76A1B7" w14:textId="77777777" w:rsidR="005103D4" w:rsidRDefault="005769A0">
      <w:pPr>
        <w:pStyle w:val="Heading2"/>
        <w:keepNext w:val="0"/>
        <w:keepLines w:val="0"/>
      </w:pPr>
      <w:bookmarkStart w:id="45" w:name="_heading=h.sssz97d11cxc" w:colFirst="0" w:colLast="0"/>
      <w:bookmarkStart w:id="46" w:name="_Toc237261947"/>
      <w:bookmarkEnd w:id="45"/>
      <w:r>
        <w:t>4.2 Situational Leadership</w:t>
      </w:r>
      <w:bookmarkEnd w:id="46"/>
      <w:r>
        <w:t xml:space="preserve"> </w:t>
      </w:r>
    </w:p>
    <w:p w14:paraId="2E26C1AC" w14:textId="77777777" w:rsidR="005103D4" w:rsidRDefault="005769A0">
      <w:pPr>
        <w:spacing w:before="240" w:after="240"/>
        <w:rPr>
          <w:color w:val="222222"/>
        </w:rPr>
      </w:pPr>
      <w:r>
        <w:rPr>
          <w:color w:val="222222"/>
        </w:rPr>
        <w:t xml:space="preserve">The situational leadership theory proposes that the leader should adjust her leadership style based on the clinical scenario, staffing and the patient's situation. The leadership style will be personally beneficial in situations that are acute health care treatments, with a dynamic disease process where treatment needs are continually reviewed. It is important to remember that decisions on the interruption and resumption of Direct Oral Anticoagulants require 'dynamic clinical judgment' (Wolfes </w:t>
      </w:r>
      <w:r>
        <w:rPr>
          <w:i/>
          <w:iCs/>
          <w:color w:val="222222"/>
        </w:rPr>
        <w:t>et al.</w:t>
      </w:r>
      <w:r>
        <w:rPr>
          <w:color w:val="222222"/>
        </w:rPr>
        <w:t>, 2022); hence, detail needs to also be paid to handling these drugs. Therefore, leadership needs to be flexible and flexible to the necessary changes in priorities for clinical activities, and not lock themselves into decisions made at the time of admission.</w:t>
      </w:r>
    </w:p>
    <w:p w14:paraId="1FE0B54F" w14:textId="77777777" w:rsidR="005103D4" w:rsidRDefault="005769A0">
      <w:pPr>
        <w:spacing w:before="240" w:after="240"/>
        <w:rPr>
          <w:color w:val="222222"/>
        </w:rPr>
      </w:pPr>
      <w:r>
        <w:rPr>
          <w:noProof/>
          <w:color w:val="222222"/>
        </w:rPr>
        <w:lastRenderedPageBreak/>
        <w:drawing>
          <wp:inline distT="114300" distB="114300" distL="114300" distR="114300" wp14:anchorId="21FE68CB" wp14:editId="3806FE27">
            <wp:extent cx="5943600" cy="26416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2641600"/>
                    </a:xfrm>
                    <a:prstGeom prst="rect">
                      <a:avLst/>
                    </a:prstGeom>
                    <a:ln/>
                  </pic:spPr>
                </pic:pic>
              </a:graphicData>
            </a:graphic>
          </wp:inline>
        </w:drawing>
      </w:r>
    </w:p>
    <w:p w14:paraId="0A9858AA" w14:textId="77777777" w:rsidR="005103D4" w:rsidRDefault="005769A0">
      <w:pPr>
        <w:rPr>
          <w:b/>
          <w:bCs/>
          <w:sz w:val="26"/>
          <w:szCs w:val="26"/>
        </w:rPr>
      </w:pPr>
      <w:bookmarkStart w:id="47" w:name="_heading=h.t8r0uvw85875" w:colFirst="0" w:colLast="0"/>
      <w:bookmarkEnd w:id="47"/>
      <w:r>
        <w:br w:type="page"/>
      </w:r>
    </w:p>
    <w:p w14:paraId="118E37BE" w14:textId="77777777" w:rsidR="005103D4" w:rsidRDefault="005769A0">
      <w:pPr>
        <w:pStyle w:val="Heading2"/>
        <w:keepNext w:val="0"/>
        <w:keepLines w:val="0"/>
      </w:pPr>
      <w:bookmarkStart w:id="48" w:name="_Toc237261948"/>
      <w:r>
        <w:lastRenderedPageBreak/>
        <w:t>4.3 Distributed Leadership</w:t>
      </w:r>
      <w:bookmarkEnd w:id="48"/>
    </w:p>
    <w:p w14:paraId="17FD4087" w14:textId="77777777" w:rsidR="005103D4" w:rsidRDefault="005769A0">
      <w:pPr>
        <w:spacing w:before="240" w:after="240"/>
        <w:rPr>
          <w:color w:val="222222"/>
          <w:highlight w:val="yellow"/>
        </w:rPr>
      </w:pPr>
      <w:r>
        <w:rPr>
          <w:color w:val="222222"/>
        </w:rPr>
        <w:t>Blurring the lines of patient safety responsibility, typically allocated to different professionals/multidisciplinary groups. The leadership philosophy also embraces the idea of collaborative leadership with each other, with the patient and with clinical practice to ensure mutual accountability. The King's Fund (2022) highlights how effective NHS organisations embed distributed leadership to improve communication, boost staff team working and help to make decisions by bringing organisations together promptl</w:t>
      </w:r>
      <w:r>
        <w:rPr>
          <w:color w:val="222222"/>
        </w:rPr>
        <w:t>y. When drug regimen management is complex, by sharing leadership, health professionals can be able to present conflicting viewpoints, elevate concerns and reconsider drug treatment when this changes.</w:t>
      </w:r>
    </w:p>
    <w:p w14:paraId="69A13FFA" w14:textId="77777777" w:rsidR="005103D4" w:rsidRDefault="005769A0">
      <w:pPr>
        <w:spacing w:before="240" w:after="240"/>
      </w:pPr>
      <w:r>
        <w:rPr>
          <w:color w:val="222222"/>
        </w:rPr>
        <w:t>This is an example of a case of poor distributed leadership within patient X's care when dealing with anticoagulation. Responsibility for restarting apixaban was poorly shared across the long stay, with several members of the healthcare team engaged in the patient's care, from ward clinicians, through procedural specialists, pharmacists and nursing staff. Learning health systems is a process that involves shared responsibility, multiple disciplines communicating with each other and ongoing organisational le</w:t>
      </w:r>
      <w:r>
        <w:rPr>
          <w:color w:val="222222"/>
        </w:rPr>
        <w:t xml:space="preserve">arning to detect emerging risks for safety issues before they become adverse events (Giardina </w:t>
      </w:r>
      <w:r>
        <w:rPr>
          <w:i/>
          <w:iCs/>
          <w:color w:val="222222"/>
        </w:rPr>
        <w:t>et al.</w:t>
      </w:r>
      <w:r>
        <w:rPr>
          <w:color w:val="222222"/>
        </w:rPr>
        <w:t>, 2022). Therefore, the combined leadership might have minimised the communication lapses, bolstered the management of medication and averted the series of errors leading to Patient X's deadly stroke.</w:t>
      </w:r>
    </w:p>
    <w:p w14:paraId="6A2037DA" w14:textId="77777777" w:rsidR="005103D4" w:rsidRDefault="005769A0">
      <w:pPr>
        <w:pStyle w:val="Heading2"/>
        <w:keepNext w:val="0"/>
        <w:keepLines w:val="0"/>
      </w:pPr>
      <w:bookmarkStart w:id="49" w:name="_heading=h.3o6wnsdznvg9" w:colFirst="0" w:colLast="0"/>
      <w:bookmarkStart w:id="50" w:name="_Toc237261949"/>
      <w:bookmarkEnd w:id="49"/>
      <w:r>
        <w:t>4.4 Transactional Leadership</w:t>
      </w:r>
      <w:bookmarkEnd w:id="50"/>
    </w:p>
    <w:p w14:paraId="710BA4D2" w14:textId="77777777" w:rsidR="005103D4" w:rsidRDefault="005769A0">
      <w:pPr>
        <w:spacing w:before="240" w:after="240"/>
      </w:pPr>
      <w:r>
        <w:rPr>
          <w:color w:val="222222"/>
        </w:rPr>
        <w:t>Transactional leadership is concerned with compliance with organisational policy, standard operating procedures and clear professional responsibilities in its monitoring/accountability. This means that prescribed medicines are consistently being applied in accordance with agreed governance and prescribing guidelines, thus contributing to the safety of the patient. Moreover, Jalilvand, Raeisi and Shaarbafchizadeh</w:t>
      </w:r>
      <w:r>
        <w:rPr>
          <w:color w:val="222222"/>
        </w:rPr>
        <w:t xml:space="preserve"> (2024) present that the accountability structure must be clearly defined and existing organisational oversight must be continuous to lead the successful execution of hospital governance. In the patient whose situation was discussed, with a transactional leadership approach, the very first decision was to send the apixaban off, which adhered to clinical guidance before the procedure was planned. On the other hand, such a reliance on proper process was not enough, as new risks emerged within the clinical env</w:t>
      </w:r>
      <w:r>
        <w:rPr>
          <w:color w:val="222222"/>
        </w:rPr>
        <w:t xml:space="preserve">ironment and needed an agile </w:t>
      </w:r>
      <w:r>
        <w:rPr>
          <w:color w:val="222222"/>
        </w:rPr>
        <w:lastRenderedPageBreak/>
        <w:t>approach from leadership as well as a proactive reassessment of the clinical situation that went far beyond following procedure.</w:t>
      </w:r>
    </w:p>
    <w:p w14:paraId="66BF0B71" w14:textId="77777777" w:rsidR="005103D4" w:rsidRDefault="005769A0">
      <w:pPr>
        <w:pStyle w:val="Heading2"/>
        <w:keepNext w:val="0"/>
        <w:keepLines w:val="0"/>
      </w:pPr>
      <w:bookmarkStart w:id="51" w:name="_heading=h.25xr7dwjserh" w:colFirst="0" w:colLast="0"/>
      <w:bookmarkStart w:id="52" w:name="_Toc237261950"/>
      <w:bookmarkEnd w:id="51"/>
      <w:r>
        <w:t>4.5 Critical Leadership Evaluation</w:t>
      </w:r>
      <w:bookmarkEnd w:id="52"/>
    </w:p>
    <w:p w14:paraId="4A26D155" w14:textId="77777777" w:rsidR="005103D4" w:rsidRDefault="005769A0">
      <w:pPr>
        <w:jc w:val="center"/>
      </w:pPr>
      <w:r>
        <w:rPr>
          <w:noProof/>
        </w:rPr>
        <w:drawing>
          <wp:inline distT="114300" distB="114300" distL="114300" distR="114300" wp14:anchorId="7F50DFCD" wp14:editId="5CA6C02B">
            <wp:extent cx="5943600" cy="4279900"/>
            <wp:effectExtent l="12700" t="12700" r="12700" b="1270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4279900"/>
                    </a:xfrm>
                    <a:prstGeom prst="rect">
                      <a:avLst/>
                    </a:prstGeom>
                    <a:ln w="12700">
                      <a:solidFill>
                        <a:srgbClr val="000000"/>
                      </a:solidFill>
                      <a:prstDash val="solid"/>
                    </a:ln>
                  </pic:spPr>
                </pic:pic>
              </a:graphicData>
            </a:graphic>
          </wp:inline>
        </w:drawing>
      </w:r>
    </w:p>
    <w:p w14:paraId="4E397734" w14:textId="77777777" w:rsidR="005103D4" w:rsidRDefault="005769A0">
      <w:pPr>
        <w:jc w:val="center"/>
        <w:rPr>
          <w:b/>
          <w:bCs/>
        </w:rPr>
      </w:pPr>
      <w:r>
        <w:rPr>
          <w:b/>
          <w:bCs/>
        </w:rPr>
        <w:t xml:space="preserve">Figure 4: Leadership Framework Applied to Patient X </w:t>
      </w:r>
    </w:p>
    <w:p w14:paraId="0D9EF11E" w14:textId="77777777" w:rsidR="005103D4" w:rsidRDefault="005769A0">
      <w:pPr>
        <w:jc w:val="center"/>
      </w:pPr>
      <w:r>
        <w:t>(Source: Self-designed)</w:t>
      </w:r>
    </w:p>
    <w:p w14:paraId="2594BC9B" w14:textId="77777777" w:rsidR="005103D4" w:rsidRDefault="005769A0">
      <w:pPr>
        <w:spacing w:before="240" w:after="240"/>
        <w:rPr>
          <w:color w:val="222222"/>
        </w:rPr>
      </w:pPr>
      <w:r>
        <w:rPr>
          <w:color w:val="222222"/>
        </w:rPr>
        <w:t xml:space="preserve">None of the patients of Patient X could have been prevented from dying if this single model of leadership had been present – multiple interacting organisational, communications, and clinical governance system failures were identified. The use of transformational leadership would have given a boost to safety culture and facilitated early escalation of concern about disruptive interruption of anticoagulation. Situational leadership would have allowed clinicians to adjust the choices they made in prescribing, </w:t>
      </w:r>
      <w:r>
        <w:rPr>
          <w:color w:val="222222"/>
        </w:rPr>
        <w:t xml:space="preserve">based on new assessments of the patient's risk for thromboembolic complications and for bleeding complications, as procedural delays altered the risks. Healthcare professionals with enhanced systems thinking tend to demonstrate improved </w:t>
      </w:r>
      <w:r>
        <w:rPr>
          <w:color w:val="222222"/>
        </w:rPr>
        <w:lastRenderedPageBreak/>
        <w:t xml:space="preserve">patient safety competencies, which rubrics include collaboration, risk awareness and coordinated decision-making. (Kakemam </w:t>
      </w:r>
      <w:r>
        <w:rPr>
          <w:i/>
          <w:iCs/>
          <w:color w:val="222222"/>
        </w:rPr>
        <w:t>et al.</w:t>
      </w:r>
      <w:r>
        <w:rPr>
          <w:color w:val="222222"/>
        </w:rPr>
        <w:t xml:space="preserve">, 2025). Thus, the ideal leadership response for Patient X would be a mix of the three leadership styles within a system of governance: transformational, situational, distributed and transactional. </w:t>
      </w:r>
    </w:p>
    <w:p w14:paraId="56143C55" w14:textId="77777777" w:rsidR="005103D4" w:rsidRDefault="005769A0">
      <w:pPr>
        <w:spacing w:before="240" w:after="240"/>
        <w:rPr>
          <w:b/>
          <w:bCs/>
          <w:color w:val="222222"/>
        </w:rPr>
      </w:pPr>
      <w:r>
        <w:rPr>
          <w:b/>
          <w:bCs/>
          <w:noProof/>
          <w:color w:val="222222"/>
        </w:rPr>
        <w:drawing>
          <wp:inline distT="114300" distB="114300" distL="114300" distR="114300" wp14:anchorId="042725D7" wp14:editId="6CE35204">
            <wp:extent cx="5943600" cy="43053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4305300"/>
                    </a:xfrm>
                    <a:prstGeom prst="rect">
                      <a:avLst/>
                    </a:prstGeom>
                    <a:ln/>
                  </pic:spPr>
                </pic:pic>
              </a:graphicData>
            </a:graphic>
          </wp:inline>
        </w:drawing>
      </w:r>
    </w:p>
    <w:p w14:paraId="615B614B" w14:textId="77777777" w:rsidR="005103D4" w:rsidRDefault="005769A0">
      <w:pPr>
        <w:spacing w:before="240" w:after="240"/>
        <w:rPr>
          <w:b/>
          <w:bCs/>
          <w:color w:val="222222"/>
        </w:rPr>
      </w:pPr>
      <w:r>
        <w:rPr>
          <w:b/>
          <w:bCs/>
          <w:color w:val="222222"/>
        </w:rPr>
        <w:t>Critical Link to the HSSIB Investigation</w:t>
      </w:r>
    </w:p>
    <w:p w14:paraId="09B060FA" w14:textId="77777777" w:rsidR="005103D4" w:rsidRDefault="005769A0">
      <w:pPr>
        <w:spacing w:before="240" w:after="240"/>
      </w:pPr>
      <w:r>
        <w:rPr>
          <w:color w:val="222222"/>
        </w:rPr>
        <w:t>The HSSIB investigation found that multiple factors of interacting organisation and clinical factors caused the death of Patient X and not one single error of prescription. Communication, multidisciplinary coordination, adaptive decision-making and governance failures all played a role in this prolonged effect on apixaban interruptions and support this conclusion through the leadership analysis. Incorporating complementary leadership styles and approaches into a Systems thinking mindset would provide more r</w:t>
      </w:r>
      <w:r>
        <w:rPr>
          <w:color w:val="222222"/>
        </w:rPr>
        <w:t>obust organisational resiliency, better medicines optimisation and reduced likelihood of preventable medication-related harm.</w:t>
      </w:r>
    </w:p>
    <w:p w14:paraId="4E850B6B" w14:textId="77777777" w:rsidR="005103D4" w:rsidRDefault="005769A0">
      <w:pPr>
        <w:pStyle w:val="Heading1"/>
      </w:pPr>
      <w:bookmarkStart w:id="53" w:name="_heading=h.ahl2m7zy4kj" w:colFirst="0" w:colLast="0"/>
      <w:bookmarkStart w:id="54" w:name="_Toc237261951"/>
      <w:bookmarkEnd w:id="53"/>
      <w:r>
        <w:lastRenderedPageBreak/>
        <w:t>Section D: Improvements and Lessons Learned</w:t>
      </w:r>
      <w:bookmarkEnd w:id="54"/>
    </w:p>
    <w:p w14:paraId="6113F557" w14:textId="77777777" w:rsidR="005103D4" w:rsidRDefault="005769A0">
      <w:pPr>
        <w:pStyle w:val="Heading2"/>
        <w:keepNext w:val="0"/>
        <w:keepLines w:val="0"/>
      </w:pPr>
      <w:bookmarkStart w:id="55" w:name="_heading=h.gpeb3k3v669q" w:colFirst="0" w:colLast="0"/>
      <w:bookmarkStart w:id="56" w:name="_Toc237261952"/>
      <w:bookmarkEnd w:id="55"/>
      <w:r>
        <w:t>5.1 Leadership Failures</w:t>
      </w:r>
      <w:bookmarkEnd w:id="56"/>
    </w:p>
    <w:p w14:paraId="55B7F2E8" w14:textId="77777777" w:rsidR="005103D4" w:rsidRDefault="005769A0">
      <w:pPr>
        <w:spacing w:before="240" w:after="240"/>
      </w:pPr>
      <w:r>
        <w:rPr>
          <w:color w:val="222222"/>
        </w:rPr>
        <w:t>The above case of patient X demonstrates many failures of individual leadership in managing a multi-speciality care plan, coordinating uncertainty in clinical management and ensuring patient safety during hospital admission, while under leadership. The initial decision to defer apixaban use was clinically appropriate and justified due to active epistaxis; however, leadership was lacking in continuously reassessing in the background of the ongoing delays in the procedure, leading to a significantly greater r</w:t>
      </w:r>
      <w:r>
        <w:rPr>
          <w:color w:val="222222"/>
        </w:rPr>
        <w:t xml:space="preserve">isk of thromboembolic complications. Leaders need to design systems to support timely communication, joint decision-making and escalation of all new clinical issues. According to the study by Wei </w:t>
      </w:r>
      <w:r>
        <w:rPr>
          <w:i/>
          <w:iCs/>
          <w:color w:val="222222"/>
        </w:rPr>
        <w:t>et al.</w:t>
      </w:r>
      <w:r>
        <w:rPr>
          <w:color w:val="222222"/>
        </w:rPr>
        <w:t xml:space="preserve"> (2023), high-quality leadership will contribute to better teamwork, staff engagement, quality of care, and fewer preventable adverse events. In the case of Patient X, a lack of clinical leadership resulted in ineffective communication between the medical, nursing, pharmacy and procedural teams and no challenge to the fact that anticoagulation had been interrupted and thus kept going for a long time. In addition to this, opportunities were missed to be able to coordinate multi-disciplinary medication review</w:t>
      </w:r>
      <w:r>
        <w:rPr>
          <w:color w:val="222222"/>
        </w:rPr>
        <w:t xml:space="preserve">s, suggesting that there may be inadequate leadership oversight of high-risk medicines in a more complex clinical pathway. Thus, these deficits undermined the patient-centredness of health services and led to avoidable harm to the patient, partly </w:t>
      </w:r>
      <w:r>
        <w:rPr>
          <w:color w:val="222222"/>
        </w:rPr>
        <w:t>through the use of medicines.</w:t>
      </w:r>
    </w:p>
    <w:p w14:paraId="0CEE8221" w14:textId="77777777" w:rsidR="005103D4" w:rsidRDefault="005769A0">
      <w:pPr>
        <w:pStyle w:val="Heading2"/>
        <w:keepNext w:val="0"/>
        <w:keepLines w:val="0"/>
      </w:pPr>
      <w:bookmarkStart w:id="57" w:name="_heading=h.vdytpff6ki12" w:colFirst="0" w:colLast="0"/>
      <w:bookmarkStart w:id="58" w:name="_Toc237261953"/>
      <w:bookmarkEnd w:id="57"/>
      <w:r>
        <w:t>5.2 Governance Failures</w:t>
      </w:r>
      <w:bookmarkEnd w:id="58"/>
    </w:p>
    <w:p w14:paraId="3502E948" w14:textId="77777777" w:rsidR="005103D4" w:rsidRDefault="005769A0">
      <w:pPr>
        <w:spacing w:before="240" w:after="240"/>
      </w:pPr>
      <w:r>
        <w:rPr>
          <w:color w:val="222222"/>
        </w:rPr>
        <w:t>The investigation reveals that governance shortcomings were not limited to the provision of clinical care, but</w:t>
      </w:r>
      <w:r>
        <w:rPr>
          <w:color w:val="222222"/>
        </w:rPr>
        <w:t xml:space="preserve"> were also found in the shortcomings of the organisational systems where medications were kept safe, were accountable, and were managed. Healthcare organisations must ensure they have effective governance, including monitoring for adherence to medicines optimisation policies and recognising the potential risks within the system before that risk has a negative impact on patients. Organisational learning relies on the active review of safety incidents, plain reporting channels and a process of ongoing improve</w:t>
      </w:r>
      <w:r>
        <w:rPr>
          <w:color w:val="222222"/>
        </w:rPr>
        <w:t xml:space="preserve">ment rather than finding blame with individual healthcare workers (NHS Resolution, 2022). In Patient X's instance, governance systems did not identify that apixaban was still not taken, as she had not been prescribed it for 10 </w:t>
      </w:r>
      <w:r>
        <w:rPr>
          <w:color w:val="222222"/>
        </w:rPr>
        <w:lastRenderedPageBreak/>
        <w:t>days following repeated governance review alerts. There was inadequate follow-up with documentation for recommencing medications, and the accountability for managing anticoagulation was not clear between professionals. As such, Patient X's condition will have been worsened directly by a lack of oversight, audit and medication governance. Therefore, the failure in relation to oversight, audit and medication governance contributed directly to the preventable deterioration in Patient X's condition.</w:t>
      </w:r>
    </w:p>
    <w:p w14:paraId="4BBC38F6" w14:textId="77777777" w:rsidR="005103D4" w:rsidRDefault="005769A0">
      <w:pPr>
        <w:pStyle w:val="Heading2"/>
        <w:keepNext w:val="0"/>
        <w:keepLines w:val="0"/>
      </w:pPr>
      <w:bookmarkStart w:id="59" w:name="_heading=h.vcsk7f2vo7j3" w:colFirst="0" w:colLast="0"/>
      <w:bookmarkStart w:id="60" w:name="_Toc237261954"/>
      <w:bookmarkEnd w:id="59"/>
      <w:r>
        <w:t>5.3 Evidence-Based Improvements</w:t>
      </w:r>
      <w:bookmarkEnd w:id="60"/>
    </w:p>
    <w:p w14:paraId="0EE20BFD" w14:textId="77777777" w:rsidR="005103D4" w:rsidRDefault="005769A0">
      <w:pPr>
        <w:spacing w:before="240" w:after="240"/>
        <w:rPr>
          <w:color w:val="222222"/>
        </w:rPr>
      </w:pPr>
      <w:r>
        <w:rPr>
          <w:color w:val="222222"/>
        </w:rPr>
        <w:t xml:space="preserve">A growing body of recent patient safety research is showing that integrated organisational interventions are needed to prevent medication-related harm, not just specific, stand-alone interventions. As highlighted by Al-Qahtani </w:t>
      </w:r>
      <w:r>
        <w:rPr>
          <w:i/>
          <w:iCs/>
          <w:color w:val="222222"/>
        </w:rPr>
        <w:t>et al.</w:t>
      </w:r>
      <w:r>
        <w:rPr>
          <w:color w:val="222222"/>
        </w:rPr>
        <w:t xml:space="preserve"> (2022), structured medicines reconciliation, pharmacist-led medication review, and enhanced care transitions greatly minimised prescribing errors with high-risk medicines. If these same interventions were to be used in the case of Patient X, it would ensure system-driven review of counselling on anticoagulation only when there is a delay in the case and the treatment plan changes. Artificial Intelligence (AI) computerised clinical decision support systems (CDSS) have been shown to enhance medication safety</w:t>
      </w:r>
      <w:r>
        <w:rPr>
          <w:color w:val="222222"/>
        </w:rPr>
        <w:t xml:space="preserve"> by detecting prescription errors and providing clinical recommendations to guide drug choice in various clinical contexts (Kang, Ong, &amp; Chan, 2024).</w:t>
      </w:r>
    </w:p>
    <w:p w14:paraId="10F29B7D" w14:textId="77777777" w:rsidR="005103D4" w:rsidRDefault="005769A0">
      <w:pPr>
        <w:spacing w:before="240" w:after="240"/>
        <w:rPr>
          <w:color w:val="222222"/>
        </w:rPr>
      </w:pPr>
      <w:r>
        <w:rPr>
          <w:color w:val="222222"/>
        </w:rPr>
        <w:t>In addition to this, in digital innovations organisational resilience can also be established with the inclusion of across-the-board, standardised programmes of anticoagulation stewardship, in line with normal medication governance, incorporating clinicians, pharmacists and a specialist nurse. Burnett, Rudd and Triller (2022) state that continuous monitoring, multidisciplinary working, and systematic review of medication-related risk can lead to better quality of prescribing and anticoagulation stewardship.</w:t>
      </w:r>
      <w:r>
        <w:rPr>
          <w:color w:val="222222"/>
        </w:rPr>
        <w:t xml:space="preserve"> Dorsch </w:t>
      </w:r>
      <w:r>
        <w:rPr>
          <w:i/>
          <w:iCs/>
          <w:color w:val="222222"/>
        </w:rPr>
        <w:t>et al.</w:t>
      </w:r>
      <w:r>
        <w:rPr>
          <w:color w:val="222222"/>
        </w:rPr>
        <w:t xml:space="preserve"> (2023) reported a positive impact on direct oral anticoagulants medication oversight and timely clinical action when the national DOAC monitoring system was implemented across the VA system. Therefore, if digital prescribing technology is used alongside a well-designed governance process and multi-disciplinary stewardship, this blend would significantly minimise the risk of similar medication omissions as a Communication Around the Medication (CARM) issue with Patient X.</w:t>
      </w:r>
    </w:p>
    <w:p w14:paraId="4643D530" w14:textId="77777777" w:rsidR="005103D4" w:rsidRDefault="005769A0">
      <w:pPr>
        <w:pStyle w:val="Heading2"/>
        <w:keepNext w:val="0"/>
        <w:keepLines w:val="0"/>
      </w:pPr>
      <w:bookmarkStart w:id="61" w:name="_heading=h.vm2zp6b830a8" w:colFirst="0" w:colLast="0"/>
      <w:bookmarkStart w:id="62" w:name="_Toc237261955"/>
      <w:bookmarkEnd w:id="61"/>
      <w:r>
        <w:lastRenderedPageBreak/>
        <w:t>5.4 Leadership Improvements</w:t>
      </w:r>
      <w:bookmarkEnd w:id="62"/>
    </w:p>
    <w:p w14:paraId="335676EB" w14:textId="77777777" w:rsidR="005103D4" w:rsidRDefault="005769A0">
      <w:pPr>
        <w:spacing w:before="240" w:after="240"/>
      </w:pPr>
      <w:r>
        <w:rPr>
          <w:color w:val="222222"/>
        </w:rPr>
        <w:t>To improve the organisation's future performance by providing effective leadership to ensure co-operation and patient safety culture in all areas of the health care delivery system, including co-operation across the different disciplines/competencies needed to deliver services. Patients accessing high-risk medicines should have a regular multidisciplinary ‘huddle' organised by the leaders to track patients accessing medicines, particularly where delays in access to medicines and/or changes in clinical conte</w:t>
      </w:r>
      <w:r>
        <w:rPr>
          <w:color w:val="222222"/>
        </w:rPr>
        <w:t xml:space="preserve">xt result in changes in treatment plan. Supportive leadership also supports robust experiences and engagement for staff and colleagues, appropriate working in teams, and professional accountability, which are all relevant to raising concerns about patients' safety (Boamah </w:t>
      </w:r>
      <w:r>
        <w:rPr>
          <w:i/>
          <w:iCs/>
          <w:color w:val="222222"/>
        </w:rPr>
        <w:t>et al.</w:t>
      </w:r>
      <w:r>
        <w:rPr>
          <w:color w:val="222222"/>
        </w:rPr>
        <w:t xml:space="preserve"> 2022). Important in X's case, perhaps, was the implementation of more proactive leadership so that physicians, pharmacists, nurses, and those involved in the procedures communicated in an appropriate manner, which led to a proper management plan for His case. Leaders should also cultivate psychological safety through an invitation to open up</w:t>
      </w:r>
      <w:r>
        <w:rPr>
          <w:color w:val="222222"/>
        </w:rPr>
        <w:t xml:space="preserve"> questions on prescribing that are asked by staff proactively rather than any presumed blame. Other examples might include embedding leadership development programmes into the organisation which integrate systems thinking, medication safety and collaborative decision making, and enhance organisational resilience; and ensuring patient-centred care remains a key strategy encompassing the clinical aspect of leadership.</w:t>
      </w:r>
    </w:p>
    <w:p w14:paraId="171CDF1A" w14:textId="77777777" w:rsidR="005103D4" w:rsidRDefault="005769A0">
      <w:pPr>
        <w:pStyle w:val="Heading2"/>
        <w:keepNext w:val="0"/>
        <w:keepLines w:val="0"/>
      </w:pPr>
      <w:bookmarkStart w:id="63" w:name="_heading=h.rozgnpad0zd4" w:colFirst="0" w:colLast="0"/>
      <w:bookmarkStart w:id="64" w:name="_Toc237261956"/>
      <w:bookmarkEnd w:id="63"/>
      <w:r>
        <w:t>5.5 Lessons for Healthcare Organisations</w:t>
      </w:r>
      <w:bookmarkEnd w:id="64"/>
      <w:r>
        <w:t xml:space="preserve"> </w:t>
      </w:r>
    </w:p>
    <w:p w14:paraId="49A7B818" w14:textId="77777777" w:rsidR="005103D4" w:rsidRDefault="005769A0">
      <w:pPr>
        <w:spacing w:before="240" w:after="240"/>
        <w:rPr>
          <w:color w:val="222222"/>
        </w:rPr>
      </w:pPr>
      <w:r>
        <w:rPr>
          <w:color w:val="222222"/>
        </w:rPr>
        <w:t xml:space="preserve">Having explored the case of Patient X, this learning highlights the importance of systems, as opposed to individual, thinking when ensuring that healthcare organisations are as safe as possible about medicines. The investigation clearly shows that adverse events are often the result of several interconnected organisational weaknesses, such as lack of communication within organisations, weak governance, delayed </w:t>
      </w:r>
      <w:proofErr w:type="gramStart"/>
      <w:r>
        <w:rPr>
          <w:color w:val="222222"/>
        </w:rPr>
        <w:t>decision making</w:t>
      </w:r>
      <w:proofErr w:type="gramEnd"/>
      <w:r>
        <w:rPr>
          <w:color w:val="222222"/>
        </w:rPr>
        <w:t xml:space="preserve"> process and weak multidisciplinary coordination. To attain resilience in the health sector, healthcare organisations build resilience that allows teams to identify looming risks and act ahead of time to prevent people from being harmed (Lyng </w:t>
      </w:r>
      <w:r>
        <w:rPr>
          <w:i/>
          <w:iCs/>
          <w:color w:val="222222"/>
        </w:rPr>
        <w:t>et al.</w:t>
      </w:r>
      <w:r>
        <w:rPr>
          <w:color w:val="222222"/>
        </w:rPr>
        <w:t xml:space="preserve"> 2022). Therefore, there is a need to enhance the resilience of organisations by applying leadership, governance and operational processes within a single patient safety framework.</w:t>
      </w:r>
    </w:p>
    <w:p w14:paraId="424E4DC8" w14:textId="77777777" w:rsidR="005103D4" w:rsidRDefault="005769A0">
      <w:pPr>
        <w:spacing w:before="240" w:after="240"/>
        <w:rPr>
          <w:color w:val="222222"/>
        </w:rPr>
      </w:pPr>
      <w:r>
        <w:rPr>
          <w:color w:val="222222"/>
        </w:rPr>
        <w:lastRenderedPageBreak/>
        <w:t>Moreover, the case of patient X demonstrates that all delays of clinical procedures should result in routine and organised medication reviews, with special focus on patients taking medications with high levels of thromboembolic risk. Additionally, digital prescribing alerts, multi-disciplinary medication review procedures and regular medication safety audit should be implemented to prevent risks arising that could cause irreversible harm to patients. Thus, these lessons put together highlight the need to ha</w:t>
      </w:r>
      <w:r>
        <w:rPr>
          <w:color w:val="222222"/>
        </w:rPr>
        <w:t xml:space="preserve">ve resilient systems that </w:t>
      </w:r>
      <w:r>
        <w:rPr>
          <w:color w:val="222222"/>
        </w:rPr>
        <w:t>are able to anticipate, monitor and respond to patient safety issues when providing hospital care as a whole.</w:t>
      </w:r>
    </w:p>
    <w:p w14:paraId="510ABC0F" w14:textId="77777777" w:rsidR="005103D4" w:rsidRDefault="005769A0">
      <w:pPr>
        <w:rPr>
          <w:b/>
          <w:bCs/>
          <w:color w:val="222222"/>
        </w:rPr>
      </w:pPr>
      <w:r>
        <w:rPr>
          <w:noProof/>
          <w:color w:val="222222"/>
        </w:rPr>
        <w:drawing>
          <wp:inline distT="114300" distB="114300" distL="114300" distR="114300" wp14:anchorId="67CE4409" wp14:editId="6F14EC5A">
            <wp:extent cx="5943600" cy="46228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943600" cy="4622800"/>
                    </a:xfrm>
                    <a:prstGeom prst="rect">
                      <a:avLst/>
                    </a:prstGeom>
                    <a:ln/>
                  </pic:spPr>
                </pic:pic>
              </a:graphicData>
            </a:graphic>
          </wp:inline>
        </w:drawing>
      </w:r>
      <w:r>
        <w:br w:type="page"/>
      </w:r>
    </w:p>
    <w:p w14:paraId="23DD7374" w14:textId="77777777" w:rsidR="005103D4" w:rsidRDefault="005769A0">
      <w:pPr>
        <w:pStyle w:val="Heading1"/>
      </w:pPr>
      <w:bookmarkStart w:id="65" w:name="_heading=h.egxvhwm67yfk" w:colFirst="0" w:colLast="0"/>
      <w:bookmarkStart w:id="66" w:name="_Toc237261957"/>
      <w:bookmarkEnd w:id="65"/>
      <w:r>
        <w:lastRenderedPageBreak/>
        <w:t>6. Recommendations</w:t>
      </w:r>
      <w:bookmarkEnd w:id="66"/>
    </w:p>
    <w:p w14:paraId="01A2E11E" w14:textId="77777777" w:rsidR="005103D4" w:rsidRDefault="005769A0">
      <w:pPr>
        <w:pStyle w:val="Heading2"/>
        <w:keepNext w:val="0"/>
        <w:keepLines w:val="0"/>
      </w:pPr>
      <w:bookmarkStart w:id="67" w:name="_heading=h.bcf8gdtuu6au" w:colFirst="0" w:colLast="0"/>
      <w:bookmarkStart w:id="68" w:name="_Toc237261958"/>
      <w:bookmarkEnd w:id="67"/>
      <w:r>
        <w:t>6.1 Leadership Recommendations</w:t>
      </w:r>
      <w:bookmarkEnd w:id="68"/>
    </w:p>
    <w:p w14:paraId="60A2E34F" w14:textId="77777777" w:rsidR="005103D4" w:rsidRDefault="005769A0">
      <w:pPr>
        <w:spacing w:before="240" w:after="240"/>
      </w:pPr>
      <w:r>
        <w:rPr>
          <w:color w:val="222222"/>
        </w:rPr>
        <w:t xml:space="preserve">Healthcare organisations would benefit from bolstering leader-employee relationships through utilising systems thinking, multidisciplinary working and proactive patient safety management into normal working practice. Senior clinical leaders should help to set up required multidisciplinary medicines safety huddles for patients taking high-risk medicines (such as direct oral anticoagulants) when procedures are delayed or plans are altered. Huang </w:t>
      </w:r>
      <w:r>
        <w:rPr>
          <w:i/>
          <w:iCs/>
          <w:color w:val="222222"/>
        </w:rPr>
        <w:t>et al.</w:t>
      </w:r>
      <w:r>
        <w:rPr>
          <w:color w:val="222222"/>
        </w:rPr>
        <w:t xml:space="preserve"> (2024) have shown that good leadership leads to a positive impact on patient safety culture through communication, teamwork and the responsiveness of organisations to clinical risks. In the instance of Patient X, medication review meetings by the CII responsible for this patient could have prevented Patient X from being on apixaban for too long before irreversible side effects could occur. Healthcare providers should also offer ongoing leadership development initiatives that include key areas of medication</w:t>
      </w:r>
      <w:r>
        <w:rPr>
          <w:color w:val="222222"/>
        </w:rPr>
        <w:t xml:space="preserve"> safety, clinical risk assessment and collaboration-based decision making to build accountability within multi-disciplinary healthcare teams.</w:t>
      </w:r>
    </w:p>
    <w:p w14:paraId="63F73C5E" w14:textId="77777777" w:rsidR="005103D4" w:rsidRDefault="005769A0">
      <w:pPr>
        <w:pStyle w:val="Heading2"/>
        <w:keepNext w:val="0"/>
        <w:keepLines w:val="0"/>
      </w:pPr>
      <w:bookmarkStart w:id="69" w:name="_heading=h.2ix7wmq9u1at" w:colFirst="0" w:colLast="0"/>
      <w:bookmarkStart w:id="70" w:name="_Toc237261959"/>
      <w:bookmarkEnd w:id="69"/>
      <w:r>
        <w:t>6.2 Governance Recommendations</w:t>
      </w:r>
      <w:bookmarkEnd w:id="70"/>
    </w:p>
    <w:p w14:paraId="1ED3D252" w14:textId="77777777" w:rsidR="005103D4" w:rsidRDefault="005769A0">
      <w:pPr>
        <w:spacing w:before="240" w:after="240"/>
      </w:pPr>
      <w:r>
        <w:rPr>
          <w:color w:val="222222"/>
        </w:rPr>
        <w:t>The governance of healthcare organisations needs to be tight, with suitable systems in place to enable structured monitoring of high-risk medicines in hospitalised patients during the entire hospital episode. If medication culmination is delayed or changed/cancelled, the appropriate medication reconciliation process should be undertaken, and review of the patient's anticoagulant therapy should be undertaken as their clinical picture evolves. In their guidance, the National Institute for Health and Care Exce</w:t>
      </w:r>
      <w:r>
        <w:rPr>
          <w:color w:val="222222"/>
        </w:rPr>
        <w:t xml:space="preserve">llence (2022) suggest medicines optimisation be given more priority and suggests systematic review, clinical governance and clarity of prescribing accountability. A standardisation of electronic governance dashboards could help organisations to track the </w:t>
      </w:r>
      <w:r>
        <w:rPr>
          <w:color w:val="222222"/>
        </w:rPr>
        <w:t>period of time for which direct oral anticoagulants are not directly administered, as well as enhance the accountability of organisations and patient safety performance.</w:t>
      </w:r>
    </w:p>
    <w:p w14:paraId="3F38440B" w14:textId="77777777" w:rsidR="005103D4" w:rsidRDefault="005769A0">
      <w:pPr>
        <w:pStyle w:val="Heading2"/>
        <w:keepNext w:val="0"/>
        <w:keepLines w:val="0"/>
      </w:pPr>
      <w:bookmarkStart w:id="71" w:name="_heading=h.yoq3fdec01ru" w:colFirst="0" w:colLast="0"/>
      <w:bookmarkStart w:id="72" w:name="_Toc237261960"/>
      <w:bookmarkEnd w:id="71"/>
      <w:r>
        <w:t>6.3 Communication Improvements</w:t>
      </w:r>
      <w:bookmarkEnd w:id="72"/>
    </w:p>
    <w:p w14:paraId="6C9732EF" w14:textId="77777777" w:rsidR="005103D4" w:rsidRDefault="005769A0">
      <w:pPr>
        <w:spacing w:before="240" w:after="240"/>
      </w:pPr>
      <w:r>
        <w:rPr>
          <w:color w:val="222222"/>
        </w:rPr>
        <w:lastRenderedPageBreak/>
        <w:t xml:space="preserve">Improved communications should be universal in all healthcare delivery workgroups involved in patient care, as part of a program of medication safety management. Standardised medication handover procedures, electronic prescribing documentation and multi-disciplinary medication review meetings should become routine as they will help minimise information loss during a care transition. Alrowily </w:t>
      </w:r>
      <w:r>
        <w:rPr>
          <w:i/>
          <w:iCs/>
          <w:color w:val="222222"/>
        </w:rPr>
        <w:t>et al.</w:t>
      </w:r>
      <w:r>
        <w:rPr>
          <w:color w:val="222222"/>
        </w:rPr>
        <w:t xml:space="preserve"> (2021) reported that communication issues and inadequate or omitted prescribing information between healthcare teams are common causes of medication incidents with direct oral anticoagulants. In the case of Patient X, this accountability for restarting apixaban after pleural procedures would have lessened confusion surrounding apixaban management. Therefore, compulsory communication checklists and involving pharmacists in medication handover and transitions should be implemented to enhance continuity of me</w:t>
      </w:r>
      <w:r>
        <w:rPr>
          <w:color w:val="222222"/>
        </w:rPr>
        <w:t>dication management support throughout transition.</w:t>
      </w:r>
    </w:p>
    <w:p w14:paraId="7F89EBF6" w14:textId="77777777" w:rsidR="005103D4" w:rsidRDefault="005769A0">
      <w:pPr>
        <w:pStyle w:val="Heading2"/>
        <w:keepNext w:val="0"/>
        <w:keepLines w:val="0"/>
      </w:pPr>
      <w:bookmarkStart w:id="73" w:name="_heading=h.i23cdlwzgk8c" w:colFirst="0" w:colLast="0"/>
      <w:bookmarkStart w:id="74" w:name="_Toc237261961"/>
      <w:bookmarkEnd w:id="73"/>
      <w:r>
        <w:t>6.4 Technical and Allocative Efficiency</w:t>
      </w:r>
      <w:bookmarkEnd w:id="74"/>
    </w:p>
    <w:p w14:paraId="692E475B" w14:textId="77777777" w:rsidR="005103D4" w:rsidRDefault="005769A0">
      <w:pPr>
        <w:spacing w:before="240" w:after="240"/>
      </w:pPr>
      <w:r>
        <w:rPr>
          <w:color w:val="222222"/>
        </w:rPr>
        <w:t>Digital technologies can also help to improve the technical and allocative efficiency of healthcare organisations by facilitating the best use and safekeeping of their medication, and effective use of clinical resources. Clinical decision support via artificial intelligence should be able to thrive and let patients know about high-risk meds and remind them to take them for a prolonged number of days. Saidur and Dhanekula</w:t>
      </w:r>
      <w:r>
        <w:rPr>
          <w:color w:val="222222"/>
        </w:rPr>
        <w:t xml:space="preserve"> (2024) show that combining machine learning into eHR systems can immensely help patients' safety in identifying unusual prescription patterns and timely clinical interventions. Therefore, these interventions will contribute to the more efficient use of resources, reducing avoidable, unwarranted medication-related harms and unnecessary health care costs.</w:t>
      </w:r>
    </w:p>
    <w:p w14:paraId="2F746C2A" w14:textId="77777777" w:rsidR="005103D4" w:rsidRDefault="005769A0">
      <w:pPr>
        <w:pStyle w:val="Heading2"/>
        <w:keepNext w:val="0"/>
        <w:keepLines w:val="0"/>
      </w:pPr>
      <w:bookmarkStart w:id="75" w:name="_heading=h.n5a0484fr4m1" w:colFirst="0" w:colLast="0"/>
      <w:bookmarkStart w:id="76" w:name="_Toc237261962"/>
      <w:bookmarkEnd w:id="75"/>
      <w:r>
        <w:t>6.5 Continuous Learning</w:t>
      </w:r>
      <w:bookmarkEnd w:id="76"/>
    </w:p>
    <w:p w14:paraId="206655A3" w14:textId="77777777" w:rsidR="005103D4" w:rsidRDefault="005769A0">
      <w:pPr>
        <w:spacing w:before="240" w:after="240"/>
        <w:rPr>
          <w:color w:val="222222"/>
        </w:rPr>
      </w:pPr>
      <w:r>
        <w:rPr>
          <w:color w:val="222222"/>
        </w:rPr>
        <w:t xml:space="preserve">Client organisations have an obligation to continually create learning systems that enable patient safety incident investigations to be understood as a process that leads to an ongoing sustainable organisation development that benefits patients and the healthcare organisation. All medication incidents should be objectively reviewed for system weaknesses, not assigning blame to the individual healthcare worker using a systems thinking approach. Finally, Bierbaum </w:t>
      </w:r>
      <w:r>
        <w:rPr>
          <w:i/>
          <w:iCs/>
          <w:color w:val="222222"/>
        </w:rPr>
        <w:t>et al.</w:t>
      </w:r>
      <w:r>
        <w:rPr>
          <w:color w:val="222222"/>
        </w:rPr>
        <w:t xml:space="preserve"> (2025) find that combining quality improvement with implementation science is a powerful addition to the toolbox of the healthcare organisation to support long-term maintenance of patient safety gains. </w:t>
      </w:r>
      <w:r>
        <w:rPr>
          <w:color w:val="222222"/>
        </w:rPr>
        <w:lastRenderedPageBreak/>
        <w:t xml:space="preserve">Additionally, hospital education programmes should include patients after X's case, disciplinary simulation training and standard clinical governance meetings. </w:t>
      </w:r>
    </w:p>
    <w:p w14:paraId="10F0018B" w14:textId="77777777" w:rsidR="005103D4" w:rsidRDefault="005769A0">
      <w:pPr>
        <w:pStyle w:val="Heading1"/>
      </w:pPr>
      <w:bookmarkStart w:id="77" w:name="_heading=h.9m03ot9m5c3n" w:colFirst="0" w:colLast="0"/>
      <w:bookmarkStart w:id="78" w:name="_Toc237261963"/>
      <w:bookmarkEnd w:id="77"/>
      <w:r>
        <w:rPr>
          <w:noProof/>
        </w:rPr>
        <w:drawing>
          <wp:inline distT="114300" distB="114300" distL="114300" distR="114300" wp14:anchorId="10BC25CB" wp14:editId="1D02A235">
            <wp:extent cx="5943600" cy="42545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43600" cy="4254500"/>
                    </a:xfrm>
                    <a:prstGeom prst="rect">
                      <a:avLst/>
                    </a:prstGeom>
                    <a:ln/>
                  </pic:spPr>
                </pic:pic>
              </a:graphicData>
            </a:graphic>
          </wp:inline>
        </w:drawing>
      </w:r>
      <w:r>
        <w:t>7. Conclusion</w:t>
      </w:r>
      <w:bookmarkEnd w:id="78"/>
    </w:p>
    <w:p w14:paraId="6277F53B" w14:textId="77777777" w:rsidR="005103D4" w:rsidRDefault="005769A0">
      <w:pPr>
        <w:pStyle w:val="Heading2"/>
        <w:keepNext w:val="0"/>
        <w:keepLines w:val="0"/>
      </w:pPr>
      <w:bookmarkStart w:id="79" w:name="_heading=h.n5shfwe34n27" w:colFirst="0" w:colLast="0"/>
      <w:bookmarkStart w:id="80" w:name="_Toc237261964"/>
      <w:bookmarkEnd w:id="79"/>
      <w:r>
        <w:t>7.1 Summary of Findings</w:t>
      </w:r>
      <w:bookmarkEnd w:id="80"/>
    </w:p>
    <w:p w14:paraId="2F07BA11" w14:textId="77777777" w:rsidR="005103D4" w:rsidRDefault="005769A0">
      <w:pPr>
        <w:spacing w:before="240" w:after="240"/>
      </w:pPr>
      <w:r>
        <w:rPr>
          <w:color w:val="222222"/>
        </w:rPr>
        <w:t xml:space="preserve">This report identified and examined the interacting Organisational, Leadership and governance failures of the multi-faceted issue causing Patient X to die, utilising systems thinking to analyse the multi-generational issue that led to the fatality. The Health Services Safety Investigations Body (2024) found several latent system problems that were likely contributors to the incident, highlighting the need to study an organisation's processes rather than the performance of individuals. Therefore, the report </w:t>
      </w:r>
      <w:r>
        <w:rPr>
          <w:color w:val="222222"/>
        </w:rPr>
        <w:t>showed that combining centralised governance with responsive decentralised decision-making would further enhance the safety of medicines and continuity of care for patients presumably taking high-risk anticoagulants.</w:t>
      </w:r>
    </w:p>
    <w:p w14:paraId="5679EBA7" w14:textId="77777777" w:rsidR="005103D4" w:rsidRDefault="005769A0">
      <w:pPr>
        <w:pStyle w:val="Heading2"/>
        <w:keepNext w:val="0"/>
        <w:keepLines w:val="0"/>
      </w:pPr>
      <w:bookmarkStart w:id="81" w:name="_heading=h.4rllmexkyzec" w:colFirst="0" w:colLast="0"/>
      <w:bookmarkStart w:id="82" w:name="_Toc237261965"/>
      <w:bookmarkEnd w:id="81"/>
      <w:r>
        <w:lastRenderedPageBreak/>
        <w:t>7.2 Overall Evaluation</w:t>
      </w:r>
      <w:bookmarkEnd w:id="82"/>
    </w:p>
    <w:p w14:paraId="1E523877" w14:textId="77777777" w:rsidR="005103D4" w:rsidRDefault="005769A0">
      <w:pPr>
        <w:spacing w:before="240" w:after="240"/>
      </w:pPr>
      <w:r>
        <w:rPr>
          <w:color w:val="222222"/>
        </w:rPr>
        <w:t>The evaluation showed there is a need for resilient healthcare systems with the support of leaders, a multidisciplinary team and good governance for sustainable patient safety. However, organisational policies cannot be effective at preventing medication-related harm unless they are backed up by proactive communication, regular medication assessment and accountability. Integrating leadership, learning and system redesign throughout the continuum of healthcare delivery is essential to patient safety (Institu</w:t>
      </w:r>
      <w:r>
        <w:rPr>
          <w:color w:val="222222"/>
        </w:rPr>
        <w:t xml:space="preserve">te for Healthcare Improvement (IHI), 2023). In the case of Patient X, the need for an organisation to put evidence-informed governance, adaptive leadership, and digital medication safety technologies together </w:t>
      </w:r>
      <w:r>
        <w:rPr>
          <w:color w:val="222222"/>
        </w:rPr>
        <w:t>in order to build organisational resilience and minimise preventable high-risk medicine-related adverse events was illustrated.</w:t>
      </w:r>
    </w:p>
    <w:p w14:paraId="534CFC0E" w14:textId="77777777" w:rsidR="005103D4" w:rsidRDefault="005769A0">
      <w:pPr>
        <w:pStyle w:val="Heading2"/>
        <w:keepNext w:val="0"/>
        <w:keepLines w:val="0"/>
      </w:pPr>
      <w:bookmarkStart w:id="83" w:name="_heading=h.r076fpl2yubu" w:colFirst="0" w:colLast="0"/>
      <w:bookmarkStart w:id="84" w:name="_Toc237261966"/>
      <w:bookmarkEnd w:id="83"/>
      <w:r>
        <w:t>7.3 Final Conclusion</w:t>
      </w:r>
      <w:bookmarkEnd w:id="84"/>
    </w:p>
    <w:p w14:paraId="4B6E8239" w14:textId="77777777" w:rsidR="005103D4" w:rsidRDefault="005769A0">
      <w:pPr>
        <w:spacing w:before="240" w:after="240"/>
      </w:pPr>
      <w:r>
        <w:rPr>
          <w:color w:val="222222"/>
        </w:rPr>
        <w:t>The death of patient X is an important failure of the system, showing how difficult it is to manage anticoagulation care in a contemporary health care setting. According to the World Health Organisation (2021), strengthening patient safety should involve the healthcare organisation anticipating, identifying and mitigating any patient harm before it happens, through risk system mapping. Therefore, the adoption of these principles will help to improve medicines optimisation, good organisational practice and b</w:t>
      </w:r>
      <w:r>
        <w:rPr>
          <w:color w:val="222222"/>
        </w:rPr>
        <w:t>etter delivery of safer, quality and patient-centred care across the NHS.</w:t>
      </w:r>
    </w:p>
    <w:p w14:paraId="69869614" w14:textId="77777777" w:rsidR="005103D4" w:rsidRDefault="005769A0">
      <w:pPr>
        <w:pStyle w:val="Heading1"/>
      </w:pPr>
      <w:bookmarkStart w:id="85" w:name="_heading=h.kzi5ryla5a8e" w:colFirst="0" w:colLast="0"/>
      <w:bookmarkEnd w:id="85"/>
      <w:r>
        <w:br w:type="page"/>
      </w:r>
    </w:p>
    <w:p w14:paraId="6B386125" w14:textId="77777777" w:rsidR="005103D4" w:rsidRDefault="005769A0">
      <w:pPr>
        <w:pStyle w:val="Heading1"/>
      </w:pPr>
      <w:bookmarkStart w:id="86" w:name="_heading=h.toejcsers66p" w:colFirst="0" w:colLast="0"/>
      <w:bookmarkStart w:id="87" w:name="_Toc237261967"/>
      <w:bookmarkEnd w:id="86"/>
      <w:r>
        <w:lastRenderedPageBreak/>
        <w:t>References</w:t>
      </w:r>
      <w:bookmarkEnd w:id="87"/>
    </w:p>
    <w:p w14:paraId="6CF3A726" w14:textId="77777777" w:rsidR="005103D4" w:rsidRDefault="005769A0">
      <w:pPr>
        <w:spacing w:before="240" w:after="240"/>
        <w:rPr>
          <w:color w:val="222222"/>
        </w:rPr>
      </w:pPr>
      <w:r>
        <w:rPr>
          <w:color w:val="222222"/>
        </w:rPr>
        <w:t xml:space="preserve">Al Rowily, A., Jalal, Z., Price, M.J., Abutaleb, M.H., Almodiaemgh, H., Al Ammari, M. and Paudyal, V., 2022. Prevalence, contributory factors and severity of medication errors associated with direct-acting oral anticoagulants in adult patients: a systematic review and meta-analysis. </w:t>
      </w:r>
      <w:r>
        <w:rPr>
          <w:i/>
          <w:iCs/>
          <w:color w:val="222222"/>
        </w:rPr>
        <w:t>European journal of clinical pharmacology</w:t>
      </w:r>
      <w:r>
        <w:rPr>
          <w:color w:val="222222"/>
        </w:rPr>
        <w:t xml:space="preserve">, </w:t>
      </w:r>
      <w:r>
        <w:rPr>
          <w:i/>
          <w:iCs/>
          <w:color w:val="222222"/>
        </w:rPr>
        <w:t>78</w:t>
      </w:r>
      <w:r>
        <w:rPr>
          <w:color w:val="222222"/>
        </w:rPr>
        <w:t>(4), pp.623-645.</w:t>
      </w:r>
      <w:r>
        <w:t xml:space="preserve"> </w:t>
      </w:r>
      <w:hyperlink r:id="rId21">
        <w:r w:rsidR="005103D4">
          <w:rPr>
            <w:color w:val="1155CC"/>
            <w:u w:val="single"/>
          </w:rPr>
          <w:t>https://link.springer.com/content/pdf/10.1007/s00228-021-03212-y.pdf</w:t>
        </w:r>
      </w:hyperlink>
      <w:r>
        <w:rPr>
          <w:color w:val="222222"/>
        </w:rPr>
        <w:t xml:space="preserve"> </w:t>
      </w:r>
    </w:p>
    <w:p w14:paraId="5A604D6C" w14:textId="77777777" w:rsidR="005103D4" w:rsidRDefault="005769A0">
      <w:pPr>
        <w:spacing w:before="240" w:after="240"/>
        <w:rPr>
          <w:color w:val="222222"/>
        </w:rPr>
      </w:pPr>
      <w:r>
        <w:rPr>
          <w:color w:val="222222"/>
        </w:rPr>
        <w:t xml:space="preserve">Al-Qahtani, F.F.M., Al-Turaiki, T.M., Alharbi, S.S.A., Almubarak, A.A., Alotaibai, A.M., Alotaibi, A.M., Alshammari, S.K., Albaqami, B.K.S., Altuwaijri, F.A., Al-Anzi, B.T.A. and Bahanshel, M.A., 2022. Enhancing medication safety and care transitions: A systematic review of roles and strategies in healthcare settings. </w:t>
      </w:r>
      <w:r>
        <w:rPr>
          <w:i/>
          <w:iCs/>
          <w:color w:val="222222"/>
        </w:rPr>
        <w:t>Journal of Primeasia</w:t>
      </w:r>
      <w:r>
        <w:rPr>
          <w:color w:val="222222"/>
        </w:rPr>
        <w:t xml:space="preserve">, </w:t>
      </w:r>
      <w:r>
        <w:rPr>
          <w:i/>
          <w:iCs/>
          <w:color w:val="222222"/>
        </w:rPr>
        <w:t>3</w:t>
      </w:r>
      <w:r>
        <w:rPr>
          <w:color w:val="222222"/>
        </w:rPr>
        <w:t xml:space="preserve">(1), pp.1-10. </w:t>
      </w:r>
      <w:hyperlink r:id="rId22">
        <w:r w:rsidR="005103D4">
          <w:rPr>
            <w:color w:val="1155CC"/>
            <w:u w:val="single"/>
          </w:rPr>
          <w:t>https://publishing.emanresearch.org/CurrentIssuePDF/EmanPublisher_26_5812primeasia-3110077.pdf</w:t>
        </w:r>
      </w:hyperlink>
      <w:r>
        <w:rPr>
          <w:color w:val="222222"/>
        </w:rPr>
        <w:t xml:space="preserve"> </w:t>
      </w:r>
    </w:p>
    <w:p w14:paraId="3B870260" w14:textId="77777777" w:rsidR="005103D4" w:rsidRDefault="005769A0">
      <w:pPr>
        <w:spacing w:before="240" w:after="240"/>
        <w:rPr>
          <w:color w:val="222222"/>
        </w:rPr>
      </w:pPr>
      <w:r>
        <w:rPr>
          <w:color w:val="222222"/>
        </w:rPr>
        <w:t xml:space="preserve">Alrowily, A., Jalal, Z., Abutaleb, M.H., Osman, N.A., Alammari, M. and Paudyal, V., 2021. Medication errors associated with direct-acting oral anticoagulants: analysis of data from national pharmacovigilance and local incidents reporting databases. </w:t>
      </w:r>
      <w:r>
        <w:rPr>
          <w:i/>
          <w:iCs/>
          <w:color w:val="222222"/>
        </w:rPr>
        <w:t>Journal of Pharmaceutical Policy and Practice</w:t>
      </w:r>
      <w:r>
        <w:rPr>
          <w:color w:val="222222"/>
        </w:rPr>
        <w:t xml:space="preserve">, </w:t>
      </w:r>
      <w:r>
        <w:rPr>
          <w:i/>
          <w:iCs/>
          <w:color w:val="222222"/>
        </w:rPr>
        <w:t>14</w:t>
      </w:r>
      <w:r>
        <w:rPr>
          <w:color w:val="222222"/>
        </w:rPr>
        <w:t xml:space="preserve">(1), p.81. </w:t>
      </w:r>
      <w:hyperlink r:id="rId23">
        <w:r w:rsidR="005103D4">
          <w:rPr>
            <w:color w:val="1155CC"/>
            <w:u w:val="single"/>
          </w:rPr>
          <w:t>https://www.tandfonline.com/doi/pdf/10.1186/s40545-021-00369-w</w:t>
        </w:r>
      </w:hyperlink>
      <w:r>
        <w:rPr>
          <w:color w:val="222222"/>
        </w:rPr>
        <w:t xml:space="preserve"> </w:t>
      </w:r>
    </w:p>
    <w:p w14:paraId="4572E40F" w14:textId="77777777" w:rsidR="005103D4" w:rsidRDefault="005769A0">
      <w:pPr>
        <w:spacing w:before="240" w:after="240"/>
        <w:rPr>
          <w:color w:val="222222"/>
        </w:rPr>
      </w:pPr>
      <w:r>
        <w:rPr>
          <w:color w:val="222222"/>
        </w:rPr>
        <w:t xml:space="preserve">Back, J., Owens, D. and Benneyworth, R., 2024. The Health Services Safety Investigations Body (HSSIB) and safety management systems: an integrated approach to managing safety in healthcare. </w:t>
      </w:r>
      <w:r>
        <w:rPr>
          <w:i/>
          <w:iCs/>
          <w:color w:val="222222"/>
        </w:rPr>
        <w:t>Journal of Patient Safety and Risk Management</w:t>
      </w:r>
      <w:r>
        <w:rPr>
          <w:color w:val="222222"/>
        </w:rPr>
        <w:t xml:space="preserve">, </w:t>
      </w:r>
      <w:r>
        <w:rPr>
          <w:i/>
          <w:iCs/>
          <w:color w:val="222222"/>
        </w:rPr>
        <w:t>29</w:t>
      </w:r>
      <w:r>
        <w:rPr>
          <w:color w:val="222222"/>
        </w:rPr>
        <w:t xml:space="preserve">(2), pp.79-82. </w:t>
      </w:r>
      <w:hyperlink r:id="rId24">
        <w:r w:rsidR="005103D4">
          <w:rPr>
            <w:color w:val="1155CC"/>
            <w:u w:val="single"/>
          </w:rPr>
          <w:t>https://sage.cnpereading.com/storage/sage/journal/article/CRI/2024/CRI_2024_29_2/unzip/10.1177_25160435231224583.pdf</w:t>
        </w:r>
      </w:hyperlink>
      <w:r>
        <w:rPr>
          <w:color w:val="222222"/>
        </w:rPr>
        <w:t xml:space="preserve"> </w:t>
      </w:r>
    </w:p>
    <w:p w14:paraId="63A3DC5A" w14:textId="77777777" w:rsidR="005103D4" w:rsidRDefault="005769A0">
      <w:pPr>
        <w:spacing w:before="240" w:after="240"/>
        <w:rPr>
          <w:color w:val="222222"/>
        </w:rPr>
      </w:pPr>
      <w:r>
        <w:rPr>
          <w:color w:val="222222"/>
        </w:rPr>
        <w:t xml:space="preserve">Bierbaum, M., Best, S., Williams, S., Fehlberg, Z., Hillier, S., Ellis, L.A., Goodrich, A., Padbury, R. and Hibbert, P., 2025. The integration of quality improvement and implementation science methods and frameworks in healthcare: a systematic review. </w:t>
      </w:r>
      <w:r>
        <w:rPr>
          <w:i/>
          <w:iCs/>
          <w:color w:val="222222"/>
        </w:rPr>
        <w:t>BMC Health Services Research</w:t>
      </w:r>
      <w:r>
        <w:rPr>
          <w:color w:val="222222"/>
        </w:rPr>
        <w:t xml:space="preserve">, </w:t>
      </w:r>
      <w:r>
        <w:rPr>
          <w:i/>
          <w:iCs/>
          <w:color w:val="222222"/>
        </w:rPr>
        <w:t>25</w:t>
      </w:r>
      <w:r>
        <w:rPr>
          <w:color w:val="222222"/>
        </w:rPr>
        <w:t xml:space="preserve">(1), p.558. </w:t>
      </w:r>
      <w:hyperlink r:id="rId25">
        <w:r w:rsidR="005103D4">
          <w:rPr>
            <w:color w:val="1155CC"/>
            <w:u w:val="single"/>
          </w:rPr>
          <w:t>https://link.springer.com/content/pdf/10.1186/s12913-025-12730-9.pdf</w:t>
        </w:r>
      </w:hyperlink>
      <w:r>
        <w:rPr>
          <w:color w:val="222222"/>
        </w:rPr>
        <w:t xml:space="preserve"> </w:t>
      </w:r>
    </w:p>
    <w:p w14:paraId="20495EC9" w14:textId="77777777" w:rsidR="005103D4" w:rsidRDefault="005769A0">
      <w:pPr>
        <w:spacing w:before="240" w:after="240"/>
        <w:rPr>
          <w:color w:val="222222"/>
        </w:rPr>
      </w:pPr>
      <w:r>
        <w:rPr>
          <w:color w:val="222222"/>
        </w:rPr>
        <w:t xml:space="preserve">Boamah, S.A., Hamadi, H.Y., Havaei, F., Smith, H. and Webb, F., 2022. Striking a balance between work and play: The effects of work–life interference and burnout on faculty turnover </w:t>
      </w:r>
      <w:r>
        <w:rPr>
          <w:color w:val="222222"/>
        </w:rPr>
        <w:lastRenderedPageBreak/>
        <w:t xml:space="preserve">intentions and career satisfaction. </w:t>
      </w:r>
      <w:r>
        <w:rPr>
          <w:i/>
          <w:iCs/>
          <w:color w:val="222222"/>
        </w:rPr>
        <w:t>International journal of environmental research and public health</w:t>
      </w:r>
      <w:r>
        <w:rPr>
          <w:color w:val="222222"/>
        </w:rPr>
        <w:t xml:space="preserve">, </w:t>
      </w:r>
      <w:r>
        <w:rPr>
          <w:i/>
          <w:iCs/>
          <w:color w:val="222222"/>
        </w:rPr>
        <w:t>19</w:t>
      </w:r>
      <w:r>
        <w:rPr>
          <w:color w:val="222222"/>
        </w:rPr>
        <w:t xml:space="preserve">(2), p.809. </w:t>
      </w:r>
      <w:hyperlink r:id="rId26">
        <w:r w:rsidR="005103D4">
          <w:rPr>
            <w:color w:val="1155CC"/>
            <w:u w:val="single"/>
          </w:rPr>
          <w:t>https://www.mdpi.com/1660-4601/19/2/809</w:t>
        </w:r>
      </w:hyperlink>
      <w:r>
        <w:rPr>
          <w:color w:val="222222"/>
        </w:rPr>
        <w:t xml:space="preserve"> </w:t>
      </w:r>
    </w:p>
    <w:p w14:paraId="39C602B0" w14:textId="77777777" w:rsidR="005103D4" w:rsidRDefault="005769A0">
      <w:pPr>
        <w:spacing w:before="240" w:after="240"/>
        <w:rPr>
          <w:color w:val="222222"/>
        </w:rPr>
      </w:pPr>
      <w:r>
        <w:rPr>
          <w:color w:val="222222"/>
        </w:rPr>
        <w:t xml:space="preserve">Burnett, A., Rudd, K.M. and Triller, D., 2022. Advancing anticoagulation stewardship: a call to action for stewardship from the US-based anticoagulation forum. </w:t>
      </w:r>
      <w:r>
        <w:rPr>
          <w:i/>
          <w:iCs/>
          <w:color w:val="222222"/>
        </w:rPr>
        <w:t>Thrombosis Update</w:t>
      </w:r>
      <w:r>
        <w:rPr>
          <w:color w:val="222222"/>
        </w:rPr>
        <w:t xml:space="preserve">, </w:t>
      </w:r>
      <w:r>
        <w:rPr>
          <w:i/>
          <w:iCs/>
          <w:color w:val="222222"/>
        </w:rPr>
        <w:t>9</w:t>
      </w:r>
      <w:r>
        <w:rPr>
          <w:color w:val="222222"/>
        </w:rPr>
        <w:t xml:space="preserve">, p.100125. </w:t>
      </w:r>
      <w:hyperlink r:id="rId27">
        <w:r w:rsidR="005103D4">
          <w:rPr>
            <w:color w:val="1155CC"/>
            <w:u w:val="single"/>
          </w:rPr>
          <w:t>https://www.sciencedirect.com/science/article/pii/S2666572722000293</w:t>
        </w:r>
      </w:hyperlink>
      <w:r>
        <w:rPr>
          <w:color w:val="222222"/>
        </w:rPr>
        <w:t xml:space="preserve"> </w:t>
      </w:r>
    </w:p>
    <w:p w14:paraId="7C61E038" w14:textId="77777777" w:rsidR="005103D4" w:rsidRDefault="005769A0">
      <w:pPr>
        <w:spacing w:before="240" w:after="240"/>
        <w:rPr>
          <w:color w:val="222222"/>
        </w:rPr>
      </w:pPr>
      <w:r>
        <w:rPr>
          <w:color w:val="222222"/>
        </w:rPr>
        <w:t xml:space="preserve">Debie, A., Khatri, R.B. and Assefa, Y., 2022. Successes and challenges of health systems governance towards universal health coverage and global health security: a narrative review and synthesis of the literature. </w:t>
      </w:r>
      <w:r>
        <w:rPr>
          <w:i/>
          <w:iCs/>
          <w:color w:val="222222"/>
        </w:rPr>
        <w:t>Health research policy and systems</w:t>
      </w:r>
      <w:r>
        <w:rPr>
          <w:color w:val="222222"/>
        </w:rPr>
        <w:t xml:space="preserve">, </w:t>
      </w:r>
      <w:r>
        <w:rPr>
          <w:i/>
          <w:iCs/>
          <w:color w:val="222222"/>
        </w:rPr>
        <w:t>20</w:t>
      </w:r>
      <w:r>
        <w:rPr>
          <w:color w:val="222222"/>
        </w:rPr>
        <w:t xml:space="preserve">(1), p.50. </w:t>
      </w:r>
      <w:hyperlink r:id="rId28">
        <w:r w:rsidR="005103D4">
          <w:rPr>
            <w:color w:val="1155CC"/>
            <w:u w:val="single"/>
          </w:rPr>
          <w:t>https://link.springer.com/content/pdf/10.1186/s12961-022-00858-7.pdf</w:t>
        </w:r>
      </w:hyperlink>
      <w:r>
        <w:rPr>
          <w:color w:val="222222"/>
        </w:rPr>
        <w:t xml:space="preserve"> </w:t>
      </w:r>
    </w:p>
    <w:p w14:paraId="51E3ACB8" w14:textId="77777777" w:rsidR="005103D4" w:rsidRDefault="005769A0">
      <w:pPr>
        <w:spacing w:before="240" w:after="240"/>
        <w:rPr>
          <w:color w:val="222222"/>
        </w:rPr>
      </w:pPr>
      <w:r>
        <w:rPr>
          <w:color w:val="222222"/>
        </w:rPr>
        <w:t>Decaix, T., Kemache, K., Gay, P., Ketz, F., Laprévote</w:t>
      </w:r>
      <w:r>
        <w:rPr>
          <w:color w:val="222222"/>
        </w:rPr>
        <w:t xml:space="preserve">, O. and Pautas, É., 2024. Pharmacokinetics and pharmacodynamics of drug‒drug interactions in hospitalized older adults treated with direct oral anticoagulants. </w:t>
      </w:r>
      <w:r>
        <w:rPr>
          <w:i/>
          <w:iCs/>
          <w:color w:val="222222"/>
        </w:rPr>
        <w:t>Aging Clinical and Experimental Research</w:t>
      </w:r>
      <w:r>
        <w:rPr>
          <w:color w:val="222222"/>
        </w:rPr>
        <w:t xml:space="preserve">, </w:t>
      </w:r>
      <w:r>
        <w:rPr>
          <w:i/>
          <w:iCs/>
          <w:color w:val="222222"/>
        </w:rPr>
        <w:t>36</w:t>
      </w:r>
      <w:r>
        <w:rPr>
          <w:color w:val="222222"/>
        </w:rPr>
        <w:t xml:space="preserve">(1), p.113. </w:t>
      </w:r>
      <w:hyperlink r:id="rId29">
        <w:r w:rsidR="005103D4">
          <w:rPr>
            <w:color w:val="1155CC"/>
            <w:u w:val="single"/>
          </w:rPr>
          <w:t>https://link.springer.com/content/pdf/10.1007/s40520-024-02768-w.pdf</w:t>
        </w:r>
      </w:hyperlink>
      <w:r>
        <w:rPr>
          <w:color w:val="222222"/>
        </w:rPr>
        <w:t xml:space="preserve"> </w:t>
      </w:r>
    </w:p>
    <w:p w14:paraId="2665E9BC" w14:textId="77777777" w:rsidR="005103D4" w:rsidRDefault="005769A0">
      <w:pPr>
        <w:spacing w:before="240" w:after="240"/>
        <w:rPr>
          <w:color w:val="222222"/>
        </w:rPr>
      </w:pPr>
      <w:r>
        <w:rPr>
          <w:color w:val="222222"/>
        </w:rPr>
        <w:t>Dorsch, M.P., Chen, C.S., Allen, A.L., Sales, A.E., Seagull, F.J., Spoutz</w:t>
      </w:r>
      <w:r>
        <w:rPr>
          <w:color w:val="222222"/>
        </w:rPr>
        <w:t xml:space="preserve">, P., Sussman, J.B. and Barnes, G.D., 2023. Nationwide implementation of a population management dashboard for monitoring direct oral anticoagulants: insights from the </w:t>
      </w:r>
      <w:proofErr w:type="gramStart"/>
      <w:r>
        <w:rPr>
          <w:color w:val="222222"/>
        </w:rPr>
        <w:t>veterans</w:t>
      </w:r>
      <w:proofErr w:type="gramEnd"/>
      <w:r>
        <w:rPr>
          <w:color w:val="222222"/>
        </w:rPr>
        <w:t xml:space="preserve"> affairs health system. </w:t>
      </w:r>
      <w:r>
        <w:rPr>
          <w:i/>
          <w:iCs/>
          <w:color w:val="222222"/>
        </w:rPr>
        <w:t>Circulation: Cardiovascular Quality and Outcomes</w:t>
      </w:r>
      <w:r>
        <w:rPr>
          <w:color w:val="222222"/>
        </w:rPr>
        <w:t xml:space="preserve">, </w:t>
      </w:r>
      <w:r>
        <w:rPr>
          <w:i/>
          <w:iCs/>
          <w:color w:val="222222"/>
        </w:rPr>
        <w:t>16</w:t>
      </w:r>
      <w:r>
        <w:rPr>
          <w:color w:val="222222"/>
        </w:rPr>
        <w:t xml:space="preserve">(2), p.e009256. </w:t>
      </w:r>
      <w:hyperlink r:id="rId30">
        <w:r w:rsidR="005103D4">
          <w:rPr>
            <w:color w:val="1155CC"/>
            <w:u w:val="single"/>
          </w:rPr>
          <w:t>https://www.ahajournals.org/doi/pdf/10.1161/CIRCOUTCOMES.122.009256</w:t>
        </w:r>
      </w:hyperlink>
      <w:r>
        <w:rPr>
          <w:color w:val="222222"/>
        </w:rPr>
        <w:t xml:space="preserve"> </w:t>
      </w:r>
    </w:p>
    <w:p w14:paraId="2EC49170" w14:textId="77777777" w:rsidR="005103D4" w:rsidRDefault="005769A0">
      <w:pPr>
        <w:spacing w:before="240" w:after="240"/>
        <w:rPr>
          <w:color w:val="222222"/>
        </w:rPr>
      </w:pPr>
      <w:r>
        <w:rPr>
          <w:color w:val="222222"/>
        </w:rPr>
        <w:t xml:space="preserve">Fanaroff, A.C., Vora, A.N. and Lopes, R.D., 2022. Non-vitamin K antagonist oral anticoagulants in patients with valvular heart disease. </w:t>
      </w:r>
      <w:r>
        <w:rPr>
          <w:i/>
          <w:iCs/>
          <w:color w:val="222222"/>
        </w:rPr>
        <w:t>European Heart Journal Supplements</w:t>
      </w:r>
      <w:r>
        <w:rPr>
          <w:color w:val="222222"/>
        </w:rPr>
        <w:t xml:space="preserve">, </w:t>
      </w:r>
      <w:r>
        <w:rPr>
          <w:i/>
          <w:iCs/>
          <w:color w:val="222222"/>
        </w:rPr>
        <w:t>24</w:t>
      </w:r>
      <w:r>
        <w:rPr>
          <w:color w:val="222222"/>
        </w:rPr>
        <w:t xml:space="preserve">(Supplement_A), </w:t>
      </w:r>
      <w:proofErr w:type="gramStart"/>
      <w:r>
        <w:rPr>
          <w:color w:val="222222"/>
        </w:rPr>
        <w:t>pp.A</w:t>
      </w:r>
      <w:proofErr w:type="gramEnd"/>
      <w:r>
        <w:rPr>
          <w:color w:val="222222"/>
        </w:rPr>
        <w:t xml:space="preserve">19-A31. </w:t>
      </w:r>
      <w:hyperlink r:id="rId31">
        <w:r w:rsidR="005103D4">
          <w:rPr>
            <w:color w:val="1155CC"/>
            <w:u w:val="single"/>
          </w:rPr>
          <w:t>https://academic.oup.com/eurheartjsupp/article-pdf/24/Supplement_A/A19/42541126/suab151.pdf</w:t>
        </w:r>
      </w:hyperlink>
      <w:r>
        <w:rPr>
          <w:color w:val="222222"/>
        </w:rPr>
        <w:t xml:space="preserve"> </w:t>
      </w:r>
    </w:p>
    <w:p w14:paraId="460C3BBF" w14:textId="77777777" w:rsidR="005103D4" w:rsidRDefault="005769A0">
      <w:pPr>
        <w:spacing w:before="240" w:after="240"/>
        <w:rPr>
          <w:color w:val="222222"/>
        </w:rPr>
      </w:pPr>
      <w:r>
        <w:rPr>
          <w:color w:val="222222"/>
        </w:rPr>
        <w:t>Ferri, N., Colombo, E., Tenconi, M., Baldessin</w:t>
      </w:r>
      <w:r>
        <w:rPr>
          <w:color w:val="222222"/>
        </w:rPr>
        <w:t xml:space="preserve">, L. and Corsini, A., 2022. Drug-drug interactions of direct oral anticoagulants (DOACs): from pharmacological to clinical practice. </w:t>
      </w:r>
      <w:r>
        <w:rPr>
          <w:i/>
          <w:iCs/>
          <w:color w:val="222222"/>
        </w:rPr>
        <w:t>Pharmaceutics</w:t>
      </w:r>
      <w:r>
        <w:rPr>
          <w:color w:val="222222"/>
        </w:rPr>
        <w:t xml:space="preserve">, </w:t>
      </w:r>
      <w:r>
        <w:rPr>
          <w:i/>
          <w:iCs/>
          <w:color w:val="222222"/>
        </w:rPr>
        <w:t>14</w:t>
      </w:r>
      <w:r>
        <w:rPr>
          <w:color w:val="222222"/>
        </w:rPr>
        <w:t xml:space="preserve">(6), p.1120. </w:t>
      </w:r>
      <w:hyperlink r:id="rId32">
        <w:r w:rsidR="005103D4">
          <w:rPr>
            <w:color w:val="1155CC"/>
            <w:u w:val="single"/>
          </w:rPr>
          <w:t>https://www.mdpi.com/1999-4923/14/6/1120</w:t>
        </w:r>
      </w:hyperlink>
      <w:r>
        <w:rPr>
          <w:color w:val="222222"/>
        </w:rPr>
        <w:t xml:space="preserve"> </w:t>
      </w:r>
    </w:p>
    <w:p w14:paraId="5E5CE1DB" w14:textId="77777777" w:rsidR="005103D4" w:rsidRDefault="005769A0">
      <w:pPr>
        <w:spacing w:before="240" w:after="240"/>
        <w:rPr>
          <w:color w:val="222222"/>
        </w:rPr>
      </w:pPr>
      <w:r>
        <w:rPr>
          <w:color w:val="222222"/>
        </w:rPr>
        <w:t xml:space="preserve">Giardina, T.D., Shahid, U., Mushtaq, U., Upadhyay, D.K., Marinez, A. and Singh, H., 2022. Creating a Learning Health System for Improving Diagnostic Safety: Pragmatic Insights from US </w:t>
      </w:r>
      <w:r>
        <w:rPr>
          <w:color w:val="222222"/>
        </w:rPr>
        <w:lastRenderedPageBreak/>
        <w:t xml:space="preserve">Health Care Organizations: Giardina </w:t>
      </w:r>
      <w:r>
        <w:rPr>
          <w:i/>
          <w:iCs/>
          <w:color w:val="222222"/>
        </w:rPr>
        <w:t>et al.</w:t>
      </w:r>
      <w:r>
        <w:rPr>
          <w:color w:val="222222"/>
        </w:rPr>
        <w:t xml:space="preserve"> </w:t>
      </w:r>
      <w:r>
        <w:rPr>
          <w:i/>
          <w:iCs/>
          <w:color w:val="222222"/>
        </w:rPr>
        <w:t>Journal of General Internal Medicine</w:t>
      </w:r>
      <w:r>
        <w:rPr>
          <w:color w:val="222222"/>
        </w:rPr>
        <w:t xml:space="preserve">, </w:t>
      </w:r>
      <w:r>
        <w:rPr>
          <w:i/>
          <w:iCs/>
          <w:color w:val="222222"/>
        </w:rPr>
        <w:t>37</w:t>
      </w:r>
      <w:r>
        <w:rPr>
          <w:color w:val="222222"/>
        </w:rPr>
        <w:t xml:space="preserve">(15), pp.3965-3972. </w:t>
      </w:r>
      <w:hyperlink r:id="rId33">
        <w:r w:rsidR="005103D4">
          <w:rPr>
            <w:color w:val="1155CC"/>
            <w:u w:val="single"/>
          </w:rPr>
          <w:t>https://link.springer.com/content/pdf/10.1007/s11606-022-07554-w.pdf</w:t>
        </w:r>
      </w:hyperlink>
      <w:r>
        <w:rPr>
          <w:color w:val="222222"/>
        </w:rPr>
        <w:t xml:space="preserve"> </w:t>
      </w:r>
    </w:p>
    <w:p w14:paraId="2C5175BD" w14:textId="77777777" w:rsidR="005103D4" w:rsidRDefault="005769A0">
      <w:pPr>
        <w:spacing w:before="240" w:after="240"/>
        <w:rPr>
          <w:color w:val="222222"/>
        </w:rPr>
      </w:pPr>
      <w:r>
        <w:rPr>
          <w:color w:val="222222"/>
        </w:rPr>
        <w:t xml:space="preserve">Haque, H., Alrowily, A., Jalal, Z., Tailor, B., Efue, V., Sarwar, A. and Paudyal, V., 2021. Direct oral anticoagulant-related medication incidents and pharmacists’ interventions in hospital in-patients: evaluation using reason’s accident causation theory. </w:t>
      </w:r>
      <w:r>
        <w:rPr>
          <w:i/>
          <w:iCs/>
          <w:color w:val="222222"/>
        </w:rPr>
        <w:t>International journal of clinical pharmacy</w:t>
      </w:r>
      <w:r>
        <w:rPr>
          <w:color w:val="222222"/>
        </w:rPr>
        <w:t xml:space="preserve">, </w:t>
      </w:r>
      <w:r>
        <w:rPr>
          <w:i/>
          <w:iCs/>
          <w:color w:val="222222"/>
        </w:rPr>
        <w:t>43</w:t>
      </w:r>
      <w:r>
        <w:rPr>
          <w:color w:val="222222"/>
        </w:rPr>
        <w:t xml:space="preserve">(6), pp.1693-1704. </w:t>
      </w:r>
      <w:hyperlink r:id="rId34">
        <w:r w:rsidR="005103D4">
          <w:rPr>
            <w:color w:val="1155CC"/>
            <w:u w:val="single"/>
          </w:rPr>
          <w:t>https://link.springer.com/content/pdf/10.1007/s11096-021-01302-6.pdf</w:t>
        </w:r>
      </w:hyperlink>
      <w:r>
        <w:rPr>
          <w:color w:val="222222"/>
        </w:rPr>
        <w:t xml:space="preserve"> </w:t>
      </w:r>
    </w:p>
    <w:p w14:paraId="4C1E8BB5" w14:textId="77777777" w:rsidR="005103D4" w:rsidRDefault="005769A0">
      <w:pPr>
        <w:spacing w:before="240" w:after="240"/>
        <w:rPr>
          <w:color w:val="222222"/>
        </w:rPr>
      </w:pPr>
      <w:r>
        <w:rPr>
          <w:color w:val="222222"/>
        </w:rPr>
        <w:t xml:space="preserve">Health Service Safety Investigation Body (2025), Medication not given: anticoagulation before and after a procedure. </w:t>
      </w:r>
      <w:r>
        <w:rPr>
          <w:i/>
          <w:iCs/>
          <w:color w:val="222222"/>
        </w:rPr>
        <w:t xml:space="preserve">Investigation report. </w:t>
      </w:r>
      <w:hyperlink r:id="rId35">
        <w:r w:rsidR="005103D4">
          <w:rPr>
            <w:color w:val="1155CC"/>
            <w:u w:val="single"/>
          </w:rPr>
          <w:t>https://www.hssib.org.uk/patient-safety-investigations/medication-related-harm/second-investigation-report/pdf/</w:t>
        </w:r>
      </w:hyperlink>
      <w:r>
        <w:rPr>
          <w:color w:val="222222"/>
        </w:rPr>
        <w:t xml:space="preserve"> </w:t>
      </w:r>
    </w:p>
    <w:p w14:paraId="4AE2737F" w14:textId="77777777" w:rsidR="005103D4" w:rsidRDefault="005769A0">
      <w:pPr>
        <w:spacing w:before="240" w:after="240"/>
        <w:rPr>
          <w:color w:val="222222"/>
        </w:rPr>
      </w:pPr>
      <w:r>
        <w:rPr>
          <w:color w:val="222222"/>
        </w:rPr>
        <w:t xml:space="preserve">Huang, C.H., Wu, H.H., Lee, Y.C. and Li, X., 2024. The critical role of leadership in patient safety culture: a mediation analysis of management influence on safety factors. </w:t>
      </w:r>
      <w:r>
        <w:rPr>
          <w:i/>
          <w:iCs/>
          <w:color w:val="222222"/>
        </w:rPr>
        <w:t>Risk management and healthcare policy</w:t>
      </w:r>
      <w:r>
        <w:rPr>
          <w:color w:val="222222"/>
        </w:rPr>
        <w:t xml:space="preserve">, pp.513-523. </w:t>
      </w:r>
      <w:hyperlink r:id="rId36">
        <w:r w:rsidR="005103D4">
          <w:rPr>
            <w:color w:val="1155CC"/>
            <w:u w:val="single"/>
          </w:rPr>
          <w:t>https://www.tandfonline.com/doi/pdf/10.2147/RMHP.S446651%4010.1080/tfocoll.2024.0.issue-Advancing_Patient</w:t>
        </w:r>
      </w:hyperlink>
      <w:r>
        <w:rPr>
          <w:color w:val="222222"/>
        </w:rPr>
        <w:t xml:space="preserve"> </w:t>
      </w:r>
    </w:p>
    <w:p w14:paraId="6C75B9AF" w14:textId="77777777" w:rsidR="005103D4" w:rsidRDefault="005769A0">
      <w:pPr>
        <w:spacing w:before="240" w:after="240"/>
        <w:rPr>
          <w:color w:val="222222"/>
        </w:rPr>
      </w:pPr>
      <w:r>
        <w:rPr>
          <w:color w:val="222222"/>
        </w:rPr>
        <w:t xml:space="preserve">Inchingolo, F., Inchingolo, A.M., Piras, F., Ferrante, L., Mancini, A., Palermo, A., Inchingolo, A.D. and Dipalma, G., 2024, August. Management of patients receiving anticoagulation therapy in dental practice: a systematic review. In </w:t>
      </w:r>
      <w:r>
        <w:rPr>
          <w:i/>
          <w:iCs/>
          <w:color w:val="222222"/>
        </w:rPr>
        <w:t>Healthcare</w:t>
      </w:r>
      <w:r>
        <w:rPr>
          <w:color w:val="222222"/>
        </w:rPr>
        <w:t xml:space="preserve"> (Vol. 12, No. 15, p. 1537). MDPI. </w:t>
      </w:r>
      <w:hyperlink r:id="rId37">
        <w:r w:rsidR="005103D4">
          <w:rPr>
            <w:color w:val="1155CC"/>
            <w:u w:val="single"/>
          </w:rPr>
          <w:t>https://www.mdpi.com/2227-9032/12/15/1537</w:t>
        </w:r>
      </w:hyperlink>
      <w:r>
        <w:rPr>
          <w:color w:val="222222"/>
        </w:rPr>
        <w:t xml:space="preserve"> </w:t>
      </w:r>
    </w:p>
    <w:p w14:paraId="7B6153A6" w14:textId="77777777" w:rsidR="005103D4" w:rsidRDefault="005769A0">
      <w:pPr>
        <w:spacing w:before="240" w:after="240"/>
        <w:rPr>
          <w:color w:val="222222"/>
        </w:rPr>
      </w:pPr>
      <w:r>
        <w:rPr>
          <w:color w:val="222222"/>
        </w:rPr>
        <w:t xml:space="preserve">Institute for Healthcare Improvement (2022) </w:t>
      </w:r>
      <w:r>
        <w:rPr>
          <w:i/>
          <w:iCs/>
          <w:color w:val="222222"/>
        </w:rPr>
        <w:t>Patient Safety Essentials Toolkit</w:t>
      </w:r>
      <w:r>
        <w:rPr>
          <w:color w:val="222222"/>
        </w:rPr>
        <w:t xml:space="preserve">. Boston: IHI. </w:t>
      </w:r>
      <w:hyperlink r:id="rId38">
        <w:r w:rsidR="005103D4">
          <w:rPr>
            <w:color w:val="1155CC"/>
            <w:u w:val="single"/>
          </w:rPr>
          <w:t>https://www.ihi.org/library/tools/patient-safety-essentials-toolkit</w:t>
        </w:r>
      </w:hyperlink>
      <w:r>
        <w:rPr>
          <w:color w:val="222222"/>
        </w:rPr>
        <w:t xml:space="preserve"> </w:t>
      </w:r>
    </w:p>
    <w:p w14:paraId="5FD308DB" w14:textId="77777777" w:rsidR="005103D4" w:rsidRDefault="005769A0">
      <w:pPr>
        <w:spacing w:before="240" w:after="240"/>
        <w:rPr>
          <w:color w:val="222222"/>
        </w:rPr>
      </w:pPr>
      <w:r>
        <w:rPr>
          <w:color w:val="222222"/>
        </w:rPr>
        <w:t xml:space="preserve">Institute for Healthcare Improvement (IHI) (2023) </w:t>
      </w:r>
      <w:r>
        <w:rPr>
          <w:i/>
          <w:iCs/>
          <w:color w:val="222222"/>
        </w:rPr>
        <w:t>Safer Together: Patient Safety Across the Continuum of Care</w:t>
      </w:r>
      <w:r>
        <w:rPr>
          <w:color w:val="222222"/>
        </w:rPr>
        <w:t xml:space="preserve">. Boston: Institute for Healthcare Improvement. </w:t>
      </w:r>
      <w:hyperlink r:id="rId39">
        <w:r w:rsidR="005103D4">
          <w:rPr>
            <w:color w:val="1155CC"/>
            <w:u w:val="single"/>
          </w:rPr>
          <w:t>https://www.ihi.org/partner/initiatives/national-steering-committee-patient-safety/national-action-plan-advance-patient-safety</w:t>
        </w:r>
      </w:hyperlink>
      <w:r>
        <w:rPr>
          <w:color w:val="222222"/>
        </w:rPr>
        <w:t xml:space="preserve"> </w:t>
      </w:r>
    </w:p>
    <w:p w14:paraId="3E0795A5" w14:textId="77777777" w:rsidR="005103D4" w:rsidRDefault="005769A0">
      <w:pPr>
        <w:spacing w:before="240" w:after="240"/>
        <w:rPr>
          <w:color w:val="222222"/>
        </w:rPr>
      </w:pPr>
      <w:r>
        <w:rPr>
          <w:color w:val="222222"/>
        </w:rPr>
        <w:t>Ismail, S.A., Bell, S., Chalabi, Z., Fouad, F.M., Mechler, R., Tomoaia-Cotisel, A., Blanchet, K. and Borghi, J., 2022. Conceptualising and assessing health system resilience to shocks: a cross-</w:t>
      </w:r>
      <w:r>
        <w:rPr>
          <w:color w:val="222222"/>
        </w:rPr>
        <w:lastRenderedPageBreak/>
        <w:t xml:space="preserve">disciplinary view. </w:t>
      </w:r>
      <w:r>
        <w:rPr>
          <w:i/>
          <w:iCs/>
          <w:color w:val="222222"/>
        </w:rPr>
        <w:t>Wellcome open research</w:t>
      </w:r>
      <w:r>
        <w:rPr>
          <w:color w:val="222222"/>
        </w:rPr>
        <w:t xml:space="preserve">, </w:t>
      </w:r>
      <w:r>
        <w:rPr>
          <w:i/>
          <w:iCs/>
          <w:color w:val="222222"/>
        </w:rPr>
        <w:t>7</w:t>
      </w:r>
      <w:r>
        <w:rPr>
          <w:color w:val="222222"/>
        </w:rPr>
        <w:t xml:space="preserve">, p.151. </w:t>
      </w:r>
      <w:hyperlink r:id="rId40">
        <w:r w:rsidR="005103D4">
          <w:rPr>
            <w:color w:val="1155CC"/>
            <w:u w:val="single"/>
          </w:rPr>
          <w:t>https://pmc.ncbi.nlm.nih.gov/articles/PMC11140310/pdf/wellcomeopenres-7-19746.pdf</w:t>
        </w:r>
      </w:hyperlink>
      <w:r>
        <w:rPr>
          <w:color w:val="222222"/>
        </w:rPr>
        <w:t xml:space="preserve"> </w:t>
      </w:r>
    </w:p>
    <w:p w14:paraId="4404BDD9" w14:textId="77777777" w:rsidR="005103D4" w:rsidRDefault="005769A0">
      <w:pPr>
        <w:spacing w:before="240" w:after="240"/>
        <w:rPr>
          <w:color w:val="222222"/>
        </w:rPr>
      </w:pPr>
      <w:r>
        <w:rPr>
          <w:color w:val="222222"/>
        </w:rPr>
        <w:t xml:space="preserve">Jalilvand, M.A., Raeisi, A.R. and Shaarbafchizadeh, N., 2024. Hospital governance accountability structure: a scoping review. </w:t>
      </w:r>
      <w:r>
        <w:rPr>
          <w:i/>
          <w:iCs/>
          <w:color w:val="222222"/>
        </w:rPr>
        <w:t>BMC Health Services Research</w:t>
      </w:r>
      <w:r>
        <w:rPr>
          <w:color w:val="222222"/>
        </w:rPr>
        <w:t xml:space="preserve">, </w:t>
      </w:r>
      <w:r>
        <w:rPr>
          <w:i/>
          <w:iCs/>
          <w:color w:val="222222"/>
        </w:rPr>
        <w:t>24</w:t>
      </w:r>
      <w:r>
        <w:rPr>
          <w:color w:val="222222"/>
        </w:rPr>
        <w:t xml:space="preserve">(1), p.47. </w:t>
      </w:r>
      <w:hyperlink r:id="rId41">
        <w:r w:rsidR="005103D4">
          <w:rPr>
            <w:color w:val="1155CC"/>
            <w:u w:val="single"/>
          </w:rPr>
          <w:t>https://link.springer.com/content/pdf/10.1186/s12913-023-10135-0.pdf</w:t>
        </w:r>
      </w:hyperlink>
      <w:r>
        <w:rPr>
          <w:color w:val="222222"/>
        </w:rPr>
        <w:t xml:space="preserve"> </w:t>
      </w:r>
    </w:p>
    <w:p w14:paraId="04F3FEAF" w14:textId="77777777" w:rsidR="005103D4" w:rsidRDefault="005769A0">
      <w:pPr>
        <w:spacing w:before="240" w:after="240"/>
        <w:rPr>
          <w:color w:val="222222"/>
        </w:rPr>
      </w:pPr>
      <w:r>
        <w:rPr>
          <w:color w:val="222222"/>
        </w:rPr>
        <w:t xml:space="preserve">Kakemam, E., Mardani, A., Parsarad, E., Taheri, R., Moosavi, S., Kalhor, R. and Roh, Y.S., 2025. The impact of nurses’ perceptions of systems thinking on patient safety competencies: a cross-sectional study. </w:t>
      </w:r>
      <w:r>
        <w:rPr>
          <w:i/>
          <w:iCs/>
          <w:color w:val="222222"/>
        </w:rPr>
        <w:t>BMC Health Services Research</w:t>
      </w:r>
      <w:r>
        <w:rPr>
          <w:color w:val="222222"/>
        </w:rPr>
        <w:t xml:space="preserve">, </w:t>
      </w:r>
      <w:r>
        <w:rPr>
          <w:i/>
          <w:iCs/>
          <w:color w:val="222222"/>
        </w:rPr>
        <w:t>25</w:t>
      </w:r>
      <w:r>
        <w:rPr>
          <w:color w:val="222222"/>
        </w:rPr>
        <w:t xml:space="preserve">(1), p.1233. </w:t>
      </w:r>
      <w:hyperlink r:id="rId42">
        <w:r w:rsidR="005103D4">
          <w:rPr>
            <w:color w:val="1155CC"/>
            <w:u w:val="single"/>
          </w:rPr>
          <w:t>https://link.springer.com/content/pdf/10.1186/s12913-025-13456-4.pdf</w:t>
        </w:r>
      </w:hyperlink>
      <w:r>
        <w:rPr>
          <w:color w:val="222222"/>
        </w:rPr>
        <w:t xml:space="preserve"> </w:t>
      </w:r>
    </w:p>
    <w:p w14:paraId="1F7E32AD" w14:textId="77777777" w:rsidR="005103D4" w:rsidRDefault="005769A0">
      <w:pPr>
        <w:spacing w:before="240" w:after="240"/>
        <w:rPr>
          <w:color w:val="222222"/>
        </w:rPr>
      </w:pPr>
      <w:r>
        <w:rPr>
          <w:color w:val="222222"/>
        </w:rPr>
        <w:t xml:space="preserve">Kannan, S., Bruch, J.D. and Song, Z., 2023. Changes in hospital adverse events and patient outcomes associated with private equity acquisition. </w:t>
      </w:r>
      <w:r>
        <w:rPr>
          <w:i/>
          <w:iCs/>
          <w:color w:val="222222"/>
        </w:rPr>
        <w:t>Jama</w:t>
      </w:r>
      <w:r>
        <w:rPr>
          <w:color w:val="222222"/>
        </w:rPr>
        <w:t xml:space="preserve">, </w:t>
      </w:r>
      <w:r>
        <w:rPr>
          <w:i/>
          <w:iCs/>
          <w:color w:val="222222"/>
        </w:rPr>
        <w:t>330</w:t>
      </w:r>
      <w:r>
        <w:rPr>
          <w:color w:val="222222"/>
        </w:rPr>
        <w:t xml:space="preserve">(24), pp.2365-2375. </w:t>
      </w:r>
      <w:hyperlink r:id="rId43">
        <w:r w:rsidR="005103D4">
          <w:rPr>
            <w:color w:val="1155CC"/>
            <w:u w:val="single"/>
          </w:rPr>
          <w:t>https://jamanetwork.com/journals/jama/articlepdf/2813379/jama_kannan_2023_oi_230136_1702926637.74059.pdf</w:t>
        </w:r>
      </w:hyperlink>
      <w:r>
        <w:rPr>
          <w:color w:val="222222"/>
        </w:rPr>
        <w:t xml:space="preserve"> </w:t>
      </w:r>
    </w:p>
    <w:p w14:paraId="476AEC0A" w14:textId="77777777" w:rsidR="005103D4" w:rsidRDefault="005769A0">
      <w:pPr>
        <w:spacing w:before="240" w:after="240"/>
        <w:rPr>
          <w:color w:val="222222"/>
        </w:rPr>
      </w:pPr>
      <w:r>
        <w:rPr>
          <w:color w:val="222222"/>
        </w:rPr>
        <w:t xml:space="preserve">Li, L.Z., Yang, P., Singer, S.J., Pfeffer, J., Mathur, M.B. and Shanafelt, T., 2024. Nurse burnout and patient safety, satisfaction, and quality of care: a systematic review and meta-analysis. </w:t>
      </w:r>
      <w:r>
        <w:rPr>
          <w:i/>
          <w:iCs/>
          <w:color w:val="222222"/>
        </w:rPr>
        <w:t>JAMA network open</w:t>
      </w:r>
      <w:r>
        <w:rPr>
          <w:color w:val="222222"/>
        </w:rPr>
        <w:t xml:space="preserve">, </w:t>
      </w:r>
      <w:r>
        <w:rPr>
          <w:i/>
          <w:iCs/>
          <w:color w:val="222222"/>
        </w:rPr>
        <w:t>7</w:t>
      </w:r>
      <w:r>
        <w:rPr>
          <w:color w:val="222222"/>
        </w:rPr>
        <w:t xml:space="preserve">(11), p.e2443059. </w:t>
      </w:r>
      <w:hyperlink r:id="rId44">
        <w:r w:rsidR="005103D4">
          <w:rPr>
            <w:color w:val="1155CC"/>
            <w:u w:val="single"/>
          </w:rPr>
          <w:t>https://jamanetwork.com/journals/jamanetworkopen/articlepdf/2825639/li_2024_oi_241233_1729873218.70843.pdf</w:t>
        </w:r>
      </w:hyperlink>
      <w:r>
        <w:rPr>
          <w:color w:val="222222"/>
        </w:rPr>
        <w:t xml:space="preserve"> </w:t>
      </w:r>
    </w:p>
    <w:p w14:paraId="6BEE29A0" w14:textId="77777777" w:rsidR="005103D4" w:rsidRDefault="005769A0">
      <w:pPr>
        <w:spacing w:before="240" w:after="240"/>
        <w:rPr>
          <w:color w:val="222222"/>
        </w:rPr>
      </w:pPr>
      <w:r>
        <w:rPr>
          <w:color w:val="222222"/>
        </w:rPr>
        <w:t>Lip, G.Y., Proietti, M., Potpara</w:t>
      </w:r>
      <w:r>
        <w:rPr>
          <w:color w:val="222222"/>
        </w:rPr>
        <w:t xml:space="preserve">, T., Mansour, M., Savelieva, I., Tse, H.F., Goette, A., Camm, A.J., Blomstrom-Lundqvist, C., Gupta, D. and Boriani, G., 2023. Atrial fibrillation and stroke prevention: 25 years of research at EP Europace journal. </w:t>
      </w:r>
      <w:r>
        <w:rPr>
          <w:i/>
          <w:iCs/>
          <w:color w:val="222222"/>
        </w:rPr>
        <w:t>Europace</w:t>
      </w:r>
      <w:r>
        <w:rPr>
          <w:color w:val="222222"/>
        </w:rPr>
        <w:t xml:space="preserve">, </w:t>
      </w:r>
      <w:r>
        <w:rPr>
          <w:i/>
          <w:iCs/>
          <w:color w:val="222222"/>
        </w:rPr>
        <w:t>25</w:t>
      </w:r>
      <w:r>
        <w:rPr>
          <w:color w:val="222222"/>
        </w:rPr>
        <w:t xml:space="preserve">(9), </w:t>
      </w:r>
      <w:proofErr w:type="gramStart"/>
      <w:r>
        <w:rPr>
          <w:color w:val="222222"/>
        </w:rPr>
        <w:t>p.euad</w:t>
      </w:r>
      <w:proofErr w:type="gramEnd"/>
      <w:r>
        <w:rPr>
          <w:color w:val="222222"/>
        </w:rPr>
        <w:t xml:space="preserve">226. </w:t>
      </w:r>
      <w:hyperlink r:id="rId45">
        <w:r w:rsidR="005103D4">
          <w:rPr>
            <w:color w:val="1155CC"/>
            <w:u w:val="single"/>
          </w:rPr>
          <w:t>https://academic.oup.com/europace/article-pdf/25/9/euad226/51309952/euad226.pdf</w:t>
        </w:r>
      </w:hyperlink>
      <w:r>
        <w:rPr>
          <w:color w:val="222222"/>
        </w:rPr>
        <w:t xml:space="preserve"> </w:t>
      </w:r>
    </w:p>
    <w:p w14:paraId="2ABFD1D8" w14:textId="77777777" w:rsidR="005103D4" w:rsidRDefault="005769A0">
      <w:pPr>
        <w:spacing w:before="240" w:after="240"/>
        <w:rPr>
          <w:color w:val="222222"/>
        </w:rPr>
      </w:pPr>
      <w:r>
        <w:rPr>
          <w:color w:val="222222"/>
        </w:rPr>
        <w:t>Luca, F., Oliva, F., Abrignani, M.G., Di Fusco, S.A., Parrini</w:t>
      </w:r>
      <w:r>
        <w:rPr>
          <w:color w:val="222222"/>
        </w:rPr>
        <w:t xml:space="preserve">, I., Canale, M.L., Giubilato, S., Cornara, S., Nesti, M., Rao, C.M. and Pozzi, A., 2023. Management of patients treated with direct oral anticoagulants in clinical practice and challenging scenarios. </w:t>
      </w:r>
      <w:r>
        <w:rPr>
          <w:i/>
          <w:iCs/>
          <w:color w:val="222222"/>
        </w:rPr>
        <w:t>Journal of clinical medicine</w:t>
      </w:r>
      <w:r>
        <w:rPr>
          <w:color w:val="222222"/>
        </w:rPr>
        <w:t xml:space="preserve">, </w:t>
      </w:r>
      <w:r>
        <w:rPr>
          <w:i/>
          <w:iCs/>
          <w:color w:val="222222"/>
        </w:rPr>
        <w:t>12</w:t>
      </w:r>
      <w:r>
        <w:rPr>
          <w:color w:val="222222"/>
        </w:rPr>
        <w:t xml:space="preserve">(18), p.5955. </w:t>
      </w:r>
      <w:hyperlink r:id="rId46">
        <w:r w:rsidR="005103D4">
          <w:rPr>
            <w:color w:val="1155CC"/>
            <w:u w:val="single"/>
          </w:rPr>
          <w:t>https://www.mdpi.com/2077-0383/12/18/5955</w:t>
        </w:r>
      </w:hyperlink>
      <w:r>
        <w:rPr>
          <w:color w:val="222222"/>
        </w:rPr>
        <w:t xml:space="preserve"> </w:t>
      </w:r>
    </w:p>
    <w:p w14:paraId="1BE2028B" w14:textId="77777777" w:rsidR="005103D4" w:rsidRDefault="005769A0">
      <w:pPr>
        <w:spacing w:before="240" w:after="240"/>
        <w:rPr>
          <w:color w:val="222222"/>
        </w:rPr>
      </w:pPr>
      <w:r>
        <w:rPr>
          <w:color w:val="222222"/>
        </w:rPr>
        <w:lastRenderedPageBreak/>
        <w:t>Lyng, H.B., Macrae, C., Guise, V., Haraldseid-Driftland, C., Fagerdal, B., Schibevaag</w:t>
      </w:r>
      <w:r>
        <w:rPr>
          <w:color w:val="222222"/>
        </w:rPr>
        <w:t xml:space="preserve">, L. and Wiig, S., 2022. Capacities for resilience in healthcare; a qualitative study across different healthcare contexts. </w:t>
      </w:r>
      <w:r>
        <w:rPr>
          <w:i/>
          <w:iCs/>
          <w:color w:val="222222"/>
        </w:rPr>
        <w:t>BMC health services research</w:t>
      </w:r>
      <w:r>
        <w:rPr>
          <w:color w:val="222222"/>
        </w:rPr>
        <w:t xml:space="preserve">, </w:t>
      </w:r>
      <w:r>
        <w:rPr>
          <w:i/>
          <w:iCs/>
          <w:color w:val="222222"/>
        </w:rPr>
        <w:t>22</w:t>
      </w:r>
      <w:r>
        <w:rPr>
          <w:color w:val="222222"/>
        </w:rPr>
        <w:t xml:space="preserve">(1), p.474. </w:t>
      </w:r>
      <w:hyperlink r:id="rId47">
        <w:r w:rsidR="005103D4">
          <w:rPr>
            <w:color w:val="1155CC"/>
            <w:u w:val="single"/>
          </w:rPr>
          <w:t>https://link.springer.com/content/pdf/10.1186/s12913-022-07887-6.pdf</w:t>
        </w:r>
      </w:hyperlink>
      <w:r>
        <w:rPr>
          <w:color w:val="222222"/>
        </w:rPr>
        <w:t xml:space="preserve"> </w:t>
      </w:r>
    </w:p>
    <w:p w14:paraId="48885561" w14:textId="77777777" w:rsidR="005103D4" w:rsidRDefault="005769A0">
      <w:pPr>
        <w:spacing w:before="240" w:after="240"/>
        <w:rPr>
          <w:color w:val="222222"/>
        </w:rPr>
      </w:pPr>
      <w:r>
        <w:rPr>
          <w:color w:val="222222"/>
        </w:rPr>
        <w:t xml:space="preserve">Ma, F., Wu, S., Li, S., Zeng, Z. and Zhang, J., 2023. Risk factors for anticoagulant-associated gastrointestinal hemorrhage: a systematic review and meta-analysis. </w:t>
      </w:r>
      <w:r>
        <w:rPr>
          <w:i/>
          <w:iCs/>
          <w:color w:val="222222"/>
        </w:rPr>
        <w:t>The Korean journal of internal medicine</w:t>
      </w:r>
      <w:r>
        <w:rPr>
          <w:color w:val="222222"/>
        </w:rPr>
        <w:t xml:space="preserve">, </w:t>
      </w:r>
      <w:r>
        <w:rPr>
          <w:i/>
          <w:iCs/>
          <w:color w:val="222222"/>
        </w:rPr>
        <w:t>39</w:t>
      </w:r>
      <w:r>
        <w:rPr>
          <w:color w:val="222222"/>
        </w:rPr>
        <w:t xml:space="preserve">(1), p.77. </w:t>
      </w:r>
      <w:hyperlink r:id="rId48">
        <w:r w:rsidR="005103D4">
          <w:rPr>
            <w:color w:val="1155CC"/>
            <w:u w:val="single"/>
          </w:rPr>
          <w:t>https://pmc.ncbi.nlm.nih.gov/articles/PMC10790055/pdf/kjim-2023-098.pdf</w:t>
        </w:r>
      </w:hyperlink>
      <w:r>
        <w:rPr>
          <w:color w:val="222222"/>
        </w:rPr>
        <w:t xml:space="preserve"> </w:t>
      </w:r>
    </w:p>
    <w:p w14:paraId="31403DA2" w14:textId="77777777" w:rsidR="005103D4" w:rsidRDefault="005769A0">
      <w:pPr>
        <w:spacing w:before="240" w:after="240"/>
        <w:rPr>
          <w:color w:val="222222"/>
        </w:rPr>
      </w:pPr>
      <w:r>
        <w:rPr>
          <w:color w:val="222222"/>
        </w:rPr>
        <w:t xml:space="preserve">National Institute for Health and Care Excellence (2021) </w:t>
      </w:r>
      <w:r>
        <w:rPr>
          <w:i/>
          <w:iCs/>
          <w:color w:val="222222"/>
        </w:rPr>
        <w:t>Atrial Fibrillation: Diagnosis and Management (NG196)</w:t>
      </w:r>
      <w:r>
        <w:rPr>
          <w:color w:val="222222"/>
        </w:rPr>
        <w:t xml:space="preserve">. London: NICE. </w:t>
      </w:r>
      <w:hyperlink r:id="rId49">
        <w:r w:rsidR="005103D4">
          <w:rPr>
            <w:color w:val="1155CC"/>
            <w:u w:val="single"/>
          </w:rPr>
          <w:t>https://www.nice.org.uk/guidance/ng196</w:t>
        </w:r>
      </w:hyperlink>
      <w:r>
        <w:rPr>
          <w:color w:val="222222"/>
        </w:rPr>
        <w:t xml:space="preserve"> </w:t>
      </w:r>
    </w:p>
    <w:p w14:paraId="08895010" w14:textId="77777777" w:rsidR="005103D4" w:rsidRDefault="005769A0">
      <w:pPr>
        <w:spacing w:before="240" w:after="240"/>
        <w:rPr>
          <w:color w:val="222222"/>
        </w:rPr>
      </w:pPr>
      <w:r>
        <w:rPr>
          <w:color w:val="222222"/>
        </w:rPr>
        <w:t xml:space="preserve">National Institute for Health and Care Excellence (2023) </w:t>
      </w:r>
      <w:r>
        <w:rPr>
          <w:i/>
          <w:iCs/>
          <w:color w:val="222222"/>
        </w:rPr>
        <w:t>Medicines Optimisation: The Safe and Effective Use of Medicines</w:t>
      </w:r>
      <w:r>
        <w:rPr>
          <w:color w:val="222222"/>
        </w:rPr>
        <w:t xml:space="preserve">. London: NICE. </w:t>
      </w:r>
      <w:hyperlink r:id="rId50">
        <w:r w:rsidR="005103D4">
          <w:rPr>
            <w:color w:val="1155CC"/>
            <w:u w:val="single"/>
          </w:rPr>
          <w:t>https://www.nice.org.uk/guidance/ng5</w:t>
        </w:r>
      </w:hyperlink>
      <w:r>
        <w:rPr>
          <w:color w:val="222222"/>
        </w:rPr>
        <w:t xml:space="preserve"> </w:t>
      </w:r>
    </w:p>
    <w:p w14:paraId="16D131FC" w14:textId="77777777" w:rsidR="005103D4" w:rsidRDefault="005769A0">
      <w:pPr>
        <w:spacing w:before="240" w:after="240"/>
        <w:rPr>
          <w:color w:val="222222"/>
        </w:rPr>
      </w:pPr>
      <w:r>
        <w:rPr>
          <w:color w:val="222222"/>
        </w:rPr>
        <w:t xml:space="preserve">National Institute for Health and Care Excellence (NICE) (2022) </w:t>
      </w:r>
      <w:r>
        <w:rPr>
          <w:i/>
          <w:iCs/>
          <w:color w:val="222222"/>
        </w:rPr>
        <w:t>Patient Safety and Medicines Optimisation: Evidence Review</w:t>
      </w:r>
      <w:r>
        <w:rPr>
          <w:color w:val="222222"/>
        </w:rPr>
        <w:t xml:space="preserve">. London: NICE. </w:t>
      </w:r>
      <w:hyperlink r:id="rId51">
        <w:r w:rsidR="005103D4">
          <w:rPr>
            <w:color w:val="1155CC"/>
            <w:u w:val="single"/>
          </w:rPr>
          <w:t>https://www.nice.org.uk/patient-safety</w:t>
        </w:r>
      </w:hyperlink>
      <w:r>
        <w:rPr>
          <w:color w:val="222222"/>
        </w:rPr>
        <w:t xml:space="preserve"> </w:t>
      </w:r>
    </w:p>
    <w:p w14:paraId="72773E8D" w14:textId="77777777" w:rsidR="005103D4" w:rsidRDefault="005769A0">
      <w:pPr>
        <w:spacing w:after="240"/>
        <w:rPr>
          <w:color w:val="222222"/>
        </w:rPr>
      </w:pPr>
      <w:r>
        <w:rPr>
          <w:color w:val="222222"/>
        </w:rPr>
        <w:t xml:space="preserve">NHS (2023). Governance reference guide governance guide: How we are run and make decisions within ULHT a reference guide for staff 2019 -2021 governance reference guide 2 contents. [online] Available at: </w:t>
      </w:r>
      <w:hyperlink r:id="rId52">
        <w:r w:rsidR="005103D4">
          <w:rPr>
            <w:color w:val="1155CC"/>
            <w:u w:val="single"/>
          </w:rPr>
          <w:t>https://www.ulh.nhs.uk/wp-content/uploads/2018/11/Item-7.1-Appendix-B.-2.-Final-Governance-Reference-Guide-2019-2021-v0.7.pdf</w:t>
        </w:r>
      </w:hyperlink>
      <w:r>
        <w:rPr>
          <w:color w:val="222222"/>
        </w:rPr>
        <w:t xml:space="preserve"> </w:t>
      </w:r>
    </w:p>
    <w:p w14:paraId="63A7954A" w14:textId="77777777" w:rsidR="005103D4" w:rsidRDefault="005769A0">
      <w:pPr>
        <w:spacing w:before="240" w:after="240"/>
        <w:rPr>
          <w:color w:val="222222"/>
        </w:rPr>
      </w:pPr>
      <w:r>
        <w:rPr>
          <w:color w:val="222222"/>
        </w:rPr>
        <w:t xml:space="preserve">NHS England (2023) </w:t>
      </w:r>
      <w:r>
        <w:rPr>
          <w:i/>
          <w:iCs/>
          <w:color w:val="222222"/>
        </w:rPr>
        <w:t>National Patient Safety Incident Reports</w:t>
      </w:r>
      <w:r>
        <w:rPr>
          <w:color w:val="222222"/>
        </w:rPr>
        <w:t xml:space="preserve">. London: NHS England. </w:t>
      </w:r>
      <w:hyperlink r:id="rId53">
        <w:r w:rsidR="005103D4">
          <w:rPr>
            <w:color w:val="1155CC"/>
            <w:u w:val="single"/>
          </w:rPr>
          <w:t>https://www.england.nhs.uk/statistics/statistical-work-areas/patient-safety-data/</w:t>
        </w:r>
      </w:hyperlink>
      <w:r>
        <w:rPr>
          <w:color w:val="222222"/>
        </w:rPr>
        <w:t xml:space="preserve"> </w:t>
      </w:r>
    </w:p>
    <w:p w14:paraId="2F1731A5" w14:textId="77777777" w:rsidR="005103D4" w:rsidRDefault="005769A0">
      <w:pPr>
        <w:spacing w:before="240" w:after="240"/>
        <w:rPr>
          <w:color w:val="222222"/>
        </w:rPr>
      </w:pPr>
      <w:r>
        <w:rPr>
          <w:color w:val="222222"/>
        </w:rPr>
        <w:t xml:space="preserve">NHS England (2023) </w:t>
      </w:r>
      <w:r>
        <w:rPr>
          <w:i/>
          <w:iCs/>
          <w:color w:val="222222"/>
        </w:rPr>
        <w:t>NHS Patient Safety Strategy: Safer Culture, Safer Systems, Safer Patients</w:t>
      </w:r>
      <w:r>
        <w:rPr>
          <w:color w:val="222222"/>
        </w:rPr>
        <w:t xml:space="preserve">. London: NHS England. </w:t>
      </w:r>
      <w:hyperlink r:id="rId54">
        <w:r w:rsidR="005103D4">
          <w:rPr>
            <w:color w:val="1155CC"/>
            <w:u w:val="single"/>
          </w:rPr>
          <w:t>https://www.england.nhs.uk/patient-safety/the-nhs-patient-safety-strategy/</w:t>
        </w:r>
      </w:hyperlink>
      <w:r>
        <w:rPr>
          <w:color w:val="222222"/>
        </w:rPr>
        <w:t xml:space="preserve"> </w:t>
      </w:r>
    </w:p>
    <w:p w14:paraId="27D840CA" w14:textId="77777777" w:rsidR="005103D4" w:rsidRDefault="005769A0">
      <w:pPr>
        <w:spacing w:before="240" w:after="240"/>
        <w:rPr>
          <w:color w:val="222222"/>
        </w:rPr>
      </w:pPr>
      <w:r>
        <w:rPr>
          <w:color w:val="222222"/>
        </w:rPr>
        <w:t xml:space="preserve">NHS England (2024) </w:t>
      </w:r>
      <w:r>
        <w:rPr>
          <w:i/>
          <w:iCs/>
          <w:color w:val="222222"/>
        </w:rPr>
        <w:t>Medicines Safety Improvement Programme Annual Report</w:t>
      </w:r>
      <w:r>
        <w:rPr>
          <w:color w:val="222222"/>
        </w:rPr>
        <w:t xml:space="preserve">. London: NHS England. </w:t>
      </w:r>
      <w:hyperlink r:id="rId55">
        <w:r w:rsidR="005103D4">
          <w:rPr>
            <w:color w:val="1155CC"/>
            <w:u w:val="single"/>
          </w:rPr>
          <w:t>https://assets.publishing.service.gov.uk/media/69036ef05c84b1206832a86f/nhs-england-annual-report-and-accounts-2024-to-2025.pdf</w:t>
        </w:r>
      </w:hyperlink>
      <w:r>
        <w:rPr>
          <w:color w:val="222222"/>
        </w:rPr>
        <w:t xml:space="preserve"> </w:t>
      </w:r>
    </w:p>
    <w:p w14:paraId="2E3A418D" w14:textId="77777777" w:rsidR="005103D4" w:rsidRDefault="005769A0">
      <w:pPr>
        <w:spacing w:before="240" w:after="240"/>
        <w:rPr>
          <w:color w:val="222222"/>
        </w:rPr>
      </w:pPr>
      <w:r>
        <w:rPr>
          <w:color w:val="222222"/>
        </w:rPr>
        <w:lastRenderedPageBreak/>
        <w:t xml:space="preserve">NHS England (2024) </w:t>
      </w:r>
      <w:r>
        <w:rPr>
          <w:i/>
          <w:iCs/>
          <w:color w:val="222222"/>
        </w:rPr>
        <w:t>Patient Safety Incident Response Framework (PSIRF): Updated Guidance</w:t>
      </w:r>
      <w:r>
        <w:rPr>
          <w:color w:val="222222"/>
        </w:rPr>
        <w:t xml:space="preserve">. London: NHS England. </w:t>
      </w:r>
      <w:hyperlink r:id="rId56">
        <w:r w:rsidR="005103D4">
          <w:rPr>
            <w:color w:val="1155CC"/>
            <w:u w:val="single"/>
          </w:rPr>
          <w:t>https://www.england.nhs.uk/patient-safety/patient-safety-insight/incident-response-framework/</w:t>
        </w:r>
      </w:hyperlink>
      <w:r>
        <w:rPr>
          <w:color w:val="222222"/>
        </w:rPr>
        <w:t xml:space="preserve"> </w:t>
      </w:r>
    </w:p>
    <w:p w14:paraId="0BF19298" w14:textId="77777777" w:rsidR="005103D4" w:rsidRDefault="005769A0">
      <w:pPr>
        <w:spacing w:before="240" w:after="240"/>
        <w:rPr>
          <w:color w:val="222222"/>
        </w:rPr>
      </w:pPr>
      <w:r>
        <w:rPr>
          <w:color w:val="222222"/>
        </w:rPr>
        <w:t xml:space="preserve">NHS Resolution (2022) </w:t>
      </w:r>
      <w:r>
        <w:rPr>
          <w:i/>
          <w:iCs/>
          <w:color w:val="222222"/>
        </w:rPr>
        <w:t>Learning from Safety Events in NHS Organisations</w:t>
      </w:r>
      <w:r>
        <w:rPr>
          <w:color w:val="222222"/>
        </w:rPr>
        <w:t xml:space="preserve">. London: NHS Resolution. </w:t>
      </w:r>
      <w:hyperlink r:id="rId57">
        <w:r w:rsidR="005103D4">
          <w:rPr>
            <w:color w:val="1155CC"/>
            <w:u w:val="single"/>
          </w:rPr>
          <w:t>https://resolution.nhs.uk/resource-services/safety-and-learning/</w:t>
        </w:r>
      </w:hyperlink>
      <w:r>
        <w:rPr>
          <w:color w:val="222222"/>
        </w:rPr>
        <w:t xml:space="preserve"> </w:t>
      </w:r>
    </w:p>
    <w:p w14:paraId="4D9198ED" w14:textId="77777777" w:rsidR="005103D4" w:rsidRDefault="005769A0">
      <w:pPr>
        <w:spacing w:before="240" w:after="240"/>
        <w:rPr>
          <w:color w:val="222222"/>
        </w:rPr>
      </w:pPr>
      <w:r>
        <w:rPr>
          <w:color w:val="222222"/>
        </w:rPr>
        <w:t xml:space="preserve">Nyanje, S.K., Manji, I., Njenga, D., Oduor, M.A., Milimo, B., Bosire, K. and Nyasulu, P.S., 2025. Patient and institutional-related barriers to the uptake of anticoagulation service at Moi Teaching and Referral Hospital, Eldoret, Kenya. </w:t>
      </w:r>
      <w:r>
        <w:rPr>
          <w:i/>
          <w:iCs/>
          <w:color w:val="222222"/>
        </w:rPr>
        <w:t>Primary Health Care Practice Journal</w:t>
      </w:r>
      <w:r>
        <w:rPr>
          <w:color w:val="222222"/>
        </w:rPr>
        <w:t xml:space="preserve">, </w:t>
      </w:r>
      <w:r>
        <w:rPr>
          <w:i/>
          <w:iCs/>
          <w:color w:val="222222"/>
        </w:rPr>
        <w:t>2</w:t>
      </w:r>
      <w:r>
        <w:rPr>
          <w:color w:val="222222"/>
        </w:rPr>
        <w:t xml:space="preserve">(4). </w:t>
      </w:r>
      <w:hyperlink r:id="rId58">
        <w:r w:rsidR="005103D4">
          <w:rPr>
            <w:color w:val="1155CC"/>
            <w:u w:val="single"/>
          </w:rPr>
          <w:t>https://www.phcp-journal.org/content/article/2/4/full/</w:t>
        </w:r>
      </w:hyperlink>
      <w:r>
        <w:rPr>
          <w:color w:val="222222"/>
        </w:rPr>
        <w:t xml:space="preserve"> </w:t>
      </w:r>
    </w:p>
    <w:p w14:paraId="65A48F6A" w14:textId="77777777" w:rsidR="005103D4" w:rsidRDefault="005769A0">
      <w:pPr>
        <w:spacing w:before="240" w:after="240"/>
        <w:rPr>
          <w:color w:val="222222"/>
        </w:rPr>
      </w:pPr>
      <w:r>
        <w:rPr>
          <w:color w:val="222222"/>
        </w:rPr>
        <w:t xml:space="preserve">Ong, J.C.L., Jin, L., Elangovan, K., Lim, G.Y.S., Lim, D.Y.Z., Sng, G.G.R., Ke, Y., Tung, J.Y.M., Zhong, R.J., Koh, C.M.Y. and Lee, K.Z.H., 2024. Development and testing of a novel large language model-based clinical decision support systems for medication safety in 12 clinical specialties. </w:t>
      </w:r>
      <w:r>
        <w:rPr>
          <w:i/>
          <w:iCs/>
          <w:color w:val="222222"/>
        </w:rPr>
        <w:t>arXiv preprint arXiv:2402.01741</w:t>
      </w:r>
      <w:r>
        <w:rPr>
          <w:color w:val="222222"/>
        </w:rPr>
        <w:t xml:space="preserve">. </w:t>
      </w:r>
      <w:hyperlink r:id="rId59">
        <w:r w:rsidR="005103D4">
          <w:rPr>
            <w:color w:val="1155CC"/>
            <w:u w:val="single"/>
          </w:rPr>
          <w:t>https://arxiv.org/pdf/2402.01741</w:t>
        </w:r>
      </w:hyperlink>
      <w:r>
        <w:rPr>
          <w:color w:val="222222"/>
        </w:rPr>
        <w:t xml:space="preserve"> </w:t>
      </w:r>
    </w:p>
    <w:p w14:paraId="751ED51C" w14:textId="77777777" w:rsidR="005103D4" w:rsidRDefault="005769A0">
      <w:pPr>
        <w:spacing w:before="240" w:after="240"/>
        <w:rPr>
          <w:color w:val="222222"/>
        </w:rPr>
      </w:pPr>
      <w:r>
        <w:rPr>
          <w:color w:val="222222"/>
        </w:rPr>
        <w:t xml:space="preserve">Organisation for Economic Co-operation and Development (2023) </w:t>
      </w:r>
      <w:r>
        <w:rPr>
          <w:i/>
          <w:iCs/>
          <w:color w:val="222222"/>
        </w:rPr>
        <w:t>Health at a Glance 2023: OECD Indicators</w:t>
      </w:r>
      <w:r>
        <w:rPr>
          <w:color w:val="222222"/>
        </w:rPr>
        <w:t xml:space="preserve">. Paris: OECD. </w:t>
      </w:r>
      <w:hyperlink r:id="rId60">
        <w:r w:rsidR="005103D4">
          <w:rPr>
            <w:color w:val="1155CC"/>
            <w:u w:val="single"/>
          </w:rPr>
          <w:t>https://www.oecd.org/content/dam/oecd/en/publications/reports/2023/11/health-at-a-glance-2023_e04f8239/7a7afb35-en.pdf</w:t>
        </w:r>
      </w:hyperlink>
      <w:r>
        <w:rPr>
          <w:color w:val="222222"/>
        </w:rPr>
        <w:t xml:space="preserve"> </w:t>
      </w:r>
    </w:p>
    <w:p w14:paraId="3AE279D3" w14:textId="77777777" w:rsidR="005103D4" w:rsidRDefault="005769A0">
      <w:pPr>
        <w:spacing w:before="240" w:after="240"/>
        <w:rPr>
          <w:color w:val="222222"/>
        </w:rPr>
      </w:pPr>
      <w:r>
        <w:rPr>
          <w:color w:val="222222"/>
        </w:rPr>
        <w:t xml:space="preserve">Organisation for Economic Co-operation and Development (OECD) (2024) </w:t>
      </w:r>
      <w:r>
        <w:rPr>
          <w:i/>
          <w:iCs/>
          <w:color w:val="222222"/>
        </w:rPr>
        <w:t>Health at a Glance: Europe 2024</w:t>
      </w:r>
      <w:r>
        <w:rPr>
          <w:color w:val="222222"/>
        </w:rPr>
        <w:t xml:space="preserve">. Paris: OECD. </w:t>
      </w:r>
      <w:hyperlink r:id="rId61">
        <w:r w:rsidR="005103D4">
          <w:rPr>
            <w:color w:val="1155CC"/>
            <w:u w:val="single"/>
          </w:rPr>
          <w:t>https://www.oecd.org/en/publications/health-at-a-glance-europe-2024_b3704e14-en.html</w:t>
        </w:r>
      </w:hyperlink>
      <w:r>
        <w:rPr>
          <w:color w:val="222222"/>
        </w:rPr>
        <w:t xml:space="preserve"> </w:t>
      </w:r>
    </w:p>
    <w:p w14:paraId="1D6867CD" w14:textId="77777777" w:rsidR="005103D4" w:rsidRDefault="005769A0">
      <w:pPr>
        <w:spacing w:before="240" w:after="240"/>
        <w:rPr>
          <w:color w:val="222222"/>
        </w:rPr>
      </w:pPr>
      <w:r>
        <w:rPr>
          <w:color w:val="222222"/>
        </w:rPr>
        <w:t xml:space="preserve">Saidur, M.J.I. and Dhanekula, A., 2024. Machine learning and secure data pipeline frameworks for improving patient safety within US electronic health record systems. </w:t>
      </w:r>
      <w:r>
        <w:rPr>
          <w:i/>
          <w:iCs/>
          <w:color w:val="222222"/>
        </w:rPr>
        <w:t>American Journal of Interdisciplinary Studies</w:t>
      </w:r>
      <w:r>
        <w:rPr>
          <w:color w:val="222222"/>
        </w:rPr>
        <w:t xml:space="preserve">, </w:t>
      </w:r>
      <w:r>
        <w:rPr>
          <w:i/>
          <w:iCs/>
          <w:color w:val="222222"/>
        </w:rPr>
        <w:t>5</w:t>
      </w:r>
      <w:r>
        <w:rPr>
          <w:color w:val="222222"/>
        </w:rPr>
        <w:t xml:space="preserve">(03), pp.43-85. </w:t>
      </w:r>
      <w:hyperlink r:id="rId62">
        <w:r w:rsidR="005103D4">
          <w:rPr>
            <w:color w:val="1155CC"/>
            <w:u w:val="single"/>
          </w:rPr>
          <w:t>https://ajisresearch.com/index.php/ajis/article/download/74/72</w:t>
        </w:r>
      </w:hyperlink>
      <w:r>
        <w:rPr>
          <w:color w:val="222222"/>
        </w:rPr>
        <w:t xml:space="preserve"> </w:t>
      </w:r>
    </w:p>
    <w:p w14:paraId="4962D646" w14:textId="77777777" w:rsidR="005103D4" w:rsidRDefault="005769A0">
      <w:pPr>
        <w:spacing w:before="240" w:after="240"/>
        <w:rPr>
          <w:color w:val="222222"/>
        </w:rPr>
      </w:pPr>
      <w:r>
        <w:rPr>
          <w:color w:val="222222"/>
        </w:rPr>
        <w:t xml:space="preserve">Terrier, J., Mach, A., Fontana, P., Bonhomme, F. and Casini, A., 2023. Clinicians’ adherence to guidelines for the preoperative management of direct oral anticoagulants in a tertiary hospital: a </w:t>
      </w:r>
      <w:r>
        <w:rPr>
          <w:color w:val="222222"/>
        </w:rPr>
        <w:lastRenderedPageBreak/>
        <w:t xml:space="preserve">retrospective study. </w:t>
      </w:r>
      <w:r>
        <w:rPr>
          <w:i/>
          <w:iCs/>
          <w:color w:val="222222"/>
        </w:rPr>
        <w:t>BMC anesthesiology</w:t>
      </w:r>
      <w:r>
        <w:rPr>
          <w:color w:val="222222"/>
        </w:rPr>
        <w:t xml:space="preserve">, </w:t>
      </w:r>
      <w:r>
        <w:rPr>
          <w:i/>
          <w:iCs/>
          <w:color w:val="222222"/>
        </w:rPr>
        <w:t>23</w:t>
      </w:r>
      <w:r>
        <w:rPr>
          <w:color w:val="222222"/>
        </w:rPr>
        <w:t xml:space="preserve">(1), p.314. </w:t>
      </w:r>
      <w:hyperlink r:id="rId63">
        <w:r w:rsidR="005103D4">
          <w:rPr>
            <w:color w:val="1155CC"/>
            <w:u w:val="single"/>
          </w:rPr>
          <w:t>https://link.springer.com/content/pdf/10.1186/s12871-023-02276-w.pdf</w:t>
        </w:r>
      </w:hyperlink>
      <w:r>
        <w:rPr>
          <w:color w:val="222222"/>
        </w:rPr>
        <w:t xml:space="preserve"> </w:t>
      </w:r>
    </w:p>
    <w:p w14:paraId="6FC31B1C" w14:textId="77777777" w:rsidR="005103D4" w:rsidRDefault="005769A0">
      <w:pPr>
        <w:spacing w:before="240" w:after="240"/>
        <w:rPr>
          <w:color w:val="222222"/>
        </w:rPr>
      </w:pPr>
      <w:r>
        <w:rPr>
          <w:color w:val="222222"/>
        </w:rPr>
        <w:t xml:space="preserve">The King's Fund (2022) </w:t>
      </w:r>
      <w:r>
        <w:rPr>
          <w:i/>
          <w:iCs/>
          <w:color w:val="222222"/>
        </w:rPr>
        <w:t>Leadership and Culture in the NHS: Supporting Safer Care</w:t>
      </w:r>
      <w:r>
        <w:rPr>
          <w:color w:val="222222"/>
        </w:rPr>
        <w:t xml:space="preserve">. London: The King's Fund. </w:t>
      </w:r>
      <w:hyperlink r:id="rId64">
        <w:r w:rsidR="005103D4">
          <w:rPr>
            <w:color w:val="1155CC"/>
            <w:u w:val="single"/>
          </w:rPr>
          <w:t>https://www.kingsfund.org.uk/</w:t>
        </w:r>
      </w:hyperlink>
      <w:r>
        <w:rPr>
          <w:color w:val="222222"/>
        </w:rPr>
        <w:t xml:space="preserve"> </w:t>
      </w:r>
    </w:p>
    <w:p w14:paraId="2AF3FFA7" w14:textId="77777777" w:rsidR="005103D4" w:rsidRDefault="005769A0">
      <w:pPr>
        <w:spacing w:before="240" w:after="240"/>
        <w:rPr>
          <w:color w:val="222222"/>
        </w:rPr>
      </w:pPr>
      <w:r>
        <w:rPr>
          <w:color w:val="222222"/>
        </w:rPr>
        <w:t xml:space="preserve">Wei, H., Horsley, L., Cao, Y., Haddad, L.M., Hall, K.C., Robinson, R., Powers, M. and Anderson, D.G., 2023. The associations among nurse work engagement, job satisfaction, quality of care, and intent to leave: A national survey in the United States. </w:t>
      </w:r>
      <w:r>
        <w:rPr>
          <w:i/>
          <w:iCs/>
          <w:color w:val="222222"/>
        </w:rPr>
        <w:t>International Journal of Nursing Sciences</w:t>
      </w:r>
      <w:r>
        <w:rPr>
          <w:color w:val="222222"/>
        </w:rPr>
        <w:t xml:space="preserve">, </w:t>
      </w:r>
      <w:r>
        <w:rPr>
          <w:i/>
          <w:iCs/>
          <w:color w:val="222222"/>
        </w:rPr>
        <w:t>10</w:t>
      </w:r>
      <w:r>
        <w:rPr>
          <w:color w:val="222222"/>
        </w:rPr>
        <w:t xml:space="preserve">(4), pp.476-484. </w:t>
      </w:r>
      <w:hyperlink r:id="rId65">
        <w:r w:rsidR="005103D4">
          <w:rPr>
            <w:color w:val="1155CC"/>
            <w:u w:val="single"/>
          </w:rPr>
          <w:t>https://www.sciencedirect.com/science/article/pii/S2352013223001035</w:t>
        </w:r>
      </w:hyperlink>
      <w:r>
        <w:rPr>
          <w:color w:val="222222"/>
        </w:rPr>
        <w:t xml:space="preserve"> </w:t>
      </w:r>
    </w:p>
    <w:p w14:paraId="6DA37485" w14:textId="77777777" w:rsidR="005103D4" w:rsidRDefault="005769A0">
      <w:pPr>
        <w:spacing w:before="240" w:after="240"/>
        <w:rPr>
          <w:color w:val="222222"/>
        </w:rPr>
      </w:pPr>
      <w:r>
        <w:rPr>
          <w:color w:val="222222"/>
        </w:rPr>
        <w:t xml:space="preserve">West, M., Coia, D. and Armit, K. (2022) </w:t>
      </w:r>
      <w:r>
        <w:rPr>
          <w:i/>
          <w:iCs/>
          <w:color w:val="222222"/>
        </w:rPr>
        <w:t>Caring to Change: How Compassionate Leadership Can Stimulate Innovation in Health Care</w:t>
      </w:r>
      <w:r>
        <w:rPr>
          <w:color w:val="222222"/>
        </w:rPr>
        <w:t xml:space="preserve">. London: The King's Fund. </w:t>
      </w:r>
      <w:hyperlink r:id="rId66">
        <w:r w:rsidR="005103D4">
          <w:rPr>
            <w:color w:val="1155CC"/>
            <w:u w:val="single"/>
          </w:rPr>
          <w:t>https://assets.kingsfund.org.uk/f/256914/x/0b76247d02/caring_to_change_2017.pdf</w:t>
        </w:r>
      </w:hyperlink>
      <w:r>
        <w:rPr>
          <w:color w:val="222222"/>
        </w:rPr>
        <w:t xml:space="preserve"> </w:t>
      </w:r>
    </w:p>
    <w:p w14:paraId="32B9FDC4" w14:textId="77777777" w:rsidR="005103D4" w:rsidRDefault="005769A0">
      <w:pPr>
        <w:spacing w:before="240" w:after="240"/>
        <w:rPr>
          <w:color w:val="222222"/>
        </w:rPr>
      </w:pPr>
      <w:r>
        <w:rPr>
          <w:color w:val="222222"/>
        </w:rPr>
        <w:t xml:space="preserve">Wolfes, J., Ellermann, C., Frommeyer, G. and Eckardt, L., 2022. Evidence-based treatment of atrial fibrillation around the globe: comparison of the latest ESC, AHA/ACC/HRS, and CCS guidelines on the management of atrial fibrillation. </w:t>
      </w:r>
      <w:r>
        <w:rPr>
          <w:i/>
          <w:iCs/>
          <w:color w:val="222222"/>
        </w:rPr>
        <w:t>Reviews in Cardiovascular Medicine</w:t>
      </w:r>
      <w:r>
        <w:rPr>
          <w:color w:val="222222"/>
        </w:rPr>
        <w:t xml:space="preserve">, </w:t>
      </w:r>
      <w:r>
        <w:rPr>
          <w:i/>
          <w:iCs/>
          <w:color w:val="222222"/>
        </w:rPr>
        <w:t>23</w:t>
      </w:r>
      <w:r>
        <w:rPr>
          <w:color w:val="222222"/>
        </w:rPr>
        <w:t xml:space="preserve">(2), p.56.  </w:t>
      </w:r>
      <w:hyperlink r:id="rId67">
        <w:r w:rsidR="005103D4">
          <w:rPr>
            <w:color w:val="1155CC"/>
            <w:u w:val="single"/>
          </w:rPr>
          <w:t>https://www.imrpress.com/journal/RCM/23/2/10.31083/j.rcm2302056/pdf</w:t>
        </w:r>
      </w:hyperlink>
      <w:r>
        <w:rPr>
          <w:color w:val="222222"/>
        </w:rPr>
        <w:t xml:space="preserve"> </w:t>
      </w:r>
    </w:p>
    <w:p w14:paraId="24490DF7" w14:textId="77777777" w:rsidR="005103D4" w:rsidRDefault="005769A0">
      <w:pPr>
        <w:spacing w:before="240" w:after="240"/>
        <w:rPr>
          <w:color w:val="222222"/>
        </w:rPr>
      </w:pPr>
      <w:r>
        <w:rPr>
          <w:color w:val="222222"/>
        </w:rPr>
        <w:t xml:space="preserve">World Health Organization (2021) </w:t>
      </w:r>
      <w:r>
        <w:rPr>
          <w:i/>
          <w:iCs/>
          <w:color w:val="222222"/>
        </w:rPr>
        <w:t>Global Patient Safety Action Plan 2021–2030</w:t>
      </w:r>
      <w:r>
        <w:rPr>
          <w:color w:val="222222"/>
        </w:rPr>
        <w:t xml:space="preserve">. Geneva: WHO. </w:t>
      </w:r>
      <w:hyperlink r:id="rId68">
        <w:r w:rsidR="005103D4">
          <w:rPr>
            <w:color w:val="1155CC"/>
            <w:u w:val="single"/>
          </w:rPr>
          <w:t>https://www.who.int/teams/integrated-health-services/patient-safety/policy/global-patient-safety-action-plan</w:t>
        </w:r>
      </w:hyperlink>
      <w:r>
        <w:rPr>
          <w:color w:val="222222"/>
        </w:rPr>
        <w:t xml:space="preserve"> </w:t>
      </w:r>
    </w:p>
    <w:p w14:paraId="21A97454" w14:textId="77777777" w:rsidR="005103D4" w:rsidRDefault="005769A0">
      <w:pPr>
        <w:spacing w:before="240" w:after="240"/>
        <w:rPr>
          <w:color w:val="222222"/>
        </w:rPr>
      </w:pPr>
      <w:r>
        <w:rPr>
          <w:color w:val="222222"/>
        </w:rPr>
        <w:t xml:space="preserve">World Health Organization (2024) </w:t>
      </w:r>
      <w:r>
        <w:rPr>
          <w:i/>
          <w:iCs/>
          <w:color w:val="222222"/>
        </w:rPr>
        <w:t>Medication Safety in High-Risk Situations</w:t>
      </w:r>
      <w:r>
        <w:rPr>
          <w:color w:val="222222"/>
        </w:rPr>
        <w:t xml:space="preserve">. Geneva: WHO. </w:t>
      </w:r>
      <w:hyperlink r:id="rId69">
        <w:r w:rsidR="005103D4">
          <w:rPr>
            <w:color w:val="1155CC"/>
            <w:u w:val="single"/>
          </w:rPr>
          <w:t>https://www.who.int/initiatives/medication-without-harm/medication-safety-in-high-risk-situations</w:t>
        </w:r>
      </w:hyperlink>
      <w:r>
        <w:rPr>
          <w:color w:val="222222"/>
        </w:rPr>
        <w:t xml:space="preserve"> </w:t>
      </w:r>
    </w:p>
    <w:p w14:paraId="7CE08BCF" w14:textId="77777777" w:rsidR="005103D4" w:rsidRDefault="005769A0">
      <w:pPr>
        <w:spacing w:before="240" w:after="240"/>
        <w:rPr>
          <w:color w:val="222222"/>
        </w:rPr>
      </w:pPr>
      <w:r>
        <w:rPr>
          <w:color w:val="222222"/>
        </w:rPr>
        <w:t xml:space="preserve">World Health Organization (WHO) (2023) </w:t>
      </w:r>
      <w:r>
        <w:rPr>
          <w:i/>
          <w:iCs/>
          <w:color w:val="222222"/>
        </w:rPr>
        <w:t>Delivering Quality Health Services: A Global Imperative for Universal Health Coverage</w:t>
      </w:r>
      <w:r>
        <w:rPr>
          <w:color w:val="222222"/>
        </w:rPr>
        <w:t xml:space="preserve">. Geneva: World Health Organization. </w:t>
      </w:r>
      <w:hyperlink r:id="rId70">
        <w:r w:rsidR="005103D4">
          <w:rPr>
            <w:color w:val="1155CC"/>
            <w:u w:val="single"/>
          </w:rPr>
          <w:t>https://www.who.int/publications/i/item/9789241513906</w:t>
        </w:r>
      </w:hyperlink>
      <w:r>
        <w:rPr>
          <w:color w:val="222222"/>
        </w:rPr>
        <w:t xml:space="preserve"> </w:t>
      </w:r>
    </w:p>
    <w:p w14:paraId="4D608779" w14:textId="77777777" w:rsidR="005103D4" w:rsidRDefault="005769A0">
      <w:pPr>
        <w:spacing w:before="240" w:after="240"/>
        <w:rPr>
          <w:color w:val="222222"/>
        </w:rPr>
      </w:pPr>
      <w:r>
        <w:rPr>
          <w:color w:val="222222"/>
        </w:rPr>
        <w:t xml:space="preserve">World Health Organization (WHO) (2024) </w:t>
      </w:r>
      <w:r>
        <w:rPr>
          <w:i/>
          <w:iCs/>
          <w:color w:val="222222"/>
        </w:rPr>
        <w:t>Global Report on Infection Prevention and Control</w:t>
      </w:r>
      <w:r>
        <w:rPr>
          <w:color w:val="222222"/>
        </w:rPr>
        <w:t xml:space="preserve">. Geneva: World Health Organization. </w:t>
      </w:r>
      <w:hyperlink r:id="rId71">
        <w:r w:rsidR="005103D4">
          <w:rPr>
            <w:color w:val="1155CC"/>
            <w:u w:val="single"/>
          </w:rPr>
          <w:t>https://www.who.int/publications/i/item/9789240103986</w:t>
        </w:r>
      </w:hyperlink>
      <w:r>
        <w:rPr>
          <w:color w:val="222222"/>
        </w:rPr>
        <w:t xml:space="preserve"> </w:t>
      </w:r>
    </w:p>
    <w:sectPr w:rsidR="005103D4">
      <w:footerReference w:type="default" r:id="rId7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CCDCF" w14:textId="77777777" w:rsidR="005769A0" w:rsidRDefault="005769A0">
      <w:pPr>
        <w:spacing w:line="240" w:lineRule="auto"/>
      </w:pPr>
      <w:r>
        <w:separator/>
      </w:r>
    </w:p>
  </w:endnote>
  <w:endnote w:type="continuationSeparator" w:id="0">
    <w:p w14:paraId="75F68157" w14:textId="77777777" w:rsidR="005769A0" w:rsidRDefault="005769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A75F5FB-BAE8-4F0F-BF8A-2217AFEC3ED4}"/>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D68162D4-292E-4650-A9B3-1FE318A2AC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E4EE4" w14:textId="77777777" w:rsidR="005103D4" w:rsidRDefault="005769A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200857">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200857">
      <w:rPr>
        <w:b/>
        <w:bCs/>
        <w:noProof/>
        <w:color w:val="000000"/>
      </w:rPr>
      <w:t>2</w:t>
    </w:r>
    <w:r>
      <w:rPr>
        <w:b/>
        <w:bCs/>
        <w:color w:val="000000"/>
      </w:rPr>
      <w:fldChar w:fldCharType="end"/>
    </w:r>
  </w:p>
  <w:p w14:paraId="4C856A40" w14:textId="77777777" w:rsidR="005103D4" w:rsidRDefault="005103D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663B1" w14:textId="77777777" w:rsidR="005769A0" w:rsidRDefault="005769A0">
      <w:pPr>
        <w:spacing w:line="240" w:lineRule="auto"/>
      </w:pPr>
      <w:r>
        <w:separator/>
      </w:r>
    </w:p>
  </w:footnote>
  <w:footnote w:type="continuationSeparator" w:id="0">
    <w:p w14:paraId="5B296B44" w14:textId="77777777" w:rsidR="005769A0" w:rsidRDefault="005769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3D4"/>
    <w:rsid w:val="00200857"/>
    <w:rsid w:val="005103D4"/>
    <w:rsid w:val="005769A0"/>
    <w:rsid w:val="007E64DC"/>
    <w:rsid w:val="0090058B"/>
    <w:rsid w:val="00A64632"/>
    <w:rsid w:val="00B65E39"/>
    <w:rsid w:val="00B94BC2"/>
    <w:rsid w:val="00D12AB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D1E0E"/>
  <w15:docId w15:val="{76021256-57F7-44FF-BD15-5FC673573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B94BC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B94BC2"/>
    <w:pPr>
      <w:spacing w:after="100"/>
    </w:pPr>
  </w:style>
  <w:style w:type="paragraph" w:styleId="TOC2">
    <w:name w:val="toc 2"/>
    <w:basedOn w:val="Normal"/>
    <w:next w:val="Normal"/>
    <w:autoRedefine/>
    <w:uiPriority w:val="39"/>
    <w:unhideWhenUsed/>
    <w:rsid w:val="00B94BC2"/>
    <w:pPr>
      <w:spacing w:after="100"/>
      <w:ind w:left="240"/>
    </w:pPr>
  </w:style>
  <w:style w:type="character" w:styleId="Hyperlink">
    <w:name w:val="Hyperlink"/>
    <w:basedOn w:val="DefaultParagraphFont"/>
    <w:uiPriority w:val="99"/>
    <w:unhideWhenUsed/>
    <w:rsid w:val="00B94B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mdpi.com/1660-4601/19/2/809" TargetMode="External"/><Relationship Id="rId21" Type="http://schemas.openxmlformats.org/officeDocument/2006/relationships/hyperlink" Target="https://link.springer.com/content/pdf/10.1007/s00228-021-03212-y.pdf" TargetMode="External"/><Relationship Id="rId42" Type="http://schemas.openxmlformats.org/officeDocument/2006/relationships/hyperlink" Target="https://link.springer.com/content/pdf/10.1186/s12913-025-13456-4.pdf" TargetMode="External"/><Relationship Id="rId47" Type="http://schemas.openxmlformats.org/officeDocument/2006/relationships/hyperlink" Target="https://link.springer.com/content/pdf/10.1186/s12913-022-07887-6.pdf" TargetMode="External"/><Relationship Id="rId63" Type="http://schemas.openxmlformats.org/officeDocument/2006/relationships/hyperlink" Target="https://link.springer.com/content/pdf/10.1186/s12871-023-02276-w.pdf" TargetMode="External"/><Relationship Id="rId68" Type="http://schemas.openxmlformats.org/officeDocument/2006/relationships/hyperlink" Target="https://www.who.int/teams/integrated-health-services/patient-safety/policy/global-patient-safety-action-plan" TargetMode="Externa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link.springer.com/content/pdf/10.1007/s40520-024-02768-w.pdf" TargetMode="External"/><Relationship Id="rId11" Type="http://schemas.openxmlformats.org/officeDocument/2006/relationships/image" Target="media/image4.png"/><Relationship Id="rId24" Type="http://schemas.openxmlformats.org/officeDocument/2006/relationships/hyperlink" Target="https://sage.cnpereading.com/storage/sage/journal/article/CRI/2024/CRI_2024_29_2/unzip/10.1177_25160435231224583.pdf" TargetMode="External"/><Relationship Id="rId32" Type="http://schemas.openxmlformats.org/officeDocument/2006/relationships/hyperlink" Target="https://www.mdpi.com/1999-4923/14/6/1120" TargetMode="External"/><Relationship Id="rId37" Type="http://schemas.openxmlformats.org/officeDocument/2006/relationships/hyperlink" Target="https://www.mdpi.com/2227-9032/12/15/1537" TargetMode="External"/><Relationship Id="rId40" Type="http://schemas.openxmlformats.org/officeDocument/2006/relationships/hyperlink" Target="https://pmc.ncbi.nlm.nih.gov/articles/PMC11140310/pdf/wellcomeopenres-7-19746.pdf" TargetMode="External"/><Relationship Id="rId45" Type="http://schemas.openxmlformats.org/officeDocument/2006/relationships/hyperlink" Target="https://academic.oup.com/europace/article-pdf/25/9/euad226/51309952/euad226.pdf" TargetMode="External"/><Relationship Id="rId53" Type="http://schemas.openxmlformats.org/officeDocument/2006/relationships/hyperlink" Target="https://www.england.nhs.uk/statistics/statistical-work-areas/patient-safety-data/" TargetMode="External"/><Relationship Id="rId58" Type="http://schemas.openxmlformats.org/officeDocument/2006/relationships/hyperlink" Target="https://www.phcp-journal.org/content/article/2/4/full/" TargetMode="External"/><Relationship Id="rId66" Type="http://schemas.openxmlformats.org/officeDocument/2006/relationships/hyperlink" Target="https://assets.kingsfund.org.uk/f/256914/x/0b76247d02/caring_to_change_2017.pdf"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oecd.org/en/publications/health-at-a-glance-europe-2024_b3704e14-en.html"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publishing.emanresearch.org/CurrentIssuePDF/EmanPublisher_26_5812primeasia-3110077.pdf" TargetMode="External"/><Relationship Id="rId27" Type="http://schemas.openxmlformats.org/officeDocument/2006/relationships/hyperlink" Target="https://www.sciencedirect.com/science/article/pii/S2666572722000293" TargetMode="External"/><Relationship Id="rId30" Type="http://schemas.openxmlformats.org/officeDocument/2006/relationships/hyperlink" Target="https://www.ahajournals.org/doi/pdf/10.1161/CIRCOUTCOMES.122.009256" TargetMode="External"/><Relationship Id="rId35" Type="http://schemas.openxmlformats.org/officeDocument/2006/relationships/hyperlink" Target="https://www.hssib.org.uk/patient-safety-investigations/medication-related-harm/second-investigation-report/pdf/" TargetMode="External"/><Relationship Id="rId43" Type="http://schemas.openxmlformats.org/officeDocument/2006/relationships/hyperlink" Target="https://jamanetwork.com/journals/jama/articlepdf/2813379/jama_kannan_2023_oi_230136_1702926637.74059.pdf" TargetMode="External"/><Relationship Id="rId48" Type="http://schemas.openxmlformats.org/officeDocument/2006/relationships/hyperlink" Target="https://pmc.ncbi.nlm.nih.gov/articles/PMC10790055/pdf/kjim-2023-098.pdf" TargetMode="External"/><Relationship Id="rId56" Type="http://schemas.openxmlformats.org/officeDocument/2006/relationships/hyperlink" Target="https://www.england.nhs.uk/patient-safety/patient-safety-insight/incident-response-framework/" TargetMode="External"/><Relationship Id="rId64" Type="http://schemas.openxmlformats.org/officeDocument/2006/relationships/hyperlink" Target="https://www.kingsfund.org.uk/" TargetMode="External"/><Relationship Id="rId69" Type="http://schemas.openxmlformats.org/officeDocument/2006/relationships/hyperlink" Target="https://www.who.int/initiatives/medication-without-harm/medication-safety-in-high-risk-situations" TargetMode="External"/><Relationship Id="rId8" Type="http://schemas.openxmlformats.org/officeDocument/2006/relationships/image" Target="media/image1.png"/><Relationship Id="rId51" Type="http://schemas.openxmlformats.org/officeDocument/2006/relationships/hyperlink" Target="https://www.nice.org.uk/patient-safety"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nk.springer.com/content/pdf/10.1186/s12913-025-12730-9.pdf" TargetMode="External"/><Relationship Id="rId33" Type="http://schemas.openxmlformats.org/officeDocument/2006/relationships/hyperlink" Target="https://link.springer.com/content/pdf/10.1007/s11606-022-07554-w.pdf" TargetMode="External"/><Relationship Id="rId38" Type="http://schemas.openxmlformats.org/officeDocument/2006/relationships/hyperlink" Target="https://www.ihi.org/library/tools/patient-safety-essentials-toolkit" TargetMode="External"/><Relationship Id="rId46" Type="http://schemas.openxmlformats.org/officeDocument/2006/relationships/hyperlink" Target="https://www.mdpi.com/2077-0383/12/18/5955" TargetMode="External"/><Relationship Id="rId59" Type="http://schemas.openxmlformats.org/officeDocument/2006/relationships/hyperlink" Target="https://arxiv.org/pdf/2402.01741" TargetMode="External"/><Relationship Id="rId67" Type="http://schemas.openxmlformats.org/officeDocument/2006/relationships/hyperlink" Target="https://www.imrpress.com/journal/RCM/23/2/10.31083/j.rcm2302056/pdf" TargetMode="External"/><Relationship Id="rId20" Type="http://schemas.openxmlformats.org/officeDocument/2006/relationships/image" Target="media/image13.png"/><Relationship Id="rId41" Type="http://schemas.openxmlformats.org/officeDocument/2006/relationships/hyperlink" Target="https://link.springer.com/content/pdf/10.1186/s12913-023-10135-0.pdf" TargetMode="External"/><Relationship Id="rId54" Type="http://schemas.openxmlformats.org/officeDocument/2006/relationships/hyperlink" Target="https://www.england.nhs.uk/patient-safety/the-nhs-patient-safety-strategy/" TargetMode="External"/><Relationship Id="rId62" Type="http://schemas.openxmlformats.org/officeDocument/2006/relationships/hyperlink" Target="https://ajisresearch.com/index.php/ajis/article/download/74/72" TargetMode="External"/><Relationship Id="rId70" Type="http://schemas.openxmlformats.org/officeDocument/2006/relationships/hyperlink" Target="https://www.who.int/publications/i/item/978924151390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andfonline.com/doi/pdf/10.1186/s40545-021-00369-w" TargetMode="External"/><Relationship Id="rId28" Type="http://schemas.openxmlformats.org/officeDocument/2006/relationships/hyperlink" Target="https://link.springer.com/content/pdf/10.1186/s12961-022-00858-7.pdf" TargetMode="External"/><Relationship Id="rId36" Type="http://schemas.openxmlformats.org/officeDocument/2006/relationships/hyperlink" Target="https://www.tandfonline.com/doi/pdf/10.2147/RMHP.S446651%4010.1080/tfocoll.2024.0.issue-Advancing_Patient" TargetMode="External"/><Relationship Id="rId49" Type="http://schemas.openxmlformats.org/officeDocument/2006/relationships/hyperlink" Target="https://www.nice.org.uk/guidance/ng196" TargetMode="External"/><Relationship Id="rId57" Type="http://schemas.openxmlformats.org/officeDocument/2006/relationships/hyperlink" Target="https://resolution.nhs.uk/resource-services/safety-and-learning/" TargetMode="External"/><Relationship Id="rId10" Type="http://schemas.openxmlformats.org/officeDocument/2006/relationships/image" Target="media/image3.png"/><Relationship Id="rId31" Type="http://schemas.openxmlformats.org/officeDocument/2006/relationships/hyperlink" Target="https://academic.oup.com/eurheartjsupp/article-pdf/24/Supplement_A/A19/42541126/suab151.pdf" TargetMode="External"/><Relationship Id="rId44" Type="http://schemas.openxmlformats.org/officeDocument/2006/relationships/hyperlink" Target="https://jamanetwork.com/journals/jamanetworkopen/articlepdf/2825639/li_2024_oi_241233_1729873218.70843.pdf" TargetMode="External"/><Relationship Id="rId52" Type="http://schemas.openxmlformats.org/officeDocument/2006/relationships/hyperlink" Target="https://www.ulh.nhs.uk/wp-content/uploads/2018/11/Item-7.1-Appendix-B.-2.-Final-Governance-Reference-Guide-2019-2021-v0.7.pdf" TargetMode="External"/><Relationship Id="rId60" Type="http://schemas.openxmlformats.org/officeDocument/2006/relationships/hyperlink" Target="https://www.oecd.org/content/dam/oecd/en/publications/reports/2023/11/health-at-a-glance-2023_e04f8239/7a7afb35-en.pdf" TargetMode="External"/><Relationship Id="rId65" Type="http://schemas.openxmlformats.org/officeDocument/2006/relationships/hyperlink" Target="https://www.sciencedirect.com/science/article/pii/S2352013223001035"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ihi.org/partner/initiatives/national-steering-committee-patient-safety/national-action-plan-advance-patient-safety" TargetMode="External"/><Relationship Id="rId34" Type="http://schemas.openxmlformats.org/officeDocument/2006/relationships/hyperlink" Target="https://link.springer.com/content/pdf/10.1007/s11096-021-01302-6.pdf" TargetMode="External"/><Relationship Id="rId50" Type="http://schemas.openxmlformats.org/officeDocument/2006/relationships/hyperlink" Target="https://www.nice.org.uk/guidance/ng5" TargetMode="External"/><Relationship Id="rId55" Type="http://schemas.openxmlformats.org/officeDocument/2006/relationships/hyperlink" Target="https://assets.publishing.service.gov.uk/media/69036ef05c84b1206832a86f/nhs-england-annual-report-and-accounts-2024-to-2025.pdf" TargetMode="External"/><Relationship Id="rId7" Type="http://schemas.openxmlformats.org/officeDocument/2006/relationships/endnotes" Target="endnotes.xml"/><Relationship Id="rId71" Type="http://schemas.openxmlformats.org/officeDocument/2006/relationships/hyperlink" Target="https://www.who.int/publications/i/item/978924010398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Ta50+E9AQnWXQBCNUidhr0FvNg==">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9CFCD49-CAA0-4C53-8EDC-2E481E1BF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9146</Words>
  <Characters>52137</Characters>
  <Application>Microsoft Office Word</Application>
  <DocSecurity>0</DocSecurity>
  <Lines>434</Lines>
  <Paragraphs>122</Paragraphs>
  <ScaleCrop>false</ScaleCrop>
  <Company/>
  <LinksUpToDate>false</LinksUpToDate>
  <CharactersWithSpaces>61161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vatsalgajre2001@outlook.com</cp:lastModifiedBy>
  <cp:revision>5</cp:revision>
  <dcterms:created xsi:type="dcterms:W3CDTF">2026-08-10T08:14:00Z</dcterms:created>
  <dcterms:modified xsi:type="dcterms:W3CDTF">2026-08-10T10:26:00Z</dcterms:modified>
</cp:coreProperties>
</file>