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spacing w:lineRule="auto" w:line="259" w:beforeAutospacing="0" w:before="0" w:afterAutospacing="0" w:after="160"/>
        <w:ind w:left="0" w:right="0" w:hanging="0"/>
        <w:jc w:val="center"/>
        <w:rPr>
          <w:b/>
          <w:b/>
          <w:bCs/>
          <w:sz w:val="24"/>
          <w:szCs w:val="24"/>
          <w:u w:val="single"/>
        </w:rPr>
      </w:pPr>
      <w:r>
        <w:rPr>
          <w:b/>
          <w:bCs/>
          <w:sz w:val="24"/>
          <w:szCs w:val="24"/>
          <w:u w:val="single"/>
        </w:rPr>
        <w:t>Cognitive Decline in Old Age</w:t>
      </w:r>
    </w:p>
    <w:p>
      <w:pPr>
        <w:pStyle w:val="Normal"/>
        <w:ind w:firstLine="720"/>
        <w:rPr>
          <w:rFonts w:ascii="Calibri" w:hAnsi="Calibri" w:eastAsia="Calibri" w:cs="Calibri"/>
          <w:sz w:val="22"/>
          <w:szCs w:val="22"/>
          <w:lang w:val="en-GB"/>
        </w:rPr>
      </w:pPr>
      <w:r>
        <w:rPr>
          <w:rFonts w:eastAsia="Calibri" w:cs="Calibri"/>
          <w:sz w:val="22"/>
          <w:szCs w:val="22"/>
          <w:lang w:val="en-GB"/>
        </w:rPr>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sz w:val="22"/>
          <w:szCs w:val="22"/>
          <w:lang w:val="en-GB"/>
        </w:rPr>
        <w:t xml:space="preserve">Cognition is defined by the Centers for Disease Control and Prevention (CDC, 2019) as a combination of brain processes that include the abilities to remember, learn and to make judgements.  </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The Alzheimer’s Society (2023) listed numerous symptoms of mild cognitive impairment. They list: </w:t>
      </w:r>
    </w:p>
    <w:p>
      <w:pPr>
        <w:pStyle w:val="ListParagraph"/>
        <w:numPr>
          <w:ilvl w:val="0"/>
          <w:numId w:val="2"/>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Short term memory loss</w:t>
      </w:r>
    </w:p>
    <w:p>
      <w:pPr>
        <w:pStyle w:val="ListParagraph"/>
        <w:numPr>
          <w:ilvl w:val="0"/>
          <w:numId w:val="2"/>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Shortened/worsened attention span</w:t>
      </w:r>
    </w:p>
    <w:p>
      <w:pPr>
        <w:pStyle w:val="ListParagraph"/>
        <w:numPr>
          <w:ilvl w:val="0"/>
          <w:numId w:val="2"/>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Degrading depth perception</w:t>
      </w:r>
    </w:p>
    <w:p>
      <w:pPr>
        <w:pStyle w:val="ListParagraph"/>
        <w:numPr>
          <w:ilvl w:val="0"/>
          <w:numId w:val="2"/>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Difficulties with language</w:t>
      </w:r>
    </w:p>
    <w:p>
      <w:pPr>
        <w:pStyle w:val="ListParagraph"/>
        <w:numPr>
          <w:ilvl w:val="0"/>
          <w:numId w:val="2"/>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Lack of reasoning and problem solving</w:t>
      </w:r>
    </w:p>
    <w:p>
      <w:pPr>
        <w:pStyle w:val="Normal"/>
        <w:ind w:left="0" w:firstLine="720"/>
        <w:rPr>
          <w:rFonts w:ascii="Calibri" w:hAnsi="Calibri" w:eastAsia="Calibri" w:cs="Calibri"/>
          <w:sz w:val="24"/>
          <w:szCs w:val="24"/>
          <w:lang w:val="en-GB"/>
        </w:rPr>
      </w:pPr>
      <w:r>
        <w:rPr>
          <w:rFonts w:eastAsia="Calibri" w:cs="Calibri"/>
          <w:sz w:val="22"/>
          <w:szCs w:val="22"/>
          <w:lang w:val="en-GB"/>
        </w:rPr>
        <w:t>The CDC (2019) claim that cognitive decline can come in many forms. It is quoted that “</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Cognitive decline can range from mild cognitive impairment to dementia” and further expand that the most common form of dementia is Alzheimer's disease. It was found that </w:t>
      </w:r>
      <w:r>
        <w:rPr>
          <w:rFonts w:eastAsia="Calibri" w:cs="Calibri" w:cstheme="minorAscii" w:eastAsiaTheme="minorAscii"/>
          <w:b w:val="false"/>
          <w:bCs w:val="false"/>
          <w:i w:val="false"/>
          <w:iCs w:val="false"/>
          <w:caps w:val="false"/>
          <w:smallCaps w:val="false"/>
          <w:color w:val="auto"/>
          <w:sz w:val="24"/>
          <w:szCs w:val="24"/>
          <w:lang w:val="en-GB"/>
        </w:rPr>
        <w:t>“10%–25% of people over the age of 70 years” are affected by mild cognitive impairment. (Naqvi et al, 2013)</w:t>
      </w:r>
    </w:p>
    <w:p>
      <w:pPr>
        <w:pStyle w:val="Normal"/>
        <w:ind w:firstLine="720"/>
        <w:rPr>
          <w:rFonts w:ascii="Calibri" w:hAnsi="Calibri" w:eastAsia="Calibri" w:cs="Calibri"/>
          <w:sz w:val="22"/>
          <w:szCs w:val="22"/>
          <w:lang w:val="en-GB"/>
        </w:rPr>
      </w:pPr>
      <w:r>
        <w:rPr>
          <w:rFonts w:eastAsia="Calibri" w:cs="Calibri"/>
          <w:sz w:val="22"/>
          <w:szCs w:val="22"/>
          <w:lang w:val="en-GB"/>
        </w:rPr>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Cognitive decline through ageing has been explained through numerous models that aim to explain the correlation between the process of aging and the decline in cognition. One of these models is Disengagement Theory. Disengagement theory is a social theory first developed by Cumming and Henry in 1961. This theory can be broken down to its key points:</w:t>
      </w:r>
    </w:p>
    <w:p>
      <w:pPr>
        <w:pStyle w:val="ListParagraph"/>
        <w:numPr>
          <w:ilvl w:val="0"/>
          <w:numId w:val="1"/>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bCs/>
          <w:i w:val="false"/>
          <w:iCs w:val="false"/>
          <w:caps w:val="false"/>
          <w:smallCaps w:val="false"/>
          <w:color w:val="auto"/>
          <w:sz w:val="24"/>
          <w:szCs w:val="24"/>
          <w:lang w:val="en-GB"/>
        </w:rPr>
        <w:t xml:space="preserve">Mutual Withdrawal – </w:t>
      </w:r>
      <w:r>
        <w:rPr>
          <w:rFonts w:eastAsia="Calibri" w:cs="Calibri" w:cstheme="minorAscii" w:eastAsiaTheme="minorAscii"/>
          <w:b w:val="false"/>
          <w:bCs w:val="false"/>
          <w:i w:val="false"/>
          <w:iCs w:val="false"/>
          <w:caps w:val="false"/>
          <w:smallCaps w:val="false"/>
          <w:color w:val="auto"/>
          <w:sz w:val="24"/>
          <w:szCs w:val="24"/>
          <w:lang w:val="en-GB"/>
        </w:rPr>
        <w:t>the individual and the society they participate in will withdraw with one another as the individual approaches ‘old age’</w:t>
      </w:r>
    </w:p>
    <w:p>
      <w:pPr>
        <w:pStyle w:val="ListParagraph"/>
        <w:numPr>
          <w:ilvl w:val="0"/>
          <w:numId w:val="1"/>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bCs/>
          <w:i w:val="false"/>
          <w:iCs w:val="false"/>
          <w:caps w:val="false"/>
          <w:smallCaps w:val="false"/>
          <w:color w:val="auto"/>
          <w:sz w:val="24"/>
          <w:szCs w:val="24"/>
          <w:lang w:val="en-GB"/>
        </w:rPr>
        <w:t xml:space="preserve">Decreased Social Interactions – </w:t>
      </w:r>
      <w:r>
        <w:rPr>
          <w:rFonts w:eastAsia="Calibri" w:cs="Calibri" w:cstheme="minorAscii" w:eastAsiaTheme="minorAscii"/>
          <w:b w:val="false"/>
          <w:bCs w:val="false"/>
          <w:i w:val="false"/>
          <w:iCs w:val="false"/>
          <w:caps w:val="false"/>
          <w:smallCaps w:val="false"/>
          <w:color w:val="auto"/>
          <w:sz w:val="24"/>
          <w:szCs w:val="24"/>
          <w:lang w:val="en-GB"/>
        </w:rPr>
        <w:t>The individual will reduce their social involvement as they age</w:t>
      </w:r>
    </w:p>
    <w:p>
      <w:pPr>
        <w:pStyle w:val="ListParagraph"/>
        <w:numPr>
          <w:ilvl w:val="0"/>
          <w:numId w:val="1"/>
        </w:numPr>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bCs/>
          <w:i w:val="false"/>
          <w:iCs w:val="false"/>
          <w:caps w:val="false"/>
          <w:smallCaps w:val="false"/>
          <w:color w:val="auto"/>
          <w:sz w:val="24"/>
          <w:szCs w:val="24"/>
          <w:lang w:val="en-GB"/>
        </w:rPr>
        <w:t xml:space="preserve">Changes in Roles – </w:t>
      </w:r>
      <w:r>
        <w:rPr>
          <w:rFonts w:eastAsia="Calibri" w:cs="Calibri" w:cstheme="minorAscii" w:eastAsiaTheme="minorAscii"/>
          <w:b w:val="false"/>
          <w:bCs w:val="false"/>
          <w:i w:val="false"/>
          <w:iCs w:val="false"/>
          <w:caps w:val="false"/>
          <w:smallCaps w:val="false"/>
          <w:color w:val="auto"/>
          <w:sz w:val="24"/>
          <w:szCs w:val="24"/>
          <w:lang w:val="en-GB"/>
        </w:rPr>
        <w:t>As the individual ages, they are expected to relinquish and perhaps alter roles that they held in younger life, allowing the younger generations to take the mantle. This can involve community, work, family and other societal roles</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 xml:space="preserve">It is further stated that by gradually participating in the mutual disengagement between the ageing individual and the society they participate in, it allows for a smoother psychological adjustment to their new way of life where the individuals well-being can be focused on as they find fulfilment in there new, more leisurely, way of life. This is further supported by Zhang and Lin (2021) when they stated that “Disengagement theory postulates that people gradually disengaged from social life as they grow older” and further divulged that “aging is an inevitable, mutual withdrawal” as previously stated by Cummings et al (1960). </w:t>
      </w:r>
    </w:p>
    <w:p>
      <w:pPr>
        <w:pStyle w:val="Normal"/>
        <w:shd w:val="clear" w:color="auto" w:fill="FFFFFF" w:themeFill="background1"/>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 xml:space="preserve">Gonot-Schoupinsky et al (2022) supported disengagement theory when they were quoted in saying “Individuals can be supported in accepting, adjusting, and adapting their behaviours according to their needs” and highlighted how the theory can be adapted and personalised to accommodate for individual differences. </w:t>
      </w:r>
    </w:p>
    <w:p>
      <w:pPr>
        <w:pStyle w:val="Normal"/>
        <w:shd w:val="clear" w:color="auto" w:fill="FFFFFF" w:themeFill="background1"/>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Asiamah (2017) showed support for disengagement theory with the quote “loneliness and physical inactivity are characteristic of the population of geriatric people and have thus corroborated the [Disengagement Theory]”. They further write that “each individual in such an environment is likely to lose to death all or a majority of the people he or she can socially engage with at old age. Thus, belonging to a society where there are very few people or no one to interact with at old age... is very likely to discourage social engagement... at old age.” This point furthers supports the idea that disengagement is a natural process of ageing due to the circumstances that will follow it, the key issue in this scenario being death, specifically of the also ageing social circle of the individuals at hand. Bultena and Oyler (1971) point out the “curvilinear” relationship between disengagement theory and the psychological well-being of the elderly individual as they report that there is “an initial deterioration in morale at retirement followed later in the life cycle by un upturn in morale, in spite of a growing physical and emotional detachment from others” which may cast some doubt into initial reports that combat this theory and its effectiveness long term.</w:t>
      </w:r>
    </w:p>
    <w:p>
      <w:pPr>
        <w:pStyle w:val="Normal"/>
        <w:shd w:val="clear" w:color="auto" w:fill="FFFFFF" w:themeFill="background1"/>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r>
    </w:p>
    <w:p>
      <w:pPr>
        <w:pStyle w:val="Normal"/>
        <w:shd w:val="clear" w:color="auto" w:fill="FFFFFF" w:themeFill="background1"/>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 xml:space="preserve">Disengagement theory does have its critiques, however. Hochschild (1975) came up with a list of three main issues with the initial theory. “First, the theory is unfalsifiable. Second, their major variables are composed of sub-parts which do not vary in a unitary way. Third, they ignored the meanings actors attach to what they do.” The key issue brough to attention is that disengagement theory is “unfalsifiable” meaning it cannot be proven false. This highlights the lack of ecological validity of the theory and discredits its real time usage. Bultena and Oyler (1971) make note of the inconsistent nature of disengagement theory and found that “diminished activity, and the relinquishment of life roles, tend to be associated with a progressive deterioration in satisfaction or morale” showing the opposite effect of what was initially reported by Cumming and Henry (1961). Mabry and Bengston (2005) point out the critique that the individual and the society they are a part of do not hold equal power in the disengagement process. They put forth that the societal system “coerces” the ageing population to disengage and withdraw from their previously held roles to further the interests of society and thus ignoring the needs and wants of the individuals. It is further noted that society is mostly aware of the potential damage being done to the individuals who wishes are not adhered to as the damage is seen as “unfortunate but necessary”. This counteracts the argument that the disengagement of older individuals from their societal roles is “natural” and “mutual”. There is also the topic opf debate around the cultural influences in what truly is disengagement. Mabry and Bengston once again talk about how what is seen as engagement and disengagement will differ between the individual and the culture. For example, if someone is to spend time with their grand-children or to play bingo with their peers, is this a form of engaging with those around them in a newer manner or are they “empty ways to spend time”? These questions support the notion that disengagement theory is socially constructed and will only ever be a product of the cultural beliefs and views of the aging population it is being used/created in. This is supported by Khan and Adil (2023) when they wrote “due to differences in cultural norms, rules, regulations, traditions, values, customs, and family systems, the expressions, outcomes, interpretations, and factors that shape this phenomenon of disengagement may differ from one culture to another” further highlighting the role and effect of cultural differences in this theories presence and validity in mass implementation. </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 xml:space="preserve">As our knowledge and understanding of cognitive decline grows and we become more aware of the effects it has on our ageing society, the amount of research studying preventative measures for cognitive decline has proportionally increased as our population of ‘old people’ continues to grow along with the general population. </w:t>
      </w:r>
    </w:p>
    <w:p>
      <w:pPr>
        <w:pStyle w:val="Normal"/>
        <w:ind w:firstLine="720"/>
        <w:rPr>
          <w:rFonts w:ascii="Calibri" w:hAnsi="Calibri" w:eastAsia="Calibri" w:cs="Calibr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One of the more popular interventions is physical activity. This can include a wide variety of exercise from walking to running to weightlifting to swimming. Guure (2017) researched the impact of physical activity on cognitive decline and found that “</w:t>
      </w:r>
      <w:r>
        <w:rPr>
          <w:rFonts w:eastAsia="Calibri" w:cs="Calibri"/>
          <w:b w:val="false"/>
          <w:bCs w:val="false"/>
          <w:i w:val="false"/>
          <w:iCs w:val="false"/>
          <w:caps w:val="false"/>
          <w:smallCaps w:val="false"/>
          <w:color w:val="000000" w:themeColor="text1" w:themeShade="ff" w:themeTint="ff"/>
          <w:sz w:val="24"/>
          <w:szCs w:val="24"/>
          <w:lang w:val="en-GB"/>
        </w:rPr>
        <w:t>both high and moderate physical activities are inversely related to dementia”. Specifically, they make note that the risk of dementia developing is reduced by “21% for high PA and 24% for moderate PA” which, as noted previously, is one of the more common effects of cognitive decline. This is further supported by Sofi et al (2010) who suggested through a meta-analysis they conducted that physical activity to a moderate or high degree will reduce cognitive decline by 35% and 38% respectively. These numbers show a great sign of our ability to reduce cognitive decline through physical exercise in varying degrees. The highlighting of the intensity of the physical activity can lead to a broader application of this intervention when account for individual differences and differing levels of ability regarding physicality. If someone perhaps lacks the mobility to achieve the requirements for the more demanding, higher intensity physicality of the higher bracket of physical activity, then the moderate level may be more easily implemented and beneficial for their specific individual limitations. The main issue with Guure’s study is their exclusions with the studies they gathered, specifically excluding the presence of Parkinson’s disease. This would then mean that all results are of individuals who are only experiencing cognitive decline and not any other issues that may affect the individual. These other factors may alter the effectiveness of the physical activity, especially a disease like Parkinson's that effects the physical abilities of the individual. When looking at the work of Sofi et al, the timeframe must be acknowledged as it could be argued that this study is older, being 13 years old as of writing, and perhaps ‘out of date’ in terms of its findings as it will exclude changes in the elderly of the newer generation. If there has been a change in the way people have aged in the past decade, it will not be present within the results of this study.</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1F1F1F"/>
          <w:sz w:val="24"/>
          <w:szCs w:val="24"/>
          <w:lang w:val="en-GB"/>
        </w:rPr>
      </w:pPr>
      <w:r>
        <w:rPr>
          <w:rFonts w:eastAsia="Calibri" w:cs="Calibri"/>
          <w:b w:val="false"/>
          <w:bCs w:val="false"/>
          <w:i w:val="false"/>
          <w:iCs w:val="false"/>
          <w:caps w:val="false"/>
          <w:smallCaps w:val="false"/>
          <w:color w:val="000000" w:themeColor="text1" w:themeShade="ff" w:themeTint="ff"/>
          <w:sz w:val="24"/>
          <w:szCs w:val="24"/>
          <w:lang w:val="en-GB"/>
        </w:rPr>
        <w:t>There is an argument that the role of diet has an effect on cognitive decline. Solfrizzi et a (2003) conducted a systematic review and found that “[primary dementia]</w:t>
      </w:r>
      <w:r>
        <w:rPr>
          <w:rFonts w:eastAsia="Calibri" w:cs="Calibri"/>
          <w:sz w:val="24"/>
          <w:szCs w:val="24"/>
          <w:lang w:val="en-GB"/>
        </w:rPr>
        <w:t xml:space="preserve"> patients had a greater preference than normal controls for sugar and sweet foods, but did not significantly differ in preference for those high in complex carbohydrates and protein”. They also made note that a craving for sweet food “might have a more specific biological substrate, increasing demand of brain serotonin in demented patients”. They raise awareness of “increasing evidence” of how a “disturbed glucose metabolism, oxidative stress and formation of advanced glycation end products” and how they interact in a “vicious cycle” are important for the onset of primary dementia and Alzheimer’s disease. The evidence mentioned here would indicate that an improved diet, meaning a diet lacking in sugar and well balanced, will help maintain an improved cognition as an individual ages. Nooyens et al (2015) found through their research that “</w:t>
      </w:r>
      <w:r>
        <w:rPr>
          <w:rFonts w:eastAsia="Calibri" w:cs="Calibri" w:cstheme="minorAscii" w:eastAsiaTheme="minorAscii"/>
          <w:b w:val="false"/>
          <w:bCs w:val="false"/>
          <w:i w:val="false"/>
          <w:iCs w:val="false"/>
          <w:caps w:val="false"/>
          <w:smallCaps w:val="false"/>
          <w:color w:val="auto"/>
          <w:sz w:val="24"/>
          <w:szCs w:val="24"/>
          <w:lang w:val="en-GB"/>
        </w:rPr>
        <w:t>Higher lignan intake was strikingly associated with lower decline in global cognitive function, memory function, and speed of cognitive processes” and that “For vitamin E, greater memory decline was observed”. This is further evidence in the role of the diet in cognitive decline. The study by Nooyens et al waws conducted using a sample of “middle aged” people (43-70 years old). Although a wide range, this sample does not include the oldest old, 70+ years, which would be a group where cognitive decline would, proportionally, be a big issue. The data gathered then cannot be applied to this group as it will ignore any differences that can occur after the included age range. Shakersain et al (2016) researched the pattern of Western dietary trends and found that those who had a diet that adhered strongest to these trends showed results that were “</w:t>
      </w:r>
      <w:r>
        <w:rPr>
          <w:rFonts w:eastAsia="Calibri" w:cs="Calibri" w:cstheme="minorAscii" w:eastAsiaTheme="minorAscii"/>
          <w:b w:val="false"/>
          <w:bCs w:val="false"/>
          <w:i w:val="false"/>
          <w:iCs w:val="false"/>
          <w:caps w:val="false"/>
          <w:smallCaps w:val="false"/>
          <w:color w:val="1F1F1F"/>
          <w:sz w:val="24"/>
          <w:szCs w:val="24"/>
          <w:lang w:val="en-GB"/>
        </w:rPr>
        <w:t>associated with more [cognitive] decline” and further supported this with “High adherence to prudent diet may diminish the adverse effects of high adherence to Western diet on cognitive decline.” In this study, the “Prudent” diet consisted of more fruits and vegetables, including juices, and less butter and margarine-based cooking as well as less dairy and fats as opposed to the western diet that showed the opposite trends, e.g. more butter, dairy and fat, less fruits and vegetables. Although valuable data, this data shows the trends of Western diets, but ignores the diets from other world cultures such as a more Eastern based diet and thus cannot be applied globally and limits it’s usage.</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t>To conclude this essay, cognitive decline is a prevalent issue in the ageing population. The disengagement theory rose to prominence quickly following the work of Cumming and Henry in 1961 and gave a seemingly feasible theory for the process of ageing as it describes a mutual disengagement from society and from societal roles of all kinds as the individual ages. This theory, despite holding areas of potential credibility, was denounced and defamed quickly as more and more research appeared to show results that disproved this theory. Physical activity and diet show strong relationships in cognitive decline through research conducted but the studies did show some issues to be noted in the samples used, the cultures and areas it does not include and the time in which the research was conducted.</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auto"/>
          <w:sz w:val="24"/>
          <w:szCs w:val="24"/>
          <w:lang w:val="en-GB"/>
        </w:rPr>
      </w:pPr>
      <w:r>
        <w:rPr>
          <w:rFonts w:eastAsia="Calibri" w:cs="Calibri" w:cstheme="minorAscii" w:eastAsiaTheme="minorAscii"/>
          <w:b w:val="false"/>
          <w:bCs w:val="false"/>
          <w:i w:val="false"/>
          <w:iCs w:val="false"/>
          <w:caps w:val="false"/>
          <w:smallCaps w:val="false"/>
          <w:color w:val="auto"/>
          <w:sz w:val="24"/>
          <w:szCs w:val="24"/>
          <w:lang w:val="en-GB"/>
        </w:rPr>
      </w:r>
    </w:p>
    <w:p>
      <w:pPr>
        <w:pStyle w:val="Normal"/>
        <w:ind w:firstLine="720"/>
        <w:rPr>
          <w:rFonts w:ascii="Calibri" w:hAnsi="Calibri" w:eastAsia="Calibri" w:cs="Calibri"/>
          <w:sz w:val="22"/>
          <w:szCs w:val="22"/>
          <w:lang w:val="en-GB"/>
        </w:rPr>
      </w:pPr>
      <w:r>
        <w:rPr>
          <w:rFonts w:eastAsia="Calibri" w:cs="Calibri"/>
          <w:sz w:val="22"/>
          <w:szCs w:val="22"/>
          <w:lang w:val="en-GB"/>
        </w:rPr>
      </w:r>
    </w:p>
    <w:p>
      <w:pPr>
        <w:pStyle w:val="Normal"/>
        <w:ind w:hanging="0"/>
        <w:rPr>
          <w:rFonts w:ascii="Calibri" w:hAnsi="Calibri" w:eastAsia="Calibri" w:cs="Calibri"/>
          <w:b/>
          <w:b/>
          <w:bCs/>
          <w:sz w:val="22"/>
          <w:szCs w:val="22"/>
          <w:u w:val="single"/>
          <w:lang w:val="en-GB"/>
        </w:rPr>
      </w:pPr>
      <w:r>
        <w:rPr/>
      </w:r>
    </w:p>
    <w:p>
      <w:pPr>
        <w:pStyle w:val="Normal"/>
        <w:ind w:hanging="0"/>
        <w:rPr/>
      </w:pPr>
      <w:r>
        <w:rPr>
          <w:rFonts w:eastAsia="Calibri" w:cs="Calibri"/>
          <w:b/>
          <w:bCs/>
          <w:sz w:val="22"/>
          <w:szCs w:val="22"/>
          <w:u w:val="single"/>
          <w:lang w:val="en-GB"/>
        </w:rPr>
        <w:t>References</w:t>
      </w:r>
    </w:p>
    <w:p>
      <w:pPr>
        <w:pStyle w:val="Heading1"/>
        <w:rPr>
          <w:rFonts w:ascii="Calibri" w:hAnsi="Calibri" w:eastAsia="Calibri" w:cs="Calibri" w:asciiTheme="minorAscii" w:cstheme="minorAscii" w:eastAsiaTheme="minorAscii" w:hAnsiTheme="minorAscii"/>
          <w:b w:val="false"/>
          <w:b w:val="false"/>
          <w:bCs w:val="false"/>
          <w:i/>
          <w:i/>
          <w:iCs/>
          <w:sz w:val="24"/>
          <w:szCs w:val="24"/>
          <w:u w:val="none"/>
          <w:lang w:val="en-GB"/>
        </w:rPr>
      </w:pPr>
      <w:r>
        <w:rPr>
          <w:rFonts w:eastAsia="Calibri" w:cs="Calibri" w:ascii="Calibri" w:hAnsi="Calibri"/>
          <w:b w:val="false"/>
          <w:bCs w:val="false"/>
          <w:color w:val="auto"/>
          <w:sz w:val="22"/>
          <w:szCs w:val="22"/>
          <w:u w:val="none"/>
          <w:lang w:val="en-GB"/>
        </w:rPr>
        <w:t>Centers of Disease Control and Prevention (CDC, 2019). ‘</w:t>
      </w:r>
      <w:r>
        <w:rPr>
          <w:rFonts w:eastAsia="Calibri" w:cs="Calibri" w:ascii="Calibri" w:hAnsi="Calibri" w:asciiTheme="minorAscii" w:cstheme="minorAscii" w:eastAsiaTheme="minorAscii" w:hAnsiTheme="minorAscii"/>
          <w:b w:val="false"/>
          <w:bCs w:val="false"/>
          <w:i/>
          <w:iCs/>
          <w:caps w:val="false"/>
          <w:smallCaps w:val="false"/>
          <w:color w:val="222222"/>
          <w:sz w:val="24"/>
          <w:szCs w:val="24"/>
        </w:rPr>
        <w:t xml:space="preserve">Subjective Cognitive Decline — A Public Health Issue’. </w:t>
      </w:r>
    </w:p>
    <w:p>
      <w:pPr>
        <w:pStyle w:val="Normal"/>
        <w:ind w:hanging="0"/>
        <w:rPr/>
      </w:pPr>
      <w:r>
        <w:rPr>
          <w:rFonts w:eastAsia="Calibri" w:cs="Calibri"/>
          <w:b w:val="false"/>
          <w:bCs w:val="false"/>
          <w:sz w:val="22"/>
          <w:szCs w:val="22"/>
          <w:u w:val="none"/>
          <w:lang w:val="en-GB"/>
        </w:rPr>
        <w:t xml:space="preserve">Available at: </w:t>
      </w:r>
      <w:r>
        <w:fldChar w:fldCharType="begin"/>
      </w:r>
      <w:r>
        <w:rPr>
          <w:rStyle w:val="InternetLink"/>
          <w:sz w:val="22"/>
          <w:b w:val="false"/>
          <w:szCs w:val="22"/>
          <w:bCs w:val="false"/>
          <w:rFonts w:eastAsia="Calibri" w:cs="Calibri"/>
        </w:rPr>
        <w:instrText> HYPERLINK "https://www.cdc.gov/aging/data/subjective-cognitive-decline-brief.html" \l ":~:text=When cognition is impaired%2C it,overall health and well-being.&amp;text=Cognitive decline can range from,to interfere with daily life.&amp;text=Alzheimer's disease is the most common form of dementia"</w:instrText>
      </w:r>
      <w:r>
        <w:rPr>
          <w:rStyle w:val="InternetLink"/>
          <w:sz w:val="22"/>
          <w:b w:val="false"/>
          <w:szCs w:val="22"/>
          <w:bCs w:val="false"/>
          <w:rFonts w:eastAsia="Calibri" w:cs="Calibri"/>
        </w:rPr>
        <w:fldChar w:fldCharType="separate"/>
      </w:r>
      <w:r>
        <w:rPr>
          <w:rStyle w:val="InternetLink"/>
          <w:rFonts w:eastAsia="Calibri" w:cs="Calibri"/>
          <w:b w:val="false"/>
          <w:bCs w:val="false"/>
          <w:sz w:val="22"/>
          <w:szCs w:val="22"/>
          <w:lang w:val="en-GB"/>
        </w:rPr>
        <w:t>https://www.cdc.gov/aging/data/subjective-cognitive-decline-brief.html#:~:text=When%20cognition%20is%20impaired%2C%20it,overall%20health%20and%20well-being.&amp;text=Cognitive%20decline%20can%20range%20from,to%20interfere%20with%20daily%20life.&amp;text=Alzheimer%27s%20disease%20is%20the%20most%20common%20form%20of%20dementia</w:t>
      </w:r>
      <w:r>
        <w:rPr>
          <w:rStyle w:val="InternetLink"/>
          <w:sz w:val="22"/>
          <w:b w:val="false"/>
          <w:szCs w:val="22"/>
          <w:bCs w:val="false"/>
          <w:rFonts w:eastAsia="Calibri" w:cs="Calibri"/>
        </w:rPr>
        <w:fldChar w:fldCharType="end"/>
      </w:r>
      <w:r>
        <w:rPr>
          <w:rFonts w:eastAsia="Calibri" w:cs="Calibri"/>
          <w:b w:val="false"/>
          <w:bCs w:val="false"/>
          <w:sz w:val="22"/>
          <w:szCs w:val="22"/>
          <w:u w:val="none"/>
          <w:lang w:val="en-GB"/>
        </w:rPr>
        <w:t xml:space="preserve"> . Accessed on December 3</w:t>
      </w:r>
      <w:r>
        <w:rPr>
          <w:rFonts w:eastAsia="Calibri" w:cs="Calibri"/>
          <w:b w:val="false"/>
          <w:bCs w:val="false"/>
          <w:sz w:val="22"/>
          <w:szCs w:val="22"/>
          <w:u w:val="none"/>
          <w:vertAlign w:val="superscript"/>
          <w:lang w:val="en-GB"/>
        </w:rPr>
        <w:t>rd</w:t>
      </w:r>
      <w:r>
        <w:rPr>
          <w:rFonts w:eastAsia="Calibri" w:cs="Calibri"/>
          <w:b w:val="false"/>
          <w:bCs w:val="false"/>
          <w:sz w:val="22"/>
          <w:szCs w:val="22"/>
          <w:u w:val="none"/>
          <w:lang w:val="en-GB"/>
        </w:rPr>
        <w:t>, 2023.</w:t>
      </w:r>
    </w:p>
    <w:p>
      <w:pPr>
        <w:pStyle w:val="Normal"/>
        <w:ind w:hanging="0"/>
        <w:rPr>
          <w:rFonts w:ascii="Calibri" w:hAnsi="Calibri" w:eastAsia="Calibri" w:cs="Calibri"/>
          <w:b w:val="false"/>
          <w:b w:val="false"/>
          <w:bCs w:val="false"/>
          <w:sz w:val="22"/>
          <w:szCs w:val="22"/>
          <w:u w:val="none"/>
          <w:lang w:val="en-GB"/>
        </w:rPr>
      </w:pPr>
      <w:r>
        <w:rPr>
          <w:rFonts w:eastAsia="Calibri" w:cs="Calibri"/>
          <w:b w:val="false"/>
          <w:bCs w:val="false"/>
          <w:sz w:val="22"/>
          <w:szCs w:val="22"/>
          <w:u w:val="none"/>
          <w:lang w:val="en-GB"/>
        </w:rPr>
      </w:r>
    </w:p>
    <w:p>
      <w:pPr>
        <w:pStyle w:val="Normal"/>
        <w:ind w:firstLine="720"/>
        <w:rPr/>
      </w:pPr>
      <w:r>
        <w:rPr>
          <w:rFonts w:eastAsia="Calibri" w:cs="Calibri"/>
          <w:b w:val="false"/>
          <w:bCs w:val="false"/>
          <w:i w:val="false"/>
          <w:iCs w:val="false"/>
          <w:sz w:val="22"/>
          <w:szCs w:val="22"/>
          <w:u w:val="none"/>
          <w:lang w:val="en-GB"/>
        </w:rPr>
        <w:t xml:space="preserve">The Alzheimer’s Society (2023). </w:t>
      </w:r>
      <w:r>
        <w:rPr>
          <w:rFonts w:eastAsia="Calibri" w:cs="Calibri"/>
          <w:b w:val="false"/>
          <w:bCs w:val="false"/>
          <w:i/>
          <w:iCs/>
          <w:sz w:val="22"/>
          <w:szCs w:val="22"/>
          <w:u w:val="none"/>
          <w:lang w:val="en-GB"/>
        </w:rPr>
        <w:t>‘Mild Cognitive Impairment (MCI)’</w:t>
      </w:r>
      <w:r>
        <w:rPr>
          <w:rFonts w:eastAsia="Calibri" w:cs="Calibri"/>
          <w:b w:val="false"/>
          <w:bCs w:val="false"/>
          <w:sz w:val="22"/>
          <w:szCs w:val="22"/>
          <w:u w:val="none"/>
          <w:lang w:val="en-GB"/>
        </w:rPr>
        <w:t xml:space="preserve">.Available at: </w:t>
      </w:r>
      <w:hyperlink r:id="rId2">
        <w:r>
          <w:rPr>
            <w:rStyle w:val="InternetLink"/>
            <w:rFonts w:eastAsia="Calibri" w:cs="Calibri"/>
            <w:b w:val="false"/>
            <w:bCs w:val="false"/>
            <w:sz w:val="22"/>
            <w:szCs w:val="22"/>
            <w:lang w:val="en-GB"/>
          </w:rPr>
          <w:t>https://www.alzheimers.org.uk/about-dementia/types-dementia/mild-cognitive-impairment-mci</w:t>
        </w:r>
      </w:hyperlink>
      <w:r>
        <w:rPr>
          <w:rFonts w:eastAsia="Calibri" w:cs="Calibri"/>
          <w:b w:val="false"/>
          <w:bCs w:val="false"/>
          <w:sz w:val="22"/>
          <w:szCs w:val="22"/>
          <w:u w:val="none"/>
          <w:lang w:val="en-GB"/>
        </w:rPr>
        <w:t xml:space="preserve"> Accessed on December 3</w:t>
      </w:r>
      <w:r>
        <w:rPr>
          <w:rFonts w:eastAsia="Calibri" w:cs="Calibri"/>
          <w:b w:val="false"/>
          <w:bCs w:val="false"/>
          <w:sz w:val="22"/>
          <w:szCs w:val="22"/>
          <w:u w:val="none"/>
          <w:vertAlign w:val="superscript"/>
          <w:lang w:val="en-GB"/>
        </w:rPr>
        <w:t>rd</w:t>
      </w:r>
      <w:r>
        <w:rPr>
          <w:rFonts w:eastAsia="Calibri" w:cs="Calibri"/>
          <w:b w:val="false"/>
          <w:bCs w:val="false"/>
          <w:sz w:val="22"/>
          <w:szCs w:val="22"/>
          <w:u w:val="none"/>
          <w:lang w:val="en-GB"/>
        </w:rPr>
        <w:t>, 2023</w:t>
      </w:r>
    </w:p>
    <w:p>
      <w:pPr>
        <w:pStyle w:val="Normal"/>
        <w:ind w:firstLine="720"/>
        <w:rPr>
          <w:rFonts w:ascii="Calibri" w:hAnsi="Calibri" w:eastAsia="Calibri" w:cs="Calibri"/>
          <w:b w:val="false"/>
          <w:b w:val="false"/>
          <w:bCs w:val="false"/>
          <w:sz w:val="22"/>
          <w:szCs w:val="22"/>
          <w:u w:val="none"/>
          <w:lang w:val="en-GB"/>
        </w:rPr>
      </w:pPr>
      <w:r>
        <w:rPr>
          <w:rFonts w:eastAsia="Calibri" w:cs="Calibri"/>
          <w:b w:val="false"/>
          <w:bCs w:val="false"/>
          <w:sz w:val="22"/>
          <w:szCs w:val="22"/>
          <w:u w:val="none"/>
          <w:lang w:val="en-GB"/>
        </w:rPr>
      </w:r>
    </w:p>
    <w:p>
      <w:pPr>
        <w:pStyle w:val="Normal"/>
        <w:ind w:firstLine="720"/>
        <w:rPr/>
      </w:pPr>
      <w:r>
        <w:rPr>
          <w:rFonts w:eastAsia="Calibri" w:cs="Calibri"/>
          <w:sz w:val="22"/>
          <w:szCs w:val="22"/>
          <w:lang w:val="en-GB"/>
        </w:rPr>
        <w:t xml:space="preserve">Jones and Barllett Learning (2005). </w:t>
      </w:r>
      <w:r>
        <w:rPr>
          <w:rFonts w:eastAsia="Calibri" w:cs="Calibri"/>
          <w:b w:val="false"/>
          <w:bCs w:val="false"/>
          <w:i/>
          <w:iCs/>
          <w:sz w:val="22"/>
          <w:szCs w:val="22"/>
          <w:u w:val="none"/>
          <w:lang w:val="en-GB"/>
        </w:rPr>
        <w:t>‘Aging, Health, and the Environment: An Ecological Model’.</w:t>
      </w:r>
      <w:r>
        <w:rPr>
          <w:rFonts w:eastAsia="Calibri" w:cs="Calibri"/>
          <w:sz w:val="22"/>
          <w:szCs w:val="22"/>
          <w:lang w:val="en-GB"/>
        </w:rPr>
        <w:t xml:space="preserve"> 26559_CH02_039_084</w:t>
      </w:r>
      <w:r>
        <w:rPr>
          <w:rFonts w:eastAsia="Calibri" w:cs="Calibri"/>
          <w:b w:val="false"/>
          <w:bCs w:val="false"/>
          <w:i w:val="false"/>
          <w:iCs w:val="false"/>
          <w:sz w:val="22"/>
          <w:szCs w:val="22"/>
          <w:u w:val="none"/>
          <w:lang w:val="en-GB"/>
        </w:rPr>
        <w:t xml:space="preserve"> </w:t>
      </w:r>
      <w:r>
        <w:rPr>
          <w:rFonts w:eastAsia="Calibri" w:cs="Calibri"/>
          <w:sz w:val="22"/>
          <w:szCs w:val="22"/>
          <w:lang w:val="en-GB"/>
        </w:rPr>
        <w:t xml:space="preserve">Page 39. </w:t>
      </w:r>
      <w:r>
        <w:rPr>
          <w:rFonts w:eastAsia="Calibri" w:cs="Calibri"/>
          <w:b w:val="false"/>
          <w:bCs w:val="false"/>
          <w:i w:val="false"/>
          <w:iCs w:val="false"/>
          <w:sz w:val="22"/>
          <w:szCs w:val="22"/>
          <w:u w:val="none"/>
          <w:lang w:val="en-GB"/>
        </w:rPr>
        <w:t xml:space="preserve">Available at: </w:t>
      </w:r>
      <w:hyperlink r:id="rId3">
        <w:r>
          <w:rPr>
            <w:rStyle w:val="InternetLink"/>
            <w:rFonts w:eastAsia="Calibri" w:cs="Calibri"/>
            <w:b w:val="false"/>
            <w:bCs w:val="false"/>
            <w:i w:val="false"/>
            <w:iCs w:val="false"/>
            <w:sz w:val="22"/>
            <w:szCs w:val="22"/>
            <w:lang w:val="en-GB"/>
          </w:rPr>
          <w:t>https://samples.jblearning.com/0763726559/samplechapter02.pdf</w:t>
        </w:r>
      </w:hyperlink>
      <w:r>
        <w:rPr>
          <w:rFonts w:eastAsia="Calibri" w:cs="Calibri"/>
          <w:b w:val="false"/>
          <w:bCs w:val="false"/>
          <w:i w:val="false"/>
          <w:iCs w:val="false"/>
          <w:sz w:val="22"/>
          <w:szCs w:val="22"/>
          <w:u w:val="none"/>
          <w:lang w:val="en-GB"/>
        </w:rPr>
        <w:t xml:space="preserve"> Accessed on December 3</w:t>
      </w:r>
      <w:r>
        <w:rPr>
          <w:rFonts w:eastAsia="Calibri" w:cs="Calibri"/>
          <w:b w:val="false"/>
          <w:bCs w:val="false"/>
          <w:i w:val="false"/>
          <w:iCs w:val="false"/>
          <w:sz w:val="22"/>
          <w:szCs w:val="22"/>
          <w:u w:val="none"/>
          <w:vertAlign w:val="superscript"/>
          <w:lang w:val="en-GB"/>
        </w:rPr>
        <w:t>rd</w:t>
      </w:r>
      <w:r>
        <w:rPr>
          <w:rFonts w:eastAsia="Calibri" w:cs="Calibri"/>
          <w:b w:val="false"/>
          <w:bCs w:val="false"/>
          <w:i w:val="false"/>
          <w:iCs w:val="false"/>
          <w:sz w:val="22"/>
          <w:szCs w:val="22"/>
          <w:u w:val="none"/>
          <w:lang w:val="en-GB"/>
        </w:rPr>
        <w:t>, 2023.</w:t>
      </w:r>
    </w:p>
    <w:p>
      <w:pPr>
        <w:pStyle w:val="Normal"/>
        <w:ind w:firstLine="720"/>
        <w:rPr>
          <w:rFonts w:ascii="Calibri" w:hAnsi="Calibri" w:eastAsia="Calibri" w:cs="Calibri"/>
          <w:b w:val="false"/>
          <w:b w:val="false"/>
          <w:bCs w:val="false"/>
          <w:i w:val="false"/>
          <w:i w:val="false"/>
          <w:iCs w:val="false"/>
          <w:sz w:val="22"/>
          <w:szCs w:val="22"/>
          <w:u w:val="none"/>
          <w:lang w:val="en-GB"/>
        </w:rPr>
      </w:pPr>
      <w:r>
        <w:rPr>
          <w:rFonts w:eastAsia="Calibri" w:cs="Calibri"/>
          <w:b w:val="false"/>
          <w:bCs w:val="false"/>
          <w:i w:val="false"/>
          <w:iCs w:val="false"/>
          <w:sz w:val="22"/>
          <w:szCs w:val="22"/>
          <w:u w:val="none"/>
          <w:lang w:val="en-GB"/>
        </w:rPr>
      </w:r>
    </w:p>
    <w:p>
      <w:pPr>
        <w:pStyle w:val="Normal"/>
        <w:ind w:firstLine="720"/>
        <w:rPr/>
      </w:pPr>
      <w:r>
        <w:rPr>
          <w:rFonts w:eastAsia="Calibri" w:cs="Calibri"/>
          <w:b w:val="false"/>
          <w:bCs w:val="false"/>
          <w:i w:val="false"/>
          <w:iCs w:val="false"/>
          <w:caps w:val="false"/>
          <w:smallCaps w:val="false"/>
          <w:color w:val="333333"/>
          <w:sz w:val="24"/>
          <w:szCs w:val="24"/>
          <w:lang w:val="en-GB"/>
        </w:rPr>
        <w:t>Lawton, M. P., &amp; Nahemow, L. (1973). ‘</w:t>
      </w:r>
      <w:r>
        <w:rPr>
          <w:rFonts w:eastAsia="Calibri" w:cs="Calibri"/>
          <w:b w:val="false"/>
          <w:bCs w:val="false"/>
          <w:i/>
          <w:iCs/>
          <w:caps w:val="false"/>
          <w:smallCaps w:val="false"/>
          <w:color w:val="333333"/>
          <w:sz w:val="24"/>
          <w:szCs w:val="24"/>
          <w:lang w:val="en-GB"/>
        </w:rPr>
        <w:t>Ecology and the aging process</w:t>
      </w:r>
      <w:r>
        <w:rPr>
          <w:rFonts w:eastAsia="Calibri" w:cs="Calibri"/>
          <w:b w:val="false"/>
          <w:bCs w:val="false"/>
          <w:i w:val="false"/>
          <w:iCs w:val="false"/>
          <w:caps w:val="false"/>
          <w:smallCaps w:val="false"/>
          <w:color w:val="333333"/>
          <w:sz w:val="24"/>
          <w:szCs w:val="24"/>
          <w:lang w:val="en-GB"/>
        </w:rPr>
        <w:t xml:space="preserve">’. In C. Eisdorfer &amp; M. P. Lawton (Eds.), </w:t>
      </w:r>
      <w:r>
        <w:rPr>
          <w:rFonts w:eastAsia="Calibri" w:cs="Calibri"/>
          <w:b w:val="false"/>
          <w:bCs w:val="false"/>
          <w:i/>
          <w:iCs/>
          <w:caps w:val="false"/>
          <w:smallCaps w:val="false"/>
          <w:color w:val="333333"/>
          <w:sz w:val="24"/>
          <w:szCs w:val="24"/>
          <w:lang w:val="en-GB"/>
        </w:rPr>
        <w:t>The psychology of adult development and aging</w:t>
      </w:r>
      <w:r>
        <w:rPr>
          <w:rFonts w:eastAsia="Calibri" w:cs="Calibri"/>
          <w:b w:val="false"/>
          <w:bCs w:val="false"/>
          <w:i w:val="false"/>
          <w:iCs w:val="false"/>
          <w:caps w:val="false"/>
          <w:smallCaps w:val="false"/>
          <w:color w:val="333333"/>
          <w:sz w:val="24"/>
          <w:szCs w:val="24"/>
          <w:lang w:val="en-GB"/>
        </w:rPr>
        <w:t xml:space="preserve"> (pp. 619–674). American Psychological Association. Available at: </w:t>
      </w:r>
      <w:hyperlink r:id="rId4">
        <w:r>
          <w:rPr>
            <w:rStyle w:val="InternetLink"/>
            <w:rFonts w:eastAsia="Calibri" w:cs="Calibri"/>
            <w:b w:val="false"/>
            <w:bCs w:val="false"/>
            <w:i w:val="false"/>
            <w:iCs w:val="false"/>
            <w:caps w:val="false"/>
            <w:smallCaps w:val="false"/>
            <w:strike w:val="false"/>
            <w:dstrike w:val="false"/>
            <w:color w:val="2C72B7"/>
            <w:sz w:val="24"/>
            <w:szCs w:val="24"/>
            <w:u w:val="none"/>
            <w:lang w:val="en-GB"/>
          </w:rPr>
          <w:t>https://doi.org/10.1037/10044-020</w:t>
        </w:r>
      </w:hyperlink>
      <w:r>
        <w:rPr>
          <w:rFonts w:eastAsia="Calibri" w:cs="Calibri"/>
          <w:b w:val="false"/>
          <w:bCs w:val="false"/>
          <w:i w:val="false"/>
          <w:iCs w:val="false"/>
          <w:caps w:val="false"/>
          <w:smallCaps w:val="false"/>
          <w:strike w:val="false"/>
          <w:dstrike w:val="false"/>
          <w:color w:val="2C72B7"/>
          <w:sz w:val="24"/>
          <w:szCs w:val="24"/>
          <w:u w:val="none"/>
          <w:lang w:val="en-GB"/>
        </w:rPr>
        <w:t xml:space="preserve"> </w:t>
      </w:r>
      <w:r>
        <w:rPr>
          <w:rFonts w:eastAsia="Calibri" w:cs="Calibri"/>
          <w:b w:val="false"/>
          <w:bCs w:val="false"/>
          <w:i w:val="false"/>
          <w:iCs w:val="false"/>
          <w:caps w:val="false"/>
          <w:smallCaps w:val="false"/>
          <w:strike w:val="false"/>
          <w:dstrike w:val="false"/>
          <w:color w:val="auto"/>
          <w:sz w:val="24"/>
          <w:szCs w:val="24"/>
          <w:u w:val="none"/>
          <w:lang w:val="en-GB"/>
        </w:rPr>
        <w:t>Accessed on December 3</w:t>
      </w:r>
      <w:r>
        <w:rPr>
          <w:rFonts w:eastAsia="Calibri" w:cs="Calibri"/>
          <w:b w:val="false"/>
          <w:bCs w:val="false"/>
          <w:i w:val="false"/>
          <w:iCs w:val="false"/>
          <w:caps w:val="false"/>
          <w:smallCaps w:val="false"/>
          <w:strike w:val="false"/>
          <w:dstrike w:val="false"/>
          <w:color w:val="auto"/>
          <w:sz w:val="24"/>
          <w:szCs w:val="24"/>
          <w:u w:val="none"/>
          <w:vertAlign w:val="superscript"/>
          <w:lang w:val="en-GB"/>
        </w:rPr>
        <w:t>rd</w:t>
      </w:r>
      <w:r>
        <w:rPr>
          <w:rFonts w:eastAsia="Calibri" w:cs="Calibri"/>
          <w:b w:val="false"/>
          <w:bCs w:val="false"/>
          <w:i w:val="false"/>
          <w:iCs w:val="false"/>
          <w:caps w:val="false"/>
          <w:smallCaps w:val="false"/>
          <w:strike w:val="false"/>
          <w:dstrike w:val="false"/>
          <w:color w:val="auto"/>
          <w:sz w:val="24"/>
          <w:szCs w:val="24"/>
          <w:u w:val="none"/>
          <w:lang w:val="en-GB"/>
        </w:rPr>
        <w:t>, 2023.</w:t>
      </w:r>
    </w:p>
    <w:p>
      <w:pPr>
        <w:pStyle w:val="Normal"/>
        <w:ind w:firstLine="720"/>
        <w:rPr>
          <w:rFonts w:ascii="Calibri" w:hAnsi="Calibri" w:eastAsia="Calibri" w:cs="Calibr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b w:val="false"/>
          <w:bCs w:val="false"/>
          <w:i w:val="false"/>
          <w:iCs w:val="false"/>
          <w:caps w:val="false"/>
          <w:smallCaps w:val="false"/>
          <w:strike w:val="false"/>
          <w:dstrike w:val="false"/>
          <w:color w:val="auto"/>
          <w:sz w:val="24"/>
          <w:szCs w:val="24"/>
          <w:u w:val="none"/>
          <w:lang w:val="en-GB"/>
        </w:rPr>
      </w:r>
    </w:p>
    <w:p>
      <w:pPr>
        <w:pStyle w:val="Normal"/>
        <w:ind w:firstLine="720"/>
        <w:rPr/>
      </w:pPr>
      <w:r>
        <w:rPr>
          <w:rFonts w:eastAsia="Calibri" w:cs="Calibri" w:cstheme="minorAscii" w:eastAsiaTheme="minorAscii"/>
          <w:b w:val="false"/>
          <w:bCs w:val="false"/>
          <w:i w:val="false"/>
          <w:iCs w:val="false"/>
          <w:caps w:val="false"/>
          <w:smallCaps w:val="false"/>
          <w:color w:val="auto"/>
          <w:sz w:val="24"/>
          <w:szCs w:val="24"/>
          <w:lang w:val="en-GB"/>
        </w:rPr>
        <w:t>Zhang, X., Lin, H. (2021). Disengagement Theory. In: Gu, D., Dupre, M.E. (eds) Encyclopedia of Gerontology and Population Aging. Springer, Cham. Available at:</w:t>
      </w:r>
      <w:r>
        <w:rPr>
          <w:rFonts w:eastAsia="Calibri" w:cs="Calibri" w:cstheme="minorAscii" w:eastAsiaTheme="minorAscii"/>
          <w:b w:val="false"/>
          <w:bCs w:val="false"/>
          <w:i w:val="false"/>
          <w:iCs w:val="false"/>
          <w:caps w:val="false"/>
          <w:smallCaps w:val="false"/>
          <w:color w:val="333333"/>
          <w:sz w:val="24"/>
          <w:szCs w:val="24"/>
          <w:lang w:val="en-GB"/>
        </w:rPr>
        <w:t xml:space="preserve"> </w:t>
      </w:r>
      <w:hyperlink r:id="rId5">
        <w:r>
          <w:rPr>
            <w:rStyle w:val="InternetLink"/>
            <w:rFonts w:eastAsia="Calibri" w:cs="Calibri" w:cstheme="minorAscii" w:eastAsiaTheme="minorAscii"/>
            <w:b w:val="false"/>
            <w:bCs w:val="false"/>
            <w:i w:val="false"/>
            <w:iCs w:val="false"/>
            <w:caps w:val="false"/>
            <w:smallCaps w:val="false"/>
            <w:sz w:val="24"/>
            <w:szCs w:val="24"/>
            <w:lang w:val="en-GB"/>
          </w:rPr>
          <w:t>https://doi.org/10.1007/978-3-030-22009-9_645</w:t>
        </w:r>
      </w:hyperlink>
      <w:r>
        <w:rPr>
          <w:rFonts w:eastAsia="Calibri" w:cs="Calibri" w:cstheme="minorAscii" w:eastAsiaTheme="minorAscii"/>
          <w:b w:val="false"/>
          <w:bCs w:val="false"/>
          <w:i w:val="false"/>
          <w:iCs w:val="false"/>
          <w:caps w:val="false"/>
          <w:smallCaps w:val="false"/>
          <w:color w:val="333333"/>
          <w:sz w:val="24"/>
          <w:szCs w:val="24"/>
          <w:lang w:val="en-GB"/>
        </w:rPr>
        <w:t xml:space="preserve"> </w:t>
      </w:r>
      <w:r>
        <w:rPr>
          <w:rFonts w:eastAsia="Calibri" w:cs="Calibri" w:cstheme="minorAscii" w:eastAsiaTheme="minorAscii"/>
          <w:b w:val="false"/>
          <w:bCs w:val="false"/>
          <w:i w:val="false"/>
          <w:iCs w:val="false"/>
          <w:caps w:val="false"/>
          <w:smallCaps w:val="false"/>
          <w:color w:val="auto"/>
          <w:sz w:val="24"/>
          <w:szCs w:val="24"/>
          <w:lang w:val="en-GB"/>
        </w:rPr>
        <w:t>Accessed on December 4</w:t>
      </w:r>
      <w:r>
        <w:rPr>
          <w:rFonts w:eastAsia="Calibri" w:cs="Calibri" w:cstheme="minorAscii" w:eastAsiaTheme="minorAscii"/>
          <w:b w:val="false"/>
          <w:bCs w:val="false"/>
          <w:i w:val="false"/>
          <w:iCs w:val="false"/>
          <w:caps w:val="false"/>
          <w:smallCaps w:val="false"/>
          <w:color w:val="auto"/>
          <w:sz w:val="24"/>
          <w:szCs w:val="24"/>
          <w:vertAlign w:val="superscript"/>
          <w:lang w:val="en-GB"/>
        </w:rPr>
        <w:t>th</w:t>
      </w:r>
      <w:r>
        <w:rPr>
          <w:rFonts w:eastAsia="Calibri" w:cs="Calibri" w:cstheme="minorAscii" w:eastAsiaTheme="minorAscii"/>
          <w:b w:val="false"/>
          <w:bCs w:val="false"/>
          <w:i w:val="false"/>
          <w:iCs w:val="false"/>
          <w:caps w:val="false"/>
          <w:smallCaps w:val="false"/>
          <w:color w:val="auto"/>
          <w:sz w:val="24"/>
          <w:szCs w:val="24"/>
          <w:lang w:val="en-GB"/>
        </w:rPr>
        <w:t>, 2023.</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333333"/>
          <w:sz w:val="24"/>
          <w:szCs w:val="24"/>
          <w:lang w:val="en-GB"/>
        </w:rPr>
      </w:pPr>
      <w:r>
        <w:rPr>
          <w:rFonts w:eastAsia="Calibri" w:cs="Calibri" w:cstheme="minorAscii" w:eastAsiaTheme="minorAscii"/>
          <w:b w:val="false"/>
          <w:bCs w:val="false"/>
          <w:i w:val="false"/>
          <w:iCs w:val="false"/>
          <w:caps w:val="false"/>
          <w:smallCaps w:val="false"/>
          <w:color w:val="333333"/>
          <w:sz w:val="24"/>
          <w:szCs w:val="24"/>
          <w:lang w:val="en-GB"/>
        </w:rPr>
      </w:r>
    </w:p>
    <w:p>
      <w:pPr>
        <w:pStyle w:val="Normal"/>
        <w:shd w:val="clear" w:color="auto" w:fill="FFFFFF" w:themeFill="background1"/>
        <w:spacing w:beforeAutospacing="0" w:before="0" w:afterAutospacing="0" w:after="0"/>
        <w:ind w:left="0" w:firstLine="720"/>
        <w:jc w:val="left"/>
        <w:rPr/>
      </w:pPr>
      <w:r>
        <w:rPr>
          <w:rFonts w:eastAsia="Calibri" w:cs="Calibri" w:cstheme="minorAscii" w:eastAsiaTheme="minorAscii"/>
          <w:b w:val="false"/>
          <w:bCs w:val="false"/>
          <w:i w:val="false"/>
          <w:iCs w:val="false"/>
          <w:caps w:val="false"/>
          <w:smallCaps w:val="false"/>
          <w:color w:val="auto"/>
          <w:sz w:val="24"/>
          <w:szCs w:val="24"/>
          <w:lang w:val="en-GB"/>
        </w:rPr>
        <w:t>Freda Gonot-Schoupinsky, Gulcan Garip &amp; David Sheffield (2022) ‘</w:t>
      </w:r>
      <w:r>
        <w:rPr>
          <w:rFonts w:eastAsia="Calibri" w:cs="Calibri" w:cstheme="minorAscii" w:eastAsiaTheme="minorAscii"/>
          <w:b w:val="false"/>
          <w:bCs w:val="false"/>
          <w:i/>
          <w:iCs/>
          <w:caps w:val="false"/>
          <w:smallCaps w:val="false"/>
          <w:color w:val="auto"/>
          <w:sz w:val="24"/>
          <w:szCs w:val="24"/>
          <w:lang w:val="en-GB"/>
        </w:rPr>
        <w:t>The Engage-Disengage Model as an Inclusive Model for the Promotion of Healthy and Successful Aging in the Oldest-old</w:t>
      </w:r>
      <w:r>
        <w:rPr>
          <w:rFonts w:eastAsia="Calibri" w:cs="Calibri" w:cstheme="minorAscii" w:eastAsiaTheme="minorAscii"/>
          <w:b w:val="false"/>
          <w:bCs w:val="false"/>
          <w:i w:val="false"/>
          <w:iCs w:val="false"/>
          <w:caps w:val="false"/>
          <w:smallCaps w:val="false"/>
          <w:color w:val="auto"/>
          <w:sz w:val="24"/>
          <w:szCs w:val="24"/>
          <w:lang w:val="en-GB"/>
        </w:rPr>
        <w:t xml:space="preserve">'. Activities, Adaptation &amp; Aging, 46:2, 159-181, Available at: </w:t>
      </w:r>
      <w:hyperlink r:id="rId6">
        <w:r>
          <w:rPr>
            <w:rStyle w:val="InternetLink"/>
            <w:rFonts w:eastAsia="Calibri" w:cs="Calibri" w:cstheme="minorAscii" w:eastAsiaTheme="minorAscii"/>
            <w:b w:val="false"/>
            <w:bCs w:val="false"/>
            <w:i w:val="false"/>
            <w:iCs w:val="false"/>
            <w:caps w:val="false"/>
            <w:smallCaps w:val="false"/>
            <w:strike w:val="false"/>
            <w:dstrike w:val="false"/>
            <w:color w:val="auto"/>
            <w:sz w:val="24"/>
            <w:szCs w:val="24"/>
            <w:u w:val="single"/>
            <w:lang w:val="en-GB"/>
          </w:rPr>
          <w:t>10.1080/01924788.2021.1970892</w:t>
        </w:r>
      </w:hyperlink>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Accessed on december 4</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shd w:val="clear" w:color="auto" w:fill="FFFFFF" w:themeFill="background1"/>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r>
    </w:p>
    <w:p>
      <w:pPr>
        <w:pStyle w:val="Normal"/>
        <w:shd w:val="clear" w:color="auto" w:fill="FFFFFF" w:themeFill="background1"/>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Cumming, E. Et al (1960). </w:t>
      </w:r>
      <w:r>
        <w:rPr>
          <w:rFonts w:eastAsia="Calibri" w:cs="Calibri" w:cstheme="minorAscii" w:eastAsiaTheme="minorAscii"/>
          <w:b w:val="false"/>
          <w:bCs w:val="false"/>
          <w:i/>
          <w:iCs/>
          <w:caps w:val="false"/>
          <w:smallCaps w:val="false"/>
          <w:strike w:val="false"/>
          <w:dstrike w:val="false"/>
          <w:color w:val="auto"/>
          <w:sz w:val="24"/>
          <w:szCs w:val="24"/>
          <w:u w:val="none"/>
          <w:lang w:val="en-GB"/>
        </w:rPr>
        <w:t>‘Disengagement: A Tentative Theory of Aging’</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Department of Mental Hygiene, New York State. Sociometry Vol 23, No. 1, pg 23-35. American Sociological Association.</w:t>
      </w:r>
      <w:r>
        <w:rPr/>
        <w:br/>
      </w:r>
    </w:p>
    <w:p>
      <w:pPr>
        <w:pStyle w:val="Normal"/>
        <w:spacing w:beforeAutospacing="0" w:before="0" w:afterAutospacing="0" w:after="0"/>
        <w:ind w:left="0" w:firstLine="720"/>
        <w:jc w:val="left"/>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Hochschild, A. R. (1975). ‘</w:t>
      </w:r>
      <w:r>
        <w:rPr>
          <w:rFonts w:eastAsia="Calibri" w:cs="Calibri" w:cstheme="minorAscii" w:eastAsiaTheme="minorAscii"/>
          <w:b w:val="false"/>
          <w:bCs w:val="false"/>
          <w:i/>
          <w:iCs/>
          <w:caps w:val="false"/>
          <w:smallCaps w:val="false"/>
          <w:color w:val="000000" w:themeColor="text1" w:themeShade="ff" w:themeTint="ff"/>
          <w:sz w:val="24"/>
          <w:szCs w:val="24"/>
          <w:lang w:val="en-GB"/>
        </w:rPr>
        <w:t>Disengagement Theory: A Critique and Proposal</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 </w:t>
      </w:r>
      <w:r>
        <w:rPr>
          <w:rFonts w:eastAsia="Calibri" w:cs="Calibri" w:cstheme="minorAscii" w:eastAsiaTheme="minorAscii"/>
          <w:b w:val="false"/>
          <w:bCs w:val="false"/>
          <w:i/>
          <w:iCs/>
          <w:caps w:val="false"/>
          <w:smallCaps w:val="false"/>
          <w:color w:val="000000" w:themeColor="text1" w:themeShade="ff" w:themeTint="ff"/>
          <w:sz w:val="24"/>
          <w:szCs w:val="24"/>
          <w:lang w:val="en-GB"/>
        </w:rPr>
        <w:t>American Sociological Review</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 </w:t>
      </w:r>
      <w:r>
        <w:rPr>
          <w:rFonts w:eastAsia="Calibri" w:cs="Calibri" w:cstheme="minorAscii" w:eastAsiaTheme="minorAscii"/>
          <w:b w:val="false"/>
          <w:bCs w:val="false"/>
          <w:i/>
          <w:iCs/>
          <w:caps w:val="false"/>
          <w:smallCaps w:val="false"/>
          <w:color w:val="000000" w:themeColor="text1" w:themeShade="ff" w:themeTint="ff"/>
          <w:sz w:val="24"/>
          <w:szCs w:val="24"/>
          <w:lang w:val="en-GB"/>
        </w:rPr>
        <w:t>40</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(5), 553–569. Available at: </w:t>
      </w:r>
      <w:hyperlink r:id="rId7">
        <w:r>
          <w:rPr>
            <w:rStyle w:val="InternetLink"/>
            <w:rFonts w:eastAsia="Calibri" w:cs="Calibri" w:cstheme="minorAscii" w:eastAsiaTheme="minorAscii"/>
            <w:b w:val="false"/>
            <w:bCs w:val="false"/>
            <w:i w:val="false"/>
            <w:iCs w:val="false"/>
            <w:caps w:val="false"/>
            <w:smallCaps w:val="false"/>
            <w:sz w:val="24"/>
            <w:szCs w:val="24"/>
            <w:lang w:val="en-GB"/>
          </w:rPr>
          <w:t>https://doi.org/10.2307/2094195</w:t>
        </w:r>
      </w:hyperlink>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 Accessed on December 5</w:t>
      </w:r>
      <w:r>
        <w:rPr>
          <w:rFonts w:eastAsia="Calibri" w:cs="Calibri" w:cstheme="minorAscii" w:eastAsiaTheme="minorAscii"/>
          <w:b w:val="false"/>
          <w:bCs w:val="false"/>
          <w:i w:val="false"/>
          <w:iCs w:val="false"/>
          <w:caps w:val="false"/>
          <w:smallCaps w:val="false"/>
          <w:color w:val="000000" w:themeColor="text1" w:themeShade="ff" w:themeTint="ff"/>
          <w:sz w:val="24"/>
          <w:szCs w:val="24"/>
          <w:vertAlign w:val="superscript"/>
          <w:lang w:val="en-GB"/>
        </w:rPr>
        <w:t>th</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2023.</w:t>
      </w:r>
    </w:p>
    <w:p>
      <w:pPr>
        <w:pStyle w:val="Normal"/>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r>
    </w:p>
    <w:p>
      <w:pPr>
        <w:pStyle w:val="Normal"/>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Mabry and Bengston  (2005). </w:t>
      </w:r>
      <w:r>
        <w:rPr>
          <w:rFonts w:eastAsia="Calibri" w:cs="Calibri" w:cstheme="minorAscii" w:eastAsiaTheme="minorAscii"/>
          <w:b w:val="false"/>
          <w:bCs w:val="false"/>
          <w:i/>
          <w:iCs/>
          <w:caps w:val="false"/>
          <w:smallCaps w:val="false"/>
          <w:color w:val="000000" w:themeColor="text1" w:themeShade="ff" w:themeTint="ff"/>
          <w:sz w:val="24"/>
          <w:szCs w:val="24"/>
          <w:lang w:val="en-GB"/>
        </w:rPr>
        <w:t>‘Encyclopedia of Ageism’</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Haworth Pastoral Press, Binghamton, New York. 2013 edition. Pg 113-117.</w:t>
      </w:r>
    </w:p>
    <w:p>
      <w:pPr>
        <w:pStyle w:val="Normal"/>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color w:val="000000" w:themeColor="text1" w:themeShade="ff" w:themeTint="ff"/>
          <w:sz w:val="24"/>
          <w:szCs w:val="24"/>
          <w:lang w:val="en-GB"/>
        </w:rPr>
      </w:pP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r>
    </w:p>
    <w:p>
      <w:pPr>
        <w:pStyle w:val="Normal"/>
        <w:spacing w:beforeAutospacing="0" w:before="0" w:afterAutospacing="0" w:after="0"/>
        <w:ind w:left="0" w:firstLine="720"/>
        <w:jc w:val="left"/>
        <w:rPr/>
      </w:pPr>
      <w:r>
        <w:rPr>
          <w:rFonts w:eastAsia="Calibri" w:cs="Calibri" w:cstheme="minorAscii" w:eastAsiaTheme="minorAscii"/>
          <w:b w:val="false"/>
          <w:bCs w:val="false"/>
          <w:i w:val="false"/>
          <w:iCs w:val="false"/>
          <w:caps w:val="false"/>
          <w:smallCaps w:val="false"/>
          <w:color w:val="auto"/>
          <w:sz w:val="24"/>
          <w:szCs w:val="24"/>
          <w:lang w:val="en-GB"/>
        </w:rPr>
        <w:t>Asiamah (2017) ‘</w:t>
      </w:r>
      <w:r>
        <w:rPr>
          <w:rFonts w:eastAsia="Calibri" w:cs="Calibri" w:cstheme="minorAscii" w:eastAsiaTheme="minorAscii"/>
          <w:b w:val="false"/>
          <w:bCs w:val="false"/>
          <w:i/>
          <w:iCs/>
          <w:caps w:val="false"/>
          <w:smallCaps w:val="false"/>
          <w:color w:val="auto"/>
          <w:sz w:val="24"/>
          <w:szCs w:val="24"/>
          <w:lang w:val="en-GB"/>
        </w:rPr>
        <w:t>Social engagement and physical activity: Commentary on why the activity and disengagement theories of ageing may both be valid</w:t>
      </w:r>
      <w:r>
        <w:rPr>
          <w:rFonts w:eastAsia="Calibri" w:cs="Calibri" w:cstheme="minorAscii" w:eastAsiaTheme="minorAscii"/>
          <w:b w:val="false"/>
          <w:bCs w:val="false"/>
          <w:i w:val="false"/>
          <w:iCs w:val="false"/>
          <w:caps w:val="false"/>
          <w:smallCaps w:val="false"/>
          <w:color w:val="auto"/>
          <w:sz w:val="24"/>
          <w:szCs w:val="24"/>
          <w:lang w:val="en-GB"/>
        </w:rPr>
        <w:t xml:space="preserve">’. Cogent Medicine, 4:1. Available at: </w:t>
      </w:r>
      <w:hyperlink r:id="rId8">
        <w:r>
          <w:rPr>
            <w:rStyle w:val="InternetLink"/>
            <w:rFonts w:eastAsia="Calibri" w:cs="Calibri" w:cstheme="minorAscii" w:eastAsiaTheme="minorAscii"/>
            <w:b w:val="false"/>
            <w:bCs w:val="false"/>
            <w:i w:val="false"/>
            <w:iCs w:val="false"/>
            <w:caps w:val="false"/>
            <w:smallCaps w:val="false"/>
            <w:strike w:val="false"/>
            <w:dstrike w:val="false"/>
            <w:color w:val="auto"/>
            <w:sz w:val="24"/>
            <w:szCs w:val="24"/>
            <w:u w:val="single"/>
            <w:lang w:val="en-GB"/>
          </w:rPr>
          <w:t>10.1080/2331205X.2017.1289664</w:t>
        </w:r>
      </w:hyperlink>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Accessed on December 6</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333333"/>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333333"/>
          <w:sz w:val="24"/>
          <w:szCs w:val="24"/>
          <w:u w:val="none"/>
          <w:lang w:val="en-GB"/>
        </w:rPr>
      </w:r>
    </w:p>
    <w:p>
      <w:pPr>
        <w:pStyle w:val="Normal"/>
        <w:spacing w:beforeAutospacing="0" w:before="0" w:afterAutospacing="0" w:after="0"/>
        <w:ind w:left="0" w:firstLine="720"/>
        <w:jc w:val="left"/>
        <w:rPr/>
      </w:pPr>
      <w:r>
        <w:rPr>
          <w:rFonts w:eastAsia="Calibri" w:cs="Calibri" w:cstheme="minorAscii" w:eastAsiaTheme="minorAscii"/>
          <w:b w:val="false"/>
          <w:bCs w:val="false"/>
          <w:i w:val="false"/>
          <w:iCs w:val="false"/>
          <w:caps w:val="false"/>
          <w:smallCaps w:val="false"/>
          <w:color w:val="auto"/>
          <w:sz w:val="24"/>
          <w:szCs w:val="24"/>
          <w:lang w:val="en-GB"/>
        </w:rPr>
        <w:t>Anam Khan &amp; Adnan Adil (2023) ‘</w:t>
      </w:r>
      <w:r>
        <w:rPr>
          <w:rFonts w:eastAsia="Calibri" w:cs="Calibri" w:cstheme="minorAscii" w:eastAsiaTheme="minorAscii"/>
          <w:b w:val="false"/>
          <w:bCs w:val="false"/>
          <w:i/>
          <w:iCs/>
          <w:caps w:val="false"/>
          <w:smallCaps w:val="false"/>
          <w:color w:val="auto"/>
          <w:sz w:val="24"/>
          <w:szCs w:val="24"/>
          <w:lang w:val="en-GB"/>
        </w:rPr>
        <w:t>Development and validation of Unsuccessful Disengagement Aging Scale (UDAS) for older adults</w:t>
      </w:r>
      <w:r>
        <w:rPr>
          <w:rFonts w:eastAsia="Calibri" w:cs="Calibri" w:cstheme="minorAscii" w:eastAsiaTheme="minorAscii"/>
          <w:b w:val="false"/>
          <w:bCs w:val="false"/>
          <w:i w:val="false"/>
          <w:iCs w:val="false"/>
          <w:caps w:val="false"/>
          <w:smallCaps w:val="false"/>
          <w:color w:val="auto"/>
          <w:sz w:val="24"/>
          <w:szCs w:val="24"/>
          <w:lang w:val="en-GB"/>
        </w:rPr>
        <w:t xml:space="preserve">’. The Journal of General Psychology. Available at: </w:t>
      </w:r>
      <w:hyperlink r:id="rId9">
        <w:r>
          <w:rPr>
            <w:rStyle w:val="InternetLink"/>
            <w:rFonts w:eastAsia="Calibri" w:cs="Calibri" w:cstheme="minorAscii" w:eastAsiaTheme="minorAscii"/>
            <w:b w:val="false"/>
            <w:bCs w:val="false"/>
            <w:i w:val="false"/>
            <w:iCs w:val="false"/>
            <w:caps w:val="false"/>
            <w:smallCaps w:val="false"/>
            <w:strike w:val="false"/>
            <w:dstrike w:val="false"/>
            <w:color w:val="auto"/>
            <w:sz w:val="24"/>
            <w:szCs w:val="24"/>
            <w:u w:val="single"/>
            <w:lang w:val="en-GB"/>
          </w:rPr>
          <w:t>10.1080/00221309.2023.2241951</w:t>
        </w:r>
      </w:hyperlink>
      <w:r>
        <w:rPr>
          <w:rFonts w:eastAsia="Calibri" w:cs="Calibri" w:cstheme="minorAscii" w:eastAsiaTheme="minorAscii"/>
          <w:b w:val="false"/>
          <w:bCs w:val="false"/>
          <w:i w:val="false"/>
          <w:iCs w:val="false"/>
          <w:caps w:val="false"/>
          <w:smallCaps w:val="false"/>
          <w:strike w:val="false"/>
          <w:dstrike w:val="false"/>
          <w:color w:val="auto"/>
          <w:sz w:val="24"/>
          <w:szCs w:val="24"/>
          <w:u w:val="single"/>
          <w:lang w:val="en-GB"/>
        </w:rPr>
        <w:t xml:space="preserve"> </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Accessed on December 6</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spacing w:beforeAutospacing="0" w:before="0" w:afterAutospacing="0" w:after="0"/>
        <w:ind w:left="0"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r>
    </w:p>
    <w:p>
      <w:pPr>
        <w:pStyle w:val="Normal"/>
        <w:ind w:firstLine="720"/>
        <w:jc w:val="left"/>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Bultena and Oyler (1971). </w:t>
      </w:r>
      <w:r>
        <w:rPr>
          <w:rFonts w:eastAsia="Calibri" w:cs="Calibri" w:cstheme="minorAscii" w:eastAsiaTheme="minorAscii"/>
          <w:b w:val="false"/>
          <w:bCs w:val="false"/>
          <w:i/>
          <w:iCs/>
          <w:caps w:val="false"/>
          <w:smallCaps w:val="false"/>
          <w:strike w:val="false"/>
          <w:dstrike w:val="false"/>
          <w:color w:val="auto"/>
          <w:sz w:val="24"/>
          <w:szCs w:val="24"/>
          <w:u w:val="none"/>
          <w:lang w:val="en-GB"/>
        </w:rPr>
        <w:t>‘Effects of Health on Disengagement and Morale’</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w:t>
      </w:r>
      <w:r>
        <w:rPr>
          <w:rFonts w:eastAsia="Calibri" w:cs="Calibri" w:cstheme="minorAscii" w:eastAsiaTheme="minorAscii"/>
          <w:b w:val="false"/>
          <w:bCs w:val="false"/>
          <w:i/>
          <w:iCs/>
          <w:caps w:val="false"/>
          <w:smallCaps w:val="false"/>
          <w:color w:val="333333"/>
          <w:sz w:val="24"/>
          <w:szCs w:val="24"/>
          <w:lang w:val="en-GB"/>
        </w:rPr>
        <w:t>Aging and Human Development.</w:t>
      </w:r>
      <w:r>
        <w:rPr>
          <w:rFonts w:eastAsia="Calibri" w:cs="Calibri" w:cstheme="minorAscii" w:eastAsiaTheme="minorAscii"/>
          <w:b w:val="false"/>
          <w:bCs w:val="false"/>
          <w:i w:val="false"/>
          <w:iCs w:val="false"/>
          <w:caps w:val="false"/>
          <w:smallCaps w:val="false"/>
          <w:color w:val="333333"/>
          <w:sz w:val="24"/>
          <w:szCs w:val="24"/>
          <w:lang w:val="en-GB"/>
        </w:rPr>
        <w:t xml:space="preserve"> 1971;2(2):142-148. Available at: </w:t>
      </w:r>
      <w:hyperlink r:id="rId10">
        <w:r>
          <w:rPr>
            <w:rStyle w:val="InternetLink"/>
            <w:rFonts w:eastAsia="Calibri" w:cs="Calibri" w:cstheme="minorAscii" w:eastAsiaTheme="minorAscii"/>
            <w:b w:val="false"/>
            <w:bCs w:val="false"/>
            <w:i w:val="false"/>
            <w:iCs w:val="false"/>
            <w:caps w:val="false"/>
            <w:smallCaps w:val="false"/>
            <w:strike w:val="false"/>
            <w:dstrike w:val="false"/>
            <w:color w:val="006ACC"/>
            <w:sz w:val="24"/>
            <w:szCs w:val="24"/>
            <w:u w:val="single"/>
            <w:lang w:val="en-GB"/>
          </w:rPr>
          <w:t>10.2190/AG.2.2.g</w:t>
        </w:r>
      </w:hyperlink>
      <w:r>
        <w:rPr>
          <w:rFonts w:eastAsia="Calibri" w:cs="Calibri" w:cstheme="minorAscii" w:eastAsiaTheme="minorAscii"/>
          <w:b w:val="false"/>
          <w:bCs w:val="false"/>
          <w:i w:val="false"/>
          <w:iCs w:val="false"/>
          <w:caps w:val="false"/>
          <w:smallCaps w:val="false"/>
          <w:strike w:val="false"/>
          <w:dstrike w:val="false"/>
          <w:color w:val="006ACC"/>
          <w:sz w:val="24"/>
          <w:szCs w:val="24"/>
          <w:u w:val="single"/>
          <w:lang w:val="en-GB"/>
        </w:rPr>
        <w:t xml:space="preserve"> </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Accessed on December 6</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ind w:firstLine="720"/>
        <w:jc w:val="left"/>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r>
    </w:p>
    <w:p>
      <w:pPr>
        <w:pStyle w:val="Normal"/>
        <w:spacing w:before="0" w:afterAutospacing="0" w:after="180"/>
        <w:ind w:firstLine="720"/>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Guure, C.  et al (2017). </w:t>
      </w:r>
      <w:r>
        <w:rPr>
          <w:rFonts w:eastAsia="Calibri" w:cs="Calibri" w:cstheme="minorAscii" w:eastAsiaTheme="minorAscii"/>
          <w:b w:val="false"/>
          <w:bCs w:val="false"/>
          <w:i/>
          <w:iCs/>
          <w:caps w:val="false"/>
          <w:smallCaps w:val="false"/>
          <w:strike w:val="false"/>
          <w:dstrike w:val="false"/>
          <w:color w:val="auto"/>
          <w:sz w:val="24"/>
          <w:szCs w:val="24"/>
          <w:u w:val="none"/>
          <w:lang w:val="en-GB"/>
        </w:rPr>
        <w:t>‘Impact of Physical Activity on Cognitive Decline, Dementia, and Its Subtypes: Meta-Analysis of Prospective Studies’</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Biomed Research International. </w:t>
      </w:r>
      <w:r>
        <w:rPr>
          <w:rFonts w:eastAsia="Calibri" w:cs="Calibri" w:cstheme="minorAscii" w:eastAsiaTheme="minorAscii"/>
          <w:b w:val="false"/>
          <w:bCs w:val="false"/>
          <w:i w:val="false"/>
          <w:iCs w:val="false"/>
          <w:caps w:val="false"/>
          <w:smallCaps w:val="false"/>
          <w:color w:val="000000" w:themeColor="text1" w:themeShade="ff" w:themeTint="ff"/>
          <w:sz w:val="24"/>
          <w:szCs w:val="24"/>
          <w:lang w:val="en-GB"/>
        </w:rPr>
        <w:t xml:space="preserve">Volume 2017 | Article ID 9016924. Available at: </w:t>
      </w:r>
      <w:r>
        <w:rPr>
          <w:rFonts w:eastAsia="Calibri" w:cs="Calibri" w:cstheme="minorAscii" w:eastAsiaTheme="minorAscii"/>
          <w:b w:val="false"/>
          <w:bCs w:val="false"/>
          <w:i w:val="false"/>
          <w:iCs w:val="false"/>
          <w:caps w:val="false"/>
          <w:smallCaps w:val="false"/>
          <w:color w:val="4472C4" w:themeColor="accent1" w:themeShade="ff" w:themeTint="ff"/>
          <w:sz w:val="24"/>
          <w:szCs w:val="24"/>
          <w:lang w:val="en-GB"/>
        </w:rPr>
        <w:t xml:space="preserve"> </w:t>
      </w:r>
      <w:hyperlink r:id="rId11">
        <w:r>
          <w:rPr>
            <w:rStyle w:val="InternetLink"/>
            <w:rFonts w:eastAsia="Calibri" w:cs="Calibri" w:cstheme="minorAscii" w:eastAsiaTheme="minorAscii"/>
            <w:b w:val="false"/>
            <w:bCs w:val="false"/>
            <w:i w:val="false"/>
            <w:iCs w:val="false"/>
            <w:caps w:val="false"/>
            <w:smallCaps w:val="false"/>
            <w:strike w:val="false"/>
            <w:dstrike w:val="false"/>
            <w:color w:val="4472C4" w:themeColor="accent1" w:themeShade="ff" w:themeTint="ff"/>
            <w:sz w:val="24"/>
            <w:szCs w:val="24"/>
            <w:u w:val="none"/>
            <w:lang w:val="en-GB"/>
          </w:rPr>
          <w:t>https://doi.org/10.1155/2017/9016924</w:t>
        </w:r>
      </w:hyperlink>
      <w:r>
        <w:rPr>
          <w:rFonts w:eastAsia="Calibri" w:cs="Calibri" w:cstheme="minorAscii" w:eastAsiaTheme="minorAscii"/>
          <w:b w:val="false"/>
          <w:bCs w:val="false"/>
          <w:i w:val="false"/>
          <w:iCs w:val="false"/>
          <w:caps w:val="false"/>
          <w:smallCaps w:val="false"/>
          <w:strike w:val="false"/>
          <w:dstrike w:val="false"/>
          <w:color w:val="4472C4" w:themeColor="accent1" w:themeShade="ff" w:themeTint="ff"/>
          <w:sz w:val="24"/>
          <w:szCs w:val="24"/>
          <w:u w:val="none"/>
          <w:lang w:val="en-GB"/>
        </w:rPr>
        <w:t xml:space="preserve"> </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Accessed on December 7</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spacing w:before="0" w:afterAutospacing="0" w:after="180"/>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r>
    </w:p>
    <w:p>
      <w:pPr>
        <w:pStyle w:val="Normal"/>
        <w:ind w:firstLine="720"/>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Sofi, D. et al (2010). ‘</w:t>
      </w:r>
      <w:r>
        <w:rPr>
          <w:rFonts w:eastAsia="Calibri" w:cs="Calibri" w:cstheme="minorAscii" w:eastAsiaTheme="minorAscii"/>
          <w:i/>
          <w:iCs/>
          <w:caps w:val="false"/>
          <w:smallCaps w:val="false"/>
          <w:color w:val="auto"/>
          <w:sz w:val="24"/>
          <w:szCs w:val="24"/>
        </w:rPr>
        <w:t xml:space="preserve">Physical activity and risk of cognitive decline: a meta-analysis of prospective studies’. </w:t>
      </w:r>
      <w:r>
        <w:rPr>
          <w:rFonts w:eastAsia="Calibri" w:cs="Calibri" w:cstheme="minorAscii" w:eastAsiaTheme="minorAscii"/>
          <w:i w:val="false"/>
          <w:iCs w:val="false"/>
          <w:caps w:val="false"/>
          <w:smallCaps w:val="false"/>
          <w:color w:val="auto"/>
          <w:sz w:val="24"/>
          <w:szCs w:val="24"/>
        </w:rPr>
        <w:t>Internal Medicine, Volume 269. Available at:</w:t>
      </w:r>
      <w:r>
        <w:rPr>
          <w:rFonts w:eastAsia="Calibri" w:cs="Calibri" w:cstheme="minorAscii" w:eastAsiaTheme="minorAscii"/>
          <w:i w:val="false"/>
          <w:iCs w:val="false"/>
          <w:caps w:val="false"/>
          <w:smallCaps w:val="false"/>
          <w:color w:val="1C1D1E"/>
          <w:sz w:val="24"/>
          <w:szCs w:val="24"/>
        </w:rPr>
        <w:t xml:space="preserve"> </w:t>
      </w:r>
      <w:hyperlink r:id="rId12">
        <w:r>
          <w:rPr>
            <w:rStyle w:val="InternetLink"/>
            <w:rFonts w:eastAsia="Calibri" w:cs="Calibri" w:cstheme="minorAscii" w:eastAsiaTheme="minorAscii"/>
            <w:b w:val="false"/>
            <w:bCs w:val="false"/>
            <w:i w:val="false"/>
            <w:iCs w:val="false"/>
            <w:caps w:val="false"/>
            <w:smallCaps w:val="false"/>
            <w:strike w:val="false"/>
            <w:dstrike w:val="false"/>
            <w:color w:val="4472C4" w:themeColor="accent1" w:themeShade="ff" w:themeTint="ff"/>
            <w:sz w:val="24"/>
            <w:szCs w:val="24"/>
            <w:u w:val="none"/>
            <w:lang w:val="en-GB"/>
          </w:rPr>
          <w:t>https://doi.org/10.1111/j.1365-2796.2010.02281.x</w:t>
        </w:r>
      </w:hyperlink>
      <w:r>
        <w:rPr>
          <w:rFonts w:eastAsia="Calibri" w:cs="Calibri" w:cstheme="minorAscii" w:eastAsiaTheme="minorAscii"/>
          <w:b w:val="false"/>
          <w:bCs w:val="false"/>
          <w:i w:val="false"/>
          <w:iCs w:val="false"/>
          <w:caps w:val="false"/>
          <w:smallCaps w:val="false"/>
          <w:strike w:val="false"/>
          <w:dstrike w:val="false"/>
          <w:color w:val="4472C4" w:themeColor="accent1" w:themeShade="ff" w:themeTint="ff"/>
          <w:sz w:val="24"/>
          <w:szCs w:val="24"/>
          <w:u w:val="none"/>
          <w:lang w:val="en-GB"/>
        </w:rPr>
        <w:t xml:space="preserve"> </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Accessed on December 7</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ind w:firstLine="720"/>
        <w:rPr>
          <w:rFonts w:ascii="Calibri" w:hAnsi="Calibri" w:eastAsia="Calibri" w:cs="Calibri" w:asciiTheme="minorAscii" w:cstheme="minorAscii" w:eastAsiaTheme="minorAscii" w:hAnsiTheme="minorAscii"/>
          <w:b w:val="false"/>
          <w:b w:val="false"/>
          <w:bCs w:val="false"/>
          <w:i w:val="false"/>
          <w:i w:val="false"/>
          <w:iCs w:val="false"/>
          <w:caps w:val="false"/>
          <w:smallCaps w:val="false"/>
          <w:strike w:val="false"/>
          <w:dstrike w:val="false"/>
          <w:color w:val="auto"/>
          <w:sz w:val="24"/>
          <w:szCs w:val="24"/>
          <w:u w:val="none"/>
          <w:lang w:val="en-GB"/>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r>
    </w:p>
    <w:p>
      <w:pPr>
        <w:pStyle w:val="Normal"/>
        <w:ind w:firstLine="720"/>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Shakersain et al (2016). ‘</w:t>
      </w:r>
      <w:r>
        <w:rPr>
          <w:rFonts w:eastAsia="Calibri" w:cs="Calibri" w:cstheme="minorAscii" w:eastAsiaTheme="minorAscii"/>
          <w:b w:val="false"/>
          <w:bCs w:val="false"/>
          <w:i/>
          <w:iCs/>
          <w:caps w:val="false"/>
          <w:smallCaps w:val="false"/>
          <w:color w:val="1F1F1F"/>
          <w:sz w:val="24"/>
          <w:szCs w:val="24"/>
        </w:rPr>
        <w:t>Prudent diet may attenuate the adverse effects of Western diet on cognitive decline</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Alzheimer’s and dementia, Volume 12, Issue 2, pg 100-109. Available at: </w:t>
      </w:r>
      <w:hyperlink r:id="rId13">
        <w:r>
          <w:rPr>
            <w:rStyle w:val="InternetLink"/>
            <w:rFonts w:eastAsia="Arial" w:cs="Arial" w:ascii="Arial" w:hAnsi="Arial"/>
            <w:b w:val="false"/>
            <w:bCs w:val="false"/>
            <w:i w:val="false"/>
            <w:iCs w:val="false"/>
            <w:caps w:val="false"/>
            <w:smallCaps w:val="false"/>
            <w:strike w:val="false"/>
            <w:dstrike w:val="false"/>
            <w:sz w:val="21"/>
            <w:szCs w:val="21"/>
            <w:lang w:val="en-GB"/>
          </w:rPr>
          <w:t>https://doi.org/10.1016/j.jalz.2015.08.002</w:t>
        </w:r>
      </w:hyperlink>
      <w:r>
        <w:rPr>
          <w:rFonts w:eastAsia="Arial" w:cs="Arial" w:ascii="Arial" w:hAnsi="Arial"/>
          <w:b w:val="false"/>
          <w:bCs w:val="false"/>
          <w:i w:val="false"/>
          <w:iCs w:val="false"/>
          <w:caps w:val="false"/>
          <w:smallCaps w:val="false"/>
          <w:strike w:val="false"/>
          <w:dstrike w:val="false"/>
          <w:color w:val="0272B1"/>
          <w:sz w:val="21"/>
          <w:szCs w:val="21"/>
          <w:u w:val="none"/>
          <w:lang w:val="en-GB"/>
        </w:rPr>
        <w:t xml:space="preserve"> </w:t>
      </w:r>
      <w:r>
        <w:rPr>
          <w:rFonts w:eastAsia="Arial" w:cs="Arial" w:ascii="Arial" w:hAnsi="Arial"/>
          <w:b w:val="false"/>
          <w:bCs w:val="false"/>
          <w:i w:val="false"/>
          <w:iCs w:val="false"/>
          <w:caps w:val="false"/>
          <w:smallCaps w:val="false"/>
          <w:strike w:val="false"/>
          <w:dstrike w:val="false"/>
          <w:color w:val="auto"/>
          <w:sz w:val="21"/>
          <w:szCs w:val="21"/>
          <w:u w:val="none"/>
          <w:lang w:val="en-GB"/>
        </w:rPr>
        <w:t>Accessed on December 7</w:t>
      </w:r>
      <w:r>
        <w:rPr>
          <w:rFonts w:eastAsia="Arial" w:cs="Arial" w:ascii="Arial" w:hAnsi="Arial"/>
          <w:b w:val="false"/>
          <w:bCs w:val="false"/>
          <w:i w:val="false"/>
          <w:iCs w:val="false"/>
          <w:caps w:val="false"/>
          <w:smallCaps w:val="false"/>
          <w:strike w:val="false"/>
          <w:dstrike w:val="false"/>
          <w:color w:val="auto"/>
          <w:sz w:val="21"/>
          <w:szCs w:val="21"/>
          <w:u w:val="none"/>
          <w:vertAlign w:val="superscript"/>
          <w:lang w:val="en-GB"/>
        </w:rPr>
        <w:t>th</w:t>
      </w:r>
      <w:r>
        <w:rPr>
          <w:rFonts w:eastAsia="Arial" w:cs="Arial" w:ascii="Arial" w:hAnsi="Arial"/>
          <w:b w:val="false"/>
          <w:bCs w:val="false"/>
          <w:i w:val="false"/>
          <w:iCs w:val="false"/>
          <w:caps w:val="false"/>
          <w:smallCaps w:val="false"/>
          <w:strike w:val="false"/>
          <w:dstrike w:val="false"/>
          <w:color w:val="auto"/>
          <w:sz w:val="21"/>
          <w:szCs w:val="21"/>
          <w:u w:val="none"/>
          <w:lang w:val="en-GB"/>
        </w:rPr>
        <w:t>, 2023.</w:t>
      </w:r>
    </w:p>
    <w:p>
      <w:pPr>
        <w:pStyle w:val="Normal"/>
        <w:rPr>
          <w:rFonts w:ascii="Arial" w:hAnsi="Arial" w:eastAsia="Arial" w:cs="Arial"/>
          <w:b w:val="false"/>
          <w:b w:val="false"/>
          <w:bCs w:val="false"/>
          <w:i w:val="false"/>
          <w:i w:val="false"/>
          <w:iCs w:val="false"/>
          <w:caps w:val="false"/>
          <w:smallCaps w:val="false"/>
          <w:strike w:val="false"/>
          <w:dstrike w:val="false"/>
          <w:color w:val="auto"/>
          <w:sz w:val="21"/>
          <w:szCs w:val="21"/>
          <w:u w:val="none"/>
          <w:lang w:val="en-GB"/>
        </w:rPr>
      </w:pPr>
      <w:r>
        <w:rPr>
          <w:rFonts w:eastAsia="Arial" w:cs="Arial" w:ascii="Arial" w:hAnsi="Arial"/>
          <w:b w:val="false"/>
          <w:bCs w:val="false"/>
          <w:i w:val="false"/>
          <w:iCs w:val="false"/>
          <w:caps w:val="false"/>
          <w:smallCaps w:val="false"/>
          <w:strike w:val="false"/>
          <w:dstrike w:val="false"/>
          <w:color w:val="auto"/>
          <w:sz w:val="21"/>
          <w:szCs w:val="21"/>
          <w:u w:val="none"/>
          <w:lang w:val="en-GB"/>
        </w:rPr>
      </w:r>
    </w:p>
    <w:p>
      <w:pPr>
        <w:pStyle w:val="Normal"/>
        <w:rPr>
          <w:rFonts w:ascii="Arial" w:hAnsi="Arial" w:eastAsia="Arial" w:cs="Arial"/>
          <w:b w:val="false"/>
          <w:b w:val="false"/>
          <w:bCs w:val="false"/>
          <w:i w:val="false"/>
          <w:i w:val="false"/>
          <w:iCs w:val="false"/>
          <w:caps w:val="false"/>
          <w:smallCaps w:val="false"/>
          <w:strike w:val="false"/>
          <w:dstrike w:val="false"/>
          <w:color w:val="auto"/>
          <w:sz w:val="21"/>
          <w:szCs w:val="21"/>
          <w:u w:val="none"/>
          <w:lang w:val="en-GB"/>
        </w:rPr>
      </w:pPr>
      <w:r>
        <w:rPr>
          <w:rFonts w:eastAsia="Arial" w:cs="Arial" w:ascii="Arial" w:hAnsi="Arial"/>
          <w:b w:val="false"/>
          <w:bCs w:val="false"/>
          <w:i w:val="false"/>
          <w:iCs w:val="false"/>
          <w:caps w:val="false"/>
          <w:smallCaps w:val="false"/>
          <w:strike w:val="false"/>
          <w:dstrike w:val="false"/>
          <w:color w:val="auto"/>
          <w:sz w:val="21"/>
          <w:szCs w:val="21"/>
          <w:u w:val="none"/>
          <w:lang w:val="en-GB"/>
        </w:rPr>
      </w:r>
    </w:p>
    <w:p>
      <w:pPr>
        <w:pStyle w:val="Normal"/>
        <w:spacing w:before="0" w:afterAutospacing="0" w:after="180"/>
        <w:ind w:firstLine="720"/>
        <w:rPr/>
      </w:pP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Solfrizzi, Panza and Capurso (2003). </w:t>
      </w:r>
      <w:r>
        <w:rPr>
          <w:rFonts w:eastAsia="Calibri" w:cs="Calibri" w:cstheme="minorAscii" w:eastAsiaTheme="minorAscii"/>
          <w:b w:val="false"/>
          <w:bCs w:val="false"/>
          <w:i/>
          <w:iCs/>
          <w:caps w:val="false"/>
          <w:smallCaps w:val="false"/>
          <w:strike w:val="false"/>
          <w:dstrike w:val="false"/>
          <w:color w:val="auto"/>
          <w:sz w:val="24"/>
          <w:szCs w:val="24"/>
          <w:u w:val="none"/>
          <w:lang w:val="en-GB"/>
        </w:rPr>
        <w:t>‘The Role of Diet in Cognitive Decline’</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Journal of Neural Transmission, pg 95-110. Available at: </w:t>
      </w:r>
      <w:hyperlink r:id="rId14">
        <w:r>
          <w:rPr>
            <w:rStyle w:val="InternetLink"/>
            <w:rFonts w:eastAsia="Calibri" w:cs="Calibri" w:cstheme="minorAscii" w:eastAsiaTheme="minorAscii"/>
            <w:b w:val="false"/>
            <w:bCs w:val="false"/>
            <w:i w:val="false"/>
            <w:iCs w:val="false"/>
            <w:caps w:val="false"/>
            <w:smallCaps w:val="false"/>
            <w:strike w:val="false"/>
            <w:dstrike w:val="false"/>
            <w:sz w:val="24"/>
            <w:szCs w:val="24"/>
            <w:lang w:val="en-GB"/>
          </w:rPr>
          <w:t>https://link.springer.com/article/10.1007/s00702-002-0766-8</w:t>
        </w:r>
      </w:hyperlink>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xml:space="preserve"> Accessed on December 7</w:t>
      </w:r>
      <w:r>
        <w:rPr>
          <w:rFonts w:eastAsia="Calibri" w:cs="Calibri" w:cstheme="minorAscii" w:eastAsiaTheme="min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w:cs="Calibri" w:cstheme="minorAscii" w:eastAsiaTheme="minorAscii"/>
          <w:b w:val="false"/>
          <w:bCs w:val="false"/>
          <w:i w:val="false"/>
          <w:iCs w:val="false"/>
          <w:caps w:val="false"/>
          <w:smallCaps w:val="false"/>
          <w:strike w:val="false"/>
          <w:dstrike w:val="false"/>
          <w:color w:val="auto"/>
          <w:sz w:val="24"/>
          <w:szCs w:val="24"/>
          <w:u w:val="none"/>
          <w:lang w:val="en-GB"/>
        </w:rPr>
        <w:t>, 2023.</w:t>
      </w:r>
    </w:p>
    <w:p>
      <w:pPr>
        <w:pStyle w:val="Normal"/>
        <w:spacing w:before="0" w:afterAutospacing="0" w:after="180"/>
        <w:ind w:firstLine="720"/>
        <w:rPr/>
      </w:pPr>
      <w:r>
        <w:rPr>
          <w:rFonts w:eastAsia="Calibri" w:cs="Calibri" w:cstheme="minorAscii" w:eastAsiaTheme="minorAscii"/>
          <w:b w:val="false"/>
          <w:bCs w:val="false"/>
          <w:i w:val="false"/>
          <w:iCs w:val="false"/>
          <w:caps w:val="false"/>
          <w:smallCaps w:val="false"/>
          <w:color w:val="181817"/>
          <w:sz w:val="24"/>
          <w:szCs w:val="24"/>
          <w:lang w:val="en-GB"/>
        </w:rPr>
        <w:t>Nooyens ACJ, Milder IEJ, van Gelder BM, Bueno-de-Mesquita HB, van Boxtel MPJ, Verschuren WMM (2015). ‘</w:t>
      </w:r>
      <w:r>
        <w:rPr>
          <w:rFonts w:eastAsia="Calibri" w:cs="Calibri" w:cstheme="minorAscii" w:eastAsiaTheme="minorAscii"/>
          <w:b w:val="false"/>
          <w:bCs w:val="false"/>
          <w:i/>
          <w:iCs/>
          <w:caps w:val="false"/>
          <w:smallCaps w:val="false"/>
          <w:color w:val="181817"/>
          <w:sz w:val="24"/>
          <w:szCs w:val="24"/>
          <w:lang w:val="en-GB"/>
        </w:rPr>
        <w:t>Diet and cognitive decline at middle age: the role of antioxidants</w:t>
      </w:r>
      <w:r>
        <w:rPr>
          <w:rFonts w:eastAsia="Calibri" w:cs="Calibri" w:cstheme="minorAscii" w:eastAsiaTheme="minorAscii"/>
          <w:b w:val="false"/>
          <w:bCs w:val="false"/>
          <w:i w:val="false"/>
          <w:iCs w:val="false"/>
          <w:caps w:val="false"/>
          <w:smallCaps w:val="false"/>
          <w:color w:val="181817"/>
          <w:sz w:val="24"/>
          <w:szCs w:val="24"/>
          <w:lang w:val="en-GB"/>
        </w:rPr>
        <w:t>’. British Journal of Nutrition. 2015;113(9):1410-1417. Available at:10.1017/S0007114515000720 Accessed on December 7</w:t>
      </w:r>
      <w:r>
        <w:rPr>
          <w:rFonts w:eastAsia="Calibri" w:cs="Calibri" w:cstheme="minorAscii" w:eastAsiaTheme="minorAscii"/>
          <w:b w:val="false"/>
          <w:bCs w:val="false"/>
          <w:i w:val="false"/>
          <w:iCs w:val="false"/>
          <w:caps w:val="false"/>
          <w:smallCaps w:val="false"/>
          <w:color w:val="181817"/>
          <w:sz w:val="24"/>
          <w:szCs w:val="24"/>
          <w:vertAlign w:val="superscript"/>
          <w:lang w:val="en-GB"/>
        </w:rPr>
        <w:t>th</w:t>
      </w:r>
      <w:r>
        <w:rPr>
          <w:rFonts w:eastAsia="Calibri" w:cs="Calibri" w:cstheme="minorAscii" w:eastAsiaTheme="minorAscii"/>
          <w:b w:val="false"/>
          <w:bCs w:val="false"/>
          <w:i w:val="false"/>
          <w:iCs w:val="false"/>
          <w:caps w:val="false"/>
          <w:smallCaps w:val="false"/>
          <w:color w:val="181817"/>
          <w:sz w:val="24"/>
          <w:szCs w:val="24"/>
          <w:vertAlign w:val="superscript"/>
          <w:lang w:val="en-GB"/>
        </w:rPr>
        <w:t>, 2023.</w:t>
      </w:r>
    </w:p>
    <w:sectPr>
      <w:headerReference w:type="default" r:id="rId15"/>
      <w:footerReference w:type="default" r:id="rId16"/>
      <w:type w:val="nextPage"/>
      <w:pgSz w:w="11906" w:h="16838"/>
      <w:pgMar w:left="1440" w:right="1440" w:header="72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 w:name="Liberation Sans">
    <w:altName w:val="Arial"/>
    <w:charset w:val="00"/>
    <w:family w:val="swiss"/>
    <w:pitch w:val="variable"/>
  </w:font>
  <w:font w:name="Calibri">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014" w:type="dxa"/>
      <w:jc w:val="left"/>
      <w:tblInd w:w="0" w:type="dxa"/>
      <w:tblCellMar>
        <w:top w:w="0" w:type="dxa"/>
        <w:left w:w="108" w:type="dxa"/>
        <w:bottom w:w="0" w:type="dxa"/>
        <w:right w:w="108" w:type="dxa"/>
      </w:tblCellMar>
      <w:tblLook w:firstRow="1" w:noVBand="1" w:lastRow="0" w:firstColumn="1" w:lastColumn="0" w:noHBand="1" w:val="06a0"/>
    </w:tblPr>
    <w:tblGrid>
      <w:gridCol w:w="3004"/>
      <w:gridCol w:w="3005"/>
      <w:gridCol w:w="3005"/>
    </w:tblGrid>
    <w:tr>
      <w:trPr>
        <w:trHeight w:val="300" w:hRule="atLeast"/>
      </w:trPr>
      <w:tc>
        <w:tcPr>
          <w:tcW w:w="3004" w:type="dxa"/>
          <w:tcBorders/>
          <w:shd w:fill="auto" w:val="clear"/>
        </w:tcPr>
        <w:p>
          <w:pPr>
            <w:pStyle w:val="Header"/>
            <w:bidi w:val="0"/>
            <w:ind w:left="-115" w:hanging="0"/>
            <w:jc w:val="left"/>
            <w:rPr/>
          </w:pPr>
          <w:r>
            <w:rPr/>
          </w:r>
        </w:p>
      </w:tc>
      <w:tc>
        <w:tcPr>
          <w:tcW w:w="3005" w:type="dxa"/>
          <w:tcBorders/>
          <w:shd w:fill="auto" w:val="clear"/>
        </w:tcPr>
        <w:p>
          <w:pPr>
            <w:pStyle w:val="Header"/>
            <w:bidi w:val="0"/>
            <w:jc w:val="center"/>
            <w:rPr/>
          </w:pPr>
          <w:r>
            <w:rPr/>
          </w:r>
        </w:p>
      </w:tc>
      <w:tc>
        <w:tcPr>
          <w:tcW w:w="3005" w:type="dxa"/>
          <w:tcBorders/>
          <w:shd w:fill="auto" w:val="clear"/>
        </w:tcPr>
        <w:p>
          <w:pPr>
            <w:pStyle w:val="Header"/>
            <w:bidi w:val="0"/>
            <w:ind w:right="-115" w:hanging="0"/>
            <w:jc w:val="right"/>
            <w:rPr/>
          </w:pPr>
          <w:r>
            <w:rPr/>
          </w:r>
        </w:p>
      </w:tc>
    </w:tr>
  </w:tbl>
  <w:p>
    <w:pPr>
      <w:pStyle w:val="Footer"/>
      <w:bidi w:val="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014" w:type="dxa"/>
      <w:jc w:val="left"/>
      <w:tblInd w:w="0" w:type="dxa"/>
      <w:tblCellMar>
        <w:top w:w="0" w:type="dxa"/>
        <w:left w:w="108" w:type="dxa"/>
        <w:bottom w:w="0" w:type="dxa"/>
        <w:right w:w="108" w:type="dxa"/>
      </w:tblCellMar>
      <w:tblLook w:firstRow="1" w:noVBand="1" w:lastRow="0" w:firstColumn="1" w:lastColumn="0" w:noHBand="1" w:val="06a0"/>
    </w:tblPr>
    <w:tblGrid>
      <w:gridCol w:w="3004"/>
      <w:gridCol w:w="3005"/>
      <w:gridCol w:w="3005"/>
    </w:tblGrid>
    <w:tr>
      <w:trPr>
        <w:trHeight w:val="300" w:hRule="atLeast"/>
      </w:trPr>
      <w:tc>
        <w:tcPr>
          <w:tcW w:w="3004" w:type="dxa"/>
          <w:tcBorders/>
          <w:shd w:fill="auto" w:val="clear"/>
        </w:tcPr>
        <w:p>
          <w:pPr>
            <w:pStyle w:val="Header"/>
            <w:bidi w:val="0"/>
            <w:ind w:left="-115" w:hanging="0"/>
            <w:jc w:val="left"/>
            <w:rPr/>
          </w:pPr>
          <w:r>
            <w:rPr/>
          </w:r>
        </w:p>
      </w:tc>
      <w:tc>
        <w:tcPr>
          <w:tcW w:w="3005" w:type="dxa"/>
          <w:tcBorders/>
          <w:shd w:fill="auto" w:val="clear"/>
        </w:tcPr>
        <w:p>
          <w:pPr>
            <w:pStyle w:val="Header"/>
            <w:bidi w:val="0"/>
            <w:jc w:val="center"/>
            <w:rPr/>
          </w:pPr>
          <w:r>
            <w:rPr/>
          </w:r>
        </w:p>
      </w:tc>
      <w:tc>
        <w:tcPr>
          <w:tcW w:w="3005" w:type="dxa"/>
          <w:tcBorders/>
          <w:shd w:fill="auto" w:val="clear"/>
        </w:tcPr>
        <w:p>
          <w:pPr>
            <w:pStyle w:val="Header"/>
            <w:bidi w:val="0"/>
            <w:ind w:right="-115" w:hanging="0"/>
            <w:jc w:val="right"/>
            <w:rPr/>
          </w:pPr>
          <w:r>
            <w:rPr/>
            <w:t>Ethan Dowey-Wadham</w:t>
          </w:r>
        </w:p>
        <w:p>
          <w:pPr>
            <w:pStyle w:val="Header"/>
            <w:bidi w:val="0"/>
            <w:ind w:right="-115" w:hanging="0"/>
            <w:jc w:val="right"/>
            <w:rPr/>
          </w:pPr>
          <w:r>
            <w:rPr/>
            <w:t>2104467</w:t>
          </w:r>
        </w:p>
        <w:p>
          <w:pPr>
            <w:pStyle w:val="Header"/>
            <w:bidi w:val="0"/>
            <w:ind w:right="-115" w:hanging="0"/>
            <w:jc w:val="right"/>
            <w:rPr/>
          </w:pPr>
          <w:r>
            <w:rPr/>
            <w:t>Level 6</w:t>
          </w:r>
        </w:p>
      </w:tc>
    </w:tr>
  </w:tbl>
  <w:p>
    <w:pPr>
      <w:pStyle w:val="Header"/>
      <w:bidi w:val="0"/>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1800" w:hanging="360"/>
      </w:pPr>
      <w:rPr>
        <w:rFonts w:ascii="Calibri" w:hAnsi="Calibri" w:cs="Calibri"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cs="Wingdings" w:hint="default"/>
      </w:rPr>
    </w:lvl>
    <w:lvl w:ilvl="3">
      <w:start w:val="1"/>
      <w:numFmt w:val="bullet"/>
      <w:lvlText w:val=""/>
      <w:lvlJc w:val="left"/>
      <w:pPr>
        <w:ind w:left="3960" w:hanging="360"/>
      </w:pPr>
      <w:rPr>
        <w:rFonts w:ascii="Symbol" w:hAnsi="Symbol" w:cs="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cs="Wingdings" w:hint="default"/>
      </w:rPr>
    </w:lvl>
    <w:lvl w:ilvl="6">
      <w:start w:val="1"/>
      <w:numFmt w:val="bullet"/>
      <w:lvlText w:val=""/>
      <w:lvlJc w:val="left"/>
      <w:pPr>
        <w:ind w:left="6120" w:hanging="360"/>
      </w:pPr>
      <w:rPr>
        <w:rFonts w:ascii="Symbol" w:hAnsi="Symbol" w:cs="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cs="Wingdings" w:hint="default"/>
      </w:rPr>
    </w:lvl>
  </w:abstractNum>
  <w:abstractNum w:abstractNumId="2">
    <w:lvl w:ilvl="0">
      <w:start w:val="1"/>
      <w:numFmt w:val="bullet"/>
      <w:lvlText w:val="-"/>
      <w:lvlJc w:val="left"/>
      <w:pPr>
        <w:ind w:left="1800" w:hanging="360"/>
      </w:pPr>
      <w:rPr>
        <w:rFonts w:ascii="Calibri" w:hAnsi="Calibri" w:cs="Calibri"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cs="Wingdings" w:hint="default"/>
      </w:rPr>
    </w:lvl>
    <w:lvl w:ilvl="3">
      <w:start w:val="1"/>
      <w:numFmt w:val="bullet"/>
      <w:lvlText w:val=""/>
      <w:lvlJc w:val="left"/>
      <w:pPr>
        <w:ind w:left="3960" w:hanging="360"/>
      </w:pPr>
      <w:rPr>
        <w:rFonts w:ascii="Symbol" w:hAnsi="Symbol" w:cs="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cs="Wingdings" w:hint="default"/>
      </w:rPr>
    </w:lvl>
    <w:lvl w:ilvl="6">
      <w:start w:val="1"/>
      <w:numFmt w:val="bullet"/>
      <w:lvlText w:val=""/>
      <w:lvlJc w:val="left"/>
      <w:pPr>
        <w:ind w:left="6120" w:hanging="360"/>
      </w:pPr>
      <w:rPr>
        <w:rFonts w:ascii="Symbol" w:hAnsi="Symbol" w:cs="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cs="Wingdings" w:hint="default"/>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Pr>
      <w:rFonts w:ascii="Calibri Light" w:hAnsi="Calibri Light" w:eastAsia=""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qFormat/>
    <w:rPr/>
  </w:style>
  <w:style w:type="character" w:styleId="FooterChar" w:customStyle="1">
    <w:name w:val="Footer Char"/>
    <w:basedOn w:val="DefaultParagraphFont"/>
    <w:link w:val="Footer"/>
    <w:uiPriority w:val="99"/>
    <w:qFormat/>
    <w:rPr/>
  </w:style>
  <w:style w:type="character" w:styleId="ListLabel1">
    <w:name w:val="ListLabel 1"/>
    <w:qFormat/>
    <w:rPr>
      <w:rFonts w:ascii="Calibri" w:hAnsi="Calibri" w:eastAsia="Calibri" w:cs="Calibri"/>
      <w:b w:val="false"/>
      <w:bCs w:val="false"/>
      <w:sz w:val="22"/>
      <w:szCs w:val="22"/>
      <w:lang w:val="en-GB"/>
    </w:rPr>
  </w:style>
  <w:style w:type="character" w:styleId="ListLabel2">
    <w:name w:val="ListLabel 2"/>
    <w:qFormat/>
    <w:rPr>
      <w:rFonts w:ascii="Calibri" w:hAnsi="Calibri" w:eastAsia="Calibri" w:cs="Calibri"/>
      <w:b w:val="false"/>
      <w:bCs w:val="false"/>
      <w:i w:val="false"/>
      <w:iCs w:val="false"/>
      <w:sz w:val="22"/>
      <w:szCs w:val="22"/>
      <w:lang w:val="en-GB"/>
    </w:rPr>
  </w:style>
  <w:style w:type="character" w:styleId="ListLabel3">
    <w:name w:val="ListLabel 3"/>
    <w:qFormat/>
    <w:rPr>
      <w:rFonts w:ascii="Calibri" w:hAnsi="Calibri" w:eastAsia="Calibri" w:cs="Calibri"/>
      <w:b w:val="false"/>
      <w:bCs w:val="false"/>
      <w:i w:val="false"/>
      <w:iCs w:val="false"/>
      <w:caps w:val="false"/>
      <w:smallCaps w:val="false"/>
      <w:strike w:val="false"/>
      <w:dstrike w:val="false"/>
      <w:color w:val="2C72B7"/>
      <w:sz w:val="24"/>
      <w:szCs w:val="24"/>
      <w:u w:val="none"/>
      <w:lang w:val="en-GB"/>
    </w:rPr>
  </w:style>
  <w:style w:type="character" w:styleId="ListLabel4">
    <w:name w:val="ListLabel 4"/>
    <w:qFormat/>
    <w:rPr>
      <w:rFonts w:ascii="Calibri" w:hAnsi="Calibri" w:eastAsia="Calibri" w:cs="Calibri" w:asciiTheme="minorAscii" w:cstheme="minorAscii" w:eastAsiaTheme="minorAscii" w:hAnsiTheme="minorAscii"/>
      <w:b w:val="false"/>
      <w:bCs w:val="false"/>
      <w:i w:val="false"/>
      <w:iCs w:val="false"/>
      <w:caps w:val="false"/>
      <w:smallCaps w:val="false"/>
      <w:sz w:val="24"/>
      <w:szCs w:val="24"/>
      <w:lang w:val="en-GB"/>
    </w:rPr>
  </w:style>
  <w:style w:type="character" w:styleId="ListLabel5">
    <w:name w:val="ListLabel 5"/>
    <w:qFormat/>
    <w:rPr>
      <w:rFonts w:ascii="Calibri" w:hAnsi="Calibri" w:eastAsia="Calibri" w:cs="Calibri" w:asciiTheme="minorAscii" w:cstheme="minorAscii" w:eastAsiaTheme="minorAscii" w:hAnsiTheme="minorAscii"/>
      <w:b w:val="false"/>
      <w:bCs w:val="false"/>
      <w:i w:val="false"/>
      <w:iCs w:val="false"/>
      <w:caps w:val="false"/>
      <w:smallCaps w:val="false"/>
      <w:strike w:val="false"/>
      <w:dstrike w:val="false"/>
      <w:color w:val="auto"/>
      <w:sz w:val="24"/>
      <w:szCs w:val="24"/>
      <w:u w:val="single"/>
      <w:lang w:val="en-GB"/>
    </w:rPr>
  </w:style>
  <w:style w:type="character" w:styleId="ListLabel6">
    <w:name w:val="ListLabel 6"/>
    <w:qFormat/>
    <w:rPr>
      <w:rFonts w:ascii="Calibri" w:hAnsi="Calibri" w:eastAsia="Calibri" w:cs="Calibri" w:asciiTheme="minorAscii" w:cstheme="minorAscii" w:eastAsiaTheme="minorAscii" w:hAnsiTheme="minorAscii"/>
      <w:b w:val="false"/>
      <w:bCs w:val="false"/>
      <w:i w:val="false"/>
      <w:iCs w:val="false"/>
      <w:caps w:val="false"/>
      <w:smallCaps w:val="false"/>
      <w:strike w:val="false"/>
      <w:dstrike w:val="false"/>
      <w:color w:val="006ACC"/>
      <w:sz w:val="24"/>
      <w:szCs w:val="24"/>
      <w:u w:val="single"/>
      <w:lang w:val="en-GB"/>
    </w:rPr>
  </w:style>
  <w:style w:type="character" w:styleId="ListLabel7">
    <w:name w:val="ListLabel 7"/>
    <w:qFormat/>
    <w:rPr>
      <w:rFonts w:ascii="Calibri" w:hAnsi="Calibri" w:eastAsia="Calibri" w:cs="Calibri" w:asciiTheme="minorAscii" w:cstheme="minorAscii" w:eastAsiaTheme="minorAscii" w:hAnsiTheme="minorAscii"/>
      <w:b w:val="false"/>
      <w:bCs w:val="false"/>
      <w:i w:val="false"/>
      <w:iCs w:val="false"/>
      <w:caps w:val="false"/>
      <w:smallCaps w:val="false"/>
      <w:strike w:val="false"/>
      <w:dstrike w:val="false"/>
      <w:color w:val="4472C4" w:themeColor="accent1" w:themeShade="ff" w:themeTint="ff"/>
      <w:sz w:val="24"/>
      <w:szCs w:val="24"/>
      <w:u w:val="none"/>
      <w:lang w:val="en-GB"/>
    </w:rPr>
  </w:style>
  <w:style w:type="character" w:styleId="ListLabel8">
    <w:name w:val="ListLabel 8"/>
    <w:qFormat/>
    <w:rPr>
      <w:rFonts w:ascii="Arial" w:hAnsi="Arial" w:eastAsia="Arial" w:cs="Arial"/>
      <w:b w:val="false"/>
      <w:bCs w:val="false"/>
      <w:i w:val="false"/>
      <w:iCs w:val="false"/>
      <w:caps w:val="false"/>
      <w:smallCaps w:val="false"/>
      <w:strike w:val="false"/>
      <w:dstrike w:val="false"/>
      <w:sz w:val="21"/>
      <w:szCs w:val="21"/>
      <w:lang w:val="en-GB"/>
    </w:rPr>
  </w:style>
  <w:style w:type="character" w:styleId="ListLabel9">
    <w:name w:val="ListLabel 9"/>
    <w:qFormat/>
    <w:rPr>
      <w:rFonts w:ascii="Calibri" w:hAnsi="Calibri" w:eastAsia="Calibri" w:cs="Calibri" w:asciiTheme="minorAscii" w:cstheme="minorAscii" w:eastAsiaTheme="minorAscii" w:hAnsiTheme="minorAscii"/>
      <w:b w:val="false"/>
      <w:bCs w:val="false"/>
      <w:i w:val="false"/>
      <w:iCs w:val="false"/>
      <w:caps w:val="false"/>
      <w:smallCaps w:val="false"/>
      <w:strike w:val="false"/>
      <w:dstrike w:val="false"/>
      <w:sz w:val="24"/>
      <w:szCs w:val="24"/>
      <w:lang w:val="en-GB"/>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pPr>
      <w:spacing w:before="0" w:after="160"/>
      <w:ind w:left="720" w:hanging="0"/>
      <w:contextualSpacing/>
    </w:pPr>
    <w:rPr/>
  </w:style>
  <w:style w:type="paragraph" w:styleId="Header">
    <w:name w:val="Header"/>
    <w:basedOn w:val="Normal"/>
    <w:link w:val="HeaderChar"/>
    <w:uiPriority w:val="99"/>
    <w:unhideWhenUsed/>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lzheimers.org.uk/about-dementia/types-dementia/mild-cognitive-impairment-mci" TargetMode="External"/><Relationship Id="rId3" Type="http://schemas.openxmlformats.org/officeDocument/2006/relationships/hyperlink" Target="https://samples.jblearning.com/0763726559/samplechapter02.pdf" TargetMode="External"/><Relationship Id="rId4" Type="http://schemas.openxmlformats.org/officeDocument/2006/relationships/hyperlink" Target="https://psycnet.apa.org/doi/10.1037/10044-020" TargetMode="External"/><Relationship Id="rId5" Type="http://schemas.openxmlformats.org/officeDocument/2006/relationships/hyperlink" Target="https://doi.org/10.1007/978-3-030-22009-9_645" TargetMode="External"/><Relationship Id="rId6" Type="http://schemas.openxmlformats.org/officeDocument/2006/relationships/hyperlink" Target="https://doi.org/10.1080/01924788.2021.1970892" TargetMode="External"/><Relationship Id="rId7" Type="http://schemas.openxmlformats.org/officeDocument/2006/relationships/hyperlink" Target="https://doi.org/10.2307/2094195" TargetMode="External"/><Relationship Id="rId8" Type="http://schemas.openxmlformats.org/officeDocument/2006/relationships/hyperlink" Target="https://doi.org/10.1080/2331205X.2017.1289664" TargetMode="External"/><Relationship Id="rId9" Type="http://schemas.openxmlformats.org/officeDocument/2006/relationships/hyperlink" Target="https://doi.org/10.1080/00221309.2023.2241951" TargetMode="External"/><Relationship Id="rId10" Type="http://schemas.openxmlformats.org/officeDocument/2006/relationships/hyperlink" Target="https://doi.org/10.2190/AG.2.2.g" TargetMode="External"/><Relationship Id="rId11" Type="http://schemas.openxmlformats.org/officeDocument/2006/relationships/hyperlink" Target="https://doi.org/10.1155/2017/9016924" TargetMode="External"/><Relationship Id="rId12" Type="http://schemas.openxmlformats.org/officeDocument/2006/relationships/hyperlink" Target="https://doi.org/10.1111/j.1365-2796.2010.02281.x" TargetMode="External"/><Relationship Id="rId13" Type="http://schemas.openxmlformats.org/officeDocument/2006/relationships/hyperlink" Target="https://doi.org/10.1016/j.jalz.2015.08.002" TargetMode="External"/><Relationship Id="rId14" Type="http://schemas.openxmlformats.org/officeDocument/2006/relationships/hyperlink" Target="https://link.springer.com/article/10.1007/s00702-002-0766-8"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numbering" Target="numbering.xml"/><Relationship Id="rId18" Type="http://schemas.openxmlformats.org/officeDocument/2006/relationships/fontTable" Target="fontTable.xml"/><Relationship Id="rId19" Type="http://schemas.openxmlformats.org/officeDocument/2006/relationships/settings" Target="settings.xml"/><Relationship Id="rId2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Application>Neat_Office/6.2.8.2$Windows_x86 LibreOffice_project/</Application>
  <Pages>6</Pages>
  <Words>2498</Words>
  <Characters>14265</Characters>
  <CharactersWithSpaces>16725</CharactersWithSpaces>
  <Paragraphs>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2023-12-04T13:03:03Z</dcterms:created>
  <dc:creator>Ethan Dowey-Wadham (2104467)</dc:creator>
  <dc:description/>
  <dc:language>en-GB</dc:language>
  <cp:lastModifiedBy/>
  <dcterms:modified xsi:type="dcterms:W3CDTF">2023-12-09T03:16:18Z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