
<file path=[Content_Types].xml><?xml version="1.0" encoding="utf-8"?>
<Types xmlns="http://schemas.openxmlformats.org/package/2006/content-types">
  <Default Extension="xml" ContentType="application/xml"/>
  <Default Extension="rels" ContentType="application/vnd.openxmlformats-package.relationships+xml"/>
  <Override PartName="/docProps/app.xml" ContentType="application/vnd.openxmlformats-officedocument.extended-properties+xml"/>
  <Override PartName="/word/settings.xml" ContentType="application/vnd.openxmlformats-officedocument.wordprocessingml.settings+xml"/>
  <Override PartName="/word/footnotes.xml" ContentType="application/vnd.openxmlformats-officedocument.wordprocessingml.footnotes+xml"/>
  <Override PartName="/docProps/core.xml" ContentType="application/vnd.openxmlformats-package.core-properties+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framePr w:w="0" w:wrap="auto" w:hAnchor="text" w:vAnchor="margin" w:yAlign="inline"/>
        <w:spacing w:lineRule="auto" w:line="36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Time, Place and Further Modernist Techniques in Selected Works of Katherine Mansfield </w:t>
      </w:r>
    </w:p>
    <w:p>
      <w:pPr>
        <w:pStyle w:val="style0"/>
        <w:framePr w:w="0" w:wrap="auto" w:hAnchor="text" w:vAnchor="margin" w:yAlign="inline"/>
        <w:spacing w:lineRule="auto" w:line="360"/>
        <w:jc w:val="center"/>
        <w:rPr>
          <w:rFonts w:ascii="Arial Rounded MT Bold" w:cs="Arial Rounded MT Bold" w:eastAsia="Arial Rounded MT Bold" w:hAnsi="Arial Rounded MT Bold"/>
          <w:sz w:val="36"/>
          <w:szCs w:val="36"/>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Modernism was a major movement, dating from the late nineteenth and early twentieth century. It was spread across philosophy, the arts and literature, as well as the newer forms of media, such as film. It was a reaction against the ending of empires occurring during this period, as well as against the immediately preceding Victorian and Edwardian periods. Subjectivity, empathy and understanding are among the focuses of Modernism. A way to summarise the aim of the movement in general and its literary side in particular, is to quote the 1934 Ezra Pound directive to "make it new", which he used as a book title.</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The short story in itself is a genre that really came into its own during the rise of Modernism. As a shorter and more flexible literary form than the novel, which had risen to heights of popularity during the eighteenth and nineteenth centuries, the short story was convenient to practice and perfect the new techniques. These included new manners of handling time and place, as well as other methods, such as self-consciousness about the act of writing. The new ideas of place included rural versus urban and indoor versus outdoor. Matters of time included the use of flash forwards and flashbacks as well as such film influenced techniques as montage.</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 xml:space="preserve"> Katherine Mansfield was an influential Modernist in the matter of short stories, as she published over a hundred of them in her short life. She was also known for her association with other Modernists, especially Virginia Woolf, with whom she had a lifelong correspondence and a friendship cum professional rivalry. In her feminist manifesto, Virginia Woolf had emphasised the necessity for a woman writer to have </w:t>
      </w:r>
      <w:r>
        <w:rPr>
          <w:rFonts w:ascii="Arial Rounded MT Bold" w:hAnsi="Arial Rounded MT Bold" w:hint="default"/>
          <w:sz w:val="32"/>
          <w:szCs w:val="32"/>
          <w:lang w:val="en-US"/>
        </w:rPr>
        <w:t>“</w:t>
      </w:r>
      <w:r>
        <w:rPr>
          <w:rFonts w:ascii="Arial Rounded MT Bold" w:hAnsi="Arial Rounded MT Bold"/>
          <w:sz w:val="32"/>
          <w:szCs w:val="32"/>
          <w:lang w:val="en-US"/>
        </w:rPr>
        <w:t>A Room of One</w:t>
      </w:r>
      <w:r>
        <w:rPr>
          <w:rFonts w:ascii="Arial Rounded MT Bold" w:hAnsi="Arial Rounded MT Bold" w:hint="default"/>
          <w:sz w:val="32"/>
          <w:szCs w:val="32"/>
          <w:lang w:val="en-US"/>
        </w:rPr>
        <w:t>’</w:t>
      </w:r>
      <w:r>
        <w:rPr>
          <w:rFonts w:ascii="Arial Rounded MT Bold" w:hAnsi="Arial Rounded MT Bold"/>
          <w:sz w:val="32"/>
          <w:szCs w:val="32"/>
          <w:lang w:val="en-US"/>
        </w:rPr>
        <w:t>s Own</w:t>
      </w:r>
      <w:r>
        <w:rPr>
          <w:rFonts w:ascii="Arial Rounded MT Bold" w:hAnsi="Arial Rounded MT Bold" w:hint="default"/>
          <w:sz w:val="32"/>
          <w:szCs w:val="32"/>
          <w:lang w:val="en-US"/>
        </w:rPr>
        <w:t>”</w:t>
      </w:r>
      <w:r>
        <w:rPr>
          <w:rFonts w:ascii="Arial Rounded MT Bold" w:hAnsi="Arial Rounded MT Bold"/>
          <w:sz w:val="32"/>
          <w:szCs w:val="32"/>
          <w:lang w:val="en-US"/>
        </w:rPr>
        <w:t>, in order to successfully produce her material. Indeed, this was the very title of the manifesto. Manifestos themselves were a fairly prominent feature of Modernism. Furthermore, Modernism challenged the idea of separate gender spheres, due to its overlap with early feminism. An example of a feminist issue from the early twentieth century would be the Suffragette Movement. Incidentally, women were granted the vote in Katherine Mansfield</w:t>
      </w:r>
      <w:r>
        <w:rPr>
          <w:rFonts w:ascii="Arial Rounded MT Bold" w:hAnsi="Arial Rounded MT Bold" w:hint="default"/>
          <w:sz w:val="32"/>
          <w:szCs w:val="32"/>
          <w:lang w:val="en-US"/>
        </w:rPr>
        <w:t>’</w:t>
      </w:r>
      <w:r>
        <w:rPr>
          <w:rFonts w:ascii="Arial Rounded MT Bold" w:hAnsi="Arial Rounded MT Bold"/>
          <w:sz w:val="32"/>
          <w:szCs w:val="32"/>
          <w:lang w:val="en-US"/>
        </w:rPr>
        <w:t>s native New Zealand twenty-five years earlier than they were in her adopted country of England. Gender issues were of importance to the Modernist Movement, due to its major women writers.</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 xml:space="preserve"> For context, it is worth mentioning that in the nineteenth century, women traditionally wrote about the indoors. The period was considered to be the triumph of the domestic novel, which overlapped with the sub-genre of Governess Literature, further to be considered. Time is of especial interest in the Works of Katherine Mansfield, even more so than place. Place is of significance to her, both for purposes of exploring Modernist techniques and for reflecting her own international background in her stories. Time though, is given yet more focus. A number of key words could be used to describe her work. These include epiphany, slice of life and moments in time. Often a story would have an ostensibly short timespan, but contain enough flashback material to encompass the whole life of a character or family. One example is </w:t>
      </w:r>
      <w:r>
        <w:rPr>
          <w:rFonts w:ascii="Arial Rounded MT Bold" w:hAnsi="Arial Rounded MT Bold" w:hint="default"/>
          <w:sz w:val="32"/>
          <w:szCs w:val="32"/>
          <w:lang w:val="en-US"/>
        </w:rPr>
        <w:t>“</w:t>
      </w:r>
      <w:r>
        <w:rPr>
          <w:rFonts w:ascii="Arial Rounded MT Bold" w:hAnsi="Arial Rounded MT Bold"/>
          <w:sz w:val="32"/>
          <w:szCs w:val="32"/>
          <w:lang w:val="en-US"/>
        </w:rPr>
        <w:t>The Daughters of the Late Colonel</w:t>
      </w:r>
      <w:r>
        <w:rPr>
          <w:rFonts w:ascii="Arial Rounded MT Bold" w:hAnsi="Arial Rounded MT Bold" w:hint="default"/>
          <w:sz w:val="32"/>
          <w:szCs w:val="32"/>
          <w:lang w:val="en-US"/>
        </w:rPr>
        <w:t>”</w:t>
      </w:r>
      <w:r>
        <w:rPr>
          <w:rFonts w:ascii="Arial Rounded MT Bold" w:hAnsi="Arial Rounded MT Bold"/>
          <w:sz w:val="32"/>
          <w:szCs w:val="32"/>
          <w:lang w:val="en-US"/>
        </w:rPr>
        <w:t xml:space="preserve">. At other times the narrative focuses on one day in the life of a character, but hints at both the past and what is to come. In different ways, this would include </w:t>
      </w:r>
      <w:r>
        <w:rPr>
          <w:rFonts w:ascii="Arial Rounded MT Bold" w:hAnsi="Arial Rounded MT Bold" w:hint="default"/>
          <w:sz w:val="32"/>
          <w:szCs w:val="32"/>
          <w:lang w:val="en-US"/>
        </w:rPr>
        <w:t>“</w:t>
      </w:r>
      <w:r>
        <w:rPr>
          <w:rFonts w:ascii="Arial Rounded MT Bold" w:hAnsi="Arial Rounded MT Bold"/>
          <w:sz w:val="32"/>
          <w:szCs w:val="32"/>
          <w:lang w:val="en-US"/>
        </w:rPr>
        <w:t>The Garden Party</w:t>
      </w:r>
      <w:r>
        <w:rPr>
          <w:rFonts w:ascii="Arial Rounded MT Bold" w:hAnsi="Arial Rounded MT Bold" w:hint="default"/>
          <w:sz w:val="32"/>
          <w:szCs w:val="32"/>
          <w:lang w:val="en-US"/>
        </w:rPr>
        <w:t xml:space="preserve">” </w:t>
      </w:r>
      <w:r>
        <w:rPr>
          <w:rFonts w:ascii="Arial Rounded MT Bold" w:hAnsi="Arial Rounded MT Bold"/>
          <w:sz w:val="32"/>
          <w:szCs w:val="32"/>
          <w:lang w:val="en-US"/>
        </w:rPr>
        <w:t xml:space="preserve">(coming of age) and </w:t>
      </w:r>
      <w:r>
        <w:rPr>
          <w:rFonts w:ascii="Arial Rounded MT Bold" w:hAnsi="Arial Rounded MT Bold" w:hint="default"/>
          <w:sz w:val="32"/>
          <w:szCs w:val="32"/>
          <w:lang w:val="en-US"/>
        </w:rPr>
        <w:t>“</w:t>
      </w:r>
      <w:r>
        <w:rPr>
          <w:rFonts w:ascii="Arial Rounded MT Bold" w:hAnsi="Arial Rounded MT Bold"/>
          <w:sz w:val="32"/>
          <w:szCs w:val="32"/>
          <w:lang w:val="en-US"/>
        </w:rPr>
        <w:t>Bliss</w:t>
      </w:r>
      <w:r>
        <w:rPr>
          <w:rFonts w:ascii="Arial Rounded MT Bold" w:hAnsi="Arial Rounded MT Bold" w:hint="default"/>
          <w:sz w:val="32"/>
          <w:szCs w:val="32"/>
          <w:lang w:val="en-US"/>
        </w:rPr>
        <w:t xml:space="preserve">” </w:t>
      </w:r>
      <w:r>
        <w:rPr>
          <w:rFonts w:ascii="Arial Rounded MT Bold" w:hAnsi="Arial Rounded MT Bold"/>
          <w:sz w:val="32"/>
          <w:szCs w:val="32"/>
          <w:lang w:val="en-US"/>
        </w:rPr>
        <w:t>(moment of discovery).</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Karen L. Shaup has written an article on one in particular of Katherine Mansfield's stories entitled "Consuming Beauty: Aesthetic Experience in Katherine Mansfield's 'The Garden Party' ".</w:t>
      </w:r>
      <w:r>
        <w:rPr>
          <w:rFonts w:ascii="Arial Rounded MT Bold" w:cs="Arial Rounded MT Bold" w:eastAsia="Arial Rounded MT Bold" w:hAnsi="Arial Rounded MT Bold"/>
          <w:sz w:val="32"/>
          <w:szCs w:val="32"/>
          <w:vertAlign w:val="superscript"/>
        </w:rPr>
        <w:footnoteReference w:id="1"/>
      </w:r>
      <w:r>
        <w:rPr>
          <w:rFonts w:ascii="Arial Rounded MT Bold" w:hAnsi="Arial Rounded MT Bold"/>
          <w:sz w:val="32"/>
          <w:szCs w:val="32"/>
          <w:lang w:val="en-US"/>
        </w:rPr>
        <w:t xml:space="preserve"> It focuses on the title story of the collection </w:t>
      </w:r>
      <w:r>
        <w:rPr>
          <w:rFonts w:ascii="Arial Rounded MT Bold" w:hAnsi="Arial Rounded MT Bold"/>
          <w:i/>
          <w:iCs/>
          <w:sz w:val="32"/>
          <w:szCs w:val="32"/>
          <w:lang w:val="en-US"/>
        </w:rPr>
        <w:t>The</w:t>
      </w:r>
      <w:r>
        <w:rPr>
          <w:rFonts w:ascii="Arial Rounded MT Bold" w:hAnsi="Arial Rounded MT Bold"/>
          <w:sz w:val="32"/>
          <w:szCs w:val="32"/>
          <w:lang w:val="en-US"/>
        </w:rPr>
        <w:t xml:space="preserve"> </w:t>
      </w:r>
      <w:r>
        <w:rPr>
          <w:rFonts w:ascii="Arial Rounded MT Bold" w:hAnsi="Arial Rounded MT Bold"/>
          <w:i/>
          <w:iCs/>
          <w:sz w:val="32"/>
          <w:szCs w:val="32"/>
          <w:lang w:val="en-US"/>
        </w:rPr>
        <w:t>Garden</w:t>
      </w:r>
      <w:r>
        <w:rPr>
          <w:rFonts w:ascii="Arial Rounded MT Bold" w:hAnsi="Arial Rounded MT Bold"/>
          <w:sz w:val="32"/>
          <w:szCs w:val="32"/>
          <w:lang w:val="en-US"/>
        </w:rPr>
        <w:t xml:space="preserve"> </w:t>
      </w:r>
      <w:r>
        <w:rPr>
          <w:rFonts w:ascii="Arial Rounded MT Bold" w:hAnsi="Arial Rounded MT Bold"/>
          <w:i/>
          <w:iCs/>
          <w:sz w:val="32"/>
          <w:szCs w:val="32"/>
          <w:lang w:val="en-US"/>
        </w:rPr>
        <w:t>Party</w:t>
      </w:r>
      <w:r>
        <w:rPr>
          <w:rFonts w:ascii="Arial Rounded MT Bold" w:hAnsi="Arial Rounded MT Bold"/>
          <w:sz w:val="32"/>
          <w:szCs w:val="32"/>
          <w:lang w:val="en-US"/>
        </w:rPr>
        <w:t xml:space="preserve"> </w:t>
      </w:r>
      <w:r>
        <w:rPr>
          <w:rFonts w:ascii="Arial Rounded MT Bold" w:hAnsi="Arial Rounded MT Bold"/>
          <w:i/>
          <w:iCs/>
          <w:sz w:val="32"/>
          <w:szCs w:val="32"/>
          <w:lang w:val="en-US"/>
        </w:rPr>
        <w:t>and</w:t>
      </w:r>
      <w:r>
        <w:rPr>
          <w:rFonts w:ascii="Arial Rounded MT Bold" w:hAnsi="Arial Rounded MT Bold"/>
          <w:sz w:val="32"/>
          <w:szCs w:val="32"/>
          <w:lang w:val="en-US"/>
        </w:rPr>
        <w:t xml:space="preserve"> </w:t>
      </w:r>
      <w:r>
        <w:rPr>
          <w:rFonts w:ascii="Arial Rounded MT Bold" w:hAnsi="Arial Rounded MT Bold"/>
          <w:i/>
          <w:iCs/>
          <w:sz w:val="32"/>
          <w:szCs w:val="32"/>
          <w:lang w:val="en-US"/>
        </w:rPr>
        <w:t>Other</w:t>
      </w:r>
      <w:r>
        <w:rPr>
          <w:rFonts w:ascii="Arial Rounded MT Bold" w:hAnsi="Arial Rounded MT Bold"/>
          <w:sz w:val="32"/>
          <w:szCs w:val="32"/>
          <w:lang w:val="en-US"/>
        </w:rPr>
        <w:t xml:space="preserve"> </w:t>
      </w:r>
      <w:r>
        <w:rPr>
          <w:rFonts w:ascii="Arial Rounded MT Bold" w:hAnsi="Arial Rounded MT Bold"/>
          <w:i/>
          <w:iCs/>
          <w:sz w:val="32"/>
          <w:szCs w:val="32"/>
          <w:lang w:val="en-US"/>
        </w:rPr>
        <w:t>Stories</w:t>
      </w:r>
      <w:r>
        <w:rPr>
          <w:rFonts w:ascii="Arial Rounded MT Bold" w:hAnsi="Arial Rounded MT Bold"/>
          <w:sz w:val="32"/>
          <w:szCs w:val="32"/>
          <w:lang w:val="en-US"/>
        </w:rPr>
        <w:t xml:space="preserve">, published in 1922. In the article, one subsection has the heading "The Experience of Time". For context, Shaup considers "The Garden Party" in relation to comparable </w:t>
      </w:r>
      <w:r>
        <w:rPr>
          <w:rFonts w:hAnsi="Arial Rounded MT Bold"/>
          <w:sz w:val="32"/>
          <w:szCs w:val="32"/>
          <w:lang w:val="en-GB"/>
        </w:rPr>
        <w:t>literary and critical</w:t>
      </w:r>
      <w:r>
        <w:rPr>
          <w:rFonts w:ascii="Arial Rounded MT Bold" w:hAnsi="Arial Rounded MT Bold"/>
          <w:sz w:val="32"/>
          <w:szCs w:val="32"/>
          <w:lang w:val="en-US"/>
        </w:rPr>
        <w:t xml:space="preserve"> texts, including Walter Pater's </w:t>
      </w:r>
      <w:r>
        <w:rPr>
          <w:rFonts w:ascii="Arial Rounded MT Bold" w:hAnsi="Arial Rounded MT Bold"/>
          <w:i/>
          <w:iCs/>
          <w:sz w:val="32"/>
          <w:szCs w:val="32"/>
          <w:lang w:val="en-US"/>
        </w:rPr>
        <w:t>The</w:t>
      </w:r>
      <w:r>
        <w:rPr>
          <w:rFonts w:ascii="Arial Rounded MT Bold" w:hAnsi="Arial Rounded MT Bold"/>
          <w:sz w:val="32"/>
          <w:szCs w:val="32"/>
          <w:lang w:val="en-US"/>
        </w:rPr>
        <w:t xml:space="preserve"> </w:t>
      </w:r>
      <w:r>
        <w:rPr>
          <w:rFonts w:ascii="Arial Rounded MT Bold" w:hAnsi="Arial Rounded MT Bold"/>
          <w:i/>
          <w:iCs/>
          <w:sz w:val="32"/>
          <w:szCs w:val="32"/>
          <w:lang w:val="en-US"/>
        </w:rPr>
        <w:t>Renaissance</w:t>
      </w:r>
      <w:r>
        <w:rPr>
          <w:rFonts w:ascii="Arial Rounded MT Bold" w:hAnsi="Arial Rounded MT Bold"/>
          <w:sz w:val="32"/>
          <w:szCs w:val="32"/>
          <w:lang w:val="en-US"/>
        </w:rPr>
        <w:t xml:space="preserve"> and E.M. Forster's </w:t>
      </w:r>
      <w:r>
        <w:rPr>
          <w:rFonts w:ascii="Arial Rounded MT Bold" w:hAnsi="Arial Rounded MT Bold"/>
          <w:i/>
          <w:iCs/>
          <w:sz w:val="32"/>
          <w:szCs w:val="32"/>
          <w:lang w:val="en-US"/>
        </w:rPr>
        <w:t>A</w:t>
      </w:r>
      <w:r>
        <w:rPr>
          <w:rFonts w:ascii="Arial Rounded MT Bold" w:hAnsi="Arial Rounded MT Bold"/>
          <w:sz w:val="32"/>
          <w:szCs w:val="32"/>
          <w:lang w:val="en-US"/>
        </w:rPr>
        <w:t xml:space="preserve"> </w:t>
      </w:r>
      <w:r>
        <w:rPr>
          <w:rFonts w:ascii="Arial Rounded MT Bold" w:hAnsi="Arial Rounded MT Bold"/>
          <w:i/>
          <w:iCs/>
          <w:sz w:val="32"/>
          <w:szCs w:val="32"/>
          <w:lang w:val="en-US"/>
        </w:rPr>
        <w:t>Passage</w:t>
      </w:r>
      <w:r>
        <w:rPr>
          <w:rFonts w:ascii="Arial Rounded MT Bold" w:hAnsi="Arial Rounded MT Bold"/>
          <w:sz w:val="32"/>
          <w:szCs w:val="32"/>
          <w:lang w:val="en-US"/>
        </w:rPr>
        <w:t xml:space="preserve"> </w:t>
      </w:r>
      <w:r>
        <w:rPr>
          <w:rFonts w:ascii="Arial Rounded MT Bold" w:hAnsi="Arial Rounded MT Bold"/>
          <w:i/>
          <w:iCs/>
          <w:sz w:val="32"/>
          <w:szCs w:val="32"/>
          <w:lang w:val="en-US"/>
        </w:rPr>
        <w:t>to</w:t>
      </w:r>
      <w:r>
        <w:rPr>
          <w:rFonts w:ascii="Arial Rounded MT Bold" w:hAnsi="Arial Rounded MT Bold"/>
          <w:sz w:val="32"/>
          <w:szCs w:val="32"/>
          <w:lang w:val="en-US"/>
        </w:rPr>
        <w:t xml:space="preserve"> </w:t>
      </w:r>
      <w:r>
        <w:rPr>
          <w:rFonts w:ascii="Arial Rounded MT Bold" w:hAnsi="Arial Rounded MT Bold"/>
          <w:i/>
          <w:iCs/>
          <w:sz w:val="32"/>
          <w:szCs w:val="32"/>
          <w:lang w:val="en-US"/>
        </w:rPr>
        <w:t>India</w:t>
      </w:r>
      <w:r>
        <w:rPr>
          <w:rFonts w:ascii="Arial Rounded MT Bold" w:hAnsi="Arial Rounded MT Bold"/>
          <w:sz w:val="32"/>
          <w:szCs w:val="32"/>
          <w:lang w:val="en-US"/>
        </w:rPr>
        <w:t>. The latter is presented as an example of a Colonial Anglo-Indian text. Incidentally, another of Mansfield's stories, "The Daughters of the Late Colonel", could also be filed under this heading, due to the Anglo-Indian background of the titular Colonel. This story is to be considered further on. Shaup names the Sheridans - the central family in "The Garden Party" - as " financially successful Edwardian colonials in New Zealand, [who] adhere to a timetable"</w:t>
      </w:r>
      <w:r>
        <w:rPr>
          <w:rFonts w:ascii="Arial Rounded MT Bold" w:cs="Arial Rounded MT Bold" w:eastAsia="Arial Rounded MT Bold" w:hAnsi="Arial Rounded MT Bold"/>
          <w:sz w:val="32"/>
          <w:szCs w:val="32"/>
          <w:vertAlign w:val="superscript"/>
        </w:rPr>
        <w:footnoteReference w:id="2"/>
      </w:r>
      <w:r>
        <w:rPr>
          <w:rFonts w:ascii="Arial Rounded MT Bold" w:hAnsi="Arial Rounded MT Bold"/>
          <w:sz w:val="32"/>
          <w:szCs w:val="32"/>
          <w:lang w:val="en-US"/>
        </w:rPr>
        <w:t>. She further emphasises that "the family establishes and enforces social conventions in part through the organisation of time. By maintaining a predictable schedule, the Sheridans perform their class status as well as their Englishness."</w:t>
      </w:r>
      <w:r>
        <w:rPr>
          <w:rFonts w:ascii="Arial Rounded MT Bold" w:cs="Arial Rounded MT Bold" w:eastAsia="Arial Rounded MT Bold" w:hAnsi="Arial Rounded MT Bold"/>
          <w:sz w:val="32"/>
          <w:szCs w:val="32"/>
          <w:vertAlign w:val="superscript"/>
        </w:rPr>
        <w:footnoteReference w:id="3"/>
      </w:r>
      <w:r>
        <w:rPr>
          <w:rFonts w:ascii="Arial Rounded MT Bold" w:hAnsi="Arial Rounded MT Bold"/>
          <w:sz w:val="32"/>
          <w:szCs w:val="32"/>
          <w:lang w:val="en-US"/>
        </w:rPr>
        <w:t xml:space="preserve"> This story of an English family set in New Zealand, reflects the duality of Katherine Mansfield's background. She was born and raised in New Zealand, but moved to England as a teenager, remaining there for much of her life, except for periods of residency elsewhere on the Continent. In the last years of her life, she was unable to return to New Zealand, due to her infectious case of tuberculosis. Reflecting her background and her tumultuous, nomadic lifestyle, some of her stories are set in England, some in New Zealand, some elsewhere on the Continent and some in transit, such as the travel story, "The Little Governess", further to be considered.</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 xml:space="preserve">An additional useful story through which to consider the handling of time, is the aforementioned </w:t>
      </w:r>
      <w:r>
        <w:rPr>
          <w:rFonts w:ascii="Arial Rounded MT Bold" w:hAnsi="Arial Rounded MT Bold" w:hint="default"/>
          <w:sz w:val="32"/>
          <w:szCs w:val="32"/>
          <w:lang w:val="en-US"/>
        </w:rPr>
        <w:t>“</w:t>
      </w:r>
      <w:r>
        <w:rPr>
          <w:rFonts w:ascii="Arial Rounded MT Bold" w:hAnsi="Arial Rounded MT Bold"/>
          <w:sz w:val="32"/>
          <w:szCs w:val="32"/>
          <w:lang w:val="en-US"/>
        </w:rPr>
        <w:t>The Daughters of the Late Colonel</w:t>
      </w:r>
      <w:r>
        <w:rPr>
          <w:rFonts w:ascii="Arial Rounded MT Bold" w:hAnsi="Arial Rounded MT Bold" w:hint="default"/>
          <w:sz w:val="32"/>
          <w:szCs w:val="32"/>
          <w:lang w:val="en-US"/>
        </w:rPr>
        <w:t>”</w:t>
      </w:r>
      <w:r>
        <w:rPr>
          <w:rFonts w:ascii="Arial Rounded MT Bold" w:hAnsi="Arial Rounded MT Bold"/>
          <w:sz w:val="32"/>
          <w:szCs w:val="32"/>
          <w:lang w:val="en-US"/>
        </w:rPr>
        <w:t>. It is a classic example of a story written in the Modernist mode. Among other factors, it lacks a set structure, and features many shifts in narrative. In this story, which deals liberally with the use of flashbacks, time is rigidly enforced by the deceased Colonel. It is therefore under masculine control. His association with time is emblematised by his gold watch, which seems to be his most significant possession. It was typical of the time period for a gentleman</w:t>
      </w:r>
      <w:r>
        <w:rPr>
          <w:rFonts w:ascii="Arial Rounded MT Bold" w:hAnsi="Arial Rounded MT Bold" w:hint="default"/>
          <w:sz w:val="32"/>
          <w:szCs w:val="32"/>
          <w:lang w:val="en-US"/>
        </w:rPr>
        <w:t>’</w:t>
      </w:r>
      <w:r>
        <w:rPr>
          <w:rFonts w:ascii="Arial Rounded MT Bold" w:hAnsi="Arial Rounded MT Bold"/>
          <w:sz w:val="32"/>
          <w:szCs w:val="32"/>
          <w:lang w:val="en-US"/>
        </w:rPr>
        <w:t>s watch to be highly valued, but in this case, it has more symbolic significance. On his death, his daughters intend to send it to either their brother or nephew; a male descendant of his, as is fitting, but they cannot apply themselves to the task. This could be viewed as a microcosm of their indecisive, futile lives. Due to their father</w:t>
      </w:r>
      <w:r>
        <w:rPr>
          <w:rFonts w:ascii="Arial Rounded MT Bold" w:hAnsi="Arial Rounded MT Bold" w:hint="default"/>
          <w:sz w:val="32"/>
          <w:szCs w:val="32"/>
          <w:lang w:val="en-US"/>
        </w:rPr>
        <w:t>’</w:t>
      </w:r>
      <w:r>
        <w:rPr>
          <w:rFonts w:ascii="Arial Rounded MT Bold" w:hAnsi="Arial Rounded MT Bold"/>
          <w:sz w:val="32"/>
          <w:szCs w:val="32"/>
          <w:lang w:val="en-US"/>
        </w:rPr>
        <w:t>s ill treatment, and their own shortcomings, the daughters have become frozen in time; advanced in years, but with a stunted, infantile mental state. They have also lost much of their sense of the present; as moments are constantly on the verge of slipping away and becoming memory. Furthermore, they are unable to fully accept their father</w:t>
      </w:r>
      <w:r>
        <w:rPr>
          <w:rFonts w:ascii="Arial Rounded MT Bold" w:hAnsi="Arial Rounded MT Bold" w:hint="default"/>
          <w:sz w:val="32"/>
          <w:szCs w:val="32"/>
          <w:lang w:val="en-US"/>
        </w:rPr>
        <w:t>‘</w:t>
      </w:r>
      <w:r>
        <w:rPr>
          <w:rFonts w:ascii="Arial Rounded MT Bold" w:hAnsi="Arial Rounded MT Bold"/>
          <w:sz w:val="32"/>
          <w:szCs w:val="32"/>
          <w:lang w:val="en-US"/>
        </w:rPr>
        <w:t>s death, which should confine him to the past, but they continue to see and hear him in the present.</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As to place, Mansfield</w:t>
      </w:r>
      <w:r>
        <w:rPr>
          <w:rFonts w:ascii="Arial Rounded MT Bold" w:hAnsi="Arial Rounded MT Bold" w:hint="default"/>
          <w:sz w:val="32"/>
          <w:szCs w:val="32"/>
          <w:lang w:val="en-US"/>
        </w:rPr>
        <w:t>’</w:t>
      </w:r>
      <w:r>
        <w:rPr>
          <w:rFonts w:ascii="Arial Rounded MT Bold" w:hAnsi="Arial Rounded MT Bold"/>
          <w:sz w:val="32"/>
          <w:szCs w:val="32"/>
          <w:lang w:val="en-US"/>
        </w:rPr>
        <w:t xml:space="preserve">s first published short story, </w:t>
      </w:r>
      <w:r>
        <w:rPr>
          <w:rFonts w:ascii="Arial Rounded MT Bold" w:hAnsi="Arial Rounded MT Bold" w:hint="default"/>
          <w:sz w:val="32"/>
          <w:szCs w:val="32"/>
          <w:lang w:val="en-US"/>
        </w:rPr>
        <w:t>“</w:t>
      </w:r>
      <w:r>
        <w:rPr>
          <w:rFonts w:ascii="Arial Rounded MT Bold" w:hAnsi="Arial Rounded MT Bold"/>
          <w:sz w:val="32"/>
          <w:szCs w:val="32"/>
          <w:lang w:val="en-US"/>
        </w:rPr>
        <w:t>The Tirednesss of Rosabel</w:t>
      </w:r>
      <w:r>
        <w:rPr>
          <w:rFonts w:ascii="Arial Rounded MT Bold" w:hAnsi="Arial Rounded MT Bold" w:hint="default"/>
          <w:sz w:val="32"/>
          <w:szCs w:val="32"/>
          <w:lang w:val="en-US"/>
        </w:rPr>
        <w:t xml:space="preserve">” </w:t>
      </w:r>
      <w:r>
        <w:rPr>
          <w:rFonts w:ascii="Arial Rounded MT Bold" w:hAnsi="Arial Rounded MT Bold"/>
          <w:sz w:val="32"/>
          <w:szCs w:val="32"/>
          <w:lang w:val="en-US"/>
        </w:rPr>
        <w:t>is a good starting point. It feeds into the interest of Modernism in urbanisation. The story places a young girl in the city. She lives there alone, and seems to be a relative newcomer there. Her boredom, fatigue and portion of the general historical malaise have combined to place her on the cusp of corruption, and therefore ruin; the next logical step. It does not happen during the story</w:t>
      </w:r>
      <w:r>
        <w:rPr>
          <w:rFonts w:ascii="Arial Rounded MT Bold" w:hAnsi="Arial Rounded MT Bold" w:hint="default"/>
          <w:sz w:val="32"/>
          <w:szCs w:val="32"/>
          <w:lang w:val="en-US"/>
        </w:rPr>
        <w:t>’</w:t>
      </w:r>
      <w:r>
        <w:rPr>
          <w:rFonts w:ascii="Arial Rounded MT Bold" w:hAnsi="Arial Rounded MT Bold"/>
          <w:sz w:val="32"/>
          <w:szCs w:val="32"/>
          <w:lang w:val="en-US"/>
        </w:rPr>
        <w:t>s necessarily brief time scheme, but its events and tone make it easy to anticipate its occurrence in the near future. A further contributing factor to this is the story</w:t>
      </w:r>
      <w:r>
        <w:rPr>
          <w:rFonts w:ascii="Arial Rounded MT Bold" w:hAnsi="Arial Rounded MT Bold" w:hint="default"/>
          <w:sz w:val="32"/>
          <w:szCs w:val="32"/>
          <w:lang w:val="en-US"/>
        </w:rPr>
        <w:t>’</w:t>
      </w:r>
      <w:r>
        <w:rPr>
          <w:rFonts w:ascii="Arial Rounded MT Bold" w:hAnsi="Arial Rounded MT Bold"/>
          <w:sz w:val="32"/>
          <w:szCs w:val="32"/>
          <w:lang w:val="en-US"/>
        </w:rPr>
        <w:t>s abrupt and open ending. This description would apply to many of Mansfield</w:t>
      </w:r>
      <w:r>
        <w:rPr>
          <w:rFonts w:ascii="Arial Rounded MT Bold" w:hAnsi="Arial Rounded MT Bold" w:hint="default"/>
          <w:sz w:val="32"/>
          <w:szCs w:val="32"/>
          <w:lang w:val="en-US"/>
        </w:rPr>
        <w:t>’</w:t>
      </w:r>
      <w:r>
        <w:rPr>
          <w:rFonts w:ascii="Arial Rounded MT Bold" w:hAnsi="Arial Rounded MT Bold"/>
          <w:sz w:val="32"/>
          <w:szCs w:val="32"/>
          <w:lang w:val="en-US"/>
        </w:rPr>
        <w:t xml:space="preserve">s endings. A comparable specific example is </w:t>
      </w:r>
      <w:r>
        <w:rPr>
          <w:rFonts w:ascii="Arial Rounded MT Bold" w:hAnsi="Arial Rounded MT Bold" w:hint="default"/>
          <w:sz w:val="32"/>
          <w:szCs w:val="32"/>
          <w:lang w:val="en-US"/>
        </w:rPr>
        <w:t>“</w:t>
      </w:r>
      <w:r>
        <w:rPr>
          <w:rFonts w:ascii="Arial Rounded MT Bold" w:hAnsi="Arial Rounded MT Bold"/>
          <w:sz w:val="32"/>
          <w:szCs w:val="32"/>
          <w:lang w:val="en-US"/>
        </w:rPr>
        <w:t>The Little Governess</w:t>
      </w:r>
      <w:r>
        <w:rPr>
          <w:rFonts w:ascii="Arial Rounded MT Bold" w:hAnsi="Arial Rounded MT Bold" w:hint="default"/>
          <w:sz w:val="32"/>
          <w:szCs w:val="32"/>
          <w:lang w:val="en-US"/>
        </w:rPr>
        <w:t>”</w:t>
      </w:r>
      <w:r>
        <w:rPr>
          <w:rFonts w:ascii="Arial Rounded MT Bold" w:hAnsi="Arial Rounded MT Bold"/>
          <w:sz w:val="32"/>
          <w:szCs w:val="32"/>
          <w:lang w:val="en-US"/>
        </w:rPr>
        <w:t xml:space="preserve">. Unlike Rosabel, who is a rare example in Mansfield of a named title character, this girl is not granted a name. To be nameless and called </w:t>
      </w:r>
      <w:r>
        <w:rPr>
          <w:rFonts w:ascii="Arial Rounded MT Bold" w:hAnsi="Arial Rounded MT Bold" w:hint="default"/>
          <w:sz w:val="32"/>
          <w:szCs w:val="32"/>
          <w:lang w:val="en-US"/>
        </w:rPr>
        <w:t>‘</w:t>
      </w:r>
      <w:r>
        <w:rPr>
          <w:rFonts w:ascii="Arial Rounded MT Bold" w:hAnsi="Arial Rounded MT Bold"/>
          <w:sz w:val="32"/>
          <w:szCs w:val="32"/>
          <w:lang w:val="en-US"/>
        </w:rPr>
        <w:t>little</w:t>
      </w:r>
      <w:r>
        <w:rPr>
          <w:rFonts w:ascii="Arial Rounded MT Bold" w:hAnsi="Arial Rounded MT Bold" w:hint="default"/>
          <w:sz w:val="32"/>
          <w:szCs w:val="32"/>
          <w:lang w:val="en-US"/>
        </w:rPr>
        <w:t xml:space="preserve">’ </w:t>
      </w:r>
      <w:r>
        <w:rPr>
          <w:rFonts w:ascii="Arial Rounded MT Bold" w:hAnsi="Arial Rounded MT Bold"/>
          <w:sz w:val="32"/>
          <w:szCs w:val="32"/>
          <w:lang w:val="en-US"/>
        </w:rPr>
        <w:t>in the title, connects her to many fairy tales, both authored and from the folk tradition. One example is Andersen</w:t>
      </w:r>
      <w:r>
        <w:rPr>
          <w:rFonts w:ascii="Arial Rounded MT Bold" w:hAnsi="Arial Rounded MT Bold" w:hint="default"/>
          <w:sz w:val="32"/>
          <w:szCs w:val="32"/>
          <w:lang w:val="en-US"/>
        </w:rPr>
        <w:t>’</w:t>
      </w:r>
      <w:r>
        <w:rPr>
          <w:rFonts w:ascii="Arial Rounded MT Bold" w:hAnsi="Arial Rounded MT Bold"/>
          <w:sz w:val="32"/>
          <w:szCs w:val="32"/>
          <w:lang w:val="en-US"/>
        </w:rPr>
        <w:t xml:space="preserve">s </w:t>
      </w:r>
      <w:r>
        <w:rPr>
          <w:rFonts w:ascii="Arial Rounded MT Bold" w:hAnsi="Arial Rounded MT Bold" w:hint="default"/>
          <w:sz w:val="32"/>
          <w:szCs w:val="32"/>
          <w:lang w:val="en-US"/>
        </w:rPr>
        <w:t>“</w:t>
      </w:r>
      <w:r>
        <w:rPr>
          <w:rFonts w:ascii="Arial Rounded MT Bold" w:hAnsi="Arial Rounded MT Bold"/>
          <w:sz w:val="32"/>
          <w:szCs w:val="32"/>
          <w:lang w:val="en-US"/>
        </w:rPr>
        <w:t>The Little Mermaid</w:t>
      </w:r>
      <w:r>
        <w:rPr>
          <w:rFonts w:ascii="Arial Rounded MT Bold" w:hAnsi="Arial Rounded MT Bold" w:hint="default"/>
          <w:sz w:val="32"/>
          <w:szCs w:val="32"/>
          <w:lang w:val="en-US"/>
        </w:rPr>
        <w:t>”</w:t>
      </w:r>
      <w:r>
        <w:rPr>
          <w:rFonts w:ascii="Arial Rounded MT Bold" w:hAnsi="Arial Rounded MT Bold"/>
          <w:sz w:val="32"/>
          <w:szCs w:val="32"/>
          <w:lang w:val="en-US"/>
        </w:rPr>
        <w:t xml:space="preserve">. Like the mermaid, the governess travels between worlds. Place is significant in this story, as the </w:t>
      </w:r>
      <w:r>
        <w:rPr>
          <w:rFonts w:ascii="Arial Rounded MT Bold" w:hAnsi="Arial Rounded MT Bold" w:hint="default"/>
          <w:sz w:val="32"/>
          <w:szCs w:val="32"/>
          <w:lang w:val="en-US"/>
        </w:rPr>
        <w:t>‘</w:t>
      </w:r>
      <w:r>
        <w:rPr>
          <w:rFonts w:ascii="Arial Rounded MT Bold" w:hAnsi="Arial Rounded MT Bold"/>
          <w:sz w:val="32"/>
          <w:szCs w:val="32"/>
          <w:lang w:val="en-US"/>
        </w:rPr>
        <w:t>heroine</w:t>
      </w:r>
      <w:r>
        <w:rPr>
          <w:rFonts w:ascii="Arial Rounded MT Bold" w:hAnsi="Arial Rounded MT Bold" w:hint="default"/>
          <w:sz w:val="32"/>
          <w:szCs w:val="32"/>
          <w:lang w:val="en-US"/>
        </w:rPr>
        <w:t xml:space="preserve">’ </w:t>
      </w:r>
      <w:r>
        <w:rPr>
          <w:rFonts w:ascii="Arial Rounded MT Bold" w:hAnsi="Arial Rounded MT Bold"/>
          <w:sz w:val="32"/>
          <w:szCs w:val="32"/>
          <w:lang w:val="en-US"/>
        </w:rPr>
        <w:t>spends much of it travelling. As well as fairy tales, this story is also connected to the fashion of Governess Literature, which was a major trend in nineteenth century Women</w:t>
      </w:r>
      <w:r>
        <w:rPr>
          <w:rFonts w:ascii="Arial Rounded MT Bold" w:hAnsi="Arial Rounded MT Bold" w:hint="default"/>
          <w:sz w:val="32"/>
          <w:szCs w:val="32"/>
          <w:lang w:val="en-US"/>
        </w:rPr>
        <w:t>’</w:t>
      </w:r>
      <w:r>
        <w:rPr>
          <w:rFonts w:ascii="Arial Rounded MT Bold" w:hAnsi="Arial Rounded MT Bold"/>
          <w:sz w:val="32"/>
          <w:szCs w:val="32"/>
          <w:lang w:val="en-US"/>
        </w:rPr>
        <w:t xml:space="preserve">s Writing. Examples include the Bronte novels </w:t>
      </w:r>
      <w:r>
        <w:rPr>
          <w:rFonts w:ascii="Arial Rounded MT Bold" w:hAnsi="Arial Rounded MT Bold"/>
          <w:i/>
          <w:iCs/>
          <w:sz w:val="32"/>
          <w:szCs w:val="32"/>
          <w:lang w:val="en-US"/>
        </w:rPr>
        <w:t xml:space="preserve">Jane Eyre </w:t>
      </w:r>
      <w:r>
        <w:rPr>
          <w:rFonts w:ascii="Arial Rounded MT Bold" w:hAnsi="Arial Rounded MT Bold"/>
          <w:sz w:val="32"/>
          <w:szCs w:val="32"/>
          <w:lang w:val="en-US"/>
        </w:rPr>
        <w:t xml:space="preserve">and </w:t>
      </w:r>
      <w:r>
        <w:rPr>
          <w:rFonts w:ascii="Arial Rounded MT Bold" w:hAnsi="Arial Rounded MT Bold"/>
          <w:i/>
          <w:iCs/>
          <w:sz w:val="32"/>
          <w:szCs w:val="32"/>
          <w:lang w:val="en-US"/>
        </w:rPr>
        <w:t>Villette</w:t>
      </w:r>
      <w:r>
        <w:rPr>
          <w:rFonts w:ascii="Arial Rounded MT Bold" w:hAnsi="Arial Rounded MT Bold"/>
          <w:sz w:val="32"/>
          <w:szCs w:val="32"/>
          <w:lang w:val="en-US"/>
        </w:rPr>
        <w:t>. Besides the different lengths of the texts, other differences are that Katherine Mansfield</w:t>
      </w:r>
      <w:r>
        <w:rPr>
          <w:rFonts w:ascii="Arial Rounded MT Bold" w:hAnsi="Arial Rounded MT Bold" w:hint="default"/>
          <w:sz w:val="32"/>
          <w:szCs w:val="32"/>
          <w:lang w:val="en-US"/>
        </w:rPr>
        <w:t>’</w:t>
      </w:r>
      <w:r>
        <w:rPr>
          <w:rFonts w:ascii="Arial Rounded MT Bold" w:hAnsi="Arial Rounded MT Bold"/>
          <w:sz w:val="32"/>
          <w:szCs w:val="32"/>
          <w:lang w:val="en-US"/>
        </w:rPr>
        <w:t>s lead character is more morally ambiguous and therefore more anti-heroine than heroine and unlike Jane Eyre, is not granted a happy ending. The story may have been influenced by Katherine Mansfield</w:t>
      </w:r>
      <w:r>
        <w:rPr>
          <w:rFonts w:ascii="Arial Rounded MT Bold" w:hAnsi="Arial Rounded MT Bold" w:hint="default"/>
          <w:sz w:val="32"/>
          <w:szCs w:val="32"/>
          <w:lang w:val="en-US"/>
        </w:rPr>
        <w:t>’</w:t>
      </w:r>
      <w:r>
        <w:rPr>
          <w:rFonts w:ascii="Arial Rounded MT Bold" w:hAnsi="Arial Rounded MT Bold"/>
          <w:sz w:val="32"/>
          <w:szCs w:val="32"/>
          <w:lang w:val="en-US"/>
        </w:rPr>
        <w:t xml:space="preserve">s own travels across the Continent, making it therefore comparable with her first short story collection: </w:t>
      </w:r>
      <w:r>
        <w:rPr>
          <w:rFonts w:ascii="Arial Rounded MT Bold" w:hAnsi="Arial Rounded MT Bold"/>
          <w:i/>
          <w:iCs/>
          <w:sz w:val="32"/>
          <w:szCs w:val="32"/>
          <w:lang w:val="en-US"/>
        </w:rPr>
        <w:t>In a German Pension</w:t>
      </w:r>
      <w:r>
        <w:rPr>
          <w:rFonts w:ascii="Arial Rounded MT Bold" w:hAnsi="Arial Rounded MT Bold"/>
          <w:sz w:val="32"/>
          <w:szCs w:val="32"/>
          <w:lang w:val="en-US"/>
        </w:rPr>
        <w:t xml:space="preserve">, a work she later described as </w:t>
      </w:r>
      <w:r>
        <w:rPr>
          <w:rFonts w:ascii="Arial Rounded MT Bold" w:hAnsi="Arial Rounded MT Bold" w:hint="default"/>
          <w:sz w:val="32"/>
          <w:szCs w:val="32"/>
          <w:lang w:val="en-US"/>
        </w:rPr>
        <w:t>“</w:t>
      </w:r>
      <w:r>
        <w:rPr>
          <w:rFonts w:ascii="Arial Rounded MT Bold" w:hAnsi="Arial Rounded MT Bold"/>
          <w:sz w:val="32"/>
          <w:szCs w:val="32"/>
          <w:lang w:val="en-US"/>
        </w:rPr>
        <w:t>immature</w:t>
      </w:r>
      <w:r>
        <w:rPr>
          <w:rFonts w:ascii="Arial Rounded MT Bold" w:hAnsi="Arial Rounded MT Bold" w:hint="default"/>
          <w:sz w:val="32"/>
          <w:szCs w:val="32"/>
          <w:lang w:val="en-US"/>
        </w:rPr>
        <w:t>”</w:t>
      </w:r>
      <w:r>
        <w:rPr>
          <w:rFonts w:ascii="Arial Rounded MT Bold" w:hAnsi="Arial Rounded MT Bold"/>
          <w:sz w:val="32"/>
          <w:szCs w:val="32"/>
          <w:lang w:val="en-US"/>
        </w:rPr>
        <w:t xml:space="preserve">. In the story, Mansfield conveys the uncertainty, discomfort and dangers of travel. The girl has truly fallen from grace by the end, due in part to her own arrogant behaviour. Like Rosabel and like Mouse of </w:t>
      </w:r>
      <w:r>
        <w:rPr>
          <w:rFonts w:ascii="Arial Rounded MT Bold" w:hAnsi="Arial Rounded MT Bold" w:hint="default"/>
          <w:sz w:val="32"/>
          <w:szCs w:val="32"/>
          <w:lang w:val="en-US"/>
        </w:rPr>
        <w:t>“</w:t>
      </w:r>
      <w:r>
        <w:rPr>
          <w:rFonts w:ascii="Arial Rounded MT Bold" w:hAnsi="Arial Rounded MT Bold"/>
          <w:sz w:val="32"/>
          <w:szCs w:val="32"/>
          <w:lang w:val="en-US"/>
        </w:rPr>
        <w:t>Je ne Parle Pas Francais</w:t>
      </w:r>
      <w:r>
        <w:rPr>
          <w:rFonts w:ascii="Arial Rounded MT Bold" w:hAnsi="Arial Rounded MT Bold" w:hint="default"/>
          <w:sz w:val="32"/>
          <w:szCs w:val="32"/>
          <w:lang w:val="en-US"/>
        </w:rPr>
        <w:t>”</w:t>
      </w:r>
      <w:r>
        <w:rPr>
          <w:rFonts w:ascii="Arial Rounded MT Bold" w:hAnsi="Arial Rounded MT Bold"/>
          <w:sz w:val="32"/>
          <w:szCs w:val="32"/>
          <w:lang w:val="en-US"/>
        </w:rPr>
        <w:t xml:space="preserve">, an uncertain future of corruption and degradation seems to be imminent for her. Indeed, in all three cases, it is dubious how long the female lead will live after the story concludes. Incidentally, </w:t>
      </w:r>
      <w:r>
        <w:rPr>
          <w:rFonts w:ascii="Arial Rounded MT Bold" w:hAnsi="Arial Rounded MT Bold" w:hint="default"/>
          <w:sz w:val="32"/>
          <w:szCs w:val="32"/>
          <w:lang w:val="en-US"/>
        </w:rPr>
        <w:t>“</w:t>
      </w:r>
      <w:r>
        <w:rPr>
          <w:rFonts w:ascii="Arial Rounded MT Bold" w:hAnsi="Arial Rounded MT Bold"/>
          <w:sz w:val="32"/>
          <w:szCs w:val="32"/>
          <w:lang w:val="en-US"/>
        </w:rPr>
        <w:t>Je ne</w:t>
      </w:r>
      <w:r>
        <w:rPr>
          <w:rFonts w:ascii="Arial Rounded MT Bold" w:hAnsi="Arial Rounded MT Bold" w:hint="default"/>
          <w:sz w:val="32"/>
          <w:szCs w:val="32"/>
          <w:lang w:val="en-US"/>
        </w:rPr>
        <w:t xml:space="preserve">” </w:t>
      </w:r>
      <w:r>
        <w:rPr>
          <w:rFonts w:ascii="Arial Rounded MT Bold" w:hAnsi="Arial Rounded MT Bold"/>
          <w:sz w:val="32"/>
          <w:szCs w:val="32"/>
          <w:lang w:val="en-US"/>
        </w:rPr>
        <w:t>is a story that can be used to illustrate the Modernist self-conscious reflexive techniques, that is to say, writing about the act of writing. It is a first person story. Its narrator, Raoul Duquette is a writer, who categorically states that his narrative is a written manuscript, presumably like any of his others, though perhaps a touch more self-reflective. This distinguishes it from some of Katherine Mansfield</w:t>
      </w:r>
      <w:r>
        <w:rPr>
          <w:rFonts w:ascii="Arial Rounded MT Bold" w:hAnsi="Arial Rounded MT Bold" w:hint="default"/>
          <w:sz w:val="32"/>
          <w:szCs w:val="32"/>
          <w:lang w:val="en-US"/>
        </w:rPr>
        <w:t>’</w:t>
      </w:r>
      <w:r>
        <w:rPr>
          <w:rFonts w:ascii="Arial Rounded MT Bold" w:hAnsi="Arial Rounded MT Bold"/>
          <w:sz w:val="32"/>
          <w:szCs w:val="32"/>
          <w:lang w:val="en-US"/>
        </w:rPr>
        <w:t xml:space="preserve">s other first person stories, as they are not all stated to be written. "The Woman at the Store", for example, does not claim to be a literary manuscript. Furthermore Duquette is a much more visible and self-conscious narrator than the woman who narrates  </w:t>
      </w:r>
      <w:r>
        <w:rPr>
          <w:rFonts w:ascii="Arial Rounded MT Bold" w:hAnsi="Arial Rounded MT Bold" w:hint="default"/>
          <w:sz w:val="32"/>
          <w:szCs w:val="32"/>
          <w:lang w:val="en-US"/>
        </w:rPr>
        <w:t>“</w:t>
      </w:r>
      <w:r>
        <w:rPr>
          <w:rFonts w:ascii="Arial Rounded MT Bold" w:hAnsi="Arial Rounded MT Bold"/>
          <w:sz w:val="32"/>
          <w:szCs w:val="32"/>
          <w:lang w:val="en-US"/>
        </w:rPr>
        <w:t>The Woman at the Store</w:t>
      </w:r>
      <w:r>
        <w:rPr>
          <w:rFonts w:ascii="Arial Rounded MT Bold" w:hAnsi="Arial Rounded MT Bold" w:hint="default"/>
          <w:sz w:val="32"/>
          <w:szCs w:val="32"/>
          <w:lang w:val="en-US"/>
        </w:rPr>
        <w:t>”</w:t>
      </w:r>
      <w:r>
        <w:rPr>
          <w:rFonts w:ascii="Arial Rounded MT Bold" w:hAnsi="Arial Rounded MT Bold"/>
          <w:sz w:val="32"/>
          <w:szCs w:val="32"/>
          <w:lang w:val="en-US"/>
        </w:rPr>
        <w:t xml:space="preserve">. This character is prominently not the title character and reveals very little about herself. Indeed, even her gender is traceable by only one mention in the story. By contrast, Duquette talks or rather writes extensively about himself, but is selective about the information he includes.  His story is set in Paris, and so it presents another example of the Modernist interest in the city. Although Duquette himself is local as indicated by his French name, his associates Dick and Mouse are English. Thus the story has a comparable international flavour to </w:t>
      </w:r>
      <w:r>
        <w:rPr>
          <w:rFonts w:ascii="Arial Rounded MT Bold" w:hAnsi="Arial Rounded MT Bold" w:hint="default"/>
          <w:sz w:val="32"/>
          <w:szCs w:val="32"/>
          <w:lang w:val="en-US"/>
        </w:rPr>
        <w:t>“</w:t>
      </w:r>
      <w:r>
        <w:rPr>
          <w:rFonts w:ascii="Arial Rounded MT Bold" w:hAnsi="Arial Rounded MT Bold"/>
          <w:sz w:val="32"/>
          <w:szCs w:val="32"/>
          <w:lang w:val="en-US"/>
        </w:rPr>
        <w:t>The Little Governess</w:t>
      </w:r>
      <w:r>
        <w:rPr>
          <w:rFonts w:ascii="Arial Rounded MT Bold" w:hAnsi="Arial Rounded MT Bold" w:hint="default"/>
          <w:sz w:val="32"/>
          <w:szCs w:val="32"/>
          <w:lang w:val="en-US"/>
        </w:rPr>
        <w:t>”</w:t>
      </w:r>
      <w:r>
        <w:rPr>
          <w:rFonts w:ascii="Arial Rounded MT Bold" w:hAnsi="Arial Rounded MT Bold"/>
          <w:sz w:val="32"/>
          <w:szCs w:val="32"/>
          <w:lang w:val="en-US"/>
        </w:rPr>
        <w:t xml:space="preserve">, and similarly features travel as a major motif, even if it is viewed less directly due to narrative viewpoint. </w:t>
      </w:r>
      <w:r>
        <w:rPr>
          <w:rFonts w:ascii="Arial Rounded MT Bold" w:hAnsi="Arial Rounded MT Bold" w:hint="default"/>
          <w:sz w:val="32"/>
          <w:szCs w:val="32"/>
          <w:lang w:val="en-US"/>
        </w:rPr>
        <w:t>‘</w:t>
      </w:r>
      <w:r>
        <w:rPr>
          <w:rFonts w:ascii="Arial Rounded MT Bold" w:hAnsi="Arial Rounded MT Bold"/>
          <w:sz w:val="32"/>
          <w:szCs w:val="32"/>
          <w:lang w:val="en-US"/>
        </w:rPr>
        <w:t>Mouse</w:t>
      </w:r>
      <w:r>
        <w:rPr>
          <w:rFonts w:ascii="Arial Rounded MT Bold" w:hAnsi="Arial Rounded MT Bold" w:hint="default"/>
          <w:sz w:val="32"/>
          <w:szCs w:val="32"/>
          <w:lang w:val="en-US"/>
        </w:rPr>
        <w:t xml:space="preserve">’ </w:t>
      </w:r>
      <w:r>
        <w:rPr>
          <w:rFonts w:ascii="Arial Rounded MT Bold" w:hAnsi="Arial Rounded MT Bold"/>
          <w:sz w:val="32"/>
          <w:szCs w:val="32"/>
          <w:lang w:val="en-US"/>
        </w:rPr>
        <w:t xml:space="preserve">is presumably a nickname, but it is the only name applied to the female lead. Readers are never informed of her real name, and </w:t>
      </w:r>
      <w:r>
        <w:rPr>
          <w:rFonts w:ascii="Arial Rounded MT Bold" w:hAnsi="Arial Rounded MT Bold" w:hint="default"/>
          <w:sz w:val="32"/>
          <w:szCs w:val="32"/>
          <w:lang w:val="en-US"/>
        </w:rPr>
        <w:t>‘</w:t>
      </w:r>
      <w:r>
        <w:rPr>
          <w:rFonts w:ascii="Arial Rounded MT Bold" w:hAnsi="Arial Rounded MT Bold"/>
          <w:sz w:val="32"/>
          <w:szCs w:val="32"/>
          <w:lang w:val="en-US"/>
        </w:rPr>
        <w:t>Mouse</w:t>
      </w:r>
      <w:r>
        <w:rPr>
          <w:rFonts w:ascii="Arial Rounded MT Bold" w:hAnsi="Arial Rounded MT Bold" w:hint="default"/>
          <w:sz w:val="32"/>
          <w:szCs w:val="32"/>
          <w:lang w:val="en-US"/>
        </w:rPr>
        <w:t xml:space="preserve">’ </w:t>
      </w:r>
      <w:r>
        <w:rPr>
          <w:rFonts w:ascii="Arial Rounded MT Bold" w:hAnsi="Arial Rounded MT Bold"/>
          <w:sz w:val="32"/>
          <w:szCs w:val="32"/>
          <w:lang w:val="en-US"/>
        </w:rPr>
        <w:t xml:space="preserve">is indicative of her timid nature and vulnerability. As with </w:t>
      </w:r>
      <w:r>
        <w:rPr>
          <w:rFonts w:ascii="Arial Rounded MT Bold" w:hAnsi="Arial Rounded MT Bold" w:hint="default"/>
          <w:sz w:val="32"/>
          <w:szCs w:val="32"/>
          <w:lang w:val="en-US"/>
        </w:rPr>
        <w:t>“</w:t>
      </w:r>
      <w:r>
        <w:rPr>
          <w:rFonts w:ascii="Arial Rounded MT Bold" w:hAnsi="Arial Rounded MT Bold"/>
          <w:sz w:val="32"/>
          <w:szCs w:val="32"/>
          <w:lang w:val="en-US"/>
        </w:rPr>
        <w:t>The Little Governess</w:t>
      </w:r>
      <w:r>
        <w:rPr>
          <w:rFonts w:ascii="Arial Rounded MT Bold" w:hAnsi="Arial Rounded MT Bold" w:hint="default"/>
          <w:sz w:val="32"/>
          <w:szCs w:val="32"/>
          <w:lang w:val="en-US"/>
        </w:rPr>
        <w:t>”</w:t>
      </w:r>
      <w:r>
        <w:rPr>
          <w:rFonts w:ascii="Arial Rounded MT Bold" w:hAnsi="Arial Rounded MT Bold"/>
          <w:sz w:val="32"/>
          <w:szCs w:val="32"/>
          <w:lang w:val="en-US"/>
        </w:rPr>
        <w:t xml:space="preserve">, travel proves to be a big mistake for her. Her physical destination might be a country in Europe, but socially she has travelled the route to ruin. The best quote to sum her up is the title quote: </w:t>
      </w:r>
      <w:r>
        <w:rPr>
          <w:rFonts w:ascii="Arial Rounded MT Bold" w:hAnsi="Arial Rounded MT Bold" w:hint="default"/>
          <w:sz w:val="32"/>
          <w:szCs w:val="32"/>
          <w:lang w:val="en-US"/>
        </w:rPr>
        <w:t>“</w:t>
      </w:r>
      <w:r>
        <w:rPr>
          <w:rFonts w:ascii="Arial Rounded MT Bold" w:hAnsi="Arial Rounded MT Bold"/>
          <w:sz w:val="32"/>
          <w:szCs w:val="32"/>
          <w:lang w:val="en-US"/>
        </w:rPr>
        <w:t>Je ne parle pas Francais</w:t>
      </w:r>
      <w:r>
        <w:rPr>
          <w:rFonts w:ascii="Arial Rounded MT Bold" w:hAnsi="Arial Rounded MT Bold" w:hint="default"/>
          <w:sz w:val="32"/>
          <w:szCs w:val="32"/>
          <w:lang w:val="en-US"/>
        </w:rPr>
        <w:t>”</w:t>
      </w:r>
      <w:r>
        <w:rPr>
          <w:rFonts w:ascii="Arial Rounded MT Bold" w:hAnsi="Arial Rounded MT Bold"/>
          <w:sz w:val="32"/>
          <w:szCs w:val="32"/>
          <w:lang w:val="en-US"/>
        </w:rPr>
        <w:t>. To the reader as well as to Duquette she is indivisibly bound up to this phrase, which emphasises her alienation and isolation.</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In conclusion, Mansfield successfully applies Modernist techniques to her work. These include particular manners of handling place and time, as well as self-consciously reflecting on the process of writing. By utilising these methods, she is able to also consider such matters as gender issues; which are bound to be of interest to a Modernist woman writer. Without a manifesto comparable to Virginia Woolf</w:t>
      </w:r>
      <w:r>
        <w:rPr>
          <w:rFonts w:ascii="Arial Rounded MT Bold" w:hAnsi="Arial Rounded MT Bold" w:hint="default"/>
          <w:sz w:val="32"/>
          <w:szCs w:val="32"/>
          <w:lang w:val="en-US"/>
        </w:rPr>
        <w:t>’</w:t>
      </w:r>
      <w:r>
        <w:rPr>
          <w:rFonts w:ascii="Arial Rounded MT Bold" w:hAnsi="Arial Rounded MT Bold"/>
          <w:sz w:val="32"/>
          <w:szCs w:val="32"/>
          <w:lang w:val="en-US"/>
        </w:rPr>
        <w:t xml:space="preserve">s, Mansfield had only her stories to explore the matter. The desperate situations in which she places her female characters could be read as cautionary tales among other readings. Between the affected literary musings of Duquette and the desperate plight of Mouse, Mansfield is able to consider both the status of the Woman and that of the Writer in the same story </w:t>
      </w:r>
      <w:r>
        <w:rPr>
          <w:rFonts w:ascii="Arial Rounded MT Bold" w:hAnsi="Arial Rounded MT Bold" w:hint="default"/>
          <w:sz w:val="32"/>
          <w:szCs w:val="32"/>
          <w:lang w:val="en-US"/>
        </w:rPr>
        <w:t>“</w:t>
      </w:r>
      <w:r>
        <w:rPr>
          <w:rFonts w:ascii="Arial Rounded MT Bold" w:hAnsi="Arial Rounded MT Bold"/>
          <w:sz w:val="32"/>
          <w:szCs w:val="32"/>
          <w:lang w:val="en-US"/>
        </w:rPr>
        <w:t>Je ne Parle Pas Francais</w:t>
      </w:r>
      <w:r>
        <w:rPr>
          <w:rFonts w:ascii="Arial Rounded MT Bold" w:hAnsi="Arial Rounded MT Bold" w:hint="default"/>
          <w:sz w:val="32"/>
          <w:szCs w:val="32"/>
          <w:lang w:val="en-US"/>
        </w:rPr>
        <w:t>”</w:t>
      </w:r>
      <w:r>
        <w:rPr>
          <w:rFonts w:ascii="Arial Rounded MT Bold" w:hAnsi="Arial Rounded MT Bold"/>
          <w:sz w:val="32"/>
          <w:szCs w:val="32"/>
          <w:lang w:val="en-US"/>
        </w:rPr>
        <w:t>. Both were of significance to the author who embodied both and was one of the great figureheads of Modernism.</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bookmarkStart w:id="0" w:name="_GoBack"/>
    <w:bookmarkEnd w:id="0"/>
    <w:p>
      <w:pPr>
        <w:pStyle w:val="style0"/>
        <w:framePr w:w="0" w:wrap="auto" w:hAnchor="text" w:vAnchor="margin" w:yAlign="inline"/>
        <w:spacing w:lineRule="auto" w:line="360"/>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Bibliography</w:t>
      </w:r>
    </w:p>
    <w:p>
      <w:pPr>
        <w:pStyle w:val="style0"/>
        <w:framePr w:w="0" w:wrap="auto" w:hAnchor="text" w:vAnchor="margin" w:yAlign="inline"/>
        <w:spacing w:lineRule="auto" w:line="360"/>
        <w:jc w:val="center"/>
        <w:rPr>
          <w:rFonts w:ascii="Arial Rounded MT Bold" w:cs="Arial Rounded MT Bold" w:eastAsia="Arial Rounded MT Bold" w:hAnsi="Arial Rounded MT Bold"/>
          <w:sz w:val="36"/>
          <w:szCs w:val="36"/>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6"/>
          <w:szCs w:val="36"/>
          <w:lang w:val="en-US"/>
        </w:rPr>
      </w:pPr>
      <w:r>
        <w:rPr>
          <w:rFonts w:ascii="Arial Rounded MT Bold" w:hAnsi="Arial Rounded MT Bold"/>
          <w:sz w:val="36"/>
          <w:szCs w:val="36"/>
          <w:lang w:val="en-US"/>
        </w:rPr>
        <w:t xml:space="preserve">Butler, C., </w:t>
      </w:r>
      <w:r>
        <w:rPr>
          <w:rFonts w:ascii="Arial Rounded MT Bold" w:hAnsi="Arial Rounded MT Bold"/>
          <w:i/>
          <w:iCs/>
          <w:sz w:val="36"/>
          <w:szCs w:val="36"/>
          <w:lang w:val="en-US"/>
        </w:rPr>
        <w:t xml:space="preserve">Modernism: A Very Short Introduction </w:t>
      </w:r>
      <w:r>
        <w:rPr>
          <w:rFonts w:ascii="Arial Rounded MT Bold" w:hAnsi="Arial Rounded MT Bold"/>
          <w:sz w:val="36"/>
          <w:szCs w:val="36"/>
          <w:lang w:val="en-US"/>
        </w:rPr>
        <w:t>(Oxford: Oxford University Press, 2010, Kindle Edition)</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6"/>
          <w:szCs w:val="36"/>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D'hoker, E., "The Development of Katherine Mansfield's First-Person Narratives" Journal of Narrative Theory, Volume 42, Number 2, Summer 2012, pp. 149-165</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 xml:space="preserve">Mansfield, K., </w:t>
      </w:r>
      <w:r>
        <w:rPr>
          <w:rFonts w:ascii="Arial Rounded MT Bold" w:hAnsi="Arial Rounded MT Bold"/>
          <w:i/>
          <w:iCs/>
          <w:sz w:val="32"/>
          <w:szCs w:val="32"/>
          <w:lang w:val="en-US"/>
        </w:rPr>
        <w:t xml:space="preserve">In a German Pension </w:t>
      </w:r>
      <w:r>
        <w:rPr>
          <w:rFonts w:ascii="Arial Rounded MT Bold" w:hAnsi="Arial Rounded MT Bold"/>
          <w:sz w:val="32"/>
          <w:szCs w:val="32"/>
          <w:lang w:val="en-US"/>
        </w:rPr>
        <w:t>(Black Lizard Press, Kindle Edition)</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 xml:space="preserve">- </w:t>
      </w:r>
      <w:r>
        <w:rPr>
          <w:rFonts w:ascii="Arial Rounded MT Bold" w:hAnsi="Arial Rounded MT Bold"/>
          <w:i/>
          <w:iCs/>
          <w:sz w:val="32"/>
          <w:szCs w:val="32"/>
          <w:lang w:val="en-US"/>
        </w:rPr>
        <w:t xml:space="preserve">The Collected Letters of Katherine Mansfield </w:t>
      </w:r>
      <w:r>
        <w:rPr>
          <w:rFonts w:ascii="Arial Rounded MT Bold" w:hAnsi="Arial Rounded MT Bold"/>
          <w:sz w:val="32"/>
          <w:szCs w:val="32"/>
          <w:lang w:val="en-US"/>
        </w:rPr>
        <w:t xml:space="preserve">Volume 4, 1920-1921 Eds. O'Sullivan, </w:t>
      </w:r>
      <w:r>
        <w:rPr>
          <w:rFonts w:hAnsi="Arial Rounded MT Bold"/>
          <w:sz w:val="32"/>
          <w:szCs w:val="32"/>
          <w:lang w:val="en-GB"/>
        </w:rPr>
        <w:t>V</w:t>
      </w:r>
      <w:r>
        <w:rPr>
          <w:rFonts w:ascii="Arial Rounded MT Bold" w:hAnsi="Arial Rounded MT Bold"/>
          <w:sz w:val="32"/>
          <w:szCs w:val="32"/>
          <w:lang w:val="en-US"/>
        </w:rPr>
        <w:t>. and M.</w:t>
      </w:r>
      <w:r>
        <w:rPr>
          <w:rFonts w:hAnsi="Arial Rounded MT Bold"/>
          <w:sz w:val="32"/>
          <w:szCs w:val="32"/>
          <w:lang w:val="en-GB"/>
        </w:rPr>
        <w:t xml:space="preserve"> </w:t>
      </w:r>
      <w:r>
        <w:rPr>
          <w:rFonts w:ascii="Arial Rounded MT Bold" w:hAnsi="Arial Rounded MT Bold"/>
          <w:sz w:val="32"/>
          <w:szCs w:val="32"/>
          <w:lang w:val="en-US"/>
        </w:rPr>
        <w:t>Scott (Oxford: Oxford University Press, 1996, Kindle Edition)</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i/>
          <w:iCs/>
          <w:sz w:val="32"/>
          <w:szCs w:val="32"/>
          <w:lang w:val="en-US"/>
        </w:rPr>
        <w:t xml:space="preserve">The Complete Short Stories of </w:t>
      </w:r>
      <w:r>
        <w:rPr>
          <w:rFonts w:ascii="Arial Rounded MT Bold" w:hAnsi="Arial Rounded MT Bold"/>
          <w:i/>
          <w:iCs/>
          <w:sz w:val="32"/>
          <w:szCs w:val="32"/>
          <w:lang w:val="en-GB"/>
        </w:rPr>
        <w:t xml:space="preserve"> </w:t>
      </w:r>
      <w:r>
        <w:rPr>
          <w:rFonts w:ascii="Arial Rounded MT Bold" w:hAnsi="Arial Rounded MT Bold"/>
          <w:i/>
          <w:iCs/>
          <w:sz w:val="32"/>
          <w:szCs w:val="32"/>
          <w:lang w:val="en-US"/>
        </w:rPr>
        <w:t xml:space="preserve">Katherine Mansfield </w:t>
      </w:r>
      <w:r>
        <w:rPr>
          <w:rFonts w:ascii="Arial Rounded MT Bold" w:hAnsi="Arial Rounded MT Bold"/>
          <w:sz w:val="32"/>
          <w:szCs w:val="32"/>
          <w:lang w:val="en-US"/>
        </w:rPr>
        <w:t>(OK Publishing, 2017, Kindle Edition)</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Mortimer, A.K., "Fortifications of Desire: Reading the Second Story in Katherine Mansfield's 'Bliss' " Narrative, Volume 2, Number 1, January 1994, pp.41-52</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r>
        <w:rPr>
          <w:rFonts w:ascii="Arial Rounded MT Bold" w:hAnsi="Arial Rounded MT Bold"/>
          <w:sz w:val="32"/>
          <w:szCs w:val="32"/>
          <w:lang w:val="en-US"/>
        </w:rPr>
        <w:t>Shaup, K., "Consuming Beauty: Aesthetic Experience in Katherine Mansfield's 'The Garden Party' " Papers on Language and Literature 51, 2015, 221-243</w:t>
      </w: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rFonts w:ascii="Arial Rounded MT Bold" w:cs="Arial Rounded MT Bold" w:eastAsia="Arial Rounded MT Bold" w:hAnsi="Arial Rounded MT Bold"/>
          <w:sz w:val="32"/>
          <w:szCs w:val="32"/>
        </w:rPr>
      </w:pPr>
    </w:p>
    <w:p>
      <w:pPr>
        <w:pStyle w:val="style0"/>
        <w:framePr w:w="0" w:wrap="auto" w:hAnchor="text" w:vAnchor="margin" w:yAlign="inline"/>
        <w:spacing w:lineRule="auto" w:line="360"/>
        <w:jc w:val="left"/>
        <w:rPr/>
      </w:pPr>
      <w:r>
        <w:rPr>
          <w:rFonts w:ascii="Arial Rounded MT Bold" w:hAnsi="Arial Rounded MT Bold"/>
          <w:sz w:val="32"/>
          <w:szCs w:val="32"/>
          <w:lang w:val="en-US"/>
        </w:rPr>
        <w:t xml:space="preserve">Tomalin, C., </w:t>
      </w:r>
      <w:r>
        <w:rPr>
          <w:rFonts w:ascii="Arial Rounded MT Bold" w:hAnsi="Arial Rounded MT Bold"/>
          <w:i/>
          <w:iCs/>
          <w:sz w:val="32"/>
          <w:szCs w:val="32"/>
          <w:lang w:val="en-US"/>
        </w:rPr>
        <w:t xml:space="preserve">Katherine Mansfield: A Secret Life </w:t>
      </w:r>
      <w:r>
        <w:rPr>
          <w:rFonts w:ascii="Arial Rounded MT Bold" w:hAnsi="Arial Rounded MT Bold"/>
          <w:sz w:val="32"/>
          <w:szCs w:val="32"/>
          <w:lang w:val="en-US"/>
        </w:rPr>
        <w:t>(Penguin Books, 2003, Kindle Edition)</w:t>
      </w:r>
    </w:p>
    <w:sectPr>
      <w:headerReference w:type="default" r:id="rId2"/>
      <w:footerReference w:type="default" r:id="rId3"/>
      <w:pgSz w:w="11900" w:h="16840" w:orient="portrait"/>
      <w:pgMar w:top="1440" w:right="1800" w:bottom="1440" w:left="1800" w:header="851" w:footer="992"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000020204"/>
    <w:charset w:val="00"/>
    <w:family w:val="swiss"/>
    <w:pitch w:val="default"/>
    <w:sig w:usb0="20007A87" w:usb1="80000000" w:usb2="00000008" w:usb3="00000000" w:csb0="000001FF" w:csb1="00000000"/>
  </w:font>
  <w:font w:name="黑体">
    <w:altName w:val="SimHei"/>
    <w:panose1 w:val="02010600030000010101"/>
    <w:charset w:val="00"/>
    <w:family w:val="auto"/>
    <w:pitch w:val="default"/>
    <w:sig w:usb0="00000001" w:usb1="080E0000" w:usb2="00000010" w:usb3="00000000" w:csb0="00040000" w:csb1="00000000"/>
  </w:font>
  <w:font w:name="Courier New">
    <w:altName w:val="Courier New"/>
    <w:panose1 w:val="02070309020000020404"/>
    <w:charset w:val="00"/>
    <w:family w:val="modern"/>
    <w:pitch w:val="default"/>
    <w:sig w:usb0="20007A87" w:usb1="80000000" w:usb2="00000008" w:usb3="00000000" w:csb0="000001FF" w:csb1="00000000"/>
  </w:font>
  <w:font w:name="Cambria">
    <w:altName w:val="Cambria"/>
    <w:panose1 w:val="02040503050000030204"/>
    <w:charset w:val="00"/>
    <w:family w:val="roman"/>
    <w:pitch w:val="default"/>
    <w:sig w:usb0="00000000" w:usb1="00000000" w:usb2="00000000" w:usb3="00000000" w:csb0="0000019F" w:csb1="00000000"/>
  </w:font>
  <w:font w:name="Calibri">
    <w:altName w:val="Calibri"/>
    <w:panose1 w:val="020f0502020000030204"/>
    <w:charset w:val="00"/>
    <w:family w:val="swiss"/>
    <w:pitch w:val="default"/>
    <w:sig w:usb0="00000000" w:usb1="00000000" w:usb2="00000001" w:usb3="00000000" w:csb0="0000019F" w:csb1="00000000"/>
  </w:font>
  <w:font w:name="Symbol">
    <w:altName w:val="Symbol"/>
    <w:panose1 w:val="00000000000000000000"/>
    <w:charset w:val="02"/>
    <w:family w:val="roman"/>
    <w:pitch w:val="default"/>
    <w:sig w:usb0="00000000" w:usb1="00000000" w:usb2="00000000" w:usb3="00000000" w:csb0="00000000" w:csb1="00000000"/>
  </w:font>
  <w:font w:name="Arial Unicode MS">
    <w:altName w:val="Arial Unicode MS"/>
    <w:panose1 w:val="00000000000000000000"/>
    <w:charset w:val="86"/>
    <w:family w:val="roman"/>
    <w:pitch w:val="default"/>
    <w:sig w:usb0="00000000" w:usb1="00000000" w:usb2="00000000" w:usb3="00000000" w:csb0="00000000" w:csb1="00000000"/>
  </w:font>
  <w:font w:name="Helvetica Neue">
    <w:altName w:val="Helvetica Neue"/>
    <w:panose1 w:val="00000000000000000000"/>
    <w:charset w:val="00"/>
    <w:family w:val="roman"/>
    <w:pitch w:val="default"/>
    <w:sig w:usb0="00000000" w:usb1="00000000" w:usb2="00000000" w:usb3="00000000" w:csb0="00000000" w:csb1="00000000"/>
  </w:font>
  <w:font w:name="Arial Rounded MT Bold">
    <w:altName w:val="Arial Rounded MT Bold"/>
    <w:panose1 w:val="00000000000000000000"/>
    <w:charset w:val="00"/>
    <w:family w:val="roman"/>
    <w:pitch w:val="default"/>
    <w:sig w:usb0="00000000" w:usb1="00000000" w:usb2="00000000" w:usb3="00000000" w:csb0="00000000"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4098"/>
      <w:framePr w:w="0" w:wrap="auto" w:hAnchor="text" w:vAnchor="margin" w:yAlign="inline"/>
      <w:bidi w:val="false"/>
      <w:rPr/>
    </w:pPr>
  </w:p>
</w:ftr>
</file>

<file path=word/footnotes.xml><?xml version="1.0" encoding="utf-8"?>
<w:footnotes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footnote w:id="1">
    <w:p>
      <w:pPr>
        <w:pStyle w:val="style4099"/>
        <w:framePr w:w="0" w:wrap="auto" w:hAnchor="text" w:vAnchor="margin" w:yAlign="inline"/>
        <w:rPr/>
      </w:pPr>
      <w:r>
        <w:rPr>
          <w:rFonts w:ascii="Times New Roman" w:cs="Times New Roman" w:eastAsia="Times New Roman" w:hAnsi="Times New Roman"/>
          <w:sz w:val="32"/>
          <w:szCs w:val="32"/>
          <w:vertAlign w:val="superscript"/>
          <w:lang w:val="en-US"/>
        </w:rPr>
        <w:footnoteRef/>
      </w:r>
      <w:r>
        <w:rPr>
          <w:rFonts w:cs="Arial Unicode MS" w:eastAsia="Arial Unicode MS"/>
        </w:rPr>
        <w:t xml:space="preserve"> </w:t>
      </w:r>
      <w:r>
        <w:rPr>
          <w:rFonts w:cs="Arial Unicode MS" w:eastAsia="Arial Unicode MS"/>
          <w:lang w:val="en-US"/>
        </w:rPr>
        <w:t xml:space="preserve">Shaup, K., </w:t>
      </w:r>
      <w:r>
        <w:rPr>
          <w:rFonts w:cs="Arial Unicode MS" w:eastAsia="Arial Unicode MS" w:hint="default"/>
          <w:lang w:val="en-US"/>
        </w:rPr>
        <w:t>“</w:t>
      </w:r>
      <w:r>
        <w:rPr>
          <w:rFonts w:cs="Arial Unicode MS" w:eastAsia="Arial Unicode MS"/>
          <w:lang w:val="en-US"/>
        </w:rPr>
        <w:t>Consuming Beauty: Aesthetic Experience in Katherine Mansfield</w:t>
      </w:r>
      <w:r>
        <w:rPr>
          <w:rFonts w:cs="Arial Unicode MS" w:eastAsia="Arial Unicode MS" w:hint="default"/>
          <w:lang w:val="en-US"/>
        </w:rPr>
        <w:t>’</w:t>
      </w:r>
      <w:r>
        <w:rPr>
          <w:rFonts w:cs="Arial Unicode MS" w:eastAsia="Arial Unicode MS"/>
          <w:lang w:val="en-US"/>
        </w:rPr>
        <w:t xml:space="preserve">s </w:t>
      </w:r>
      <w:r>
        <w:rPr>
          <w:rFonts w:cs="Arial Unicode MS" w:eastAsia="Arial Unicode MS" w:hint="default"/>
          <w:lang w:val="en-US"/>
        </w:rPr>
        <w:t>‘</w:t>
      </w:r>
      <w:r>
        <w:rPr>
          <w:rFonts w:cs="Arial Unicode MS" w:eastAsia="Arial Unicode MS"/>
          <w:lang w:val="en-US"/>
        </w:rPr>
        <w:t>The Garden Party</w:t>
      </w:r>
      <w:r>
        <w:rPr>
          <w:rFonts w:cs="Arial Unicode MS" w:eastAsia="Arial Unicode MS" w:hint="default"/>
          <w:lang w:val="en-US"/>
        </w:rPr>
        <w:t xml:space="preserve">’ “ </w:t>
      </w:r>
      <w:r>
        <w:rPr>
          <w:rFonts w:cs="Arial Unicode MS" w:eastAsia="Arial Unicode MS"/>
          <w:lang w:val="en-US"/>
        </w:rPr>
        <w:t>Papers on Language and Literature 51, 2015, 221-243</w:t>
      </w:r>
    </w:p>
  </w:footnote>
  <w:footnote w:id="2">
    <w:p>
      <w:pPr>
        <w:pStyle w:val="style4099"/>
        <w:framePr w:w="0" w:wrap="auto" w:hAnchor="text" w:vAnchor="margin" w:yAlign="inline"/>
        <w:rPr/>
      </w:pPr>
      <w:r>
        <w:rPr>
          <w:rFonts w:ascii="Times New Roman" w:cs="Times New Roman" w:eastAsia="Times New Roman" w:hAnsi="Times New Roman"/>
          <w:sz w:val="32"/>
          <w:szCs w:val="32"/>
          <w:vertAlign w:val="superscript"/>
          <w:lang w:val="en-US"/>
        </w:rPr>
        <w:footnoteRef/>
      </w:r>
      <w:r>
        <w:rPr>
          <w:rFonts w:cs="Arial Unicode MS" w:eastAsia="Arial Unicode MS"/>
        </w:rPr>
        <w:t xml:space="preserve"> </w:t>
      </w:r>
      <w:r>
        <w:rPr>
          <w:rFonts w:cs="Arial Unicode MS" w:eastAsia="Arial Unicode MS"/>
          <w:lang w:val="en-US"/>
        </w:rPr>
        <w:t>ibid, p.231</w:t>
      </w:r>
    </w:p>
  </w:footnote>
  <w:footnote w:id="3">
    <w:p>
      <w:pPr>
        <w:pStyle w:val="style4099"/>
        <w:framePr w:w="0" w:wrap="auto" w:hAnchor="text" w:vAnchor="margin" w:yAlign="inline"/>
        <w:rPr/>
      </w:pPr>
      <w:r>
        <w:rPr>
          <w:rFonts w:ascii="Times New Roman" w:cs="Times New Roman" w:eastAsia="Times New Roman" w:hAnsi="Times New Roman"/>
          <w:sz w:val="32"/>
          <w:szCs w:val="32"/>
          <w:vertAlign w:val="superscript"/>
          <w:lang w:val="en-US"/>
        </w:rPr>
        <w:footnoteRef/>
      </w:r>
      <w:r>
        <w:rPr>
          <w:rFonts w:cs="Arial Unicode MS" w:eastAsia="Arial Unicode MS"/>
        </w:rPr>
        <w:t xml:space="preserve"> </w:t>
      </w:r>
      <w:r>
        <w:rPr>
          <w:rFonts w:cs="Arial Unicode MS" w:eastAsia="Arial Unicode MS"/>
          <w:lang w:val="en-US"/>
        </w:rPr>
        <w:t>ibid, p.231</w:t>
      </w:r>
    </w:p>
  </w:footnote>
</w:footnote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1"/>
      <w:framePr w:w="0" w:wrap="auto" w:hAnchor="text" w:vAnchor="margin" w:yAlign="inline"/>
      <w:tabs>
        <w:tab w:val="clear" w:pos="8306"/>
      </w:tabs>
      <w:jc w:val="center"/>
      <w:rPr/>
    </w:pPr>
    <w:r>
      <w:rPr/>
      <mc:AlternateContent>
        <mc:Choice Requires="wps">
          <w:drawing>
            <wp:anchor distT="0" distB="0" distL="0" distR="0" simplePos="false" relativeHeight="2" behindDoc="true" locked="false" layoutInCell="true" allowOverlap="true">
              <wp:simplePos x="0" y="0"/>
              <wp:positionH relativeFrom="page">
                <wp:posOffset>2865120</wp:posOffset>
              </wp:positionH>
              <wp:positionV relativeFrom="page">
                <wp:posOffset>9832975</wp:posOffset>
              </wp:positionV>
              <wp:extent cx="1828800" cy="1828800"/>
              <wp:effectExtent l="0" t="0" r="0" b="0"/>
              <wp:wrapNone/>
              <wp:docPr id="4097" name="officeArt object"/>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828800" cy="1828800"/>
                      </a:xfrm>
                      <a:prstGeom prst="rect"/>
                      <a:ln>
                        <a:noFill/>
                      </a:ln>
                    </wps:spPr>
                    <wps:txbx id="4097">
                      <w:txbxContent>
                        <w:p>
                          <w:pPr>
                            <w:pStyle w:val="style32"/>
                            <w:framePr w:w="0" w:wrap="auto" w:hAnchor="text" w:vAnchor="margin" w:yAlign="inline"/>
                            <w:rPr/>
                          </w:pPr>
                          <w:r>
                            <w:rPr/>
                            <w:fldChar w:fldCharType="begin"/>
                          </w:r>
                          <w:r>
                            <w:instrText xml:space="preserve"> PAGE </w:instrText>
                          </w:r>
                          <w:r>
                            <w:rPr/>
                            <w:fldChar w:fldCharType="separate"/>
                          </w:r>
                          <w:r>
                            <w:t>1</w:t>
                          </w:r>
                          <w:r>
                            <w:rPr/>
                            <w:fldChar w:fldCharType="end"/>
                          </w:r>
                        </w:p>
                      </w:txbxContent>
                    </wps:txbx>
                    <wps:bodyPr lIns="0" rIns="0" tIns="0" bIns="0" anchor="t" wrap="square">
                      <a:prstTxWarp prst="textNoShape"/>
                      <a:noAutofit/>
                    </wps:bodyPr>
                  </wps:wsp>
                </a:graphicData>
              </a:graphic>
            </wp:anchor>
          </w:drawing>
        </mc:Choice>
        <mc:Fallback>
          <w:pict>
            <v:rect id="4097" filled="f" stroked="f" style="position:absolute;margin-left:225.6pt;margin-top:774.25pt;width:144.0pt;height:144.0pt;z-index:-2147483645;mso-position-horizontal-relative:page;mso-position-vertical-relative:page;mso-width-relative:page;mso-height-relative:page;mso-wrap-distance-left:0.0pt;mso-wrap-distance-right:0.0pt;visibility:visible;">
              <v:stroke on="f"/>
              <v:fill/>
              <v:textbox inset="0.0pt,0.0pt,0.0pt,0.0pt">
                <w:txbxContent>
                  <w:p>
                    <w:pPr>
                      <w:pStyle w:val="style32"/>
                      <w:framePr w:w="0" w:wrap="auto" w:hAnchor="text" w:vAnchor="margin" w:yAlign="inline"/>
                      <w:rPr/>
                    </w:pPr>
                    <w:r>
                      <w:rPr/>
                      <w:fldChar w:fldCharType="begin"/>
                    </w:r>
                    <w:r>
                      <w:instrText xml:space="preserve"> PAGE </w:instrText>
                    </w:r>
                    <w:r>
                      <w:rPr/>
                      <w:fldChar w:fldCharType="separate"/>
                    </w:r>
                    <w:r>
                      <w:t>1</w:t>
                    </w:r>
                    <w:r>
                      <w:rPr/>
                      <w:fldChar w:fldCharType="end"/>
                    </w:r>
                  </w:p>
                </w:txbxContent>
              </v:textbox>
            </v:rect>
          </w:pict>
        </mc:Fallback>
      </mc:AlternateContent>
    </w:r>
    <w:r>
      <w:rPr>
        <w:lang w:val="en-US"/>
      </w:rPr>
      <w:t xml:space="preserve">Catherine Hornby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displayBackgroundShape/>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420"/>
  <w:noLineBreaksAfter w:lang="zh-CN" w:val="‘“(〔[{〈《「『【⦅〘〖«〝︵︷︹︻︽︿﹁﹃﹇﹙﹛﹝｢"/>
  <w:noLineBreaksBefore w:lang="zh-CN" w:val="’”)〕]}〉"/>
  <w:compat>
    <w:compatSetting w:name="compatibilityMode" w:uri="http://schemas.microsoft.com/office/word" w:val="15"/>
  </w:compat>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Arial Unicode MS" w:hAnsi="Times New Roman"/>
      </w:rPr>
    </w:rPrDefault>
    <w:pPrDefault>
      <w:pPr/>
    </w:pPrDefault>
  </w:docDefaults>
  <w:style w:type="paragraph" w:default="1" w:styleId="style0">
    <w:name w:val="Normal"/>
    <w:next w:val="style0"/>
    <w:qFormat/>
    <w:uiPriority w:val="0"/>
    <w:pPr>
      <w:keepNext w:val="false"/>
      <w:keepLines w:val="false"/>
      <w:pageBreakBefore w:val="false"/>
      <w:framePr w:w="0" w:wrap="around" w:hAnchor="text" w:vAnchor="margin" w:yAlign="inline"/>
      <w:widowControl w:val="false"/>
      <w:numPr>
        <w:ilvl w:val="0"/>
        <w:numId w:val="0"/>
      </w:numPr>
      <w:suppressLineNumbers w:val="false"/>
      <w:pBdr>
        <w:left w:val="none" w:sz="0" w:space="0" w:color="auto"/>
        <w:right w:val="none" w:sz="0" w:space="0" w:color="auto"/>
        <w:top w:val="none" w:sz="0" w:space="0" w:color="auto"/>
        <w:bottom w:val="none" w:sz="0" w:space="0" w:color="auto"/>
        <w:between w:val="none" w:sz="0" w:space="0" w:color="auto"/>
      </w:pBdr>
      <w:shd w:val="clear" w:color="auto" w:fill="auto"/>
      <w:suppressAutoHyphens w:val="false"/>
      <w:bidi w:val="false"/>
      <w:spacing w:before="0" w:beforeAutospacing="false" w:after="0" w:afterAutospacing="false" w:lineRule="auto" w:line="240"/>
      <w:ind w:left="0" w:right="0" w:firstLine="0"/>
      <w:jc w:val="both"/>
      <w:outlineLvl w:val="9"/>
    </w:pPr>
    <w:rPr>
      <w:rFonts w:ascii="Calibri" w:cs="Arial Unicode MS" w:eastAsia="Arial Unicode MS" w:hAnsi="Calibri"/>
      <w:color w:val="000000"/>
      <w:spacing w:val="0"/>
      <w:w w:val="100"/>
      <w:kern w:val="2"/>
      <w:position w:val="0"/>
      <w:sz w:val="21"/>
      <w:szCs w:val="21"/>
      <w:u w:val="none" w:color="000000"/>
      <w:shd w:val="clear" w:color="auto" w:fill="auto"/>
      <w:vertAlign w:val="baseline"/>
      <w:lang w:val="en-US"/>
    </w:rPr>
  </w:style>
  <w:style w:type="character" w:default="1" w:styleId="style65">
    <w:name w:val="Default Paragraph Font"/>
    <w:next w:val="style65"/>
    <w:qFormat/>
    <w:uiPriority w:val="0"/>
  </w:style>
  <w:style w:type="table" w:default="1" w:styleId="style105">
    <w:name w:val="Normal Table"/>
    <w:next w:val="style105"/>
    <w:qFormat/>
    <w:uiPriority w:val="0"/>
    <w:pPr/>
    <w:rPr/>
    <w:tblPr>
      <w:tblLayout w:type="fixed"/>
      <w:tblCellMar>
        <w:top w:w="0" w:type="dxa"/>
        <w:left w:w="108" w:type="dxa"/>
        <w:bottom w:w="0" w:type="dxa"/>
        <w:right w:w="108" w:type="dxa"/>
      </w:tblCellMar>
    </w:tblPr>
    <w:tcPr>
      <w:tcBorders/>
    </w:tcPr>
  </w:style>
  <w:style w:type="paragraph" w:styleId="style32">
    <w:name w:val="footer"/>
    <w:next w:val="style32"/>
    <w:qFormat/>
    <w:uiPriority w:val="0"/>
    <w:pPr>
      <w:keepNext w:val="false"/>
      <w:keepLines w:val="false"/>
      <w:pageBreakBefore w:val="false"/>
      <w:framePr w:w="0" w:wrap="around" w:hAnchor="text" w:vAnchor="margin" w:yAlign="inline"/>
      <w:widowControl w:val="false"/>
      <w:numPr>
        <w:ilvl w:val="0"/>
        <w:numId w:val="0"/>
      </w:numPr>
      <w:suppressLineNumbers w:val="false"/>
      <w:pBdr>
        <w:left w:val="none" w:sz="0" w:space="0" w:color="auto"/>
        <w:right w:val="none" w:sz="0" w:space="0" w:color="auto"/>
        <w:top w:val="none" w:sz="0" w:space="0" w:color="auto"/>
        <w:bottom w:val="none" w:sz="0" w:space="0" w:color="auto"/>
        <w:between w:val="none" w:sz="0" w:space="0" w:color="auto"/>
      </w:pBdr>
      <w:shd w:val="clear" w:color="auto" w:fill="auto"/>
      <w:tabs>
        <w:tab w:val="center" w:leader="none" w:pos="4153"/>
        <w:tab w:val="right" w:leader="none" w:pos="8306"/>
      </w:tabs>
      <w:suppressAutoHyphens w:val="false"/>
      <w:bidi w:val="false"/>
      <w:spacing w:before="0" w:beforeAutospacing="false" w:after="0" w:afterAutospacing="false" w:lineRule="auto" w:line="240"/>
      <w:ind w:left="0" w:right="0" w:firstLine="0"/>
      <w:jc w:val="left"/>
      <w:outlineLvl w:val="9"/>
    </w:pPr>
    <w:rPr>
      <w:rFonts w:ascii="Calibri" w:cs="Calibri" w:eastAsia="Calibri" w:hAnsi="Calibri"/>
      <w:color w:val="000000"/>
      <w:spacing w:val="0"/>
      <w:w w:val="100"/>
      <w:kern w:val="2"/>
      <w:position w:val="0"/>
      <w:sz w:val="18"/>
      <w:szCs w:val="18"/>
      <w:u w:val="none" w:color="000000"/>
      <w:shd w:val="clear" w:color="auto" w:fill="auto"/>
      <w:vertAlign w:val="baseline"/>
      <w:lang w:val="en-US"/>
    </w:rPr>
  </w:style>
  <w:style w:type="paragraph" w:styleId="style31">
    <w:name w:val="header"/>
    <w:next w:val="style31"/>
    <w:qFormat/>
    <w:uiPriority w:val="0"/>
    <w:pPr>
      <w:keepNext w:val="false"/>
      <w:keepLines w:val="false"/>
      <w:pageBreakBefore w:val="false"/>
      <w:framePr w:w="0" w:wrap="around" w:hAnchor="text" w:vAnchor="margin" w:yAlign="inline"/>
      <w:widowControl w:val="false"/>
      <w:numPr>
        <w:ilvl w:val="0"/>
        <w:numId w:val="0"/>
      </w:numPr>
      <w:suppressLineNumbers w:val="false"/>
      <w:pBdr>
        <w:left w:val="none" w:sz="0" w:space="0" w:color="auto"/>
        <w:right w:val="none" w:sz="0" w:space="0" w:color="auto"/>
        <w:top w:val="none" w:sz="0" w:space="0" w:color="auto"/>
        <w:bottom w:val="none" w:sz="0" w:space="0" w:color="auto"/>
        <w:between w:val="none" w:sz="0" w:space="0" w:color="auto"/>
      </w:pBdr>
      <w:shd w:val="clear" w:color="auto" w:fill="auto"/>
      <w:tabs>
        <w:tab w:val="center" w:leader="none" w:pos="4153"/>
        <w:tab w:val="right" w:leader="none" w:pos="8306"/>
      </w:tabs>
      <w:suppressAutoHyphens w:val="false"/>
      <w:bidi w:val="false"/>
      <w:spacing w:before="0" w:beforeAutospacing="false" w:after="0" w:afterAutospacing="false" w:lineRule="auto" w:line="240"/>
      <w:ind w:left="0" w:right="0" w:firstLine="0"/>
      <w:jc w:val="both"/>
      <w:outlineLvl w:val="9"/>
    </w:pPr>
    <w:rPr>
      <w:rFonts w:ascii="Calibri" w:cs="Arial Unicode MS" w:eastAsia="Arial Unicode MS" w:hAnsi="Calibri"/>
      <w:color w:val="000000"/>
      <w:spacing w:val="0"/>
      <w:w w:val="100"/>
      <w:kern w:val="2"/>
      <w:position w:val="0"/>
      <w:sz w:val="18"/>
      <w:szCs w:val="18"/>
      <w:u w:val="none" w:color="000000"/>
      <w:shd w:val="clear" w:color="auto" w:fill="auto"/>
      <w:vertAlign w:val="baseline"/>
      <w:lang w:val="en-US"/>
    </w:rPr>
  </w:style>
  <w:style w:type="character" w:styleId="style85">
    <w:name w:val="Hyperlink"/>
    <w:next w:val="style85"/>
    <w:qFormat/>
    <w:uiPriority w:val="0"/>
    <w:rPr>
      <w:u w:val="single"/>
    </w:rPr>
  </w:style>
  <w:style w:type="table" w:customStyle="1" w:styleId="style4097">
    <w:name w:val="Table Normal1"/>
    <w:next w:val="style4097"/>
    <w:qFormat/>
    <w:uiPriority w:val="0"/>
    <w:pPr/>
    <w:rPr/>
    <w:tblPr>
      <w:tblLayout w:type="fixed"/>
    </w:tblPr>
    <w:tblStylePr w:type="firstRow">
      <w:pPr/>
      <w:tcPr>
        <w:tcBorders/>
      </w:tcPr>
    </w:tblStylePr>
    <w:tblStylePr w:type="lastRow">
      <w:pPr/>
      <w:tcPr>
        <w:tcBorders/>
      </w:tcPr>
    </w:tblStylePr>
    <w:tblStylePr w:type="band1Horz">
      <w:pPr/>
      <w:tcPr>
        <w:tcBorders/>
      </w:tcPr>
    </w:tblStylePr>
    <w:tblStylePr w:type="band2Horz">
      <w:pPr/>
      <w:tcPr>
        <w:tcBorders/>
      </w:tcPr>
    </w:tblStylePr>
    <w:tblStylePr w:type="firstCol">
      <w:pPr/>
      <w:tcPr>
        <w:tcBorders/>
      </w:tcPr>
    </w:tblStylePr>
    <w:tblStylePr w:type="lastCol">
      <w:pPr/>
      <w:tcPr>
        <w:tcBorders/>
      </w:tcPr>
    </w:tblStylePr>
    <w:tblStylePr w:type="band1Vert">
      <w:pPr/>
      <w:tcPr>
        <w:tcBorders/>
      </w:tcPr>
    </w:tblStylePr>
    <w:tblStylePr w:type="band2Vert">
      <w:pPr/>
      <w:tcPr>
        <w:tcBorders/>
      </w:tcPr>
    </w:tblStylePr>
    <w:tblStylePr w:type="neCell">
      <w:pPr/>
      <w:tcPr>
        <w:tcBorders/>
      </w:tcPr>
    </w:tblStylePr>
    <w:tblStylePr w:type="nwCell">
      <w:pPr/>
      <w:tcPr>
        <w:tcBorders/>
      </w:tcPr>
    </w:tblStylePr>
    <w:tblStylePr w:type="seCell">
      <w:pPr/>
      <w:tcPr>
        <w:tcBorders/>
      </w:tcPr>
    </w:tblStylePr>
    <w:tblStylePr w:type="swCell">
      <w:pPr/>
      <w:tcPr>
        <w:tcBorders/>
      </w:tcPr>
    </w:tblStylePr>
    <w:tcPr>
      <w:tcBorders/>
    </w:tcPr>
  </w:style>
  <w:style w:type="paragraph" w:customStyle="1" w:styleId="style4098">
    <w:name w:val="Header &amp; Footer"/>
    <w:next w:val="style4098"/>
    <w:qFormat/>
    <w:uiPriority w:val="0"/>
    <w:pPr>
      <w:keepNext w:val="false"/>
      <w:keepLines w:val="false"/>
      <w:pageBreakBefore w:val="false"/>
      <w:framePr w:w="0" w:wrap="around" w:hAnchor="text" w:vAnchor="margin" w:yAlign="inline"/>
      <w:widowControl/>
      <w:numPr>
        <w:ilvl w:val="0"/>
        <w:numId w:val="0"/>
      </w:numPr>
      <w:suppressLineNumbers w:val="false"/>
      <w:pBdr>
        <w:left w:val="none" w:sz="0" w:space="0" w:color="auto"/>
        <w:right w:val="none" w:sz="0" w:space="0" w:color="auto"/>
        <w:top w:val="none" w:sz="0" w:space="0" w:color="auto"/>
        <w:bottom w:val="none" w:sz="0" w:space="0" w:color="auto"/>
        <w:between w:val="none" w:sz="0" w:space="0" w:color="auto"/>
      </w:pBdr>
      <w:shd w:val="clear" w:color="auto" w:fill="auto"/>
      <w:tabs>
        <w:tab w:val="right" w:leader="none" w:pos="9020"/>
      </w:tabs>
      <w:suppressAutoHyphens w:val="false"/>
      <w:bidi w:val="false"/>
      <w:spacing w:before="0" w:beforeAutospacing="false" w:after="0" w:afterAutospacing="false" w:lineRule="auto" w:line="240"/>
      <w:ind w:left="0" w:right="0" w:firstLine="0"/>
      <w:jc w:val="left"/>
      <w:outlineLvl w:val="9"/>
    </w:pPr>
    <w:rPr>
      <w:rFonts w:ascii="Helvetica Neue" w:cs="Helvetica Neue" w:eastAsia="Helvetica Neue" w:hAnsi="Helvetica Neue"/>
      <w:color w:val="000000"/>
      <w:spacing w:val="0"/>
      <w:w w:val="100"/>
      <w:kern w:val="0"/>
      <w:position w:val="0"/>
      <w:sz w:val="24"/>
      <w:szCs w:val="24"/>
      <w:u w:val="none" w:color="auto"/>
      <w:shd w:val="clear" w:color="auto" w:fill="auto"/>
      <w:vertAlign w:val="baseline"/>
    </w:rPr>
  </w:style>
  <w:style w:type="paragraph" w:customStyle="1" w:styleId="style4099">
    <w:name w:val="Footnote A"/>
    <w:next w:val="style4099"/>
    <w:uiPriority w:val="0"/>
    <w:pPr>
      <w:keepNext w:val="false"/>
      <w:keepLines w:val="false"/>
      <w:pageBreakBefore w:val="false"/>
      <w:framePr w:w="0" w:wrap="around" w:hAnchor="text" w:vAnchor="margin" w:yAlign="inline"/>
      <w:widowControl/>
      <w:numPr>
        <w:ilvl w:val="0"/>
        <w:numId w:val="0"/>
      </w:numPr>
      <w:suppressLineNumbers w:val="false"/>
      <w:pBdr>
        <w:left w:val="none" w:sz="0" w:space="0" w:color="auto"/>
        <w:right w:val="none" w:sz="0" w:space="0" w:color="auto"/>
        <w:top w:val="none" w:sz="0" w:space="0" w:color="auto"/>
        <w:bottom w:val="none" w:sz="0" w:space="0" w:color="auto"/>
        <w:between w:val="none" w:sz="0" w:space="0" w:color="auto"/>
      </w:pBdr>
      <w:shd w:val="clear" w:color="auto" w:fill="auto"/>
      <w:suppressAutoHyphens w:val="false"/>
      <w:bidi w:val="false"/>
      <w:spacing w:before="0" w:beforeAutospacing="false" w:after="0" w:afterAutospacing="false" w:lineRule="auto" w:line="240"/>
      <w:ind w:left="0" w:right="0" w:firstLine="0"/>
      <w:jc w:val="left"/>
      <w:outlineLvl w:val="9"/>
    </w:pPr>
    <w:rPr>
      <w:rFonts w:ascii="Helvetica Neue" w:cs="Helvetica Neue" w:eastAsia="Helvetica Neue" w:hAnsi="Helvetica Neue"/>
      <w:color w:val="000000"/>
      <w:spacing w:val="0"/>
      <w:w w:val="100"/>
      <w:kern w:val="0"/>
      <w:position w:val="0"/>
      <w:sz w:val="22"/>
      <w:szCs w:val="22"/>
      <w:u w:val="none" w:color="000000"/>
      <w:shd w:val="clear" w:color="auto" w:fill="auto"/>
      <w:vertAlign w:val="baseline"/>
    </w:rPr>
  </w:style>
</w:styles>
</file>

<file path=word/_rels/document.xml.rels><?xml version="1.0" encoding="UTF-8"?>
<Relationships xmlns="http://schemas.openxmlformats.org/package/2006/relationships"><Relationship Id="rId2" Type="http://schemas.openxmlformats.org/officeDocument/2006/relationships/header" Target="header1.xml"/><Relationship Id="rId5" Type="http://schemas.openxmlformats.org/officeDocument/2006/relationships/styles" Target="styles.xml"/><Relationship Id="rId8"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customXml" Target="../customXml/item1.xml"/><Relationship Id="rId3" Type="http://schemas.openxmlformats.org/officeDocument/2006/relationships/footer" Target="footer2.xml"/><Relationship Id="rId6" Type="http://schemas.openxmlformats.org/officeDocument/2006/relationships/fontTable" Target="fontTable.xml"/><Relationship Id="rId1" Type="http://schemas.openxmlformats.org/officeDocument/2006/relationships/numbering" Target="numbering.xml"/><Relationship Id="rId7"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0</TotalTime>
  <Words>2148</Words>
  <Pages>0</Pages>
  <Characters>11046</Characters>
  <Application>WPS Office</Application>
  <DocSecurity>0</DocSecurity>
  <Paragraphs>48</Paragraphs>
  <ScaleCrop>false</ScaleCrop>
  <LinksUpToDate>false</LinksUpToDate>
  <CharactersWithSpaces>13180</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2020-07-16T16:43:15Z</dcterms:created>
  <dc:creator>WPS Office</dc:creator>
  <lastModifiedBy>KFMUWI</lastModifiedBy>
  <dcterms:modified xsi:type="dcterms:W3CDTF">2020-07-16T16:43:15Z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3081-10.0.3</vt:lpwstr>
  </property>
</Properties>
</file>