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68F4" w:rsidRDefault="006F531F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References</w:t>
      </w:r>
    </w:p>
    <w:p w:rsidR="009268F4" w:rsidRDefault="006F531F">
      <w:r>
        <w:rPr>
          <w:sz w:val="28"/>
          <w:szCs w:val="28"/>
        </w:rPr>
        <w:t xml:space="preserve">Bhatia, M. and Goyal, A. (2018) ‘Anxiety Disorders in Children and Adolescents: Need </w:t>
      </w:r>
      <w:r w:rsidR="005500BD">
        <w:rPr>
          <w:sz w:val="28"/>
          <w:szCs w:val="28"/>
        </w:rPr>
        <w:t>f</w:t>
      </w:r>
      <w:bookmarkStart w:id="0" w:name="_GoBack"/>
      <w:bookmarkEnd w:id="0"/>
      <w:r>
        <w:rPr>
          <w:sz w:val="28"/>
          <w:szCs w:val="28"/>
        </w:rPr>
        <w:t xml:space="preserve">or Early Detection’, </w:t>
      </w:r>
      <w:r>
        <w:rPr>
          <w:i/>
          <w:sz w:val="28"/>
          <w:szCs w:val="28"/>
        </w:rPr>
        <w:t>Journal of Postgraduate Medicine</w:t>
      </w:r>
      <w:r>
        <w:rPr>
          <w:sz w:val="28"/>
          <w:szCs w:val="28"/>
        </w:rPr>
        <w:t>, 64 (2), pp. 75-76. Accessed: 1</w:t>
      </w:r>
      <w:r>
        <w:rPr>
          <w:sz w:val="28"/>
          <w:szCs w:val="28"/>
          <w:vertAlign w:val="superscript"/>
        </w:rPr>
        <w:t>st</w:t>
      </w:r>
      <w:r>
        <w:rPr>
          <w:sz w:val="28"/>
          <w:szCs w:val="28"/>
        </w:rPr>
        <w:t xml:space="preserve"> July 2019. DOI: </w:t>
      </w:r>
      <w:hyperlink r:id="rId6" w:history="1">
        <w:r>
          <w:rPr>
            <w:rFonts w:cs="Calibri"/>
            <w:sz w:val="28"/>
            <w:szCs w:val="28"/>
            <w:shd w:val="clear" w:color="auto" w:fill="FFFFFF"/>
          </w:rPr>
          <w:t>10.4103/jpgm.JPGM_65_18</w:t>
        </w:r>
      </w:hyperlink>
      <w:r>
        <w:rPr>
          <w:rFonts w:cs="Calibri"/>
          <w:sz w:val="28"/>
          <w:szCs w:val="28"/>
        </w:rPr>
        <w:t>.</w:t>
      </w:r>
    </w:p>
    <w:p w:rsidR="009268F4" w:rsidRDefault="006F531F">
      <w:r>
        <w:rPr>
          <w:sz w:val="28"/>
          <w:szCs w:val="28"/>
        </w:rPr>
        <w:t xml:space="preserve">Children’s Rights Wales (2016) [Image] Available at: </w:t>
      </w:r>
      <w:hyperlink r:id="rId7" w:history="1">
        <w:r>
          <w:rPr>
            <w:color w:val="0000FF"/>
            <w:sz w:val="28"/>
            <w:szCs w:val="28"/>
            <w:u w:val="single"/>
          </w:rPr>
          <w:t>http://www.childrensrights.wales/index.php/right</w:t>
        </w:r>
      </w:hyperlink>
      <w:r>
        <w:rPr>
          <w:sz w:val="28"/>
          <w:szCs w:val="28"/>
        </w:rPr>
        <w:t xml:space="preserve"> (Ac</w:t>
      </w:r>
      <w:r>
        <w:rPr>
          <w:sz w:val="28"/>
          <w:szCs w:val="28"/>
        </w:rPr>
        <w:t>cessed: 7</w:t>
      </w:r>
      <w:r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July 2019)</w:t>
      </w:r>
    </w:p>
    <w:p w:rsidR="009268F4" w:rsidRDefault="006F531F">
      <w:pPr>
        <w:suppressAutoHyphens w:val="0"/>
        <w:spacing w:line="247" w:lineRule="auto"/>
        <w:textAlignment w:val="auto"/>
      </w:pPr>
      <w:proofErr w:type="spellStart"/>
      <w:r>
        <w:rPr>
          <w:rFonts w:cs="Calibri"/>
          <w:sz w:val="28"/>
          <w:szCs w:val="28"/>
        </w:rPr>
        <w:t>Claveirole</w:t>
      </w:r>
      <w:proofErr w:type="spellEnd"/>
      <w:r>
        <w:rPr>
          <w:rFonts w:cs="Calibri"/>
          <w:sz w:val="28"/>
          <w:szCs w:val="28"/>
        </w:rPr>
        <w:t xml:space="preserve">, A. (2011) ‘Setting the Scene’, in </w:t>
      </w:r>
      <w:bookmarkStart w:id="1" w:name="_Hlk13296505"/>
      <w:proofErr w:type="spellStart"/>
      <w:r>
        <w:rPr>
          <w:rFonts w:cs="Calibri"/>
          <w:sz w:val="28"/>
          <w:szCs w:val="28"/>
        </w:rPr>
        <w:t>Claveirole</w:t>
      </w:r>
      <w:proofErr w:type="spellEnd"/>
      <w:r>
        <w:rPr>
          <w:rFonts w:cs="Calibri"/>
          <w:sz w:val="28"/>
          <w:szCs w:val="28"/>
        </w:rPr>
        <w:t xml:space="preserve">, A. and </w:t>
      </w:r>
      <w:proofErr w:type="spellStart"/>
      <w:r>
        <w:rPr>
          <w:rFonts w:cs="Calibri"/>
          <w:sz w:val="28"/>
          <w:szCs w:val="28"/>
        </w:rPr>
        <w:t>Gaughan</w:t>
      </w:r>
      <w:proofErr w:type="spellEnd"/>
      <w:r>
        <w:rPr>
          <w:rFonts w:cs="Calibri"/>
          <w:sz w:val="28"/>
          <w:szCs w:val="28"/>
        </w:rPr>
        <w:t xml:space="preserve">, M. (ed.) </w:t>
      </w:r>
      <w:r>
        <w:rPr>
          <w:rFonts w:cs="Calibri"/>
          <w:i/>
          <w:sz w:val="28"/>
          <w:szCs w:val="28"/>
        </w:rPr>
        <w:t>Understanding Children and Young People’s Mental Health.</w:t>
      </w:r>
      <w:r>
        <w:rPr>
          <w:rFonts w:cs="Calibri"/>
          <w:sz w:val="28"/>
          <w:szCs w:val="28"/>
        </w:rPr>
        <w:t xml:space="preserve"> Chichester: John Wiley &amp; Sons Ltd.</w:t>
      </w:r>
      <w:bookmarkEnd w:id="1"/>
    </w:p>
    <w:p w:rsidR="009268F4" w:rsidRDefault="006F531F">
      <w:r>
        <w:rPr>
          <w:sz w:val="28"/>
          <w:szCs w:val="28"/>
        </w:rPr>
        <w:t xml:space="preserve">Collins Dictionary (2019) Available at: </w:t>
      </w:r>
      <w:hyperlink r:id="rId8" w:history="1">
        <w:r>
          <w:rPr>
            <w:rStyle w:val="Hyperlink"/>
            <w:color w:val="auto"/>
            <w:sz w:val="28"/>
            <w:szCs w:val="28"/>
            <w:u w:val="none"/>
          </w:rPr>
          <w:t>https://www.collinsdictionary.com</w:t>
        </w:r>
      </w:hyperlink>
      <w:r>
        <w:rPr>
          <w:sz w:val="28"/>
          <w:szCs w:val="28"/>
        </w:rPr>
        <w:t xml:space="preserve"> (Accessed: 29</w:t>
      </w:r>
      <w:r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June 2019).</w:t>
      </w:r>
    </w:p>
    <w:p w:rsidR="009268F4" w:rsidRDefault="006F531F">
      <w:pPr>
        <w:suppressAutoHyphens w:val="0"/>
        <w:spacing w:line="247" w:lineRule="auto"/>
        <w:textAlignment w:val="auto"/>
      </w:pPr>
      <w:r>
        <w:rPr>
          <w:sz w:val="28"/>
          <w:szCs w:val="28"/>
        </w:rPr>
        <w:t xml:space="preserve">Cooper, M., Evans, Y. and </w:t>
      </w:r>
      <w:proofErr w:type="spellStart"/>
      <w:r>
        <w:rPr>
          <w:sz w:val="28"/>
          <w:szCs w:val="28"/>
        </w:rPr>
        <w:t>Pybis</w:t>
      </w:r>
      <w:proofErr w:type="spellEnd"/>
      <w:r>
        <w:rPr>
          <w:sz w:val="28"/>
          <w:szCs w:val="28"/>
        </w:rPr>
        <w:t>, J. (2016) ‘Interagency Collaboration in Children’s and Young People’s Mental Health: A systematic review of outcomes, facilitat</w:t>
      </w:r>
      <w:r>
        <w:rPr>
          <w:sz w:val="28"/>
          <w:szCs w:val="28"/>
        </w:rPr>
        <w:t xml:space="preserve">ing factors and inhibiting factors’, </w:t>
      </w:r>
      <w:r>
        <w:rPr>
          <w:i/>
          <w:sz w:val="28"/>
          <w:szCs w:val="28"/>
        </w:rPr>
        <w:t>Child: Care, Health and Development</w:t>
      </w:r>
      <w:r>
        <w:rPr>
          <w:sz w:val="28"/>
          <w:szCs w:val="28"/>
        </w:rPr>
        <w:t>, 42 (3), pp. 325-342).</w:t>
      </w:r>
    </w:p>
    <w:p w:rsidR="009268F4" w:rsidRDefault="006F531F">
      <w:r>
        <w:rPr>
          <w:sz w:val="28"/>
          <w:szCs w:val="28"/>
        </w:rPr>
        <w:t xml:space="preserve">Creswell, C., Waite, P. and Cooper, P, J. (2014) ‘Assessment and Management of Anxiety Disorders in Children and Adolescents’, </w:t>
      </w:r>
      <w:r>
        <w:rPr>
          <w:i/>
          <w:sz w:val="28"/>
          <w:szCs w:val="28"/>
        </w:rPr>
        <w:t>Archives of Disease in Childhood</w:t>
      </w:r>
      <w:r>
        <w:rPr>
          <w:sz w:val="28"/>
          <w:szCs w:val="28"/>
        </w:rPr>
        <w:t>,</w:t>
      </w:r>
      <w:r>
        <w:rPr>
          <w:sz w:val="28"/>
          <w:szCs w:val="28"/>
        </w:rPr>
        <w:t xml:space="preserve"> 99, pp. 674-678. Accessed: 1</w:t>
      </w:r>
      <w:r>
        <w:rPr>
          <w:sz w:val="28"/>
          <w:szCs w:val="28"/>
          <w:vertAlign w:val="superscript"/>
        </w:rPr>
        <w:t>st</w:t>
      </w:r>
      <w:r>
        <w:rPr>
          <w:sz w:val="28"/>
          <w:szCs w:val="28"/>
        </w:rPr>
        <w:t xml:space="preserve"> July 2019. DOI: </w:t>
      </w:r>
      <w:hyperlink r:id="rId9" w:history="1">
        <w:r>
          <w:rPr>
            <w:rFonts w:ascii="Helvetica" w:hAnsi="Helvetica"/>
            <w:sz w:val="26"/>
            <w:szCs w:val="26"/>
            <w:shd w:val="clear" w:color="auto" w:fill="FFFFFF"/>
          </w:rPr>
          <w:t>10.1136/archdischild-2013-303768</w:t>
        </w:r>
      </w:hyperlink>
      <w:r>
        <w:t>.</w:t>
      </w:r>
    </w:p>
    <w:p w:rsidR="009268F4" w:rsidRDefault="006F531F">
      <w:r>
        <w:rPr>
          <w:sz w:val="28"/>
          <w:szCs w:val="28"/>
        </w:rPr>
        <w:t xml:space="preserve">Department of Education (2018) </w:t>
      </w:r>
      <w:r>
        <w:rPr>
          <w:i/>
          <w:sz w:val="28"/>
          <w:szCs w:val="28"/>
        </w:rPr>
        <w:t>Working together to Safeguard Children</w:t>
      </w:r>
      <w:r>
        <w:rPr>
          <w:sz w:val="28"/>
          <w:szCs w:val="28"/>
        </w:rPr>
        <w:t xml:space="preserve">. Available at: </w:t>
      </w:r>
      <w:hyperlink r:id="rId10" w:history="1">
        <w:r>
          <w:rPr>
            <w:color w:val="0000FF"/>
            <w:sz w:val="28"/>
            <w:szCs w:val="28"/>
            <w:u w:val="single"/>
          </w:rPr>
          <w:t>https://assets.publishing.service.gov.uk/government/uploads/system/uploads/attachment_data/file</w:t>
        </w:r>
        <w:r>
          <w:rPr>
            <w:color w:val="0000FF"/>
            <w:sz w:val="28"/>
            <w:szCs w:val="28"/>
            <w:u w:val="single"/>
          </w:rPr>
          <w:t>/779401/Working_Together_to_Safeguard-Children.pdf</w:t>
        </w:r>
      </w:hyperlink>
      <w:r>
        <w:rPr>
          <w:sz w:val="28"/>
          <w:szCs w:val="28"/>
        </w:rPr>
        <w:t xml:space="preserve"> (Accessed: 1</w:t>
      </w:r>
      <w:r>
        <w:rPr>
          <w:sz w:val="28"/>
          <w:szCs w:val="28"/>
          <w:vertAlign w:val="superscript"/>
        </w:rPr>
        <w:t>st</w:t>
      </w:r>
      <w:r>
        <w:rPr>
          <w:sz w:val="28"/>
          <w:szCs w:val="28"/>
        </w:rPr>
        <w:t xml:space="preserve"> July 2019).</w:t>
      </w:r>
    </w:p>
    <w:p w:rsidR="009268F4" w:rsidRDefault="006F531F">
      <w:pPr>
        <w:suppressAutoHyphens w:val="0"/>
        <w:spacing w:line="247" w:lineRule="auto"/>
        <w:textAlignment w:val="auto"/>
      </w:pPr>
      <w:r>
        <w:rPr>
          <w:sz w:val="28"/>
          <w:szCs w:val="28"/>
        </w:rPr>
        <w:t xml:space="preserve">Department of Education and Skills (2001) </w:t>
      </w:r>
      <w:r>
        <w:rPr>
          <w:i/>
          <w:sz w:val="28"/>
          <w:szCs w:val="28"/>
        </w:rPr>
        <w:t>Promoting Children’s Mental Health within Early Years and School Settings</w:t>
      </w:r>
      <w:r>
        <w:rPr>
          <w:sz w:val="28"/>
          <w:szCs w:val="28"/>
        </w:rPr>
        <w:t xml:space="preserve">. Nottingham: Department of Education and Employment. </w:t>
      </w:r>
    </w:p>
    <w:p w:rsidR="009268F4" w:rsidRDefault="006F531F">
      <w:r>
        <w:rPr>
          <w:sz w:val="28"/>
          <w:szCs w:val="28"/>
        </w:rPr>
        <w:t>Economic</w:t>
      </w:r>
      <w:r>
        <w:rPr>
          <w:sz w:val="28"/>
          <w:szCs w:val="28"/>
        </w:rPr>
        <w:t xml:space="preserve"> and Social Research Council (2019) [Image] Available at: </w:t>
      </w:r>
      <w:hyperlink r:id="rId11" w:history="1">
        <w:r>
          <w:rPr>
            <w:color w:val="0000FF"/>
            <w:sz w:val="28"/>
            <w:szCs w:val="28"/>
            <w:u w:val="single"/>
          </w:rPr>
          <w:t>https://esrc.ukri.org/about-us/50-years-of-esrc/50-achievements/the-dahlgren-whitehea</w:t>
        </w:r>
        <w:r>
          <w:rPr>
            <w:color w:val="0000FF"/>
            <w:sz w:val="28"/>
            <w:szCs w:val="28"/>
            <w:u w:val="single"/>
          </w:rPr>
          <w:t>d-rainbow/</w:t>
        </w:r>
      </w:hyperlink>
      <w:r>
        <w:rPr>
          <w:sz w:val="28"/>
          <w:szCs w:val="28"/>
        </w:rPr>
        <w:t xml:space="preserve"> (Accessed: 7</w:t>
      </w:r>
      <w:r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July 2019).</w:t>
      </w:r>
    </w:p>
    <w:p w:rsidR="009268F4" w:rsidRDefault="006F531F">
      <w:r>
        <w:rPr>
          <w:sz w:val="28"/>
          <w:szCs w:val="28"/>
        </w:rPr>
        <w:t xml:space="preserve">Economic and Social Research Council (ESRC) (2019) </w:t>
      </w:r>
      <w:r>
        <w:rPr>
          <w:i/>
          <w:sz w:val="28"/>
          <w:szCs w:val="28"/>
        </w:rPr>
        <w:t>The Dahlgren-Whitehead Rainbow</w:t>
      </w:r>
      <w:r>
        <w:rPr>
          <w:sz w:val="28"/>
          <w:szCs w:val="28"/>
        </w:rPr>
        <w:t xml:space="preserve">. Available at: </w:t>
      </w:r>
      <w:hyperlink r:id="rId12" w:history="1">
        <w:r>
          <w:rPr>
            <w:rStyle w:val="Hyperlink"/>
            <w:color w:val="auto"/>
            <w:sz w:val="28"/>
            <w:szCs w:val="28"/>
            <w:u w:val="none"/>
          </w:rPr>
          <w:t>https://</w:t>
        </w:r>
        <w:r>
          <w:rPr>
            <w:rStyle w:val="Hyperlink"/>
            <w:color w:val="auto"/>
            <w:sz w:val="28"/>
            <w:szCs w:val="28"/>
            <w:u w:val="none"/>
          </w:rPr>
          <w:t>esrc.ukri.org/about-us/50-years-of-esrc/50-achievements/the-dahlgren-whitehead-rainbow/</w:t>
        </w:r>
      </w:hyperlink>
      <w:r>
        <w:rPr>
          <w:sz w:val="28"/>
          <w:szCs w:val="28"/>
        </w:rPr>
        <w:t xml:space="preserve"> (Accessed: 29</w:t>
      </w:r>
      <w:r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 June 2019).</w:t>
      </w:r>
    </w:p>
    <w:p w:rsidR="009268F4" w:rsidRDefault="006F531F">
      <w:r>
        <w:rPr>
          <w:sz w:val="28"/>
          <w:szCs w:val="28"/>
        </w:rPr>
        <w:lastRenderedPageBreak/>
        <w:t xml:space="preserve">Evans, J. (2017) </w:t>
      </w:r>
      <w:r>
        <w:rPr>
          <w:i/>
          <w:sz w:val="28"/>
          <w:szCs w:val="28"/>
        </w:rPr>
        <w:t xml:space="preserve">What We Must Do </w:t>
      </w:r>
      <w:proofErr w:type="gramStart"/>
      <w:r>
        <w:rPr>
          <w:i/>
          <w:sz w:val="28"/>
          <w:szCs w:val="28"/>
        </w:rPr>
        <w:t>To</w:t>
      </w:r>
      <w:proofErr w:type="gramEnd"/>
      <w:r>
        <w:rPr>
          <w:i/>
          <w:sz w:val="28"/>
          <w:szCs w:val="28"/>
        </w:rPr>
        <w:t xml:space="preserve"> Reduce Anxiety In The Early Years</w:t>
      </w:r>
      <w:r>
        <w:rPr>
          <w:sz w:val="28"/>
          <w:szCs w:val="28"/>
        </w:rPr>
        <w:t xml:space="preserve">. Available at: </w:t>
      </w:r>
      <w:hyperlink r:id="rId13" w:history="1">
        <w:r>
          <w:rPr>
            <w:color w:val="0000FF"/>
            <w:sz w:val="28"/>
            <w:szCs w:val="28"/>
            <w:u w:val="single"/>
          </w:rPr>
          <w:t>https://www.childcareexpo.co.uk/what-must-we-do-to-reduce-anxiety-in-early-years-by-jane-evans/</w:t>
        </w:r>
      </w:hyperlink>
      <w:r>
        <w:rPr>
          <w:sz w:val="28"/>
          <w:szCs w:val="28"/>
        </w:rPr>
        <w:t xml:space="preserve"> (Accessed: 3</w:t>
      </w:r>
      <w:r>
        <w:rPr>
          <w:sz w:val="28"/>
          <w:szCs w:val="28"/>
          <w:vertAlign w:val="superscript"/>
        </w:rPr>
        <w:t>rd</w:t>
      </w:r>
      <w:r>
        <w:rPr>
          <w:sz w:val="28"/>
          <w:szCs w:val="28"/>
        </w:rPr>
        <w:t xml:space="preserve"> July 2019).</w:t>
      </w:r>
    </w:p>
    <w:p w:rsidR="009268F4" w:rsidRDefault="006F531F">
      <w:pPr>
        <w:suppressAutoHyphens w:val="0"/>
        <w:spacing w:line="247" w:lineRule="auto"/>
        <w:textAlignment w:val="auto"/>
      </w:pPr>
      <w:r>
        <w:rPr>
          <w:rFonts w:cs="Calibri"/>
          <w:sz w:val="28"/>
          <w:szCs w:val="28"/>
        </w:rPr>
        <w:t>Ford, T., Goodman, R. and Meltzer, H. (2004) ‘The Relative Importance of C</w:t>
      </w:r>
      <w:r>
        <w:rPr>
          <w:rFonts w:cs="Calibri"/>
          <w:sz w:val="28"/>
          <w:szCs w:val="28"/>
        </w:rPr>
        <w:t xml:space="preserve">hild, Family, School and Neighbourhood Correlates of Childhood Psychiatric Disorder’, </w:t>
      </w:r>
      <w:r>
        <w:rPr>
          <w:rFonts w:cs="Calibri"/>
          <w:i/>
          <w:sz w:val="28"/>
          <w:szCs w:val="28"/>
        </w:rPr>
        <w:t>Social Psychiatry and Psychiatric Epidemiology,</w:t>
      </w:r>
      <w:r>
        <w:rPr>
          <w:rFonts w:cs="Calibri"/>
          <w:sz w:val="28"/>
          <w:szCs w:val="28"/>
        </w:rPr>
        <w:t xml:space="preserve"> 39 (6), pp. 487-496. Accessed: 4</w:t>
      </w:r>
      <w:r>
        <w:rPr>
          <w:rFonts w:cs="Calibri"/>
          <w:sz w:val="28"/>
          <w:szCs w:val="28"/>
          <w:vertAlign w:val="superscript"/>
        </w:rPr>
        <w:t>th</w:t>
      </w:r>
      <w:r>
        <w:rPr>
          <w:rFonts w:cs="Calibri"/>
          <w:sz w:val="28"/>
          <w:szCs w:val="28"/>
        </w:rPr>
        <w:t xml:space="preserve"> July 2019. DOI: 10.1007/s00127-004-0782-0.</w:t>
      </w:r>
    </w:p>
    <w:p w:rsidR="009268F4" w:rsidRDefault="006F531F">
      <w:pPr>
        <w:suppressAutoHyphens w:val="0"/>
        <w:spacing w:line="247" w:lineRule="auto"/>
        <w:textAlignment w:val="auto"/>
      </w:pPr>
      <w:r>
        <w:rPr>
          <w:sz w:val="28"/>
          <w:szCs w:val="28"/>
        </w:rPr>
        <w:t xml:space="preserve">Future Generations Commissioner for </w:t>
      </w:r>
      <w:r>
        <w:rPr>
          <w:sz w:val="28"/>
          <w:szCs w:val="28"/>
        </w:rPr>
        <w:t>Wales (2019</w:t>
      </w:r>
      <w:r>
        <w:rPr>
          <w:i/>
          <w:sz w:val="28"/>
          <w:szCs w:val="28"/>
        </w:rPr>
        <w:t>) Well-being of Future Generations</w:t>
      </w:r>
      <w:r>
        <w:rPr>
          <w:sz w:val="28"/>
          <w:szCs w:val="28"/>
        </w:rPr>
        <w:t xml:space="preserve"> (Wales) Act 2015. Available at: </w:t>
      </w:r>
      <w:hyperlink r:id="rId14" w:history="1">
        <w:r>
          <w:rPr>
            <w:sz w:val="28"/>
            <w:szCs w:val="28"/>
            <w:u w:val="single"/>
          </w:rPr>
          <w:t>https://futuregenerations.wales/about-us/future-generations-act/</w:t>
        </w:r>
      </w:hyperlink>
      <w:r>
        <w:rPr>
          <w:sz w:val="28"/>
          <w:szCs w:val="28"/>
        </w:rPr>
        <w:t xml:space="preserve"> (Accessed: 7</w:t>
      </w:r>
      <w:r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July 2019).</w:t>
      </w:r>
    </w:p>
    <w:p w:rsidR="009268F4" w:rsidRDefault="006F531F">
      <w:r>
        <w:rPr>
          <w:sz w:val="28"/>
          <w:szCs w:val="28"/>
        </w:rPr>
        <w:t>Gold</w:t>
      </w:r>
      <w:r>
        <w:rPr>
          <w:sz w:val="28"/>
          <w:szCs w:val="28"/>
        </w:rPr>
        <w:t xml:space="preserve">man, A. (2018) </w:t>
      </w:r>
      <w:r>
        <w:rPr>
          <w:i/>
          <w:sz w:val="28"/>
          <w:szCs w:val="28"/>
        </w:rPr>
        <w:t>Life’s Values; Pleasure, Happiness, Well-being and Meaning</w:t>
      </w:r>
      <w:r>
        <w:rPr>
          <w:sz w:val="28"/>
          <w:szCs w:val="28"/>
        </w:rPr>
        <w:t xml:space="preserve">. Oxford: Oxford University Press. </w:t>
      </w:r>
    </w:p>
    <w:p w:rsidR="009268F4" w:rsidRDefault="006F531F">
      <w:r>
        <w:rPr>
          <w:sz w:val="28"/>
          <w:szCs w:val="28"/>
        </w:rPr>
        <w:t xml:space="preserve">Google Images (2019) [Image] Available at: </w:t>
      </w:r>
      <w:hyperlink r:id="rId15" w:history="1">
        <w:r>
          <w:rPr>
            <w:color w:val="0000FF"/>
            <w:sz w:val="28"/>
            <w:szCs w:val="28"/>
            <w:u w:val="single"/>
          </w:rPr>
          <w:t>https://www.google.co.uk/search?q=bronfenbrenner+ecological+systems+theory+simply+psychology&amp;source=lnms&amp;tbm=isch&amp;sa=X&amp;ved=0ahUKEwj6luvA3KD</w:t>
        </w:r>
        <w:r>
          <w:rPr>
            <w:color w:val="0000FF"/>
            <w:sz w:val="28"/>
            <w:szCs w:val="28"/>
            <w:u w:val="single"/>
          </w:rPr>
          <w:t>jAhXrRhUIHbBWDmkQ_AUIECgB&amp;biw=1366&amp;bih=657#imgrc=Z5G4M5_csyHyXM:</w:t>
        </w:r>
      </w:hyperlink>
      <w:r>
        <w:rPr>
          <w:sz w:val="28"/>
          <w:szCs w:val="28"/>
        </w:rPr>
        <w:t xml:space="preserve"> (Accessed: 7</w:t>
      </w:r>
      <w:r>
        <w:rPr>
          <w:sz w:val="28"/>
          <w:szCs w:val="28"/>
          <w:vertAlign w:val="superscript"/>
        </w:rPr>
        <w:t xml:space="preserve">th </w:t>
      </w:r>
      <w:r>
        <w:rPr>
          <w:sz w:val="28"/>
          <w:szCs w:val="28"/>
        </w:rPr>
        <w:t xml:space="preserve">July 2019). </w:t>
      </w:r>
    </w:p>
    <w:p w:rsidR="009268F4" w:rsidRDefault="006F531F">
      <w:r>
        <w:rPr>
          <w:sz w:val="28"/>
          <w:szCs w:val="28"/>
        </w:rPr>
        <w:t xml:space="preserve">Google Images (2019) [Image] </w:t>
      </w:r>
      <w:r>
        <w:rPr>
          <w:i/>
          <w:sz w:val="28"/>
          <w:szCs w:val="28"/>
        </w:rPr>
        <w:t>Happy Cartoon Kids Playing Outdoors</w:t>
      </w:r>
      <w:r>
        <w:rPr>
          <w:sz w:val="28"/>
          <w:szCs w:val="28"/>
        </w:rPr>
        <w:t xml:space="preserve">. Available at: </w:t>
      </w:r>
      <w:hyperlink r:id="rId16" w:history="1">
        <w:r>
          <w:rPr>
            <w:color w:val="0000FF"/>
            <w:sz w:val="28"/>
            <w:szCs w:val="28"/>
            <w:u w:val="single"/>
          </w:rPr>
          <w:t>https://www.google.co.uk/search?tbm=isch&amp;q=children+playing&amp;chips=q:child+play,g_</w:t>
        </w:r>
        <w:r>
          <w:rPr>
            <w:color w:val="0000FF"/>
            <w:sz w:val="28"/>
            <w:szCs w:val="28"/>
            <w:u w:val="single"/>
          </w:rPr>
          <w:t>1:cartoon:XLDoH_gkODc%3D&amp;usg=AI4_-kQHwRUAeaLdE6iBPY-coEF51qU_OQ&amp;sa=X&amp;ved=0ahUKEwjFxLak4qDjAhW1SBUIHRSKD7EQ4lYIKigA&amp;biw=1366&amp;bih=657&amp;dpr=1#imgrc=wHqQHnrWBsYtdM:</w:t>
        </w:r>
      </w:hyperlink>
      <w:r>
        <w:rPr>
          <w:sz w:val="28"/>
          <w:szCs w:val="28"/>
        </w:rPr>
        <w:t xml:space="preserve"> (Accessed: 7</w:t>
      </w:r>
      <w:r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July 2019).</w:t>
      </w:r>
    </w:p>
    <w:p w:rsidR="009268F4" w:rsidRDefault="006F531F">
      <w:r>
        <w:rPr>
          <w:sz w:val="28"/>
          <w:szCs w:val="28"/>
        </w:rPr>
        <w:t xml:space="preserve">Grover, R., Ginsburg, G., and </w:t>
      </w:r>
      <w:proofErr w:type="spellStart"/>
      <w:r>
        <w:rPr>
          <w:sz w:val="28"/>
          <w:szCs w:val="28"/>
        </w:rPr>
        <w:t>Ialongo</w:t>
      </w:r>
      <w:proofErr w:type="spellEnd"/>
      <w:r>
        <w:rPr>
          <w:sz w:val="28"/>
          <w:szCs w:val="28"/>
        </w:rPr>
        <w:t>, N. (2005) ‘Childhood Predictor</w:t>
      </w:r>
      <w:r>
        <w:rPr>
          <w:sz w:val="28"/>
          <w:szCs w:val="28"/>
        </w:rPr>
        <w:t xml:space="preserve">s of Anxiety Symptoms; A Longitudinal Study’, </w:t>
      </w:r>
      <w:r>
        <w:rPr>
          <w:i/>
          <w:sz w:val="28"/>
          <w:szCs w:val="28"/>
        </w:rPr>
        <w:t>Child Psychiatry Human Development</w:t>
      </w:r>
      <w:r>
        <w:rPr>
          <w:sz w:val="28"/>
          <w:szCs w:val="28"/>
        </w:rPr>
        <w:t>, 36 (2), pp. 133-153. Accessed: 1</w:t>
      </w:r>
      <w:r>
        <w:rPr>
          <w:sz w:val="28"/>
          <w:szCs w:val="28"/>
          <w:vertAlign w:val="superscript"/>
        </w:rPr>
        <w:t>st</w:t>
      </w:r>
      <w:r>
        <w:rPr>
          <w:sz w:val="28"/>
          <w:szCs w:val="28"/>
        </w:rPr>
        <w:t xml:space="preserve"> July 2019. DOI: </w:t>
      </w:r>
      <w:hyperlink r:id="rId17" w:history="1">
        <w:r>
          <w:rPr>
            <w:rFonts w:cs="Calibri"/>
            <w:sz w:val="28"/>
            <w:szCs w:val="28"/>
            <w:shd w:val="clear" w:color="auto" w:fill="FFFFFF"/>
          </w:rPr>
          <w:t>10.1007/s10578-005-3491-3</w:t>
        </w:r>
      </w:hyperlink>
      <w:r>
        <w:rPr>
          <w:rFonts w:cs="Calibri"/>
          <w:sz w:val="28"/>
          <w:szCs w:val="28"/>
        </w:rPr>
        <w:t>.</w:t>
      </w:r>
    </w:p>
    <w:p w:rsidR="009268F4" w:rsidRDefault="006F531F">
      <w:r>
        <w:rPr>
          <w:sz w:val="28"/>
          <w:szCs w:val="28"/>
        </w:rPr>
        <w:t xml:space="preserve">Hampshire and Surrey Psychology </w:t>
      </w:r>
      <w:r>
        <w:rPr>
          <w:sz w:val="28"/>
          <w:szCs w:val="28"/>
        </w:rPr>
        <w:t xml:space="preserve">(no date) [Image] Hampshire and Surrey Psychology Anxiety Service. Available at: </w:t>
      </w:r>
      <w:hyperlink r:id="rId18" w:history="1">
        <w:r>
          <w:rPr>
            <w:color w:val="0000FF"/>
            <w:sz w:val="28"/>
            <w:szCs w:val="28"/>
            <w:u w:val="single"/>
          </w:rPr>
          <w:t>https://www.hampshirepsychology.co.uk/anxiety-service/</w:t>
        </w:r>
      </w:hyperlink>
      <w:r>
        <w:rPr>
          <w:sz w:val="28"/>
          <w:szCs w:val="28"/>
        </w:rPr>
        <w:t xml:space="preserve"> (Accessed: 7</w:t>
      </w:r>
      <w:r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July 2019).</w:t>
      </w:r>
    </w:p>
    <w:p w:rsidR="009268F4" w:rsidRDefault="006F531F">
      <w:r>
        <w:rPr>
          <w:sz w:val="28"/>
          <w:szCs w:val="28"/>
        </w:rPr>
        <w:t>Health and Care Resea</w:t>
      </w:r>
      <w:r>
        <w:rPr>
          <w:sz w:val="28"/>
          <w:szCs w:val="28"/>
        </w:rPr>
        <w:t xml:space="preserve">rch Wales (2018) </w:t>
      </w:r>
      <w:r>
        <w:rPr>
          <w:i/>
          <w:sz w:val="28"/>
          <w:szCs w:val="28"/>
        </w:rPr>
        <w:t>Family Resilience Assessment Instrument Tool</w:t>
      </w:r>
      <w:r>
        <w:rPr>
          <w:sz w:val="28"/>
          <w:szCs w:val="28"/>
        </w:rPr>
        <w:t xml:space="preserve">. Available at: </w:t>
      </w:r>
      <w:hyperlink r:id="rId19" w:history="1">
        <w:r>
          <w:rPr>
            <w:color w:val="0000FF"/>
            <w:sz w:val="28"/>
            <w:szCs w:val="28"/>
            <w:u w:val="single"/>
          </w:rPr>
          <w:t>http://www.primecentre.wales/frait.php</w:t>
        </w:r>
      </w:hyperlink>
      <w:r>
        <w:rPr>
          <w:sz w:val="28"/>
          <w:szCs w:val="28"/>
        </w:rPr>
        <w:t xml:space="preserve"> (Accessed on 3</w:t>
      </w:r>
      <w:r>
        <w:rPr>
          <w:sz w:val="28"/>
          <w:szCs w:val="28"/>
          <w:vertAlign w:val="superscript"/>
        </w:rPr>
        <w:t>rd</w:t>
      </w:r>
      <w:r>
        <w:rPr>
          <w:sz w:val="28"/>
          <w:szCs w:val="28"/>
        </w:rPr>
        <w:t xml:space="preserve"> July 2019).</w:t>
      </w:r>
    </w:p>
    <w:p w:rsidR="009268F4" w:rsidRDefault="006F531F">
      <w:r>
        <w:rPr>
          <w:sz w:val="28"/>
          <w:szCs w:val="28"/>
        </w:rPr>
        <w:lastRenderedPageBreak/>
        <w:t xml:space="preserve">Huber, M. (2011) ‘How should we define health’, </w:t>
      </w:r>
      <w:r>
        <w:rPr>
          <w:i/>
          <w:sz w:val="28"/>
          <w:szCs w:val="28"/>
        </w:rPr>
        <w:t>British Medical Journal</w:t>
      </w:r>
      <w:r>
        <w:rPr>
          <w:sz w:val="28"/>
          <w:szCs w:val="28"/>
        </w:rPr>
        <w:t>, 343, pp.  Accessed: 29</w:t>
      </w:r>
      <w:r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June 2019. DOI: 10.1136/</w:t>
      </w:r>
      <w:proofErr w:type="gramStart"/>
      <w:r>
        <w:rPr>
          <w:sz w:val="28"/>
          <w:szCs w:val="28"/>
        </w:rPr>
        <w:t>bmj.d</w:t>
      </w:r>
      <w:proofErr w:type="gramEnd"/>
      <w:r>
        <w:rPr>
          <w:sz w:val="28"/>
          <w:szCs w:val="28"/>
        </w:rPr>
        <w:t>4163.</w:t>
      </w:r>
    </w:p>
    <w:p w:rsidR="009268F4" w:rsidRDefault="006F531F">
      <w:r>
        <w:rPr>
          <w:sz w:val="28"/>
          <w:szCs w:val="28"/>
        </w:rPr>
        <w:t xml:space="preserve">Jesters (2019) [Image] </w:t>
      </w:r>
      <w:r>
        <w:rPr>
          <w:i/>
          <w:sz w:val="28"/>
          <w:szCs w:val="28"/>
        </w:rPr>
        <w:t>Innovative Play Environment</w:t>
      </w:r>
      <w:r>
        <w:rPr>
          <w:sz w:val="28"/>
          <w:szCs w:val="28"/>
        </w:rPr>
        <w:t xml:space="preserve">. Available at: </w:t>
      </w:r>
      <w:hyperlink r:id="rId20" w:history="1">
        <w:r>
          <w:rPr>
            <w:color w:val="0000FF"/>
            <w:sz w:val="28"/>
            <w:szCs w:val="28"/>
            <w:u w:val="single"/>
          </w:rPr>
          <w:t>https://jesterskids.org/bicknacre/inn</w:t>
        </w:r>
        <w:r>
          <w:rPr>
            <w:color w:val="0000FF"/>
            <w:sz w:val="28"/>
            <w:szCs w:val="28"/>
            <w:u w:val="single"/>
          </w:rPr>
          <w:t>ovative-play/</w:t>
        </w:r>
      </w:hyperlink>
      <w:r>
        <w:rPr>
          <w:sz w:val="28"/>
          <w:szCs w:val="28"/>
        </w:rPr>
        <w:t xml:space="preserve"> (Accessed: 7</w:t>
      </w:r>
      <w:r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July 2019).</w:t>
      </w:r>
    </w:p>
    <w:p w:rsidR="009268F4" w:rsidRDefault="006F531F">
      <w:pPr>
        <w:suppressAutoHyphens w:val="0"/>
        <w:spacing w:line="247" w:lineRule="auto"/>
        <w:textAlignment w:val="auto"/>
      </w:pPr>
      <w:r>
        <w:rPr>
          <w:sz w:val="28"/>
          <w:szCs w:val="28"/>
        </w:rPr>
        <w:t xml:space="preserve">Jones (2011) ‘Psychosocial Development’, in </w:t>
      </w:r>
      <w:proofErr w:type="spellStart"/>
      <w:r>
        <w:rPr>
          <w:rFonts w:cs="Calibri"/>
          <w:sz w:val="28"/>
          <w:szCs w:val="28"/>
        </w:rPr>
        <w:t>Claveirole</w:t>
      </w:r>
      <w:proofErr w:type="spellEnd"/>
      <w:r>
        <w:rPr>
          <w:rFonts w:cs="Calibri"/>
          <w:sz w:val="28"/>
          <w:szCs w:val="28"/>
        </w:rPr>
        <w:t xml:space="preserve">, A. and </w:t>
      </w:r>
      <w:proofErr w:type="spellStart"/>
      <w:r>
        <w:rPr>
          <w:rFonts w:cs="Calibri"/>
          <w:sz w:val="28"/>
          <w:szCs w:val="28"/>
        </w:rPr>
        <w:t>Gaughan</w:t>
      </w:r>
      <w:proofErr w:type="spellEnd"/>
      <w:r>
        <w:rPr>
          <w:rFonts w:cs="Calibri"/>
          <w:sz w:val="28"/>
          <w:szCs w:val="28"/>
        </w:rPr>
        <w:t xml:space="preserve">, M. (ed.) </w:t>
      </w:r>
      <w:r>
        <w:rPr>
          <w:rFonts w:cs="Calibri"/>
          <w:i/>
          <w:sz w:val="28"/>
          <w:szCs w:val="28"/>
        </w:rPr>
        <w:t>Understanding Children and Young People’s Mental Health</w:t>
      </w:r>
      <w:r>
        <w:rPr>
          <w:rFonts w:cs="Calibri"/>
          <w:sz w:val="28"/>
          <w:szCs w:val="28"/>
        </w:rPr>
        <w:t>. Chichester: John Wiley &amp; Sons Ltd.</w:t>
      </w:r>
    </w:p>
    <w:p w:rsidR="009268F4" w:rsidRDefault="006F531F">
      <w:pPr>
        <w:suppressAutoHyphens w:val="0"/>
        <w:spacing w:line="247" w:lineRule="auto"/>
        <w:textAlignment w:val="auto"/>
      </w:pPr>
      <w:r>
        <w:rPr>
          <w:rFonts w:cs="Calibri"/>
          <w:sz w:val="28"/>
          <w:szCs w:val="28"/>
        </w:rPr>
        <w:t>Kahn, C. (2007) ‘Families Count: Effects o</w:t>
      </w:r>
      <w:r>
        <w:rPr>
          <w:rFonts w:cs="Calibri"/>
          <w:sz w:val="28"/>
          <w:szCs w:val="28"/>
        </w:rPr>
        <w:t xml:space="preserve">n Child and Adolescent Development/Evocative Strategies in Child and Adolescent Psychotherapy’, </w:t>
      </w:r>
      <w:r>
        <w:rPr>
          <w:rFonts w:cs="Calibri"/>
          <w:i/>
          <w:sz w:val="28"/>
          <w:szCs w:val="28"/>
        </w:rPr>
        <w:t>Psychoanalytic Review</w:t>
      </w:r>
      <w:r>
        <w:rPr>
          <w:rFonts w:cs="Calibri"/>
          <w:sz w:val="28"/>
          <w:szCs w:val="28"/>
        </w:rPr>
        <w:t>, 94 (5), pp. 847-853. Accessed: 4</w:t>
      </w:r>
      <w:r>
        <w:rPr>
          <w:rFonts w:cs="Calibri"/>
          <w:sz w:val="28"/>
          <w:szCs w:val="28"/>
          <w:vertAlign w:val="superscript"/>
        </w:rPr>
        <w:t>th</w:t>
      </w:r>
      <w:r>
        <w:rPr>
          <w:rFonts w:cs="Calibri"/>
          <w:sz w:val="28"/>
          <w:szCs w:val="28"/>
        </w:rPr>
        <w:t xml:space="preserve"> July 2019. Available at: </w:t>
      </w:r>
      <w:hyperlink r:id="rId21" w:history="1">
        <w:r>
          <w:rPr>
            <w:color w:val="0000FF"/>
            <w:sz w:val="28"/>
            <w:szCs w:val="28"/>
            <w:u w:val="single"/>
          </w:rPr>
          <w:t>https://search-proquest-com.ergo.southwales.ac.uk/docview/195062436?rfr_id=info%3Axri%2Fsid%3Aprimo</w:t>
        </w:r>
      </w:hyperlink>
    </w:p>
    <w:p w:rsidR="009268F4" w:rsidRDefault="006F531F">
      <w:pPr>
        <w:suppressAutoHyphens w:val="0"/>
        <w:spacing w:line="247" w:lineRule="auto"/>
        <w:textAlignment w:val="auto"/>
      </w:pPr>
      <w:r>
        <w:rPr>
          <w:rFonts w:cs="Calibri"/>
          <w:sz w:val="28"/>
          <w:szCs w:val="28"/>
        </w:rPr>
        <w:t xml:space="preserve">Keenan, T., Evans, S. and Crowley, K. (2016) </w:t>
      </w:r>
      <w:r>
        <w:rPr>
          <w:rFonts w:cs="Calibri"/>
          <w:i/>
          <w:sz w:val="28"/>
          <w:szCs w:val="28"/>
        </w:rPr>
        <w:t>An introduction to Child Development</w:t>
      </w:r>
      <w:r>
        <w:rPr>
          <w:rFonts w:cs="Calibri"/>
          <w:sz w:val="28"/>
          <w:szCs w:val="28"/>
        </w:rPr>
        <w:t>. 3</w:t>
      </w:r>
      <w:r>
        <w:rPr>
          <w:rFonts w:cs="Calibri"/>
          <w:sz w:val="28"/>
          <w:szCs w:val="28"/>
          <w:vertAlign w:val="superscript"/>
        </w:rPr>
        <w:t>rd</w:t>
      </w:r>
      <w:r>
        <w:rPr>
          <w:rFonts w:cs="Calibri"/>
          <w:sz w:val="28"/>
          <w:szCs w:val="28"/>
        </w:rPr>
        <w:t xml:space="preserve"> Ed. London: Sage. </w:t>
      </w:r>
    </w:p>
    <w:p w:rsidR="009268F4" w:rsidRDefault="006F531F">
      <w:r>
        <w:rPr>
          <w:sz w:val="28"/>
          <w:szCs w:val="28"/>
        </w:rPr>
        <w:t>Lindon, J.</w:t>
      </w:r>
      <w:r>
        <w:rPr>
          <w:sz w:val="28"/>
          <w:szCs w:val="28"/>
        </w:rPr>
        <w:t xml:space="preserve"> (2012) </w:t>
      </w:r>
      <w:r>
        <w:rPr>
          <w:i/>
          <w:sz w:val="28"/>
          <w:szCs w:val="28"/>
        </w:rPr>
        <w:t>Understanding Child Development 0-8 years</w:t>
      </w:r>
      <w:r>
        <w:rPr>
          <w:sz w:val="28"/>
          <w:szCs w:val="28"/>
        </w:rPr>
        <w:t>. 3</w:t>
      </w:r>
      <w:r>
        <w:rPr>
          <w:sz w:val="28"/>
          <w:szCs w:val="28"/>
          <w:vertAlign w:val="superscript"/>
        </w:rPr>
        <w:t>rd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edn</w:t>
      </w:r>
      <w:proofErr w:type="spellEnd"/>
      <w:r>
        <w:rPr>
          <w:sz w:val="28"/>
          <w:szCs w:val="28"/>
        </w:rPr>
        <w:t>. London: Hodder Education.</w:t>
      </w:r>
    </w:p>
    <w:p w:rsidR="009268F4" w:rsidRDefault="006F531F">
      <w:r>
        <w:rPr>
          <w:rFonts w:cs="Calibri"/>
          <w:sz w:val="28"/>
          <w:szCs w:val="28"/>
        </w:rPr>
        <w:t xml:space="preserve">Marmot, M. (2010) </w:t>
      </w:r>
      <w:r>
        <w:rPr>
          <w:rFonts w:cs="Calibri"/>
          <w:i/>
          <w:sz w:val="28"/>
          <w:szCs w:val="28"/>
        </w:rPr>
        <w:t xml:space="preserve">Fair Society, Healthy Lives; Strategic Review of Health Inequalities in England post – 2010. </w:t>
      </w:r>
      <w:r>
        <w:rPr>
          <w:rFonts w:cs="Calibri"/>
          <w:sz w:val="28"/>
          <w:szCs w:val="28"/>
        </w:rPr>
        <w:t>The Marmot Review.</w:t>
      </w:r>
    </w:p>
    <w:p w:rsidR="009268F4" w:rsidRDefault="006F531F">
      <w:r>
        <w:rPr>
          <w:sz w:val="28"/>
          <w:szCs w:val="28"/>
        </w:rPr>
        <w:t xml:space="preserve">Morrow, V. and </w:t>
      </w:r>
      <w:proofErr w:type="spellStart"/>
      <w:r>
        <w:rPr>
          <w:sz w:val="28"/>
          <w:szCs w:val="28"/>
        </w:rPr>
        <w:t>Mayall</w:t>
      </w:r>
      <w:proofErr w:type="spellEnd"/>
      <w:r>
        <w:rPr>
          <w:sz w:val="28"/>
          <w:szCs w:val="28"/>
        </w:rPr>
        <w:t>, B. (2009) ‘What i</w:t>
      </w:r>
      <w:r>
        <w:rPr>
          <w:sz w:val="28"/>
          <w:szCs w:val="28"/>
        </w:rPr>
        <w:t xml:space="preserve">s wrong with children’s well-being in the UK? Questions of Meaning and Measurement’, </w:t>
      </w:r>
      <w:r>
        <w:rPr>
          <w:i/>
          <w:sz w:val="28"/>
          <w:szCs w:val="28"/>
        </w:rPr>
        <w:t>Journal of Social Welfare &amp; Family Law</w:t>
      </w:r>
      <w:r>
        <w:rPr>
          <w:sz w:val="28"/>
          <w:szCs w:val="28"/>
        </w:rPr>
        <w:t>, 31 (3), pp. 217-229.</w:t>
      </w:r>
    </w:p>
    <w:p w:rsidR="009268F4" w:rsidRDefault="006F531F">
      <w:pPr>
        <w:suppressAutoHyphens w:val="0"/>
        <w:spacing w:line="247" w:lineRule="auto"/>
        <w:textAlignment w:val="auto"/>
      </w:pPr>
      <w:r>
        <w:rPr>
          <w:sz w:val="28"/>
          <w:szCs w:val="28"/>
        </w:rPr>
        <w:t xml:space="preserve">Moyles, J. (2010) </w:t>
      </w:r>
      <w:r>
        <w:rPr>
          <w:i/>
          <w:sz w:val="28"/>
          <w:szCs w:val="28"/>
        </w:rPr>
        <w:t>The Excellence of Play</w:t>
      </w:r>
      <w:r>
        <w:rPr>
          <w:sz w:val="28"/>
          <w:szCs w:val="28"/>
        </w:rPr>
        <w:t>. Maidenhead: Open University Press.</w:t>
      </w:r>
    </w:p>
    <w:p w:rsidR="009268F4" w:rsidRDefault="006F531F">
      <w:r>
        <w:rPr>
          <w:sz w:val="28"/>
          <w:szCs w:val="28"/>
        </w:rPr>
        <w:t xml:space="preserve">Musgrave, J. (2017) </w:t>
      </w:r>
      <w:r>
        <w:rPr>
          <w:i/>
          <w:sz w:val="28"/>
          <w:szCs w:val="28"/>
        </w:rPr>
        <w:t>Supporting Ch</w:t>
      </w:r>
      <w:r>
        <w:rPr>
          <w:i/>
          <w:sz w:val="28"/>
          <w:szCs w:val="28"/>
        </w:rPr>
        <w:t>ildren’s Health and Wellbeing.</w:t>
      </w:r>
      <w:r>
        <w:rPr>
          <w:sz w:val="28"/>
          <w:szCs w:val="28"/>
        </w:rPr>
        <w:t xml:space="preserve"> London: Sage Publications Ltd.</w:t>
      </w:r>
    </w:p>
    <w:p w:rsidR="009268F4" w:rsidRDefault="006F531F">
      <w:r>
        <w:rPr>
          <w:sz w:val="28"/>
          <w:szCs w:val="28"/>
        </w:rPr>
        <w:t xml:space="preserve">National Assembly for Wales (2018) </w:t>
      </w:r>
      <w:r>
        <w:rPr>
          <w:i/>
          <w:sz w:val="28"/>
          <w:szCs w:val="28"/>
        </w:rPr>
        <w:t>Mind over Matter-a report on the step change needed in emotional and mental health support for children and young people in Wales</w:t>
      </w:r>
      <w:r>
        <w:rPr>
          <w:sz w:val="28"/>
          <w:szCs w:val="28"/>
        </w:rPr>
        <w:t xml:space="preserve">. Available at: </w:t>
      </w:r>
      <w:hyperlink r:id="rId22" w:history="1">
        <w:r>
          <w:rPr>
            <w:color w:val="0000FF"/>
            <w:sz w:val="28"/>
            <w:szCs w:val="28"/>
            <w:u w:val="single"/>
          </w:rPr>
          <w:t>https://www.assembly.wales/laid%20documents/cr-ld11522/cr-ld11522-e.pdf</w:t>
        </w:r>
      </w:hyperlink>
      <w:r>
        <w:rPr>
          <w:sz w:val="28"/>
          <w:szCs w:val="28"/>
        </w:rPr>
        <w:t xml:space="preserve"> (Accessed: 2</w:t>
      </w:r>
      <w:r>
        <w:rPr>
          <w:sz w:val="28"/>
          <w:szCs w:val="28"/>
          <w:vertAlign w:val="superscript"/>
        </w:rPr>
        <w:t>nd</w:t>
      </w:r>
      <w:r>
        <w:rPr>
          <w:sz w:val="28"/>
          <w:szCs w:val="28"/>
        </w:rPr>
        <w:t xml:space="preserve"> July 2019).</w:t>
      </w:r>
    </w:p>
    <w:p w:rsidR="009268F4" w:rsidRDefault="006F531F">
      <w:proofErr w:type="spellStart"/>
      <w:r>
        <w:rPr>
          <w:sz w:val="28"/>
          <w:szCs w:val="28"/>
        </w:rPr>
        <w:t>Neubourg</w:t>
      </w:r>
      <w:proofErr w:type="spellEnd"/>
      <w:r>
        <w:rPr>
          <w:sz w:val="28"/>
          <w:szCs w:val="28"/>
        </w:rPr>
        <w:t>, E. et al. (2017) ‘Explaining Children’s Life Outcomes; Parenta</w:t>
      </w:r>
      <w:r>
        <w:rPr>
          <w:sz w:val="28"/>
          <w:szCs w:val="28"/>
        </w:rPr>
        <w:t xml:space="preserve">l Socioeconomic Status, Intelligence and Neurocognitive Factors in a Dynamic Life Cycle Model’, </w:t>
      </w:r>
      <w:r>
        <w:rPr>
          <w:i/>
          <w:sz w:val="28"/>
          <w:szCs w:val="28"/>
        </w:rPr>
        <w:t>Child Indicators Research</w:t>
      </w:r>
      <w:r>
        <w:rPr>
          <w:sz w:val="28"/>
          <w:szCs w:val="28"/>
        </w:rPr>
        <w:t>, 11 (5), pp. 1495-1513. Accessed: 29</w:t>
      </w:r>
      <w:r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June 2019. DOI: 10.1007/s12187-017-9481-8.</w:t>
      </w:r>
    </w:p>
    <w:p w:rsidR="009268F4" w:rsidRDefault="006F531F">
      <w:pPr>
        <w:suppressAutoHyphens w:val="0"/>
        <w:spacing w:line="247" w:lineRule="auto"/>
        <w:textAlignment w:val="auto"/>
      </w:pPr>
      <w:proofErr w:type="spellStart"/>
      <w:r>
        <w:rPr>
          <w:rFonts w:cs="Calibri"/>
          <w:sz w:val="28"/>
          <w:szCs w:val="28"/>
        </w:rPr>
        <w:lastRenderedPageBreak/>
        <w:t>Prever</w:t>
      </w:r>
      <w:proofErr w:type="spellEnd"/>
      <w:r>
        <w:rPr>
          <w:rFonts w:cs="Calibri"/>
          <w:sz w:val="28"/>
          <w:szCs w:val="28"/>
        </w:rPr>
        <w:t xml:space="preserve">, M. (2006) </w:t>
      </w:r>
      <w:r>
        <w:rPr>
          <w:rFonts w:cs="Calibri"/>
          <w:i/>
          <w:sz w:val="28"/>
          <w:szCs w:val="28"/>
        </w:rPr>
        <w:t xml:space="preserve">Mental Health in Schools; A Guide </w:t>
      </w:r>
      <w:r>
        <w:rPr>
          <w:rFonts w:cs="Calibri"/>
          <w:i/>
          <w:sz w:val="28"/>
          <w:szCs w:val="28"/>
        </w:rPr>
        <w:t>to Pastoral and Curriculum Provision.</w:t>
      </w:r>
      <w:r>
        <w:rPr>
          <w:rFonts w:cs="Calibri"/>
          <w:sz w:val="28"/>
          <w:szCs w:val="28"/>
        </w:rPr>
        <w:t xml:space="preserve"> London: Paul Chapman Publishing.</w:t>
      </w:r>
      <w:r>
        <w:rPr>
          <w:sz w:val="28"/>
          <w:szCs w:val="28"/>
        </w:rPr>
        <w:t xml:space="preserve"> </w:t>
      </w:r>
    </w:p>
    <w:p w:rsidR="009268F4" w:rsidRDefault="006F531F">
      <w:r>
        <w:rPr>
          <w:rFonts w:cs="Calibri"/>
          <w:sz w:val="28"/>
          <w:szCs w:val="28"/>
        </w:rPr>
        <w:t xml:space="preserve">Public Health Wales (2014) </w:t>
      </w:r>
      <w:r>
        <w:rPr>
          <w:rFonts w:cs="Calibri"/>
          <w:i/>
          <w:sz w:val="28"/>
          <w:szCs w:val="28"/>
        </w:rPr>
        <w:t>Mental Health Problems</w:t>
      </w:r>
      <w:r>
        <w:rPr>
          <w:rFonts w:cs="Calibri"/>
          <w:sz w:val="28"/>
          <w:szCs w:val="28"/>
        </w:rPr>
        <w:t xml:space="preserve">. Available at: </w:t>
      </w:r>
      <w:hyperlink r:id="rId23" w:history="1">
        <w:r>
          <w:rPr>
            <w:color w:val="0000FF"/>
            <w:sz w:val="28"/>
            <w:szCs w:val="28"/>
            <w:u w:val="single"/>
          </w:rPr>
          <w:t>http://www.wales.nhs.uk/sitesplus/888/page/43851</w:t>
        </w:r>
      </w:hyperlink>
      <w:r>
        <w:rPr>
          <w:sz w:val="28"/>
          <w:szCs w:val="28"/>
        </w:rPr>
        <w:t xml:space="preserve"> (Acc</w:t>
      </w:r>
      <w:r>
        <w:rPr>
          <w:sz w:val="28"/>
          <w:szCs w:val="28"/>
        </w:rPr>
        <w:t>essed: 1</w:t>
      </w:r>
      <w:r>
        <w:rPr>
          <w:sz w:val="28"/>
          <w:szCs w:val="28"/>
          <w:vertAlign w:val="superscript"/>
        </w:rPr>
        <w:t>st</w:t>
      </w:r>
      <w:r>
        <w:rPr>
          <w:sz w:val="28"/>
          <w:szCs w:val="28"/>
        </w:rPr>
        <w:t xml:space="preserve"> July 2019).</w:t>
      </w:r>
    </w:p>
    <w:p w:rsidR="009268F4" w:rsidRDefault="006F531F">
      <w:r>
        <w:rPr>
          <w:sz w:val="28"/>
          <w:szCs w:val="28"/>
        </w:rPr>
        <w:t xml:space="preserve">Robert, R. (2010) </w:t>
      </w:r>
      <w:r>
        <w:rPr>
          <w:i/>
          <w:sz w:val="28"/>
          <w:szCs w:val="28"/>
        </w:rPr>
        <w:t xml:space="preserve">Wellbeing </w:t>
      </w:r>
      <w:proofErr w:type="gramStart"/>
      <w:r>
        <w:rPr>
          <w:i/>
          <w:sz w:val="28"/>
          <w:szCs w:val="28"/>
        </w:rPr>
        <w:t>From</w:t>
      </w:r>
      <w:proofErr w:type="gramEnd"/>
      <w:r>
        <w:rPr>
          <w:i/>
          <w:sz w:val="28"/>
          <w:szCs w:val="28"/>
        </w:rPr>
        <w:t xml:space="preserve"> Birth</w:t>
      </w:r>
      <w:r>
        <w:rPr>
          <w:sz w:val="28"/>
          <w:szCs w:val="28"/>
        </w:rPr>
        <w:t>. London: Sage Publications Ltd.</w:t>
      </w:r>
    </w:p>
    <w:p w:rsidR="009268F4" w:rsidRDefault="006F531F">
      <w:pPr>
        <w:suppressAutoHyphens w:val="0"/>
        <w:spacing w:line="247" w:lineRule="auto"/>
        <w:textAlignment w:val="auto"/>
      </w:pPr>
      <w:proofErr w:type="spellStart"/>
      <w:r>
        <w:rPr>
          <w:sz w:val="28"/>
          <w:szCs w:val="28"/>
        </w:rPr>
        <w:t>Sciaraffa</w:t>
      </w:r>
      <w:proofErr w:type="spellEnd"/>
      <w:r>
        <w:rPr>
          <w:sz w:val="28"/>
          <w:szCs w:val="28"/>
        </w:rPr>
        <w:t xml:space="preserve">, M., </w:t>
      </w:r>
      <w:proofErr w:type="spellStart"/>
      <w:r>
        <w:rPr>
          <w:sz w:val="28"/>
          <w:szCs w:val="28"/>
        </w:rPr>
        <w:t>Zeanah</w:t>
      </w:r>
      <w:proofErr w:type="spellEnd"/>
      <w:r>
        <w:rPr>
          <w:sz w:val="28"/>
          <w:szCs w:val="28"/>
        </w:rPr>
        <w:t xml:space="preserve">, P. and </w:t>
      </w:r>
      <w:proofErr w:type="spellStart"/>
      <w:r>
        <w:rPr>
          <w:sz w:val="28"/>
          <w:szCs w:val="28"/>
        </w:rPr>
        <w:t>Zeanah</w:t>
      </w:r>
      <w:proofErr w:type="spellEnd"/>
      <w:r>
        <w:rPr>
          <w:sz w:val="28"/>
          <w:szCs w:val="28"/>
        </w:rPr>
        <w:t xml:space="preserve">, C. (2018) ’Understanding and Promoting Resilience in the Context of Adverse Childhood Experiences’, </w:t>
      </w:r>
      <w:r>
        <w:rPr>
          <w:i/>
          <w:sz w:val="28"/>
          <w:szCs w:val="28"/>
        </w:rPr>
        <w:t>Early Childhood Educatio</w:t>
      </w:r>
      <w:r>
        <w:rPr>
          <w:i/>
          <w:sz w:val="28"/>
          <w:szCs w:val="28"/>
        </w:rPr>
        <w:t>n Journal</w:t>
      </w:r>
      <w:r>
        <w:rPr>
          <w:sz w:val="28"/>
          <w:szCs w:val="28"/>
        </w:rPr>
        <w:t>, 46 (3), pp. 343-353. Accessed: 6</w:t>
      </w:r>
      <w:r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July 2019. DOI: 10.1007/s10643-017-0869-3</w:t>
      </w:r>
    </w:p>
    <w:p w:rsidR="009268F4" w:rsidRDefault="006F531F">
      <w:r>
        <w:rPr>
          <w:sz w:val="28"/>
          <w:szCs w:val="28"/>
        </w:rPr>
        <w:t xml:space="preserve">Simply Psychology (2018) [Image] </w:t>
      </w:r>
      <w:r>
        <w:rPr>
          <w:i/>
          <w:sz w:val="28"/>
          <w:szCs w:val="28"/>
        </w:rPr>
        <w:t>Bowlby Attachment Theory</w:t>
      </w:r>
      <w:r>
        <w:rPr>
          <w:sz w:val="28"/>
          <w:szCs w:val="28"/>
        </w:rPr>
        <w:t xml:space="preserve">. Available at: </w:t>
      </w:r>
      <w:hyperlink r:id="rId24" w:history="1">
        <w:r>
          <w:rPr>
            <w:color w:val="0000FF"/>
            <w:sz w:val="28"/>
            <w:szCs w:val="28"/>
            <w:u w:val="single"/>
          </w:rPr>
          <w:t>https://www.simplypsychology.org/</w:t>
        </w:r>
        <w:r>
          <w:rPr>
            <w:color w:val="0000FF"/>
            <w:sz w:val="28"/>
            <w:szCs w:val="28"/>
            <w:u w:val="single"/>
          </w:rPr>
          <w:t>bowlby.html</w:t>
        </w:r>
      </w:hyperlink>
      <w:r>
        <w:rPr>
          <w:sz w:val="28"/>
          <w:szCs w:val="28"/>
        </w:rPr>
        <w:t xml:space="preserve"> (Accessed: 7h July 2019).</w:t>
      </w:r>
    </w:p>
    <w:p w:rsidR="009268F4" w:rsidRDefault="006F531F">
      <w:r>
        <w:rPr>
          <w:rFonts w:cs="Calibri"/>
          <w:sz w:val="28"/>
          <w:szCs w:val="28"/>
        </w:rPr>
        <w:t xml:space="preserve">Simply Psychology (2018) [Image] </w:t>
      </w:r>
      <w:r>
        <w:rPr>
          <w:rFonts w:cs="Calibri"/>
          <w:i/>
          <w:sz w:val="28"/>
          <w:szCs w:val="28"/>
        </w:rPr>
        <w:t>Maslow- A hierarchy of needs</w:t>
      </w:r>
      <w:r>
        <w:rPr>
          <w:rFonts w:cs="Calibri"/>
          <w:sz w:val="28"/>
          <w:szCs w:val="28"/>
        </w:rPr>
        <w:t xml:space="preserve">. Available at: </w:t>
      </w:r>
      <w:hyperlink r:id="rId25" w:history="1">
        <w:r>
          <w:rPr>
            <w:color w:val="0000FF"/>
            <w:sz w:val="28"/>
            <w:szCs w:val="28"/>
            <w:u w:val="single"/>
          </w:rPr>
          <w:t>https://www.simplypsychology.org/maslow.htm</w:t>
        </w:r>
      </w:hyperlink>
      <w:r>
        <w:rPr>
          <w:sz w:val="28"/>
          <w:szCs w:val="28"/>
        </w:rPr>
        <w:t xml:space="preserve"> (Accessed 7th July 2019).</w:t>
      </w:r>
    </w:p>
    <w:p w:rsidR="009268F4" w:rsidRDefault="006F531F">
      <w:pPr>
        <w:suppressAutoHyphens w:val="0"/>
        <w:spacing w:line="247" w:lineRule="auto"/>
        <w:textAlignment w:val="auto"/>
      </w:pPr>
      <w:r>
        <w:rPr>
          <w:sz w:val="28"/>
          <w:szCs w:val="28"/>
        </w:rPr>
        <w:t xml:space="preserve">Smidt, S. </w:t>
      </w:r>
      <w:r>
        <w:rPr>
          <w:sz w:val="28"/>
          <w:szCs w:val="28"/>
        </w:rPr>
        <w:t xml:space="preserve">(2013) </w:t>
      </w:r>
      <w:r>
        <w:rPr>
          <w:i/>
          <w:sz w:val="28"/>
          <w:szCs w:val="28"/>
        </w:rPr>
        <w:t>The Developing Child in the 21</w:t>
      </w:r>
      <w:r>
        <w:rPr>
          <w:i/>
          <w:sz w:val="28"/>
          <w:szCs w:val="28"/>
          <w:vertAlign w:val="superscript"/>
        </w:rPr>
        <w:t>st</w:t>
      </w:r>
      <w:r>
        <w:rPr>
          <w:i/>
          <w:sz w:val="28"/>
          <w:szCs w:val="28"/>
        </w:rPr>
        <w:t xml:space="preserve"> Century: A global perspective on child development</w:t>
      </w:r>
      <w:r>
        <w:rPr>
          <w:sz w:val="28"/>
          <w:szCs w:val="28"/>
        </w:rPr>
        <w:t>. Abingdon: Routledge.</w:t>
      </w:r>
    </w:p>
    <w:p w:rsidR="009268F4" w:rsidRDefault="006F531F">
      <w:proofErr w:type="spellStart"/>
      <w:r>
        <w:rPr>
          <w:rFonts w:cs="Calibri"/>
          <w:sz w:val="28"/>
          <w:szCs w:val="28"/>
        </w:rPr>
        <w:t>Sopa</w:t>
      </w:r>
      <w:proofErr w:type="spellEnd"/>
      <w:r>
        <w:rPr>
          <w:rFonts w:cs="Calibri"/>
          <w:sz w:val="28"/>
          <w:szCs w:val="28"/>
        </w:rPr>
        <w:t xml:space="preserve">, I, S. and </w:t>
      </w:r>
      <w:proofErr w:type="spellStart"/>
      <w:r>
        <w:rPr>
          <w:rFonts w:cs="Calibri"/>
          <w:sz w:val="28"/>
          <w:szCs w:val="28"/>
        </w:rPr>
        <w:t>Pomohaci</w:t>
      </w:r>
      <w:proofErr w:type="spellEnd"/>
      <w:r>
        <w:rPr>
          <w:rFonts w:cs="Calibri"/>
          <w:sz w:val="28"/>
          <w:szCs w:val="28"/>
        </w:rPr>
        <w:t xml:space="preserve">, M. (2018) ‘Developing a Healthy Lifestyle of Students Through the Practice of Sports Activities’, </w:t>
      </w:r>
      <w:r>
        <w:rPr>
          <w:rFonts w:cs="Calibri"/>
          <w:i/>
          <w:sz w:val="28"/>
          <w:szCs w:val="28"/>
        </w:rPr>
        <w:t>Land Forces Academy</w:t>
      </w:r>
      <w:r>
        <w:rPr>
          <w:rFonts w:cs="Calibri"/>
          <w:i/>
          <w:sz w:val="28"/>
          <w:szCs w:val="28"/>
        </w:rPr>
        <w:t xml:space="preserve"> Review</w:t>
      </w:r>
      <w:r>
        <w:rPr>
          <w:rFonts w:cs="Calibri"/>
          <w:sz w:val="28"/>
          <w:szCs w:val="28"/>
        </w:rPr>
        <w:t>, 23 (3), pp. 207-218. Accessed: 29</w:t>
      </w:r>
      <w:r>
        <w:rPr>
          <w:rFonts w:cs="Calibri"/>
          <w:sz w:val="28"/>
          <w:szCs w:val="28"/>
          <w:vertAlign w:val="superscript"/>
        </w:rPr>
        <w:t>th</w:t>
      </w:r>
      <w:r>
        <w:rPr>
          <w:rFonts w:cs="Calibri"/>
          <w:sz w:val="28"/>
          <w:szCs w:val="28"/>
        </w:rPr>
        <w:t xml:space="preserve"> June 2019. DOI: </w:t>
      </w:r>
      <w:hyperlink r:id="rId26" w:history="1">
        <w:r>
          <w:rPr>
            <w:rStyle w:val="Hyperlink"/>
            <w:rFonts w:cs="Calibri"/>
            <w:color w:val="auto"/>
            <w:sz w:val="28"/>
            <w:szCs w:val="28"/>
            <w:u w:val="none"/>
            <w:shd w:val="clear" w:color="auto" w:fill="EDF0F2"/>
          </w:rPr>
          <w:t>10.2478/raft-2018-0025</w:t>
        </w:r>
      </w:hyperlink>
    </w:p>
    <w:p w:rsidR="009268F4" w:rsidRDefault="006F531F">
      <w:pPr>
        <w:suppressAutoHyphens w:val="0"/>
        <w:spacing w:line="247" w:lineRule="auto"/>
        <w:textAlignment w:val="auto"/>
      </w:pPr>
      <w:proofErr w:type="spellStart"/>
      <w:r>
        <w:rPr>
          <w:rFonts w:cs="Calibri"/>
          <w:sz w:val="28"/>
          <w:szCs w:val="28"/>
        </w:rPr>
        <w:t>Springate</w:t>
      </w:r>
      <w:proofErr w:type="spellEnd"/>
      <w:r>
        <w:rPr>
          <w:rFonts w:cs="Calibri"/>
          <w:sz w:val="28"/>
          <w:szCs w:val="28"/>
        </w:rPr>
        <w:t xml:space="preserve">, D. and Foley, P. (2008) ‘Play Matters’, in Collins, J. and Foley, F. (ed.) </w:t>
      </w:r>
      <w:r>
        <w:rPr>
          <w:rFonts w:cs="Calibri"/>
          <w:i/>
          <w:sz w:val="28"/>
          <w:szCs w:val="28"/>
        </w:rPr>
        <w:t xml:space="preserve">Promoting Children’s </w:t>
      </w:r>
      <w:r>
        <w:rPr>
          <w:rFonts w:cs="Calibri"/>
          <w:i/>
          <w:sz w:val="28"/>
          <w:szCs w:val="28"/>
        </w:rPr>
        <w:t>Well-being: Policy and Practice</w:t>
      </w:r>
      <w:r>
        <w:rPr>
          <w:rFonts w:cs="Calibri"/>
          <w:sz w:val="28"/>
          <w:szCs w:val="28"/>
        </w:rPr>
        <w:t>. Bristol: The Policy Press.</w:t>
      </w:r>
    </w:p>
    <w:p w:rsidR="009268F4" w:rsidRDefault="006F531F">
      <w:r>
        <w:rPr>
          <w:sz w:val="28"/>
          <w:szCs w:val="28"/>
        </w:rPr>
        <w:t xml:space="preserve">Statham, J. and Chase, E. (2010) </w:t>
      </w:r>
      <w:r>
        <w:rPr>
          <w:i/>
          <w:sz w:val="28"/>
          <w:szCs w:val="28"/>
        </w:rPr>
        <w:t>Childhood Wellbeing: A brief overview</w:t>
      </w:r>
      <w:r>
        <w:rPr>
          <w:sz w:val="28"/>
          <w:szCs w:val="28"/>
        </w:rPr>
        <w:t>. Loughborough. Childhood Wellbeing Research Centre.</w:t>
      </w:r>
    </w:p>
    <w:p w:rsidR="009268F4" w:rsidRDefault="006F531F">
      <w:r>
        <w:rPr>
          <w:sz w:val="28"/>
          <w:szCs w:val="28"/>
        </w:rPr>
        <w:t xml:space="preserve">The Foster Care Training Hub (no date) [Image] </w:t>
      </w:r>
      <w:r>
        <w:rPr>
          <w:i/>
          <w:sz w:val="28"/>
          <w:szCs w:val="28"/>
        </w:rPr>
        <w:t>Multi-Agency working foste</w:t>
      </w:r>
      <w:r>
        <w:rPr>
          <w:i/>
          <w:sz w:val="28"/>
          <w:szCs w:val="28"/>
        </w:rPr>
        <w:t>ring.</w:t>
      </w:r>
      <w:r>
        <w:rPr>
          <w:sz w:val="28"/>
          <w:szCs w:val="28"/>
        </w:rPr>
        <w:t xml:space="preserve"> Available at: </w:t>
      </w:r>
      <w:hyperlink r:id="rId27" w:history="1">
        <w:r>
          <w:rPr>
            <w:color w:val="0000FF"/>
            <w:sz w:val="28"/>
            <w:szCs w:val="28"/>
            <w:u w:val="single"/>
          </w:rPr>
          <w:t>https://thefostercaretraininghub.co.uk/en/f2f-course/multi-agency-working-fostering</w:t>
        </w:r>
      </w:hyperlink>
      <w:r>
        <w:rPr>
          <w:sz w:val="28"/>
          <w:szCs w:val="28"/>
        </w:rPr>
        <w:t xml:space="preserve"> (Accessed: 7</w:t>
      </w:r>
      <w:r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July 2019).</w:t>
      </w:r>
    </w:p>
    <w:p w:rsidR="009268F4" w:rsidRDefault="006F531F">
      <w:proofErr w:type="spellStart"/>
      <w:r>
        <w:rPr>
          <w:sz w:val="28"/>
          <w:szCs w:val="28"/>
        </w:rPr>
        <w:t>Thoilliez</w:t>
      </w:r>
      <w:proofErr w:type="spellEnd"/>
      <w:r>
        <w:rPr>
          <w:sz w:val="28"/>
          <w:szCs w:val="28"/>
        </w:rPr>
        <w:t>, B. (2011) ‘Ho</w:t>
      </w:r>
      <w:r>
        <w:rPr>
          <w:sz w:val="28"/>
          <w:szCs w:val="28"/>
        </w:rPr>
        <w:t xml:space="preserve">w to Grow up Happy: An Exploratory Study on the Meaning of Happiness from Children’s Voices’, </w:t>
      </w:r>
      <w:r>
        <w:rPr>
          <w:i/>
          <w:sz w:val="28"/>
          <w:szCs w:val="28"/>
        </w:rPr>
        <w:t>Child Indicators Research</w:t>
      </w:r>
      <w:r>
        <w:rPr>
          <w:sz w:val="28"/>
          <w:szCs w:val="28"/>
        </w:rPr>
        <w:t>, 4 (2), pp. 323-351.</w:t>
      </w:r>
    </w:p>
    <w:p w:rsidR="009268F4" w:rsidRDefault="006F531F">
      <w:proofErr w:type="spellStart"/>
      <w:r>
        <w:rPr>
          <w:sz w:val="28"/>
          <w:szCs w:val="28"/>
        </w:rPr>
        <w:t>Underdown</w:t>
      </w:r>
      <w:proofErr w:type="spellEnd"/>
      <w:r>
        <w:rPr>
          <w:sz w:val="28"/>
          <w:szCs w:val="28"/>
        </w:rPr>
        <w:t xml:space="preserve">, A. (2007) </w:t>
      </w:r>
      <w:r>
        <w:rPr>
          <w:i/>
          <w:sz w:val="28"/>
          <w:szCs w:val="28"/>
        </w:rPr>
        <w:t>Young Children’s Health and Well-being</w:t>
      </w:r>
      <w:r>
        <w:rPr>
          <w:sz w:val="28"/>
          <w:szCs w:val="28"/>
        </w:rPr>
        <w:t xml:space="preserve">. Maidenhead: Open University Press. </w:t>
      </w:r>
    </w:p>
    <w:p w:rsidR="009268F4" w:rsidRDefault="006F531F">
      <w:r>
        <w:rPr>
          <w:sz w:val="28"/>
          <w:szCs w:val="28"/>
        </w:rPr>
        <w:t>Wallace, C. et al.</w:t>
      </w:r>
      <w:r>
        <w:rPr>
          <w:sz w:val="28"/>
          <w:szCs w:val="28"/>
        </w:rPr>
        <w:t xml:space="preserve"> (2018)</w:t>
      </w:r>
      <w:r>
        <w:rPr>
          <w:rFonts w:cs="Calibri"/>
          <w:sz w:val="28"/>
          <w:szCs w:val="28"/>
        </w:rPr>
        <w:t xml:space="preserve"> ‘Developing the Health Visitor Concept of Family Resilience in Wales Using Group Concept Mapping’, </w:t>
      </w:r>
      <w:r>
        <w:rPr>
          <w:rFonts w:cs="Calibri"/>
          <w:i/>
          <w:sz w:val="28"/>
          <w:szCs w:val="28"/>
        </w:rPr>
        <w:t>Rural and Remote Health</w:t>
      </w:r>
      <w:r>
        <w:rPr>
          <w:sz w:val="28"/>
          <w:szCs w:val="28"/>
        </w:rPr>
        <w:t>, 18 (4). Accessed 3</w:t>
      </w:r>
      <w:r>
        <w:rPr>
          <w:sz w:val="28"/>
          <w:szCs w:val="28"/>
          <w:vertAlign w:val="superscript"/>
        </w:rPr>
        <w:t>rd</w:t>
      </w:r>
      <w:r>
        <w:rPr>
          <w:sz w:val="28"/>
          <w:szCs w:val="28"/>
        </w:rPr>
        <w:t xml:space="preserve"> July 2019. DOI:</w:t>
      </w:r>
      <w:r>
        <w:rPr>
          <w:rFonts w:ascii="Segoe UI" w:hAnsi="Segoe UI" w:cs="Segoe UI"/>
          <w:color w:val="343A40"/>
          <w:shd w:val="clear" w:color="auto" w:fill="FFFFFF"/>
        </w:rPr>
        <w:t xml:space="preserve"> </w:t>
      </w:r>
      <w:r>
        <w:rPr>
          <w:rFonts w:cs="Calibri"/>
          <w:sz w:val="28"/>
          <w:szCs w:val="28"/>
          <w:shd w:val="clear" w:color="auto" w:fill="FFFFFF"/>
        </w:rPr>
        <w:t>10.22605/RRH4604</w:t>
      </w:r>
      <w:r>
        <w:rPr>
          <w:sz w:val="28"/>
          <w:szCs w:val="28"/>
        </w:rPr>
        <w:t>.</w:t>
      </w:r>
    </w:p>
    <w:p w:rsidR="009268F4" w:rsidRDefault="006F531F">
      <w:pPr>
        <w:suppressAutoHyphens w:val="0"/>
        <w:spacing w:line="247" w:lineRule="auto"/>
        <w:textAlignment w:val="auto"/>
      </w:pPr>
      <w:r>
        <w:rPr>
          <w:sz w:val="28"/>
          <w:szCs w:val="28"/>
        </w:rPr>
        <w:lastRenderedPageBreak/>
        <w:t xml:space="preserve">Welsh Government (2013) </w:t>
      </w:r>
      <w:r>
        <w:rPr>
          <w:i/>
          <w:sz w:val="28"/>
          <w:szCs w:val="28"/>
        </w:rPr>
        <w:t>Building a Brighter Future</w:t>
      </w:r>
      <w:r>
        <w:rPr>
          <w:sz w:val="28"/>
          <w:szCs w:val="28"/>
        </w:rPr>
        <w:t>. Wales. Welsh Gove</w:t>
      </w:r>
      <w:r>
        <w:rPr>
          <w:sz w:val="28"/>
          <w:szCs w:val="28"/>
        </w:rPr>
        <w:t>rnment.</w:t>
      </w:r>
    </w:p>
    <w:p w:rsidR="009268F4" w:rsidRDefault="006F531F">
      <w:r>
        <w:rPr>
          <w:sz w:val="28"/>
          <w:szCs w:val="28"/>
        </w:rPr>
        <w:t xml:space="preserve">Welsh Government (2015a) </w:t>
      </w:r>
      <w:r>
        <w:rPr>
          <w:i/>
          <w:sz w:val="28"/>
          <w:szCs w:val="28"/>
        </w:rPr>
        <w:t>Mental Health (Wales) Measure 2010</w:t>
      </w:r>
      <w:r>
        <w:rPr>
          <w:sz w:val="28"/>
          <w:szCs w:val="28"/>
        </w:rPr>
        <w:t>. Available at:</w:t>
      </w:r>
      <w:r>
        <w:t xml:space="preserve"> </w:t>
      </w:r>
      <w:hyperlink r:id="rId28" w:history="1">
        <w:r>
          <w:rPr>
            <w:color w:val="0000FF"/>
            <w:sz w:val="28"/>
            <w:szCs w:val="28"/>
            <w:u w:val="single"/>
          </w:rPr>
          <w:t>https://gweddill.gov.wales/topics/health/nhswales/mental-health-services/policy/strategy/?lang=en</w:t>
        </w:r>
      </w:hyperlink>
      <w:r>
        <w:rPr>
          <w:sz w:val="28"/>
          <w:szCs w:val="28"/>
        </w:rPr>
        <w:t xml:space="preserve">  (Accessed 2</w:t>
      </w:r>
      <w:r>
        <w:rPr>
          <w:sz w:val="28"/>
          <w:szCs w:val="28"/>
          <w:vertAlign w:val="superscript"/>
        </w:rPr>
        <w:t>nd</w:t>
      </w:r>
      <w:r>
        <w:rPr>
          <w:sz w:val="28"/>
          <w:szCs w:val="28"/>
        </w:rPr>
        <w:t xml:space="preserve"> July 2019).</w:t>
      </w:r>
    </w:p>
    <w:p w:rsidR="009268F4" w:rsidRDefault="006F531F">
      <w:pPr>
        <w:suppressAutoHyphens w:val="0"/>
        <w:spacing w:line="247" w:lineRule="auto"/>
        <w:textAlignment w:val="auto"/>
      </w:pPr>
      <w:r>
        <w:rPr>
          <w:rFonts w:cs="Calibri"/>
          <w:sz w:val="28"/>
          <w:szCs w:val="28"/>
        </w:rPr>
        <w:t xml:space="preserve">Welsh </w:t>
      </w:r>
      <w:r>
        <w:rPr>
          <w:rFonts w:cs="Calibri"/>
          <w:sz w:val="28"/>
          <w:szCs w:val="28"/>
        </w:rPr>
        <w:t xml:space="preserve">Government (2015b) </w:t>
      </w:r>
      <w:r>
        <w:rPr>
          <w:rFonts w:cs="Calibri"/>
          <w:i/>
          <w:sz w:val="28"/>
          <w:szCs w:val="28"/>
        </w:rPr>
        <w:t>The Children and Young People Wellbeing Monitor for Wales</w:t>
      </w:r>
      <w:r>
        <w:rPr>
          <w:rFonts w:cs="Calibri"/>
          <w:sz w:val="28"/>
          <w:szCs w:val="28"/>
        </w:rPr>
        <w:t>. Wales: Welsh Government.</w:t>
      </w:r>
    </w:p>
    <w:p w:rsidR="009268F4" w:rsidRDefault="006F531F">
      <w:r>
        <w:rPr>
          <w:rFonts w:cs="Calibri"/>
          <w:sz w:val="28"/>
          <w:szCs w:val="28"/>
        </w:rPr>
        <w:t xml:space="preserve">Welsh Government (2015c) </w:t>
      </w:r>
      <w:r>
        <w:rPr>
          <w:rFonts w:cs="Calibri"/>
          <w:i/>
          <w:sz w:val="28"/>
          <w:szCs w:val="28"/>
        </w:rPr>
        <w:t xml:space="preserve">Child Strategy for Wales. </w:t>
      </w:r>
      <w:r>
        <w:rPr>
          <w:rFonts w:cs="Calibri"/>
          <w:sz w:val="28"/>
          <w:szCs w:val="28"/>
        </w:rPr>
        <w:t xml:space="preserve">Wales. Welsh Government. </w:t>
      </w:r>
    </w:p>
    <w:p w:rsidR="009268F4" w:rsidRDefault="006F531F">
      <w:r>
        <w:rPr>
          <w:sz w:val="28"/>
          <w:szCs w:val="28"/>
        </w:rPr>
        <w:t xml:space="preserve">Welsh Government (2016) </w:t>
      </w:r>
      <w:r>
        <w:rPr>
          <w:i/>
          <w:sz w:val="28"/>
          <w:szCs w:val="28"/>
        </w:rPr>
        <w:t>Health Child Wales Programme</w:t>
      </w:r>
      <w:r>
        <w:rPr>
          <w:sz w:val="28"/>
          <w:szCs w:val="28"/>
        </w:rPr>
        <w:t xml:space="preserve">. Available at: </w:t>
      </w:r>
      <w:hyperlink r:id="rId29" w:history="1">
        <w:r>
          <w:rPr>
            <w:color w:val="0000FF"/>
            <w:sz w:val="28"/>
            <w:szCs w:val="28"/>
            <w:u w:val="single"/>
          </w:rPr>
          <w:t>https://gweddill.gov.wales/topics/health/publications/health/reports/healthy-child/?lang=en</w:t>
        </w:r>
      </w:hyperlink>
      <w:r>
        <w:rPr>
          <w:sz w:val="28"/>
          <w:szCs w:val="28"/>
        </w:rPr>
        <w:t xml:space="preserve"> (Accessed:3</w:t>
      </w:r>
      <w:r>
        <w:rPr>
          <w:sz w:val="28"/>
          <w:szCs w:val="28"/>
          <w:vertAlign w:val="superscript"/>
        </w:rPr>
        <w:t>rd</w:t>
      </w:r>
      <w:r>
        <w:rPr>
          <w:sz w:val="28"/>
          <w:szCs w:val="28"/>
        </w:rPr>
        <w:t xml:space="preserve"> July 2019)</w:t>
      </w:r>
    </w:p>
    <w:p w:rsidR="009268F4" w:rsidRDefault="006F531F">
      <w:r>
        <w:rPr>
          <w:sz w:val="28"/>
          <w:szCs w:val="28"/>
        </w:rPr>
        <w:t xml:space="preserve">Welsh Government (2018) </w:t>
      </w:r>
      <w:r>
        <w:rPr>
          <w:i/>
          <w:sz w:val="28"/>
          <w:szCs w:val="28"/>
        </w:rPr>
        <w:t>Together for M</w:t>
      </w:r>
      <w:r>
        <w:rPr>
          <w:i/>
          <w:sz w:val="28"/>
          <w:szCs w:val="28"/>
        </w:rPr>
        <w:t>ental Health-a Strategy for Mental Health and Well-being in Wales</w:t>
      </w:r>
      <w:r>
        <w:rPr>
          <w:sz w:val="28"/>
          <w:szCs w:val="28"/>
        </w:rPr>
        <w:t xml:space="preserve">. Available at: </w:t>
      </w:r>
      <w:hyperlink r:id="rId30" w:history="1">
        <w:r>
          <w:rPr>
            <w:rStyle w:val="Hyperlink"/>
            <w:sz w:val="28"/>
            <w:szCs w:val="28"/>
          </w:rPr>
          <w:t>https://gweddill.gov.wales/topics/health/nhswales/mental-hea</w:t>
        </w:r>
        <w:r>
          <w:rPr>
            <w:rStyle w:val="Hyperlink"/>
            <w:sz w:val="28"/>
            <w:szCs w:val="28"/>
          </w:rPr>
          <w:t>lth-services/policy/strategy/?lang=en</w:t>
        </w:r>
      </w:hyperlink>
      <w:r>
        <w:rPr>
          <w:sz w:val="28"/>
          <w:szCs w:val="28"/>
        </w:rPr>
        <w:t xml:space="preserve"> (Accessed: 2</w:t>
      </w:r>
      <w:r>
        <w:rPr>
          <w:sz w:val="28"/>
          <w:szCs w:val="28"/>
          <w:vertAlign w:val="superscript"/>
        </w:rPr>
        <w:t>nd</w:t>
      </w:r>
      <w:r>
        <w:rPr>
          <w:sz w:val="28"/>
          <w:szCs w:val="28"/>
        </w:rPr>
        <w:t xml:space="preserve"> July 2019).</w:t>
      </w:r>
    </w:p>
    <w:p w:rsidR="009268F4" w:rsidRDefault="006F531F">
      <w:pPr>
        <w:suppressAutoHyphens w:val="0"/>
        <w:spacing w:line="247" w:lineRule="auto"/>
        <w:textAlignment w:val="auto"/>
      </w:pPr>
      <w:r>
        <w:rPr>
          <w:sz w:val="28"/>
          <w:szCs w:val="28"/>
        </w:rPr>
        <w:t xml:space="preserve">Welsh Government (2019) </w:t>
      </w:r>
      <w:r>
        <w:rPr>
          <w:i/>
          <w:sz w:val="28"/>
          <w:szCs w:val="28"/>
        </w:rPr>
        <w:t>Draft Curriculum for Wales 2022: Health and Well-being</w:t>
      </w:r>
      <w:r>
        <w:rPr>
          <w:sz w:val="28"/>
          <w:szCs w:val="28"/>
        </w:rPr>
        <w:t xml:space="preserve">. Wales: Welsh Government. </w:t>
      </w:r>
    </w:p>
    <w:p w:rsidR="009268F4" w:rsidRDefault="006F531F">
      <w:r>
        <w:rPr>
          <w:rFonts w:cs="Calibri"/>
          <w:sz w:val="28"/>
          <w:szCs w:val="28"/>
        </w:rPr>
        <w:t xml:space="preserve">World Health Organisation (2019) Available at: </w:t>
      </w:r>
      <w:hyperlink r:id="rId31" w:history="1">
        <w:r>
          <w:rPr>
            <w:rStyle w:val="Hyperlink"/>
            <w:color w:val="auto"/>
            <w:sz w:val="28"/>
            <w:szCs w:val="28"/>
            <w:u w:val="none"/>
          </w:rPr>
          <w:t>h</w:t>
        </w:r>
        <w:r>
          <w:rPr>
            <w:rStyle w:val="Hyperlink"/>
            <w:color w:val="auto"/>
            <w:sz w:val="28"/>
            <w:szCs w:val="28"/>
            <w:u w:val="none"/>
          </w:rPr>
          <w:t>ttps://www.who.int</w:t>
        </w:r>
      </w:hyperlink>
      <w:r>
        <w:rPr>
          <w:sz w:val="28"/>
          <w:szCs w:val="28"/>
        </w:rPr>
        <w:t xml:space="preserve"> (Accessed: 29</w:t>
      </w:r>
      <w:r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June 2019).</w:t>
      </w:r>
    </w:p>
    <w:p w:rsidR="009268F4" w:rsidRDefault="009268F4">
      <w:pPr>
        <w:rPr>
          <w:sz w:val="28"/>
          <w:szCs w:val="28"/>
        </w:rPr>
      </w:pPr>
    </w:p>
    <w:p w:rsidR="009268F4" w:rsidRDefault="009268F4"/>
    <w:sectPr w:rsidR="009268F4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531F" w:rsidRDefault="006F531F">
      <w:pPr>
        <w:spacing w:after="0"/>
      </w:pPr>
      <w:r>
        <w:separator/>
      </w:r>
    </w:p>
  </w:endnote>
  <w:endnote w:type="continuationSeparator" w:id="0">
    <w:p w:rsidR="006F531F" w:rsidRDefault="006F531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531F" w:rsidRDefault="006F531F">
      <w:pPr>
        <w:spacing w:after="0"/>
      </w:pPr>
      <w:r>
        <w:rPr>
          <w:color w:val="000000"/>
        </w:rPr>
        <w:separator/>
      </w:r>
    </w:p>
  </w:footnote>
  <w:footnote w:type="continuationSeparator" w:id="0">
    <w:p w:rsidR="006F531F" w:rsidRDefault="006F531F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9268F4"/>
    <w:rsid w:val="005500BD"/>
    <w:rsid w:val="006F531F"/>
    <w:rsid w:val="009268F4"/>
    <w:rsid w:val="00B14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4677D2"/>
  <w15:docId w15:val="{AE94C9E7-810A-4F83-946F-66C3CCE1F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Pr>
      <w:color w:val="0000FF"/>
      <w:u w:val="single"/>
    </w:rPr>
  </w:style>
  <w:style w:type="character" w:styleId="UnresolvedMention">
    <w:name w:val="Unresolved Mention"/>
    <w:basedOn w:val="DefaultParagraphFont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llinsdictionary.com/" TargetMode="External"/><Relationship Id="rId13" Type="http://schemas.openxmlformats.org/officeDocument/2006/relationships/hyperlink" Target="https://www.childcareexpo.co.uk/what-must-we-do-to-reduce-anxiety-in-early-years-by-jane-evans/" TargetMode="External"/><Relationship Id="rId18" Type="http://schemas.openxmlformats.org/officeDocument/2006/relationships/hyperlink" Target="https://www.hampshirepsychology.co.uk/anxiety-service/" TargetMode="External"/><Relationship Id="rId26" Type="http://schemas.openxmlformats.org/officeDocument/2006/relationships/hyperlink" Target="https://doi.org/10.2478/raft-2018-0025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search-proquest-com.ergo.southwales.ac.uk/docview/195062436?rfr_id=info%3Axri%2Fsid%3Aprimo" TargetMode="External"/><Relationship Id="rId7" Type="http://schemas.openxmlformats.org/officeDocument/2006/relationships/hyperlink" Target="http://www.childrensrights.wales/index.php/right" TargetMode="External"/><Relationship Id="rId12" Type="http://schemas.openxmlformats.org/officeDocument/2006/relationships/hyperlink" Target="https://esrc.ukri.org/about-us/50-years-of-esrc/50-achievements/the-dahlgren-whitehead-rainbow/" TargetMode="External"/><Relationship Id="rId17" Type="http://schemas.openxmlformats.org/officeDocument/2006/relationships/hyperlink" Target="https://dx.doi.org/10.1007%2Fs10578-005-3491-3" TargetMode="External"/><Relationship Id="rId25" Type="http://schemas.openxmlformats.org/officeDocument/2006/relationships/hyperlink" Target="https://www.simplypsychology.org/maslow.htm" TargetMode="External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www.google.co.uk/search?tbm=isch&amp;q=children+playing&amp;chips=q:child+play,g_1:cartoon:XLDoH_gkODc%3D&amp;usg=AI4_-kQHwRUAeaLdE6iBPY-coEF51qU_OQ&amp;sa=X&amp;ved=0ahUKEwjFxLak4qDjAhW1SBUIHRSKD7EQ4lYIKigA&amp;biw=1366&amp;bih=657&amp;dpr=1#imgrc=wHqQHnrWBsYtdM:" TargetMode="External"/><Relationship Id="rId20" Type="http://schemas.openxmlformats.org/officeDocument/2006/relationships/hyperlink" Target="https://jesterskids.org/bicknacre/innovative-play/" TargetMode="External"/><Relationship Id="rId29" Type="http://schemas.openxmlformats.org/officeDocument/2006/relationships/hyperlink" Target="https://gweddill.gov.wales/topics/health/publications/health/reports/healthy-child/?lang=en" TargetMode="External"/><Relationship Id="rId1" Type="http://schemas.openxmlformats.org/officeDocument/2006/relationships/styles" Target="styles.xml"/><Relationship Id="rId6" Type="http://schemas.openxmlformats.org/officeDocument/2006/relationships/hyperlink" Target="https://dx.doi.org/10.4103%2Fjpgm.JPGM_65_18" TargetMode="External"/><Relationship Id="rId11" Type="http://schemas.openxmlformats.org/officeDocument/2006/relationships/hyperlink" Target="https://esrc.ukri.org/about-us/50-years-of-esrc/50-achievements/the-dahlgren-whitehead-rainbow/" TargetMode="External"/><Relationship Id="rId24" Type="http://schemas.openxmlformats.org/officeDocument/2006/relationships/hyperlink" Target="https://www.simplypsychology.org/bowlby.html" TargetMode="External"/><Relationship Id="rId32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s://www.google.co.uk/search?q=bronfenbrenner+ecological+systems+theory+simply+psychology&amp;source=lnms&amp;tbm=isch&amp;sa=X&amp;ved=0ahUKEwj6luvA3KDjAhXrRhUIHbBWDmkQ_AUIECgB&amp;biw=1366&amp;bih=657#imgrc=Z5G4M5_csyHyXM:" TargetMode="External"/><Relationship Id="rId23" Type="http://schemas.openxmlformats.org/officeDocument/2006/relationships/hyperlink" Target="http://www.wales.nhs.uk/sitesplus/888/page/43851" TargetMode="External"/><Relationship Id="rId28" Type="http://schemas.openxmlformats.org/officeDocument/2006/relationships/hyperlink" Target="https://gweddill.gov.wales/topics/health/nhswales/mental-health-services/policy/strategy/?lang=en" TargetMode="External"/><Relationship Id="rId10" Type="http://schemas.openxmlformats.org/officeDocument/2006/relationships/hyperlink" Target="https://assets.publishing.service.gov.uk/government/uploads/system/uploads/attachment_data/file/779401/Working_Together_to_Safeguard-Children.pdf" TargetMode="External"/><Relationship Id="rId19" Type="http://schemas.openxmlformats.org/officeDocument/2006/relationships/hyperlink" Target="http://www.primecentre.wales/frait.php" TargetMode="External"/><Relationship Id="rId31" Type="http://schemas.openxmlformats.org/officeDocument/2006/relationships/hyperlink" Target="https://www.who.int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dx.doi.org/10.1136/archdischild-2013-303768" TargetMode="External"/><Relationship Id="rId14" Type="http://schemas.openxmlformats.org/officeDocument/2006/relationships/hyperlink" Target="https://futuregenerations.wales/about-us/future-generations-act/" TargetMode="External"/><Relationship Id="rId22" Type="http://schemas.openxmlformats.org/officeDocument/2006/relationships/hyperlink" Target="https://www.assembly.wales/laid%20documents/cr-ld11522/cr-ld11522-e.pdf" TargetMode="External"/><Relationship Id="rId27" Type="http://schemas.openxmlformats.org/officeDocument/2006/relationships/hyperlink" Target="https://thefostercaretraininghub.co.uk/en/f2f-course/multi-agency-working-fostering" TargetMode="External"/><Relationship Id="rId30" Type="http://schemas.openxmlformats.org/officeDocument/2006/relationships/hyperlink" Target="https://gweddill.gov.wales/topics/health/nhswales/mental-health-services/policy/strategy/?lang=en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1759</Words>
  <Characters>10031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dixonnmuk@outlook.com</dc:creator>
  <dc:description/>
  <cp:lastModifiedBy>dixonnmuk@outlook.com</cp:lastModifiedBy>
  <cp:revision>3</cp:revision>
  <dcterms:created xsi:type="dcterms:W3CDTF">2019-07-09T22:19:00Z</dcterms:created>
  <dcterms:modified xsi:type="dcterms:W3CDTF">2019-07-09T22:19:00Z</dcterms:modified>
</cp:coreProperties>
</file>