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67419" w14:textId="2F722B33" w:rsidR="1AD03A20" w:rsidRDefault="1AD03A20" w:rsidP="166B55F9">
      <w:pPr>
        <w:jc w:val="center"/>
        <w:rPr>
          <w:rFonts w:ascii="Aptos" w:eastAsia="Aptos" w:hAnsi="Aptos" w:cs="Aptos"/>
          <w:b/>
          <w:bCs/>
        </w:rPr>
      </w:pPr>
      <w:r w:rsidRPr="166B55F9">
        <w:rPr>
          <w:rFonts w:ascii="Aptos" w:eastAsia="Aptos" w:hAnsi="Aptos" w:cs="Aptos"/>
          <w:b/>
          <w:bCs/>
          <w:u w:val="single"/>
        </w:rPr>
        <w:t>Dishonesty and Theft in the UK</w:t>
      </w:r>
    </w:p>
    <w:p w14:paraId="170601B6" w14:textId="5A1E2594" w:rsidR="166B55F9" w:rsidRDefault="166B55F9" w:rsidP="166B55F9"/>
    <w:p w14:paraId="0F4BF364" w14:textId="0E8F4C24" w:rsidR="3D874779" w:rsidRDefault="3D874779" w:rsidP="166B55F9">
      <w:r>
        <w:t xml:space="preserve">Dishonesty is a fundamental concept in the context of theft offenses in the UK legal system. This essay aims to examine the multifaceted nature of dishonesty and its pivotal role in relation to theft offenses. To accomplish this, the essay will explore the common law test of dishonesty, as established in cases such as Ivey v </w:t>
      </w:r>
      <w:proofErr w:type="spellStart"/>
      <w:r>
        <w:t>Genting</w:t>
      </w:r>
      <w:proofErr w:type="spellEnd"/>
      <w:r>
        <w:t xml:space="preserve"> Casinos UK Ltd (2017) and R v Ghosh (1982). By analyzing these cases and the broader legal framework, this essay will provide a comprehensive understanding of the concept of dishonesty and its application in theft offenses.</w:t>
      </w:r>
    </w:p>
    <w:p w14:paraId="7F045838" w14:textId="0E8AD0D0" w:rsidR="3D874779" w:rsidRDefault="3D874779" w:rsidP="166B55F9">
      <w:r>
        <w:t xml:space="preserve"> </w:t>
      </w:r>
    </w:p>
    <w:p w14:paraId="5845D01E" w14:textId="163B5E82" w:rsidR="62794497" w:rsidRDefault="62794497" w:rsidP="166B55F9">
      <w:r>
        <w:t>In the UK, theft is governed by the Theft Act 1968, which provides a legal definition of theft as the dishonest appropriation of property belonging to another with the intention to permanently deprive. This definition underscores the fundamental role of dishonesty within theft offenses. However, determining the parameters of dishonesty has been subject to judicial interpretation over the years, resulting in the formulation of various tests to assess this crucial element in theft cases.</w:t>
      </w:r>
    </w:p>
    <w:p w14:paraId="74B067F8" w14:textId="485FC167" w:rsidR="02D8C257" w:rsidRDefault="3D874779" w:rsidP="166B55F9">
      <w:r>
        <w:t xml:space="preserve"> </w:t>
      </w:r>
      <w:r w:rsidR="02D8C257">
        <w:t xml:space="preserve"> </w:t>
      </w:r>
    </w:p>
    <w:p w14:paraId="03CCD21E" w14:textId="07C6E078" w:rsidR="0C8D0FBC" w:rsidRDefault="0C8D0FBC" w:rsidP="166B55F9">
      <w:r>
        <w:t xml:space="preserve">One significant case that profoundly influenced the legal understanding of dishonesty within the context of theft offenses is R v Ghosh (1982). In this seminal case, the court introduced a two-limb test for dishonesty, which sought to strike a delicate balance between objective and subjective elements. The objective limb of the test required jurors to evaluate whether the defendant's actions would be deemed dishonest by the standards of ordinary reasonable people. Meanwhile, the subjective limb necessitated an examination of whether the defendant subjectively appreciated that their actions were dishonest according to those standards. This dual approach aimed to encompass both the societal perception of dishonesty and the defendant's personal understanding, thus ensuring a comprehensive assessment of culpability. </w:t>
      </w:r>
    </w:p>
    <w:p w14:paraId="4875DDFF" w14:textId="0E90D567" w:rsidR="0C8D0FBC" w:rsidRDefault="0C8D0FBC" w:rsidP="166B55F9">
      <w:r>
        <w:t xml:space="preserve">However, despite its purported inclusivity, the Ghosh test encountered substantial criticism over its subjectivity and potential for inconsistency in application. Critics argued that the subjective component introduced an element of unpredictability, making it challenging to ascertain a uniform standard of dishonesty across cases. In response to these concerns, the Supreme Court revisited the issue of dishonesty in the landmark case of Ivey v </w:t>
      </w:r>
      <w:proofErr w:type="spellStart"/>
      <w:r>
        <w:t>Genting</w:t>
      </w:r>
      <w:proofErr w:type="spellEnd"/>
      <w:r>
        <w:t xml:space="preserve"> Casinos UK Ltd (2017). Here, the court advocated for a paradigm shift towards a purely objective assessment of dishonesty, effectively discarding the subjective element of the Ghosh test. According to the ruling in Ivey, the test for dishonesty should hinge solely on whether the defendant's actions would be perceived as dishonest by the standards of ordinary people, devoid of any consideration for the defendant's personal beliefs or perceptions. This transition towards an objective test of dishonesty represented a significant departure from previous legal precedent, signaling a concerted effort to enhance clarity and consistency within legal proceedings. By establishing a uniform standard of dishonesty, the Ivey ruling aimed to streamline the adjudication process, facilitating more expeditious and equitable outcomes.</w:t>
      </w:r>
    </w:p>
    <w:p w14:paraId="5948E6F9" w14:textId="0F984111" w:rsidR="0C8D0FBC" w:rsidRDefault="0C8D0FBC" w:rsidP="166B55F9">
      <w:r>
        <w:t>However, notwithstanding the purported benefits of the objective test, lingering concerns persist regarding its potential ramifications on fairness and justice. Critics argue that the purely objective approach may inadvertently overlook crucial contextual nuances and individual circumstances, potentially leading to unjust outcomes, particularly in cases where cultural or personal idiosyncrasies influence perceptions of honesty. Moreover, the proliferation of cybercrimes and online fraud in contemporary society presents new challenges to the traditional understanding of dishonesty. Courts must adapt their interpretation of dishonest conduct to encompass these emerging forms of misconduct, ensuring that the legal framework remains robust and effective in combating theft in all its manifestations. In navigating the complexities surrounding dishonesty in theft offenses, the legal system finds itself confronted with the imperative of striking a delicate balance between objectivity and fairness. The ongoing discourse and debate surrounding the interpretation of dishonesty underscore the dynamic nature of legal principles and highlight the necessity for continual introspection and refinement in the pursuit of a just and equitable legal regime.</w:t>
      </w:r>
      <w:r w:rsidR="02D8C257">
        <w:t xml:space="preserve"> </w:t>
      </w:r>
      <w:r w:rsidR="3D874779">
        <w:t xml:space="preserve"> </w:t>
      </w:r>
    </w:p>
    <w:p w14:paraId="01D5E9BB" w14:textId="7E71F997" w:rsidR="166B55F9" w:rsidRDefault="166B55F9" w:rsidP="166B55F9"/>
    <w:p w14:paraId="0D158EAB" w14:textId="5E8B103A" w:rsidR="3EA316B0" w:rsidRDefault="3EA316B0" w:rsidP="166B55F9">
      <w:r>
        <w:t xml:space="preserve">The common law test of dishonesty, as established in cases like Ivey v </w:t>
      </w:r>
      <w:proofErr w:type="spellStart"/>
      <w:r>
        <w:t>Genting</w:t>
      </w:r>
      <w:proofErr w:type="spellEnd"/>
      <w:r>
        <w:t xml:space="preserve"> Casinos UK Ltd (2017), represents a significant evolution in the legal understanding of this concept. In Ivey, the Supreme Court departed from the previous subjective approach to dishonesty, as delineated in cases like R v Ghosh (1982), and advocated for a purely objective standard. Under the traditional subjective test articulated in Ghosh, the jury was required to consider whether the defendant's actions were dishonest according to the standards of ordinary people and whether the defendant knew that their actions were dishonest by those standards. This approach introduced a subjective element, allowing for the consideration of the defendant's personal beliefs and perceptions of dishonesty.</w:t>
      </w:r>
    </w:p>
    <w:p w14:paraId="6840EDFD" w14:textId="7E2FDA6A" w:rsidR="3EA316B0" w:rsidRDefault="3EA316B0" w:rsidP="166B55F9">
      <w:r>
        <w:t>However, the subjective test faced criticism for its potential inconsistency and unpredictability in application. In contrast, the objective test introduced in Ivey emphasized a purely objective assessment of dishonesty. According to the ruling in Ivey, the test for dishonesty should focus solely on whether the defendant's actions would be considered dishonest by the standards of ordinary people, without regard to the defendant's personal beliefs or perceptions. The impact of the Ivey decision on the legal landscape has been significant. By advocating for a purely objective standard of dishonesty, the ruling in Ivey aimed to provide greater clarity and consistency in the determination of dishonesty in legal proceedings. This shift has simplified the legal framework surrounding dishonesty, making it easier for judges and juries to assess culpability in theft cases.</w:t>
      </w:r>
    </w:p>
    <w:p w14:paraId="776F6B20" w14:textId="719278E2" w:rsidR="152CDA45" w:rsidRDefault="152CDA45" w:rsidP="166B55F9">
      <w:r>
        <w:t>So</w:t>
      </w:r>
      <w:r w:rsidR="3EA316B0">
        <w:t>, the move towards an objective test of dishonesty has also raised concerns about its potential implications for fairness and justice. Critics argue that by disregarding the defendant's subjective understanding of their actions, the objective test may lead to harsh outcomes, particularly in cases where cultural or individual differences influence perceptions of honesty. Moreover, the impact of the Ivey decision extends beyond theft offenses, influencing the interpretation of dishonesty across various areas of law. The ruling has prompted legal scholars and practitioners to reconsider their approach to dishonesty in legal proceedings, ensuring that the principles of fairness and justice are upheld.</w:t>
      </w:r>
    </w:p>
    <w:p w14:paraId="79C7B96F" w14:textId="27F60D64" w:rsidR="3EA316B0" w:rsidRDefault="3EA316B0" w:rsidP="166B55F9">
      <w:r>
        <w:t xml:space="preserve"> </w:t>
      </w:r>
    </w:p>
    <w:p w14:paraId="64292C23" w14:textId="02FD2B37" w:rsidR="3D874779" w:rsidRDefault="3D874779" w:rsidP="166B55F9">
      <w:r>
        <w:t xml:space="preserve"> </w:t>
      </w:r>
      <w:r w:rsidR="27230030">
        <w:t xml:space="preserve">In conclusion, the examination of dishonesty within the context of theft offenses in the UK legal system reveals its multifaceted nature and its pivotal role in shaping legal principles and societal norms. Dishonesty serves as a fundamental element in the definition of theft, as outlined in the Theft Act 1968, highlighting its significance in adjudicating cases of property appropriation. The evolution of the common law test of dishonesty, as evidenced by cases such as R v Ghosh (1982) and Ivey v </w:t>
      </w:r>
      <w:proofErr w:type="spellStart"/>
      <w:r w:rsidR="27230030">
        <w:t>Genting</w:t>
      </w:r>
      <w:proofErr w:type="spellEnd"/>
      <w:r w:rsidR="27230030">
        <w:t xml:space="preserve"> Casinos UK Ltd (2017), reflects the ongoing refinement and adaptation of legal principles to meet the demands of changing societal dynamics and emerging challenges. The transition from a subjective to an objective standard of dishonesty, as endorsed in Ivey, represents a notable departure from previous legal precedent and aims to provide greater clarity and consistency in legal proceedings.</w:t>
      </w:r>
    </w:p>
    <w:p w14:paraId="3664A504" w14:textId="2D827D09" w:rsidR="27230030" w:rsidRDefault="27230030" w:rsidP="166B55F9">
      <w:r>
        <w:t xml:space="preserve">However, while the objective test of dishonesty introduced in Ivey offers a more straightforward framework for assessing culpability, concerns persist regarding its potential impact on fairness and justice. Critics argue that the purely objective approach may overlook important contextual factors and individual circumstances, potentially leading to unjust outcomes, particularly in cases where cultural or personal differences influence perceptions of honesty. Furthermore, the advent of cybercrimes and online fraud presents new challenges to the concept of dishonesty, necessitating continual adaptation and refinement of legal frameworks to address evolving forms of misconduct. In navigating the complexities of dishonesty in theft offenses, the legal system must strike a delicate balance between objectivity and fairness, ensuring that justice is served while upholding the principles of due process and individual rights. The ongoing discourse and debate surrounding the interpretation of dishonesty </w:t>
      </w:r>
      <w:r w:rsidR="04F04DCE">
        <w:t>underscores</w:t>
      </w:r>
      <w:r>
        <w:t xml:space="preserve"> the dynamic nature of legal principles and the imperative of continuous reflection and refinement in the pursuit of a just and equitable legal system.</w:t>
      </w:r>
    </w:p>
    <w:p w14:paraId="60C732C9" w14:textId="04098494" w:rsidR="166B55F9" w:rsidRDefault="166B55F9" w:rsidP="166B55F9"/>
    <w:p w14:paraId="102E474C" w14:textId="446B15AB" w:rsidR="366BDFB5" w:rsidRDefault="366BDFB5" w:rsidP="166B55F9">
      <w:r>
        <w:t>References:</w:t>
      </w:r>
    </w:p>
    <w:p w14:paraId="094F689E" w14:textId="7AF735DA" w:rsidR="5F684596" w:rsidRDefault="5F684596" w:rsidP="166B55F9">
      <w:pPr>
        <w:pStyle w:val="ListParagraph"/>
        <w:numPr>
          <w:ilvl w:val="0"/>
          <w:numId w:val="1"/>
        </w:numPr>
      </w:pPr>
      <w:r>
        <w:t>Allen, M. (2019). Textbook on Criminal Law. Oxford University Press.</w:t>
      </w:r>
    </w:p>
    <w:p w14:paraId="7F7B44B7" w14:textId="42EC7EFC" w:rsidR="6E9B24E5" w:rsidRDefault="6E9B24E5" w:rsidP="166B55F9">
      <w:pPr>
        <w:pStyle w:val="ListParagraph"/>
        <w:numPr>
          <w:ilvl w:val="0"/>
          <w:numId w:val="1"/>
        </w:numPr>
      </w:pPr>
      <w:r>
        <w:t xml:space="preserve">1. </w:t>
      </w:r>
      <w:proofErr w:type="spellStart"/>
      <w:r>
        <w:t>Ashworth</w:t>
      </w:r>
      <w:proofErr w:type="spellEnd"/>
      <w:r>
        <w:t xml:space="preserve">, A. (2015). *Principles of Criminal Law.* Oxford University Press. </w:t>
      </w:r>
    </w:p>
    <w:p w14:paraId="42CD40CE" w14:textId="4E700E85" w:rsidR="6E9B24E5" w:rsidRDefault="6E9B24E5" w:rsidP="166B55F9">
      <w:pPr>
        <w:pStyle w:val="ListParagraph"/>
        <w:numPr>
          <w:ilvl w:val="0"/>
          <w:numId w:val="1"/>
        </w:numPr>
      </w:pPr>
      <w:r>
        <w:t xml:space="preserve">2. Elliott, C., &amp; Quinn, F. (2018). Criminal Law.Pearson Education Limited. </w:t>
      </w:r>
    </w:p>
    <w:p w14:paraId="576A5DD2" w14:textId="03848323" w:rsidR="6E9B24E5" w:rsidRDefault="6E9B24E5" w:rsidP="166B55F9">
      <w:pPr>
        <w:pStyle w:val="ListParagraph"/>
        <w:numPr>
          <w:ilvl w:val="0"/>
          <w:numId w:val="1"/>
        </w:numPr>
      </w:pPr>
      <w:r>
        <w:t xml:space="preserve">3. </w:t>
      </w:r>
      <w:proofErr w:type="spellStart"/>
      <w:r>
        <w:t>Griew</w:t>
      </w:r>
      <w:proofErr w:type="spellEnd"/>
      <w:r>
        <w:t xml:space="preserve">, E. (2015). Theft Acts 1968 &amp; 1978.Sweet &amp; Maxwell. </w:t>
      </w:r>
    </w:p>
    <w:p w14:paraId="277E3951" w14:textId="46CDB8CF" w:rsidR="6E9B24E5" w:rsidRDefault="6E9B24E5" w:rsidP="166B55F9">
      <w:pPr>
        <w:pStyle w:val="ListParagraph"/>
        <w:numPr>
          <w:ilvl w:val="0"/>
          <w:numId w:val="1"/>
        </w:numPr>
      </w:pPr>
      <w:r>
        <w:t xml:space="preserve">4. Legislation.gov.uk. 1968. Theft Act 1968. Available at: </w:t>
      </w:r>
      <w:hyperlink r:id="rId5">
        <w:r w:rsidRPr="166B55F9">
          <w:rPr>
            <w:rStyle w:val="Hyperlink"/>
          </w:rPr>
          <w:t>https://www.legislation.gov.uk/ukpga/1968/60/contents</w:t>
        </w:r>
      </w:hyperlink>
      <w:r>
        <w:t xml:space="preserve">) </w:t>
      </w:r>
      <w:r w:rsidR="43DF21D6">
        <w:t xml:space="preserve"> </w:t>
      </w:r>
      <w:r>
        <w:t xml:space="preserve">(Accessed 28 April 2024) </w:t>
      </w:r>
    </w:p>
    <w:p w14:paraId="0E231045" w14:textId="393A39F4" w:rsidR="6E9B24E5" w:rsidRDefault="6E9B24E5" w:rsidP="166B55F9">
      <w:pPr>
        <w:pStyle w:val="ListParagraph"/>
        <w:numPr>
          <w:ilvl w:val="0"/>
          <w:numId w:val="1"/>
        </w:numPr>
      </w:pPr>
      <w:r>
        <w:t xml:space="preserve">5. Oxford Academic - Journal Article on Dishonesty and Legal Culpability. (2018). Available at: </w:t>
      </w:r>
      <w:r w:rsidR="4F095724">
        <w:t xml:space="preserve"> </w:t>
      </w:r>
      <w:hyperlink r:id="rId6">
        <w:r w:rsidRPr="166B55F9">
          <w:rPr>
            <w:rStyle w:val="Hyperlink"/>
          </w:rPr>
          <w:t>https://academic.oup.com/bjc/article-abstract/60/3/473/256549</w:t>
        </w:r>
      </w:hyperlink>
      <w:r w:rsidR="66CC51B0">
        <w:t xml:space="preserve"> </w:t>
      </w:r>
      <w:r>
        <w:t xml:space="preserve"> (Accessed 28 April 2024) </w:t>
      </w:r>
    </w:p>
    <w:p w14:paraId="5FB07AD1" w14:textId="051276C9" w:rsidR="6E9B24E5" w:rsidRDefault="6E9B24E5" w:rsidP="166B55F9">
      <w:pPr>
        <w:pStyle w:val="ListParagraph"/>
        <w:numPr>
          <w:ilvl w:val="0"/>
          <w:numId w:val="1"/>
        </w:numPr>
      </w:pPr>
      <w:r>
        <w:t xml:space="preserve">6. Smith, J. C. (2016). Smith &amp; Hogan's Criminal Law. Oxford University Press. </w:t>
      </w:r>
    </w:p>
    <w:p w14:paraId="00D8DCAD" w14:textId="4D209307" w:rsidR="6E9B24E5" w:rsidRDefault="6E9B24E5" w:rsidP="166B55F9">
      <w:pPr>
        <w:pStyle w:val="ListParagraph"/>
        <w:numPr>
          <w:ilvl w:val="0"/>
          <w:numId w:val="1"/>
        </w:numPr>
      </w:pPr>
      <w:r>
        <w:t>7. The Guardian. (2017). Supreme Court rules casino magnate Phil Ivey cheated at baccarat.</w:t>
      </w:r>
      <w:r w:rsidR="727A00BC">
        <w:t xml:space="preserve"> </w:t>
      </w:r>
      <w:r>
        <w:t xml:space="preserve">Available at: </w:t>
      </w:r>
      <w:hyperlink r:id="rId7">
        <w:r w:rsidRPr="166B55F9">
          <w:rPr>
            <w:rStyle w:val="Hyperlink"/>
          </w:rPr>
          <w:t>https://www.theguardian.com/law/2017/oct/25/supreme-court-rules-casino-magnate-phil-ivey-cheated-at-baccarat</w:t>
        </w:r>
      </w:hyperlink>
      <w:r w:rsidR="1E6B49E5">
        <w:t xml:space="preserve"> </w:t>
      </w:r>
      <w:r>
        <w:t xml:space="preserve">(Accessed 28 April 2024) </w:t>
      </w:r>
    </w:p>
    <w:p w14:paraId="158822FC" w14:textId="5930A14A" w:rsidR="6E9B24E5" w:rsidRDefault="6E9B24E5" w:rsidP="166B55F9">
      <w:pPr>
        <w:pStyle w:val="ListParagraph"/>
        <w:numPr>
          <w:ilvl w:val="0"/>
          <w:numId w:val="1"/>
        </w:numPr>
      </w:pPr>
      <w:r>
        <w:t>8. The Law Society Gazette - Evolution of Theft Offenses.</w:t>
      </w:r>
      <w:r w:rsidR="4C05FECB">
        <w:t xml:space="preserve"> </w:t>
      </w:r>
      <w:r>
        <w:t xml:space="preserve"> Available at: </w:t>
      </w:r>
      <w:r w:rsidR="605E91D1">
        <w:t xml:space="preserve"> </w:t>
      </w:r>
      <w:hyperlink r:id="rId8">
        <w:r w:rsidRPr="166B55F9">
          <w:rPr>
            <w:rStyle w:val="Hyperlink"/>
          </w:rPr>
          <w:t>https://www.lawgazette.co.uk/law/have-theft-offences-kept-pace-with-evolving-crime/5107244.article</w:t>
        </w:r>
      </w:hyperlink>
      <w:r w:rsidR="727EFA64">
        <w:t xml:space="preserve"> </w:t>
      </w:r>
      <w:r w:rsidR="79A03DFC">
        <w:t xml:space="preserve"> </w:t>
      </w:r>
      <w:r>
        <w:t xml:space="preserve">(Accessed 28 April 2024) </w:t>
      </w:r>
    </w:p>
    <w:p w14:paraId="464A2F3A" w14:textId="739F361F" w:rsidR="6E9B24E5" w:rsidRDefault="6E9B24E5" w:rsidP="166B55F9">
      <w:pPr>
        <w:pStyle w:val="ListParagraph"/>
        <w:numPr>
          <w:ilvl w:val="0"/>
          <w:numId w:val="1"/>
        </w:numPr>
      </w:pPr>
      <w:r>
        <w:t xml:space="preserve">9. The Supreme Court. (2017). Ivey v </w:t>
      </w:r>
      <w:proofErr w:type="spellStart"/>
      <w:r>
        <w:t>Genting</w:t>
      </w:r>
      <w:proofErr w:type="spellEnd"/>
      <w:r>
        <w:t xml:space="preserve"> Casinos UK Ltd. Available at: </w:t>
      </w:r>
      <w:hyperlink r:id="rId9">
        <w:r w:rsidRPr="166B55F9">
          <w:rPr>
            <w:rStyle w:val="Hyperlink"/>
          </w:rPr>
          <w:t>https://www.supremecourt.uk/cases/uksc-2016-0213.html</w:t>
        </w:r>
      </w:hyperlink>
      <w:r w:rsidR="00D87AD3">
        <w:t xml:space="preserve"> </w:t>
      </w:r>
      <w:r>
        <w:t xml:space="preserve">(Accessed 28 April 2024) </w:t>
      </w:r>
    </w:p>
    <w:p w14:paraId="021393AC" w14:textId="1E71C97E" w:rsidR="6E9B24E5" w:rsidRDefault="6E9B24E5" w:rsidP="166B55F9">
      <w:pPr>
        <w:pStyle w:val="ListParagraph"/>
        <w:numPr>
          <w:ilvl w:val="0"/>
          <w:numId w:val="1"/>
        </w:numPr>
      </w:pPr>
      <w:r>
        <w:t>10. University of London. (1982). *R v Ghosh Case Summary.* Available at: [</w:t>
      </w:r>
      <w:hyperlink r:id="rId10">
        <w:r w:rsidRPr="166B55F9">
          <w:rPr>
            <w:rStyle w:val="Hyperlink"/>
          </w:rPr>
          <w:t>https://www.commonlii.org/uk/cases/UKHL/1982/9.html</w:t>
        </w:r>
      </w:hyperlink>
      <w:r>
        <w:t>]  (Accessed 28 April 2024)</w:t>
      </w:r>
      <w:r w:rsidR="366BDFB5">
        <w:t xml:space="preserve"> </w:t>
      </w:r>
    </w:p>
    <w:p w14:paraId="58545630" w14:textId="16CCAE8E" w:rsidR="166B55F9" w:rsidRDefault="166B55F9" w:rsidP="166B55F9"/>
    <w:p w14:paraId="2A0EFF24" w14:textId="3A8DAD18" w:rsidR="2DCFF995" w:rsidRDefault="2DCFF995" w:rsidP="166B55F9">
      <w:r>
        <w:t xml:space="preserve"> </w:t>
      </w:r>
    </w:p>
    <w:p w14:paraId="628C83A6" w14:textId="48A4695F" w:rsidR="166B55F9" w:rsidRDefault="166B55F9" w:rsidP="166B55F9"/>
    <w:sectPr w:rsidR="166B55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294982"/>
    <w:multiLevelType w:val="hybridMultilevel"/>
    <w:tmpl w:val="FFFFFFFF"/>
    <w:lvl w:ilvl="0" w:tplc="BE74DCAA">
      <w:start w:val="1"/>
      <w:numFmt w:val="decimal"/>
      <w:lvlText w:val="%1."/>
      <w:lvlJc w:val="left"/>
      <w:pPr>
        <w:ind w:left="720" w:hanging="360"/>
      </w:pPr>
    </w:lvl>
    <w:lvl w:ilvl="1" w:tplc="FA7AD91A">
      <w:start w:val="1"/>
      <w:numFmt w:val="lowerLetter"/>
      <w:lvlText w:val="%2."/>
      <w:lvlJc w:val="left"/>
      <w:pPr>
        <w:ind w:left="1440" w:hanging="360"/>
      </w:pPr>
    </w:lvl>
    <w:lvl w:ilvl="2" w:tplc="6DE20D86">
      <w:start w:val="1"/>
      <w:numFmt w:val="lowerRoman"/>
      <w:lvlText w:val="%3."/>
      <w:lvlJc w:val="right"/>
      <w:pPr>
        <w:ind w:left="2160" w:hanging="180"/>
      </w:pPr>
    </w:lvl>
    <w:lvl w:ilvl="3" w:tplc="2E3E6586">
      <w:start w:val="1"/>
      <w:numFmt w:val="decimal"/>
      <w:lvlText w:val="%4."/>
      <w:lvlJc w:val="left"/>
      <w:pPr>
        <w:ind w:left="2880" w:hanging="360"/>
      </w:pPr>
    </w:lvl>
    <w:lvl w:ilvl="4" w:tplc="53DEED08">
      <w:start w:val="1"/>
      <w:numFmt w:val="lowerLetter"/>
      <w:lvlText w:val="%5."/>
      <w:lvlJc w:val="left"/>
      <w:pPr>
        <w:ind w:left="3600" w:hanging="360"/>
      </w:pPr>
    </w:lvl>
    <w:lvl w:ilvl="5" w:tplc="F104DD08">
      <w:start w:val="1"/>
      <w:numFmt w:val="lowerRoman"/>
      <w:lvlText w:val="%6."/>
      <w:lvlJc w:val="right"/>
      <w:pPr>
        <w:ind w:left="4320" w:hanging="180"/>
      </w:pPr>
    </w:lvl>
    <w:lvl w:ilvl="6" w:tplc="F95E0F1C">
      <w:start w:val="1"/>
      <w:numFmt w:val="decimal"/>
      <w:lvlText w:val="%7."/>
      <w:lvlJc w:val="left"/>
      <w:pPr>
        <w:ind w:left="5040" w:hanging="360"/>
      </w:pPr>
    </w:lvl>
    <w:lvl w:ilvl="7" w:tplc="E482DC7A">
      <w:start w:val="1"/>
      <w:numFmt w:val="lowerLetter"/>
      <w:lvlText w:val="%8."/>
      <w:lvlJc w:val="left"/>
      <w:pPr>
        <w:ind w:left="5760" w:hanging="360"/>
      </w:pPr>
    </w:lvl>
    <w:lvl w:ilvl="8" w:tplc="B91E5C48">
      <w:start w:val="1"/>
      <w:numFmt w:val="lowerRoman"/>
      <w:lvlText w:val="%9."/>
      <w:lvlJc w:val="right"/>
      <w:pPr>
        <w:ind w:left="6480" w:hanging="180"/>
      </w:pPr>
    </w:lvl>
  </w:abstractNum>
  <w:abstractNum w:abstractNumId="1" w15:restartNumberingAfterBreak="0">
    <w:nsid w:val="663F9CCD"/>
    <w:multiLevelType w:val="hybridMultilevel"/>
    <w:tmpl w:val="FFFFFFFF"/>
    <w:lvl w:ilvl="0" w:tplc="D37603D6">
      <w:start w:val="1"/>
      <w:numFmt w:val="decimal"/>
      <w:lvlText w:val="%1."/>
      <w:lvlJc w:val="left"/>
      <w:pPr>
        <w:ind w:left="720" w:hanging="360"/>
      </w:pPr>
    </w:lvl>
    <w:lvl w:ilvl="1" w:tplc="7144A3EC">
      <w:start w:val="1"/>
      <w:numFmt w:val="lowerLetter"/>
      <w:lvlText w:val="%2."/>
      <w:lvlJc w:val="left"/>
      <w:pPr>
        <w:ind w:left="1440" w:hanging="360"/>
      </w:pPr>
    </w:lvl>
    <w:lvl w:ilvl="2" w:tplc="21CA9C44">
      <w:start w:val="1"/>
      <w:numFmt w:val="lowerRoman"/>
      <w:lvlText w:val="%3."/>
      <w:lvlJc w:val="right"/>
      <w:pPr>
        <w:ind w:left="2160" w:hanging="180"/>
      </w:pPr>
    </w:lvl>
    <w:lvl w:ilvl="3" w:tplc="7AC0AB22">
      <w:start w:val="1"/>
      <w:numFmt w:val="decimal"/>
      <w:lvlText w:val="%4."/>
      <w:lvlJc w:val="left"/>
      <w:pPr>
        <w:ind w:left="2880" w:hanging="360"/>
      </w:pPr>
    </w:lvl>
    <w:lvl w:ilvl="4" w:tplc="A8A69CC2">
      <w:start w:val="1"/>
      <w:numFmt w:val="lowerLetter"/>
      <w:lvlText w:val="%5."/>
      <w:lvlJc w:val="left"/>
      <w:pPr>
        <w:ind w:left="3600" w:hanging="360"/>
      </w:pPr>
    </w:lvl>
    <w:lvl w:ilvl="5" w:tplc="56B23E2E">
      <w:start w:val="1"/>
      <w:numFmt w:val="lowerRoman"/>
      <w:lvlText w:val="%6."/>
      <w:lvlJc w:val="right"/>
      <w:pPr>
        <w:ind w:left="4320" w:hanging="180"/>
      </w:pPr>
    </w:lvl>
    <w:lvl w:ilvl="6" w:tplc="B7E67328">
      <w:start w:val="1"/>
      <w:numFmt w:val="decimal"/>
      <w:lvlText w:val="%7."/>
      <w:lvlJc w:val="left"/>
      <w:pPr>
        <w:ind w:left="5040" w:hanging="360"/>
      </w:pPr>
    </w:lvl>
    <w:lvl w:ilvl="7" w:tplc="21AADFF2">
      <w:start w:val="1"/>
      <w:numFmt w:val="lowerLetter"/>
      <w:lvlText w:val="%8."/>
      <w:lvlJc w:val="left"/>
      <w:pPr>
        <w:ind w:left="5760" w:hanging="360"/>
      </w:pPr>
    </w:lvl>
    <w:lvl w:ilvl="8" w:tplc="C562E60C">
      <w:start w:val="1"/>
      <w:numFmt w:val="lowerRoman"/>
      <w:lvlText w:val="%9."/>
      <w:lvlJc w:val="right"/>
      <w:pPr>
        <w:ind w:left="6480" w:hanging="180"/>
      </w:pPr>
    </w:lvl>
  </w:abstractNum>
  <w:num w:numId="1" w16cid:durableId="471600516">
    <w:abstractNumId w:val="1"/>
  </w:num>
  <w:num w:numId="2" w16cid:durableId="1871065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E51D76"/>
    <w:rsid w:val="008F209E"/>
    <w:rsid w:val="00D87AD3"/>
    <w:rsid w:val="00EE7E20"/>
    <w:rsid w:val="01698BC1"/>
    <w:rsid w:val="02D8C257"/>
    <w:rsid w:val="03430B12"/>
    <w:rsid w:val="03BA812F"/>
    <w:rsid w:val="04F04DCE"/>
    <w:rsid w:val="0832EC99"/>
    <w:rsid w:val="08BC309A"/>
    <w:rsid w:val="0C8D0FBC"/>
    <w:rsid w:val="12416920"/>
    <w:rsid w:val="152CDA45"/>
    <w:rsid w:val="166B55F9"/>
    <w:rsid w:val="18F75618"/>
    <w:rsid w:val="1AD03A20"/>
    <w:rsid w:val="1D3CABD1"/>
    <w:rsid w:val="1D4A3FAD"/>
    <w:rsid w:val="1E6B49E5"/>
    <w:rsid w:val="2008CF56"/>
    <w:rsid w:val="20842956"/>
    <w:rsid w:val="25C2E898"/>
    <w:rsid w:val="25FD1C5A"/>
    <w:rsid w:val="27230030"/>
    <w:rsid w:val="2AD0B0B8"/>
    <w:rsid w:val="2D17E7C8"/>
    <w:rsid w:val="2DCFF995"/>
    <w:rsid w:val="2E3043A3"/>
    <w:rsid w:val="2E7E6426"/>
    <w:rsid w:val="2FB5F779"/>
    <w:rsid w:val="31372D6F"/>
    <w:rsid w:val="31F93FC5"/>
    <w:rsid w:val="343268B6"/>
    <w:rsid w:val="34562AF5"/>
    <w:rsid w:val="366BDFB5"/>
    <w:rsid w:val="36A037D7"/>
    <w:rsid w:val="36CD079C"/>
    <w:rsid w:val="39AF634B"/>
    <w:rsid w:val="3AE0F54E"/>
    <w:rsid w:val="3D5D4891"/>
    <w:rsid w:val="3D874779"/>
    <w:rsid w:val="3E5A54E3"/>
    <w:rsid w:val="3EA316B0"/>
    <w:rsid w:val="3FD72246"/>
    <w:rsid w:val="40497610"/>
    <w:rsid w:val="40736D66"/>
    <w:rsid w:val="42418979"/>
    <w:rsid w:val="43DF21D6"/>
    <w:rsid w:val="48CCB432"/>
    <w:rsid w:val="4B26540B"/>
    <w:rsid w:val="4C05FECB"/>
    <w:rsid w:val="4D7AB1CE"/>
    <w:rsid w:val="4F095724"/>
    <w:rsid w:val="501C2793"/>
    <w:rsid w:val="531DF4C4"/>
    <w:rsid w:val="533437B3"/>
    <w:rsid w:val="5399A443"/>
    <w:rsid w:val="5513C4CF"/>
    <w:rsid w:val="5608E6AE"/>
    <w:rsid w:val="56F293FD"/>
    <w:rsid w:val="5821E498"/>
    <w:rsid w:val="58531E74"/>
    <w:rsid w:val="597F756F"/>
    <w:rsid w:val="5A71BC98"/>
    <w:rsid w:val="5B85D297"/>
    <w:rsid w:val="5BDFBB97"/>
    <w:rsid w:val="5CE2A97B"/>
    <w:rsid w:val="5E8E1697"/>
    <w:rsid w:val="5F684596"/>
    <w:rsid w:val="5F9723B2"/>
    <w:rsid w:val="5FF1A095"/>
    <w:rsid w:val="605E91D1"/>
    <w:rsid w:val="60BB524D"/>
    <w:rsid w:val="62794497"/>
    <w:rsid w:val="653E9956"/>
    <w:rsid w:val="66CC51B0"/>
    <w:rsid w:val="66D8C8C3"/>
    <w:rsid w:val="66E21157"/>
    <w:rsid w:val="6AB3EFC6"/>
    <w:rsid w:val="6BB75016"/>
    <w:rsid w:val="6BE51D76"/>
    <w:rsid w:val="6BE84F2C"/>
    <w:rsid w:val="6CC975B8"/>
    <w:rsid w:val="6DE9DD4A"/>
    <w:rsid w:val="6E9B24E5"/>
    <w:rsid w:val="6F8B7DBC"/>
    <w:rsid w:val="705C72DF"/>
    <w:rsid w:val="71ECECA5"/>
    <w:rsid w:val="727A00BC"/>
    <w:rsid w:val="727EFA64"/>
    <w:rsid w:val="73A26BEF"/>
    <w:rsid w:val="746D9807"/>
    <w:rsid w:val="76A0E0A4"/>
    <w:rsid w:val="77A730F9"/>
    <w:rsid w:val="79A03DFC"/>
    <w:rsid w:val="7B2EA1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51D76"/>
  <w15:chartTrackingRefBased/>
  <w15:docId w15:val="{0DCAFA34-1573-43EF-B01E-12E3F8009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gazette.co.uk/law/have-theft-offences-kept-pace-with-evolving-crime/5107244.article" TargetMode="External"/><Relationship Id="rId3" Type="http://schemas.openxmlformats.org/officeDocument/2006/relationships/settings" Target="settings.xml"/><Relationship Id="rId7" Type="http://schemas.openxmlformats.org/officeDocument/2006/relationships/hyperlink" Target="https://www.theguardian.com/law/2017/oct/25/supreme-court-rules-casino-magnate-phil-ivey-cheated-at-baccara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cademic.oup.com/bjc/article-abstract/60/3/473/256549" TargetMode="External"/><Relationship Id="rId11" Type="http://schemas.openxmlformats.org/officeDocument/2006/relationships/fontTable" Target="fontTable.xml"/><Relationship Id="rId5" Type="http://schemas.openxmlformats.org/officeDocument/2006/relationships/hyperlink" Target="https://www.legislation.gov.uk/ukpga/1968/60/contents" TargetMode="External"/><Relationship Id="rId10" Type="http://schemas.openxmlformats.org/officeDocument/2006/relationships/hyperlink" Target="https://www.commonlii.org/uk/cases/UKHL/1982/9.html" TargetMode="External"/><Relationship Id="rId4" Type="http://schemas.openxmlformats.org/officeDocument/2006/relationships/webSettings" Target="webSettings.xml"/><Relationship Id="rId9" Type="http://schemas.openxmlformats.org/officeDocument/2006/relationships/hyperlink" Target="https://www.supremecourt.uk/cases/uksc-2016-0213.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1626</Words>
  <Characters>9274</Characters>
  <Application>Microsoft Office Word</Application>
  <DocSecurity>0</DocSecurity>
  <Lines>77</Lines>
  <Paragraphs>21</Paragraphs>
  <ScaleCrop>false</ScaleCrop>
  <Company/>
  <LinksUpToDate>false</LinksUpToDate>
  <CharactersWithSpaces>10879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Modora (2308137)</dc:creator>
  <cp:keywords/>
  <dc:description/>
  <cp:lastModifiedBy>Emilia Modora (2308137)</cp:lastModifiedBy>
  <cp:revision>2</cp:revision>
  <dcterms:created xsi:type="dcterms:W3CDTF">2024-04-30T14:02:00Z</dcterms:created>
  <dcterms:modified xsi:type="dcterms:W3CDTF">2024-05-03T10:16:00Z</dcterms:modified>
</cp:coreProperties>
</file>