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Event Risk Assessment:</w:t>
      </w:r>
    </w:p>
    <w:p w:rsidR="00000000" w:rsidDel="00000000" w:rsidP="00000000" w:rsidRDefault="00000000" w:rsidRPr="00000000" w14:paraId="00000002">
      <w:pPr>
        <w:rPr>
          <w:rFonts w:ascii="Calibri" w:cs="Calibri" w:eastAsia="Calibri" w:hAnsi="Calibri"/>
        </w:rPr>
      </w:pPr>
      <w:r w:rsidDel="00000000" w:rsidR="00000000" w:rsidRPr="00000000">
        <w:rPr>
          <w:rFonts w:ascii="Calibri" w:cs="Calibri" w:eastAsia="Calibri" w:hAnsi="Calibri"/>
          <w:rtl w:val="0"/>
        </w:rPr>
        <w:t xml:space="preserve">Title: Risk assessment at workplace                            Date: May 4th 2021 </w:t>
      </w:r>
    </w:p>
    <w:p w:rsidR="00000000" w:rsidDel="00000000" w:rsidP="00000000" w:rsidRDefault="00000000" w:rsidRPr="00000000" w14:paraId="00000003">
      <w:pPr>
        <w:rPr>
          <w:rFonts w:ascii="Calibri" w:cs="Calibri" w:eastAsia="Calibri" w:hAnsi="Calibri"/>
        </w:rPr>
      </w:pPr>
      <w:r w:rsidDel="00000000" w:rsidR="00000000" w:rsidRPr="00000000">
        <w:rPr>
          <w:rtl w:val="0"/>
        </w:rPr>
      </w:r>
    </w:p>
    <w:tbl>
      <w:tblPr>
        <w:tblStyle w:val="Table1"/>
        <w:tblW w:w="84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4"/>
        <w:gridCol w:w="5841"/>
        <w:tblGridChange w:id="0">
          <w:tblGrid>
            <w:gridCol w:w="2654"/>
            <w:gridCol w:w="5841"/>
          </w:tblGrid>
        </w:tblGridChange>
      </w:tblGrid>
      <w:tr>
        <w:tc>
          <w:tcPr>
            <w:shd w:fill="auto" w:val="clear"/>
          </w:tcPr>
          <w:p w:rsidR="00000000" w:rsidDel="00000000" w:rsidP="00000000" w:rsidRDefault="00000000" w:rsidRPr="00000000" w14:paraId="00000004">
            <w:pPr>
              <w:rPr/>
            </w:pPr>
            <w:r w:rsidDel="00000000" w:rsidR="00000000" w:rsidRPr="00000000">
              <w:rPr>
                <w:rtl w:val="0"/>
              </w:rPr>
              <w:t xml:space="preserve">Event Description</w:t>
            </w:r>
          </w:p>
        </w:tc>
        <w:tc>
          <w:tcPr>
            <w:shd w:fill="auto" w:val="clear"/>
          </w:tcPr>
          <w:p w:rsidR="00000000" w:rsidDel="00000000" w:rsidP="00000000" w:rsidRDefault="00000000" w:rsidRPr="00000000" w14:paraId="00000005">
            <w:pPr>
              <w:rPr/>
            </w:pPr>
            <w:r w:rsidDel="00000000" w:rsidR="00000000" w:rsidRPr="00000000">
              <w:rPr>
                <w:rtl w:val="0"/>
              </w:rPr>
              <w:t xml:space="preserve">Hospitality Event</w:t>
            </w:r>
          </w:p>
        </w:tc>
      </w:tr>
      <w:tr>
        <w:tc>
          <w:tcPr>
            <w:shd w:fill="auto" w:val="clear"/>
          </w:tcPr>
          <w:p w:rsidR="00000000" w:rsidDel="00000000" w:rsidP="00000000" w:rsidRDefault="00000000" w:rsidRPr="00000000" w14:paraId="00000006">
            <w:pPr>
              <w:rPr/>
            </w:pPr>
            <w:r w:rsidDel="00000000" w:rsidR="00000000" w:rsidRPr="00000000">
              <w:rPr>
                <w:rtl w:val="0"/>
              </w:rPr>
              <w:t xml:space="preserve">Department:</w:t>
            </w:r>
          </w:p>
        </w:tc>
        <w:tc>
          <w:tcPr>
            <w:shd w:fill="auto" w:val="clear"/>
          </w:tcPr>
          <w:p w:rsidR="00000000" w:rsidDel="00000000" w:rsidP="00000000" w:rsidRDefault="00000000" w:rsidRPr="00000000" w14:paraId="00000007">
            <w:pPr>
              <w:rPr/>
            </w:pPr>
            <w:r w:rsidDel="00000000" w:rsidR="00000000" w:rsidRPr="00000000">
              <w:rPr>
                <w:rtl w:val="0"/>
              </w:rPr>
            </w:r>
          </w:p>
        </w:tc>
      </w:tr>
      <w:tr>
        <w:tc>
          <w:tcPr>
            <w:shd w:fill="auto" w:val="clear"/>
          </w:tcPr>
          <w:p w:rsidR="00000000" w:rsidDel="00000000" w:rsidP="00000000" w:rsidRDefault="00000000" w:rsidRPr="00000000" w14:paraId="00000008">
            <w:pPr>
              <w:rPr/>
            </w:pPr>
            <w:r w:rsidDel="00000000" w:rsidR="00000000" w:rsidRPr="00000000">
              <w:rPr>
                <w:rtl w:val="0"/>
              </w:rPr>
              <w:t xml:space="preserve">Event Location:</w:t>
            </w:r>
          </w:p>
        </w:tc>
        <w:tc>
          <w:tcPr>
            <w:shd w:fill="auto" w:val="clear"/>
          </w:tcPr>
          <w:p w:rsidR="00000000" w:rsidDel="00000000" w:rsidP="00000000" w:rsidRDefault="00000000" w:rsidRPr="00000000" w14:paraId="00000009">
            <w:pPr>
              <w:rPr/>
            </w:pPr>
            <w:r w:rsidDel="00000000" w:rsidR="00000000" w:rsidRPr="00000000">
              <w:rPr>
                <w:rtl w:val="0"/>
              </w:rPr>
              <w:t xml:space="preserve">Hillside Care Home </w:t>
            </w:r>
          </w:p>
        </w:tc>
      </w:tr>
      <w:tr>
        <w:tc>
          <w:tcPr>
            <w:shd w:fill="auto" w:val="clear"/>
          </w:tcPr>
          <w:p w:rsidR="00000000" w:rsidDel="00000000" w:rsidP="00000000" w:rsidRDefault="00000000" w:rsidRPr="00000000" w14:paraId="0000000A">
            <w:pPr>
              <w:rPr/>
            </w:pPr>
            <w:r w:rsidDel="00000000" w:rsidR="00000000" w:rsidRPr="00000000">
              <w:rPr>
                <w:rtl w:val="0"/>
              </w:rPr>
              <w:t xml:space="preserve">Event Organiser (Module Lead) Name</w:t>
            </w:r>
          </w:p>
        </w:tc>
        <w:tc>
          <w:tcPr>
            <w:shd w:fill="auto" w:val="clear"/>
          </w:tcPr>
          <w:p w:rsidR="00000000" w:rsidDel="00000000" w:rsidP="00000000" w:rsidRDefault="00000000" w:rsidRPr="00000000" w14:paraId="0000000B">
            <w:pPr>
              <w:rPr/>
            </w:pPr>
            <w:r w:rsidDel="00000000" w:rsidR="00000000" w:rsidRPr="00000000">
              <w:rPr>
                <w:rtl w:val="0"/>
              </w:rPr>
              <w:t xml:space="preserve">Kelly Gordon </w:t>
            </w:r>
          </w:p>
        </w:tc>
      </w:tr>
      <w:tr>
        <w:tc>
          <w:tcPr>
            <w:shd w:fill="auto" w:val="clear"/>
          </w:tcPr>
          <w:p w:rsidR="00000000" w:rsidDel="00000000" w:rsidP="00000000" w:rsidRDefault="00000000" w:rsidRPr="00000000" w14:paraId="0000000C">
            <w:pPr>
              <w:rPr/>
            </w:pPr>
            <w:r w:rsidDel="00000000" w:rsidR="00000000" w:rsidRPr="00000000">
              <w:rPr>
                <w:rtl w:val="0"/>
              </w:rPr>
              <w:t xml:space="preserve">Student Event Manager </w:t>
            </w:r>
          </w:p>
        </w:tc>
        <w:tc>
          <w:tcPr>
            <w:shd w:fill="auto" w:val="clear"/>
          </w:tcPr>
          <w:p w:rsidR="00000000" w:rsidDel="00000000" w:rsidP="00000000" w:rsidRDefault="00000000" w:rsidRPr="00000000" w14:paraId="0000000D">
            <w:pPr>
              <w:rPr/>
            </w:pPr>
            <w:r w:rsidDel="00000000" w:rsidR="00000000" w:rsidRPr="00000000">
              <w:rPr>
                <w:rtl w:val="0"/>
              </w:rPr>
              <w:t xml:space="preserve">Kelly Gordon </w:t>
            </w:r>
          </w:p>
        </w:tc>
      </w:tr>
      <w:tr>
        <w:tc>
          <w:tcPr>
            <w:shd w:fill="auto" w:val="clear"/>
          </w:tcPr>
          <w:p w:rsidR="00000000" w:rsidDel="00000000" w:rsidP="00000000" w:rsidRDefault="00000000" w:rsidRPr="00000000" w14:paraId="0000000E">
            <w:pPr>
              <w:rPr/>
            </w:pPr>
            <w:r w:rsidDel="00000000" w:rsidR="00000000" w:rsidRPr="00000000">
              <w:rPr>
                <w:rtl w:val="0"/>
              </w:rPr>
              <w:t xml:space="preserve">Student Treasurer</w:t>
            </w:r>
          </w:p>
        </w:tc>
        <w:tc>
          <w:tcPr>
            <w:shd w:fill="auto" w:val="clear"/>
          </w:tcPr>
          <w:p w:rsidR="00000000" w:rsidDel="00000000" w:rsidP="00000000" w:rsidRDefault="00000000" w:rsidRPr="00000000" w14:paraId="0000000F">
            <w:pPr>
              <w:rPr/>
            </w:pPr>
            <w:r w:rsidDel="00000000" w:rsidR="00000000" w:rsidRPr="00000000">
              <w:rPr>
                <w:rtl w:val="0"/>
              </w:rPr>
              <w:t xml:space="preserve">N/A</w:t>
            </w:r>
          </w:p>
        </w:tc>
      </w:tr>
      <w:tr>
        <w:tc>
          <w:tcPr>
            <w:shd w:fill="auto" w:val="clear"/>
          </w:tcPr>
          <w:p w:rsidR="00000000" w:rsidDel="00000000" w:rsidP="00000000" w:rsidRDefault="00000000" w:rsidRPr="00000000" w14:paraId="00000010">
            <w:pPr>
              <w:rPr/>
            </w:pPr>
            <w:r w:rsidDel="00000000" w:rsidR="00000000" w:rsidRPr="00000000">
              <w:rPr>
                <w:rtl w:val="0"/>
              </w:rPr>
              <w:t xml:space="preserve">Number of staff attending</w:t>
            </w:r>
          </w:p>
        </w:tc>
        <w:tc>
          <w:tcPr>
            <w:shd w:fill="auto" w:val="clear"/>
          </w:tcPr>
          <w:p w:rsidR="00000000" w:rsidDel="00000000" w:rsidP="00000000" w:rsidRDefault="00000000" w:rsidRPr="00000000" w14:paraId="00000011">
            <w:pPr>
              <w:rPr/>
            </w:pPr>
            <w:r w:rsidDel="00000000" w:rsidR="00000000" w:rsidRPr="00000000">
              <w:rPr>
                <w:rtl w:val="0"/>
              </w:rPr>
              <w:t xml:space="preserve">16</w:t>
            </w:r>
          </w:p>
        </w:tc>
      </w:tr>
      <w:tr>
        <w:tc>
          <w:tcPr>
            <w:shd w:fill="auto" w:val="clear"/>
          </w:tcPr>
          <w:p w:rsidR="00000000" w:rsidDel="00000000" w:rsidP="00000000" w:rsidRDefault="00000000" w:rsidRPr="00000000" w14:paraId="00000012">
            <w:pPr>
              <w:rPr/>
            </w:pPr>
            <w:r w:rsidDel="00000000" w:rsidR="00000000" w:rsidRPr="00000000">
              <w:rPr>
                <w:rtl w:val="0"/>
              </w:rPr>
              <w:t xml:space="preserve">Staff with additional needs (please describe)</w:t>
            </w:r>
          </w:p>
        </w:tc>
        <w:tc>
          <w:tcPr>
            <w:shd w:fill="auto" w:val="clear"/>
          </w:tcPr>
          <w:p w:rsidR="00000000" w:rsidDel="00000000" w:rsidP="00000000" w:rsidRDefault="00000000" w:rsidRPr="00000000" w14:paraId="00000013">
            <w:pPr>
              <w:rPr/>
            </w:pPr>
            <w:r w:rsidDel="00000000" w:rsidR="00000000" w:rsidRPr="00000000">
              <w:rPr>
                <w:rtl w:val="0"/>
              </w:rPr>
              <w:t xml:space="preserve">None</w:t>
            </w:r>
          </w:p>
        </w:tc>
      </w:tr>
      <w:tr>
        <w:tc>
          <w:tcPr>
            <w:shd w:fill="auto" w:val="clear"/>
          </w:tcPr>
          <w:p w:rsidR="00000000" w:rsidDel="00000000" w:rsidP="00000000" w:rsidRDefault="00000000" w:rsidRPr="00000000" w14:paraId="00000014">
            <w:pPr>
              <w:rPr/>
            </w:pPr>
            <w:r w:rsidDel="00000000" w:rsidR="00000000" w:rsidRPr="00000000">
              <w:rPr>
                <w:rtl w:val="0"/>
              </w:rPr>
              <w:t xml:space="preserve">Other people attending</w:t>
            </w:r>
          </w:p>
        </w:tc>
        <w:tc>
          <w:tcPr>
            <w:shd w:fill="auto" w:val="clear"/>
          </w:tcPr>
          <w:p w:rsidR="00000000" w:rsidDel="00000000" w:rsidP="00000000" w:rsidRDefault="00000000" w:rsidRPr="00000000" w14:paraId="00000015">
            <w:pPr>
              <w:rPr/>
            </w:pPr>
            <w:r w:rsidDel="00000000" w:rsidR="00000000" w:rsidRPr="00000000">
              <w:rPr>
                <w:rtl w:val="0"/>
              </w:rPr>
              <w:t xml:space="preserve">0</w:t>
            </w:r>
          </w:p>
        </w:tc>
      </w:tr>
      <w:tr>
        <w:tc>
          <w:tcPr>
            <w:shd w:fill="auto" w:val="clear"/>
          </w:tcPr>
          <w:p w:rsidR="00000000" w:rsidDel="00000000" w:rsidP="00000000" w:rsidRDefault="00000000" w:rsidRPr="00000000" w14:paraId="00000016">
            <w:pPr>
              <w:rPr/>
            </w:pPr>
            <w:r w:rsidDel="00000000" w:rsidR="00000000" w:rsidRPr="00000000">
              <w:rPr>
                <w:rtl w:val="0"/>
              </w:rPr>
              <w:t xml:space="preserve">Number of first aiders attending</w:t>
            </w:r>
          </w:p>
        </w:tc>
        <w:tc>
          <w:tcPr>
            <w:shd w:fill="auto" w:val="clear"/>
          </w:tcPr>
          <w:p w:rsidR="00000000" w:rsidDel="00000000" w:rsidP="00000000" w:rsidRDefault="00000000" w:rsidRPr="00000000" w14:paraId="00000017">
            <w:pPr>
              <w:rPr/>
            </w:pPr>
            <w:r w:rsidDel="00000000" w:rsidR="00000000" w:rsidRPr="00000000">
              <w:rPr>
                <w:rtl w:val="0"/>
              </w:rPr>
              <w:t xml:space="preserve">3</w:t>
            </w:r>
          </w:p>
        </w:tc>
      </w:tr>
      <w:tr>
        <w:tc>
          <w:tcPr>
            <w:shd w:fill="auto" w:val="clear"/>
          </w:tcPr>
          <w:p w:rsidR="00000000" w:rsidDel="00000000" w:rsidP="00000000" w:rsidRDefault="00000000" w:rsidRPr="00000000" w14:paraId="00000018">
            <w:pPr>
              <w:rPr/>
            </w:pPr>
            <w:r w:rsidDel="00000000" w:rsidR="00000000" w:rsidRPr="00000000">
              <w:rPr>
                <w:rtl w:val="0"/>
              </w:rPr>
              <w:t xml:space="preserve">Start Date:</w:t>
            </w:r>
          </w:p>
        </w:tc>
        <w:tc>
          <w:tcPr>
            <w:shd w:fill="auto" w:val="clear"/>
          </w:tcPr>
          <w:p w:rsidR="00000000" w:rsidDel="00000000" w:rsidP="00000000" w:rsidRDefault="00000000" w:rsidRPr="00000000" w14:paraId="00000019">
            <w:pPr>
              <w:rPr/>
            </w:pPr>
            <w:r w:rsidDel="00000000" w:rsidR="00000000" w:rsidRPr="00000000">
              <w:rPr>
                <w:rtl w:val="0"/>
              </w:rPr>
              <w:t xml:space="preserve">04/05/2021</w:t>
            </w:r>
          </w:p>
        </w:tc>
      </w:tr>
      <w:tr>
        <w:tc>
          <w:tcPr>
            <w:shd w:fill="auto" w:val="clear"/>
          </w:tcPr>
          <w:p w:rsidR="00000000" w:rsidDel="00000000" w:rsidP="00000000" w:rsidRDefault="00000000" w:rsidRPr="00000000" w14:paraId="0000001A">
            <w:pPr>
              <w:rPr/>
            </w:pPr>
            <w:r w:rsidDel="00000000" w:rsidR="00000000" w:rsidRPr="00000000">
              <w:rPr>
                <w:rtl w:val="0"/>
              </w:rPr>
              <w:t xml:space="preserve">Return Date:</w:t>
            </w:r>
          </w:p>
        </w:tc>
        <w:tc>
          <w:tcPr>
            <w:shd w:fill="auto" w:val="clear"/>
          </w:tcPr>
          <w:p w:rsidR="00000000" w:rsidDel="00000000" w:rsidP="00000000" w:rsidRDefault="00000000" w:rsidRPr="00000000" w14:paraId="0000001B">
            <w:pPr>
              <w:rPr>
                <w:color w:val="000000"/>
              </w:rPr>
            </w:pPr>
            <w:r w:rsidDel="00000000" w:rsidR="00000000" w:rsidRPr="00000000">
              <w:rPr>
                <w:color w:val="000000"/>
                <w:rtl w:val="0"/>
              </w:rPr>
              <w:t xml:space="preserve">04/05/2021</w:t>
            </w:r>
          </w:p>
        </w:tc>
      </w:tr>
      <w:tr>
        <w:tc>
          <w:tcPr>
            <w:shd w:fill="auto" w:val="clear"/>
          </w:tcPr>
          <w:p w:rsidR="00000000" w:rsidDel="00000000" w:rsidP="00000000" w:rsidRDefault="00000000" w:rsidRPr="00000000" w14:paraId="0000001C">
            <w:pPr>
              <w:rPr/>
            </w:pPr>
            <w:r w:rsidDel="00000000" w:rsidR="00000000" w:rsidRPr="00000000">
              <w:rPr>
                <w:rtl w:val="0"/>
              </w:rPr>
              <w:t xml:space="preserve">Event Details:</w:t>
            </w:r>
          </w:p>
        </w:tc>
        <w:tc>
          <w:tcPr>
            <w:shd w:fill="auto" w:val="clear"/>
          </w:tcPr>
          <w:p w:rsidR="00000000" w:rsidDel="00000000" w:rsidP="00000000" w:rsidRDefault="00000000" w:rsidRPr="00000000" w14:paraId="0000001D">
            <w:pPr>
              <w:rPr/>
            </w:pPr>
            <w:r w:rsidDel="00000000" w:rsidR="00000000" w:rsidRPr="00000000">
              <w:rPr>
                <w:rtl w:val="0"/>
              </w:rPr>
            </w:r>
          </w:p>
        </w:tc>
      </w:tr>
      <w:tr>
        <w:tc>
          <w:tcPr>
            <w:shd w:fill="auto" w:val="clear"/>
          </w:tcPr>
          <w:p w:rsidR="00000000" w:rsidDel="00000000" w:rsidP="00000000" w:rsidRDefault="00000000" w:rsidRPr="00000000" w14:paraId="0000001E">
            <w:pPr>
              <w:rPr/>
            </w:pPr>
            <w:r w:rsidDel="00000000" w:rsidR="00000000" w:rsidRPr="00000000">
              <w:rPr>
                <w:rtl w:val="0"/>
              </w:rPr>
              <w:t xml:space="preserve">Route:</w:t>
            </w:r>
          </w:p>
        </w:tc>
        <w:tc>
          <w:tcPr>
            <w:shd w:fill="auto" w:val="clear"/>
          </w:tcPr>
          <w:p w:rsidR="00000000" w:rsidDel="00000000" w:rsidP="00000000" w:rsidRDefault="00000000" w:rsidRPr="00000000" w14:paraId="0000001F">
            <w:pPr>
              <w:rPr/>
            </w:pPr>
            <w:r w:rsidDel="00000000" w:rsidR="00000000" w:rsidRPr="00000000">
              <w:rPr>
                <w:rtl w:val="0"/>
              </w:rPr>
              <w:t xml:space="preserve">Take the lift from ground floor or use stairs to get to the 2nd floor </w:t>
            </w:r>
          </w:p>
        </w:tc>
      </w:tr>
      <w:tr>
        <w:tc>
          <w:tcPr>
            <w:shd w:fill="auto" w:val="clear"/>
          </w:tcPr>
          <w:p w:rsidR="00000000" w:rsidDel="00000000" w:rsidP="00000000" w:rsidRDefault="00000000" w:rsidRPr="00000000" w14:paraId="00000020">
            <w:pPr>
              <w:rPr/>
            </w:pPr>
            <w:r w:rsidDel="00000000" w:rsidR="00000000" w:rsidRPr="00000000">
              <w:rPr>
                <w:rtl w:val="0"/>
              </w:rPr>
              <w:t xml:space="preserve">Charity chosen:</w:t>
            </w:r>
          </w:p>
        </w:tc>
        <w:tc>
          <w:tcPr>
            <w:shd w:fill="auto" w:val="clear"/>
          </w:tcPr>
          <w:p w:rsidR="00000000" w:rsidDel="00000000" w:rsidP="00000000" w:rsidRDefault="00000000" w:rsidRPr="00000000" w14:paraId="00000021">
            <w:pPr>
              <w:rPr/>
            </w:pPr>
            <w:r w:rsidDel="00000000" w:rsidR="00000000" w:rsidRPr="00000000">
              <w:rPr>
                <w:rtl w:val="0"/>
              </w:rPr>
              <w:t xml:space="preserve">N/A</w:t>
            </w:r>
          </w:p>
        </w:tc>
      </w:tr>
    </w:tbl>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rFonts w:ascii="Calibri" w:cs="Calibri" w:eastAsia="Calibri" w:hAnsi="Calibri"/>
          <w:sz w:val="32"/>
          <w:szCs w:val="32"/>
        </w:rPr>
      </w:pPr>
      <w:r w:rsidDel="00000000" w:rsidR="00000000" w:rsidRPr="00000000">
        <w:rPr>
          <w:rtl w:val="0"/>
        </w:rPr>
      </w:r>
    </w:p>
    <w:tbl>
      <w:tblPr>
        <w:tblStyle w:val="Table2"/>
        <w:tblW w:w="84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95"/>
        <w:tblGridChange w:id="0">
          <w:tblGrid>
            <w:gridCol w:w="8495"/>
          </w:tblGrid>
        </w:tblGridChange>
      </w:tblGrid>
      <w:tr>
        <w:tc>
          <w:tcPr>
            <w:shd w:fill="auto" w:val="clear"/>
          </w:tcPr>
          <w:p w:rsidR="00000000" w:rsidDel="00000000" w:rsidP="00000000" w:rsidRDefault="00000000" w:rsidRPr="00000000" w14:paraId="00000027">
            <w:pPr>
              <w:rPr/>
            </w:pPr>
            <w:r w:rsidDel="00000000" w:rsidR="00000000" w:rsidRPr="00000000">
              <w:rPr>
                <w:rtl w:val="0"/>
              </w:rPr>
              <w:t xml:space="preserve">The Health and Safety at Work Act (HASAWA) 1974 is a  fundamental act regulating health and safety in the workplace in the United Kingdom. The Health and Safety Executive (HSE) is the governing body who regulates and enforces the legislation set out within the HASAWA alongside local and other enforcing authorities (Hse.gov, 2018).</w:t>
            </w:r>
          </w:p>
          <w:p w:rsidR="00000000" w:rsidDel="00000000" w:rsidP="00000000" w:rsidRDefault="00000000" w:rsidRPr="00000000" w14:paraId="00000028">
            <w:pPr>
              <w:rPr/>
            </w:pPr>
            <w:r w:rsidDel="00000000" w:rsidR="00000000" w:rsidRPr="00000000">
              <w:rPr>
                <w:rtl w:val="0"/>
              </w:rPr>
              <w:t xml:space="preserve">It is reported by Heery &amp; Noon (2008) that Health and Safety regulations were implemented to protect all employees at work and any other individuals within the setting. The regulations stipulate that any workplace who have more than five employees must  ensure they have a written Health and Safety policy in place to clearly outline the employer's obligations in relation to a safe and healthy workplace. The HASAWA (1974) additionally requires a completed risk assessment prior to any event commencing, this is to certify all organisers have taken appropriate saftety measures to minimise any harm coming to any participants and this is referred to as implementing ‘due diligence’ (Hse.gov, 2018).  Woods (2013) also acknowledges how preparing a risk assessment is a common task within mental health practitioners.</w:t>
            </w:r>
          </w:p>
          <w:p w:rsidR="00000000" w:rsidDel="00000000" w:rsidP="00000000" w:rsidRDefault="00000000" w:rsidRPr="00000000" w14:paraId="00000029">
            <w:pPr>
              <w:rPr/>
            </w:pPr>
            <w:r w:rsidDel="00000000" w:rsidR="00000000" w:rsidRPr="00000000">
              <w:rPr>
                <w:rtl w:val="0"/>
              </w:rPr>
              <w:t xml:space="preserve">The duty of care to all employees and attendees is the responsibilty of the employer regardless of the company’s size. The regulations include (but are not limited to) the provision of toilets, drinking water, first aid facilities and reporting and adequate insurance required by law. All employees have their own responsibility to ensure they adhere to all training provided for thier knowledge health and safety and are also responible for the care of their own health amongst other individuals within the same workplace. Any hazards identified by employees must be reported promptly to the supervisor at the time of incodent or the Health and Safety Representative (Hse.gov, 2018). The health and safety regulations were updated during 1999 and were set out under the Management of Health and Safety at Work Regulations (Hse.gov, 2016). However, The  Manual Handling Operations Regulations (1992) were introduced this was targeted to minimise the risks of manual handling in the workplace and to carry out regular risk assessments for all tasks involving pushing, pulling, lifting, lowering and carrying items or loads (Hse.gov, 2016).</w:t>
            </w:r>
          </w:p>
          <w:p w:rsidR="00000000" w:rsidDel="00000000" w:rsidP="00000000" w:rsidRDefault="00000000" w:rsidRPr="00000000" w14:paraId="0000002A">
            <w:pPr>
              <w:rPr/>
            </w:pPr>
            <w:r w:rsidDel="00000000" w:rsidR="00000000" w:rsidRPr="00000000">
              <w:rPr>
                <w:rtl w:val="0"/>
              </w:rPr>
              <w:t xml:space="preserve">The HASAWA demonstrates that many  regulations are  covered within a  workplace. Meggitt (2003) reports that the Food Safety Act (1990) was implemented in the United Kingdom  (UK) to guarantee that all premises who may provide or sell food are  prohibited from providing or selling any food that is unfit for consumption or that may cause a danger to health. According to the Food Standards Agency (FSA) (2018), further regulations were introduced in 1995 to regulate food hygiene and are referred to as the Food Safety (General Food Hygiene) Regulations 1995.</w:t>
            </w:r>
          </w:p>
          <w:p w:rsidR="00000000" w:rsidDel="00000000" w:rsidP="00000000" w:rsidRDefault="00000000" w:rsidRPr="00000000" w14:paraId="0000002B">
            <w:pPr>
              <w:rPr/>
            </w:pPr>
            <w:r w:rsidDel="00000000" w:rsidR="00000000" w:rsidRPr="00000000">
              <w:rPr>
                <w:rtl w:val="0"/>
              </w:rPr>
              <w:t xml:space="preserve">It is the employer's responsibility to ensure that all staff are adequately trained and supervised, a food safety system is in place and that all premises are registered with the local environmental health department within 4 weeks of opening (Food.gov,2018). Under European Law, there are fourteen ingredients that must be disclosed in any food provided by businesses, whether pre-packed or made on site. The four  ingredients are proven to cause danger to health for those with allergies  include fish, eggs, nuts and milk (Food.gov (2018).</w:t>
            </w:r>
          </w:p>
          <w:p w:rsidR="00000000" w:rsidDel="00000000" w:rsidP="00000000" w:rsidRDefault="00000000" w:rsidRPr="00000000" w14:paraId="0000002C">
            <w:pPr>
              <w:rPr/>
            </w:pPr>
            <w:r w:rsidDel="00000000" w:rsidR="00000000" w:rsidRPr="00000000">
              <w:rPr>
                <w:rtl w:val="0"/>
              </w:rPr>
              <w:t xml:space="preserve">The Regulatory Reform (Fire Safety) Order 2005 regulates fire safety in England and Wales for most premises however the HSE takes responsibility for construction sites, nuclear premises and ships (hse.gov, 2016). Specific fire safety risk assessments must be conducted, adequate and correct fire fighting equipment must be kept on site, fire exits and escape routes must be clearly marked and all staff must be trained on fire safety procedures (Gov.wales,2017).</w:t>
            </w:r>
          </w:p>
          <w:p w:rsidR="00000000" w:rsidDel="00000000" w:rsidP="00000000" w:rsidRDefault="00000000" w:rsidRPr="00000000" w14:paraId="0000002D">
            <w:pPr>
              <w:rPr/>
            </w:pPr>
            <w:r w:rsidDel="00000000" w:rsidR="00000000" w:rsidRPr="00000000">
              <w:rPr>
                <w:rtl w:val="0"/>
              </w:rPr>
              <w:t xml:space="preserve">Employers also have a legal obligation under the Health &amp; Safety (First Aid) Regulations 1981 to provide adequate training, equipment and staff to give immediate attention to anyone who is injured or becomes unwell at work (Hse.gov, 2015). </w:t>
            </w:r>
          </w:p>
          <w:p w:rsidR="00000000" w:rsidDel="00000000" w:rsidP="00000000" w:rsidRDefault="00000000" w:rsidRPr="00000000" w14:paraId="0000002E">
            <w:pPr>
              <w:rPr/>
            </w:pPr>
            <w:r w:rsidDel="00000000" w:rsidR="00000000" w:rsidRPr="00000000">
              <w:rPr>
                <w:rtl w:val="0"/>
              </w:rPr>
              <w:t xml:space="preserve"> When reporting any  Injuries, diseases and Dangerous Occurrences the Regulations act ( 2013)  employers need  to report all workplace instances to the Health and Safety Executive for recording purposes and if necessary to pass the information on to other regulators (Hse.gov, 2015). </w:t>
            </w:r>
          </w:p>
          <w:p w:rsidR="00000000" w:rsidDel="00000000" w:rsidP="00000000" w:rsidRDefault="00000000" w:rsidRPr="00000000" w14:paraId="0000002F">
            <w:pPr>
              <w:rPr>
                <w:b w:val="1"/>
              </w:rPr>
            </w:pPr>
            <w:r w:rsidDel="00000000" w:rsidR="00000000" w:rsidRPr="00000000">
              <w:rPr>
                <w:b w:val="1"/>
                <w:rtl w:val="0"/>
              </w:rPr>
              <w:t xml:space="preserve">References;</w:t>
            </w:r>
          </w:p>
          <w:p w:rsidR="00000000" w:rsidDel="00000000" w:rsidP="00000000" w:rsidRDefault="00000000" w:rsidRPr="00000000" w14:paraId="00000030">
            <w:pPr>
              <w:rPr/>
            </w:pPr>
            <w:r w:rsidDel="00000000" w:rsidR="00000000" w:rsidRPr="00000000">
              <w:rPr>
                <w:rtl w:val="0"/>
              </w:rPr>
              <w:t xml:space="preserve">Food.gov (2018</w:t>
            </w:r>
            <w:r w:rsidDel="00000000" w:rsidR="00000000" w:rsidRPr="00000000">
              <w:rPr>
                <w:i w:val="1"/>
                <w:rtl w:val="0"/>
              </w:rPr>
              <w:t xml:space="preserve">) Allergy and intolerance</w:t>
            </w:r>
            <w:r w:rsidDel="00000000" w:rsidR="00000000" w:rsidRPr="00000000">
              <w:rPr>
                <w:rtl w:val="0"/>
              </w:rPr>
              <w:t xml:space="preserve">.) {Online} Available at </w:t>
            </w:r>
            <w:hyperlink r:id="rId6">
              <w:r w:rsidDel="00000000" w:rsidR="00000000" w:rsidRPr="00000000">
                <w:rPr>
                  <w:color w:val="0000ff"/>
                  <w:u w:val="single"/>
                  <w:rtl w:val="0"/>
                </w:rPr>
                <w:t xml:space="preserve">www.food.gov.uk/science/allergy-intolerance</w:t>
              </w:r>
            </w:hyperlink>
            <w:r w:rsidDel="00000000" w:rsidR="00000000" w:rsidRPr="00000000">
              <w:rPr>
                <w:rtl w:val="0"/>
              </w:rPr>
              <w:t xml:space="preserve"> (Accessed 11 Jan 2018)</w:t>
            </w:r>
          </w:p>
          <w:p w:rsidR="00000000" w:rsidDel="00000000" w:rsidP="00000000" w:rsidRDefault="00000000" w:rsidRPr="00000000" w14:paraId="00000031">
            <w:pPr>
              <w:rPr/>
            </w:pPr>
            <w:r w:rsidDel="00000000" w:rsidR="00000000" w:rsidRPr="00000000">
              <w:rPr>
                <w:rtl w:val="0"/>
              </w:rPr>
              <w:t xml:space="preserve">Food.gov (2018) </w:t>
            </w:r>
            <w:r w:rsidDel="00000000" w:rsidR="00000000" w:rsidRPr="00000000">
              <w:rPr>
                <w:i w:val="1"/>
                <w:rtl w:val="0"/>
              </w:rPr>
              <w:t xml:space="preserve">The Food Safety Act 1990 – A guide for food businesses. </w:t>
            </w:r>
            <w:r w:rsidDel="00000000" w:rsidR="00000000" w:rsidRPr="00000000">
              <w:rPr>
                <w:rtl w:val="0"/>
              </w:rPr>
              <w:t xml:space="preserve">(9</w:t>
            </w:r>
            <w:r w:rsidDel="00000000" w:rsidR="00000000" w:rsidRPr="00000000">
              <w:rPr>
                <w:vertAlign w:val="superscript"/>
                <w:rtl w:val="0"/>
              </w:rPr>
              <w:t xml:space="preserve">th</w:t>
            </w:r>
            <w:r w:rsidDel="00000000" w:rsidR="00000000" w:rsidRPr="00000000">
              <w:rPr>
                <w:rtl w:val="0"/>
              </w:rPr>
              <w:t xml:space="preserve">.Ed) {Online} Available at </w:t>
            </w:r>
            <w:hyperlink r:id="rId7">
              <w:r w:rsidDel="00000000" w:rsidR="00000000" w:rsidRPr="00000000">
                <w:rPr>
                  <w:color w:val="0000ff"/>
                  <w:u w:val="single"/>
                  <w:rtl w:val="0"/>
                </w:rPr>
                <w:t xml:space="preserve">www.food.gov.uk/sites/default/files/multimedia/pdfs/fsactguide.pdf</w:t>
              </w:r>
            </w:hyperlink>
            <w:r w:rsidDel="00000000" w:rsidR="00000000" w:rsidRPr="00000000">
              <w:rPr>
                <w:rtl w:val="0"/>
              </w:rPr>
              <w:t xml:space="preserve"> (Accessed 09 Jan 2018)</w:t>
            </w:r>
          </w:p>
          <w:p w:rsidR="00000000" w:rsidDel="00000000" w:rsidP="00000000" w:rsidRDefault="00000000" w:rsidRPr="00000000" w14:paraId="00000032">
            <w:pPr>
              <w:rPr/>
            </w:pPr>
            <w:r w:rsidDel="00000000" w:rsidR="00000000" w:rsidRPr="00000000">
              <w:rPr>
                <w:rtl w:val="0"/>
              </w:rPr>
              <w:t xml:space="preserve">Gov.wales (2017) Part B (Fire Safety ) {Online} Available at </w:t>
            </w:r>
            <w:hyperlink r:id="rId8">
              <w:r w:rsidDel="00000000" w:rsidR="00000000" w:rsidRPr="00000000">
                <w:rPr>
                  <w:color w:val="0000ff"/>
                  <w:u w:val="single"/>
                  <w:rtl w:val="0"/>
                </w:rPr>
                <w:t xml:space="preserve">http://gov.wales/topics/planning/buildingregs/approved-documents/part-b-fire/?lang=en</w:t>
              </w:r>
            </w:hyperlink>
            <w:r w:rsidDel="00000000" w:rsidR="00000000" w:rsidRPr="00000000">
              <w:rPr>
                <w:rtl w:val="0"/>
              </w:rPr>
              <w:t xml:space="preserve"> (Accessed 09 Jan 2018)</w:t>
            </w:r>
          </w:p>
          <w:p w:rsidR="00000000" w:rsidDel="00000000" w:rsidP="00000000" w:rsidRDefault="00000000" w:rsidRPr="00000000" w14:paraId="00000033">
            <w:pPr>
              <w:rPr/>
            </w:pPr>
            <w:r w:rsidDel="00000000" w:rsidR="00000000" w:rsidRPr="00000000">
              <w:rPr>
                <w:rtl w:val="0"/>
              </w:rPr>
              <w:t xml:space="preserve">Hse.gov (2016) </w:t>
            </w:r>
            <w:r w:rsidDel="00000000" w:rsidR="00000000" w:rsidRPr="00000000">
              <w:rPr>
                <w:i w:val="1"/>
                <w:rtl w:val="0"/>
              </w:rPr>
              <w:t xml:space="preserve">Regulations</w:t>
            </w:r>
            <w:r w:rsidDel="00000000" w:rsidR="00000000" w:rsidRPr="00000000">
              <w:rPr>
                <w:rtl w:val="0"/>
              </w:rPr>
              <w:t xml:space="preserve">. {Online} Available at </w:t>
            </w:r>
            <w:hyperlink r:id="rId9">
              <w:r w:rsidDel="00000000" w:rsidR="00000000" w:rsidRPr="00000000">
                <w:rPr>
                  <w:color w:val="0000ff"/>
                  <w:u w:val="single"/>
                  <w:rtl w:val="0"/>
                </w:rPr>
                <w:t xml:space="preserve">http://www.hse.gov.uk/msd/pushpull/regulations.htm</w:t>
              </w:r>
            </w:hyperlink>
            <w:r w:rsidDel="00000000" w:rsidR="00000000" w:rsidRPr="00000000">
              <w:rPr>
                <w:rtl w:val="0"/>
              </w:rPr>
              <w:t xml:space="preserve"> (Accessed 11 Jan 2018)</w:t>
            </w:r>
          </w:p>
          <w:p w:rsidR="00000000" w:rsidDel="00000000" w:rsidP="00000000" w:rsidRDefault="00000000" w:rsidRPr="00000000" w14:paraId="00000034">
            <w:pPr>
              <w:rPr/>
            </w:pPr>
            <w:r w:rsidDel="00000000" w:rsidR="00000000" w:rsidRPr="00000000">
              <w:rPr>
                <w:rtl w:val="0"/>
              </w:rPr>
              <w:t xml:space="preserve">Hse.gov (2016) </w:t>
            </w:r>
            <w:r w:rsidDel="00000000" w:rsidR="00000000" w:rsidRPr="00000000">
              <w:rPr>
                <w:i w:val="1"/>
                <w:rtl w:val="0"/>
              </w:rPr>
              <w:t xml:space="preserve">Legislation</w:t>
            </w:r>
            <w:r w:rsidDel="00000000" w:rsidR="00000000" w:rsidRPr="00000000">
              <w:rPr>
                <w:rtl w:val="0"/>
              </w:rPr>
              <w:t xml:space="preserve">. {Online} Available at </w:t>
            </w:r>
            <w:hyperlink r:id="rId10">
              <w:r w:rsidDel="00000000" w:rsidR="00000000" w:rsidRPr="00000000">
                <w:rPr>
                  <w:color w:val="0000ff"/>
                  <w:u w:val="single"/>
                  <w:rtl w:val="0"/>
                </w:rPr>
                <w:t xml:space="preserve">http://www.hse.gov.uk/firstaid/legislation.htm</w:t>
              </w:r>
            </w:hyperlink>
            <w:r w:rsidDel="00000000" w:rsidR="00000000" w:rsidRPr="00000000">
              <w:rPr>
                <w:rtl w:val="0"/>
              </w:rPr>
              <w:t xml:space="preserve"> (Accessed 11 Jan 2018)</w:t>
            </w:r>
          </w:p>
          <w:p w:rsidR="00000000" w:rsidDel="00000000" w:rsidP="00000000" w:rsidRDefault="00000000" w:rsidRPr="00000000" w14:paraId="00000035">
            <w:pPr>
              <w:rPr/>
            </w:pPr>
            <w:r w:rsidDel="00000000" w:rsidR="00000000" w:rsidRPr="00000000">
              <w:rPr>
                <w:rtl w:val="0"/>
              </w:rPr>
              <w:t xml:space="preserve">Hse.gov (2015) </w:t>
            </w:r>
            <w:r w:rsidDel="00000000" w:rsidR="00000000" w:rsidRPr="00000000">
              <w:rPr>
                <w:i w:val="1"/>
                <w:rtl w:val="0"/>
              </w:rPr>
              <w:t xml:space="preserve">RIDDOR in Health and Social Care</w:t>
            </w:r>
            <w:r w:rsidDel="00000000" w:rsidR="00000000" w:rsidRPr="00000000">
              <w:rPr>
                <w:rtl w:val="0"/>
              </w:rPr>
              <w:t xml:space="preserve">. {Online} Available at </w:t>
            </w:r>
            <w:hyperlink r:id="rId11">
              <w:r w:rsidDel="00000000" w:rsidR="00000000" w:rsidRPr="00000000">
                <w:rPr>
                  <w:color w:val="0000ff"/>
                  <w:u w:val="single"/>
                  <w:rtl w:val="0"/>
                </w:rPr>
                <w:t xml:space="preserve">http://www.hse.gov.uk/healthservices/riddor.htm</w:t>
              </w:r>
            </w:hyperlink>
            <w:r w:rsidDel="00000000" w:rsidR="00000000" w:rsidRPr="00000000">
              <w:rPr>
                <w:rtl w:val="0"/>
              </w:rPr>
              <w:t xml:space="preserve"> (Accessed 11 Jan 2018)</w:t>
            </w:r>
          </w:p>
          <w:p w:rsidR="00000000" w:rsidDel="00000000" w:rsidP="00000000" w:rsidRDefault="00000000" w:rsidRPr="00000000" w14:paraId="00000036">
            <w:pPr>
              <w:rPr/>
            </w:pPr>
            <w:r w:rsidDel="00000000" w:rsidR="00000000" w:rsidRPr="00000000">
              <w:rPr>
                <w:rtl w:val="0"/>
              </w:rPr>
              <w:t xml:space="preserve">Hse.gov (2016) </w:t>
            </w:r>
            <w:r w:rsidDel="00000000" w:rsidR="00000000" w:rsidRPr="00000000">
              <w:rPr>
                <w:i w:val="1"/>
                <w:rtl w:val="0"/>
              </w:rPr>
              <w:t xml:space="preserve">Fire Safety</w:t>
            </w:r>
            <w:r w:rsidDel="00000000" w:rsidR="00000000" w:rsidRPr="00000000">
              <w:rPr>
                <w:rtl w:val="0"/>
              </w:rPr>
              <w:t xml:space="preserve">. {Online} Available at </w:t>
            </w:r>
            <w:hyperlink r:id="rId12">
              <w:r w:rsidDel="00000000" w:rsidR="00000000" w:rsidRPr="00000000">
                <w:rPr>
                  <w:color w:val="0000ff"/>
                  <w:u w:val="single"/>
                  <w:rtl w:val="0"/>
                </w:rPr>
                <w:t xml:space="preserve">www.hse.gov.uk/toolbox/fire.htm</w:t>
              </w:r>
            </w:hyperlink>
            <w:r w:rsidDel="00000000" w:rsidR="00000000" w:rsidRPr="00000000">
              <w:rPr>
                <w:rtl w:val="0"/>
              </w:rPr>
              <w:t xml:space="preserve"> (Accessed 09 Jan 2018)</w:t>
            </w:r>
          </w:p>
          <w:p w:rsidR="00000000" w:rsidDel="00000000" w:rsidP="00000000" w:rsidRDefault="00000000" w:rsidRPr="00000000" w14:paraId="00000037">
            <w:pPr>
              <w:rPr/>
            </w:pPr>
            <w:r w:rsidDel="00000000" w:rsidR="00000000" w:rsidRPr="00000000">
              <w:rPr>
                <w:rtl w:val="0"/>
              </w:rPr>
              <w:t xml:space="preserve">Hse.gov (2016) </w:t>
            </w:r>
            <w:r w:rsidDel="00000000" w:rsidR="00000000" w:rsidRPr="00000000">
              <w:rPr>
                <w:i w:val="1"/>
                <w:rtl w:val="0"/>
              </w:rPr>
              <w:t xml:space="preserve">Regulations</w:t>
            </w:r>
            <w:r w:rsidDel="00000000" w:rsidR="00000000" w:rsidRPr="00000000">
              <w:rPr>
                <w:rtl w:val="0"/>
              </w:rPr>
              <w:t xml:space="preserve">. {Online} Available at </w:t>
            </w:r>
            <w:hyperlink r:id="rId13">
              <w:r w:rsidDel="00000000" w:rsidR="00000000" w:rsidRPr="00000000">
                <w:rPr>
                  <w:color w:val="0000ff"/>
                  <w:u w:val="single"/>
                  <w:rtl w:val="0"/>
                </w:rPr>
                <w:t xml:space="preserve">http://www.hse.gov.uk/msd/pushpull/regulations.htm</w:t>
              </w:r>
            </w:hyperlink>
            <w:r w:rsidDel="00000000" w:rsidR="00000000" w:rsidRPr="00000000">
              <w:rPr>
                <w:rtl w:val="0"/>
              </w:rPr>
              <w:t xml:space="preserve"> (Accessed 11 Jan 2018)</w:t>
            </w:r>
          </w:p>
          <w:p w:rsidR="00000000" w:rsidDel="00000000" w:rsidP="00000000" w:rsidRDefault="00000000" w:rsidRPr="00000000" w14:paraId="00000038">
            <w:pPr>
              <w:rPr/>
            </w:pPr>
            <w:r w:rsidDel="00000000" w:rsidR="00000000" w:rsidRPr="00000000">
              <w:rPr>
                <w:rtl w:val="0"/>
              </w:rPr>
              <w:t xml:space="preserve">Hse.gov (2018) </w:t>
            </w:r>
            <w:r w:rsidDel="00000000" w:rsidR="00000000" w:rsidRPr="00000000">
              <w:rPr>
                <w:i w:val="1"/>
                <w:rtl w:val="0"/>
              </w:rPr>
              <w:t xml:space="preserve">Health and Safety at Work etc Act 1974.</w:t>
            </w:r>
            <w:r w:rsidDel="00000000" w:rsidR="00000000" w:rsidRPr="00000000">
              <w:rPr>
                <w:rtl w:val="0"/>
              </w:rPr>
              <w:t xml:space="preserve"> Health and Safety Executive {Online} Available at </w:t>
            </w:r>
            <w:hyperlink r:id="rId14">
              <w:r w:rsidDel="00000000" w:rsidR="00000000" w:rsidRPr="00000000">
                <w:rPr>
                  <w:color w:val="0000ff"/>
                  <w:u w:val="single"/>
                  <w:rtl w:val="0"/>
                </w:rPr>
                <w:t xml:space="preserve">www.hse.gov.uk/legislation/hswa.htm</w:t>
              </w:r>
            </w:hyperlink>
            <w:r w:rsidDel="00000000" w:rsidR="00000000" w:rsidRPr="00000000">
              <w:rPr>
                <w:rtl w:val="0"/>
              </w:rPr>
              <w:t xml:space="preserve"> (Accessed 08 Jan 2018)</w:t>
            </w:r>
          </w:p>
          <w:p w:rsidR="00000000" w:rsidDel="00000000" w:rsidP="00000000" w:rsidRDefault="00000000" w:rsidRPr="00000000" w14:paraId="00000039">
            <w:pPr>
              <w:rPr/>
            </w:pPr>
            <w:r w:rsidDel="00000000" w:rsidR="00000000" w:rsidRPr="00000000">
              <w:rPr>
                <w:rtl w:val="0"/>
              </w:rPr>
              <w:t xml:space="preserve">Heery, E. and Noon, M. (2008) </w:t>
            </w:r>
            <w:r w:rsidDel="00000000" w:rsidR="00000000" w:rsidRPr="00000000">
              <w:rPr>
                <w:i w:val="1"/>
                <w:rtl w:val="0"/>
              </w:rPr>
              <w:t xml:space="preserve">A Dictionary of Human Resource Management</w:t>
            </w:r>
            <w:r w:rsidDel="00000000" w:rsidR="00000000" w:rsidRPr="00000000">
              <w:rPr>
                <w:rtl w:val="0"/>
              </w:rPr>
              <w:t xml:space="preserve"> (2nd Ed.) Oxford: Oxford University Press</w:t>
            </w:r>
          </w:p>
          <w:p w:rsidR="00000000" w:rsidDel="00000000" w:rsidP="00000000" w:rsidRDefault="00000000" w:rsidRPr="00000000" w14:paraId="0000003A">
            <w:pPr>
              <w:rPr/>
            </w:pPr>
            <w:r w:rsidDel="00000000" w:rsidR="00000000" w:rsidRPr="00000000">
              <w:rPr>
                <w:rtl w:val="0"/>
              </w:rPr>
              <w:t xml:space="preserve">Meggitt, C. (2003) </w:t>
            </w:r>
            <w:r w:rsidDel="00000000" w:rsidR="00000000" w:rsidRPr="00000000">
              <w:rPr>
                <w:i w:val="1"/>
                <w:rtl w:val="0"/>
              </w:rPr>
              <w:t xml:space="preserve">Food Hygiene and Safety – A handbook for care practitioners</w:t>
            </w:r>
            <w:r w:rsidDel="00000000" w:rsidR="00000000" w:rsidRPr="00000000">
              <w:rPr>
                <w:rtl w:val="0"/>
              </w:rPr>
              <w:t xml:space="preserve">. Oxford: Heinemann Educational Publishers</w:t>
            </w:r>
          </w:p>
          <w:p w:rsidR="00000000" w:rsidDel="00000000" w:rsidP="00000000" w:rsidRDefault="00000000" w:rsidRPr="00000000" w14:paraId="0000003B">
            <w:pPr>
              <w:rPr/>
            </w:pPr>
            <w:r w:rsidDel="00000000" w:rsidR="00000000" w:rsidRPr="00000000">
              <w:rPr>
                <w:rtl w:val="0"/>
              </w:rPr>
              <w:t xml:space="preserve">Hse.gov (2018) Risk -Controlling the risks in the workplace. Health and Safety Executive {Online} Available at </w:t>
            </w:r>
            <w:hyperlink r:id="rId15">
              <w:r w:rsidDel="00000000" w:rsidR="00000000" w:rsidRPr="00000000">
                <w:rPr>
                  <w:color w:val="0000ff"/>
                  <w:u w:val="single"/>
                  <w:rtl w:val="0"/>
                </w:rPr>
                <w:t xml:space="preserve">www.hse..uk/risk/controlling-risks.htm</w:t>
              </w:r>
            </w:hyperlink>
            <w:r w:rsidDel="00000000" w:rsidR="00000000" w:rsidRPr="00000000">
              <w:rPr>
                <w:rtl w:val="0"/>
              </w:rPr>
              <w:t xml:space="preserve"> (Accessed 09 Jan 2018).</w:t>
            </w:r>
          </w:p>
          <w:p w:rsidR="00000000" w:rsidDel="00000000" w:rsidP="00000000" w:rsidRDefault="00000000" w:rsidRPr="00000000" w14:paraId="0000003C">
            <w:pPr>
              <w:rPr/>
            </w:pPr>
            <w:r w:rsidDel="00000000" w:rsidR="00000000" w:rsidRPr="00000000">
              <w:rPr>
                <w:rtl w:val="0"/>
              </w:rPr>
              <w:t xml:space="preserve">Woods, P. (2013) Risk assessment &amp;management approaches on mental health units. Journal of Psychatrict and mental health nursing. 20 (9) pp 507- 813.</w:t>
            </w:r>
          </w:p>
          <w:p w:rsidR="00000000" w:rsidDel="00000000" w:rsidP="00000000" w:rsidRDefault="00000000" w:rsidRPr="00000000" w14:paraId="0000003D">
            <w:pPr>
              <w:rPr/>
            </w:pPr>
            <w:r w:rsidDel="00000000" w:rsidR="00000000" w:rsidRPr="00000000">
              <w:rPr>
                <w:rtl w:val="0"/>
              </w:rPr>
            </w:r>
          </w:p>
        </w:tc>
      </w:tr>
    </w:tbl>
    <w:p w:rsidR="00000000" w:rsidDel="00000000" w:rsidP="00000000" w:rsidRDefault="00000000" w:rsidRPr="00000000" w14:paraId="0000003E">
      <w:pPr>
        <w:jc w:val="both"/>
        <w:rPr>
          <w:b w:val="1"/>
          <w:u w:val="single"/>
        </w:rPr>
        <w:sectPr>
          <w:headerReference r:id="rId16" w:type="default"/>
          <w:headerReference r:id="rId17" w:type="first"/>
          <w:footerReference r:id="rId18" w:type="default"/>
          <w:pgSz w:h="16840" w:w="11907" w:orient="portrait"/>
          <w:pgMar w:bottom="1559" w:top="1701" w:left="1701" w:right="1701" w:header="709" w:footer="709"/>
          <w:pgNumType w:start="1"/>
          <w:titlePg w:val="1"/>
        </w:sectPr>
      </w:pPr>
      <w:r w:rsidDel="00000000" w:rsidR="00000000" w:rsidRPr="00000000">
        <w:rPr>
          <w:rtl w:val="0"/>
        </w:rPr>
      </w:r>
    </w:p>
    <w:p w:rsidR="00000000" w:rsidDel="00000000" w:rsidP="00000000" w:rsidRDefault="00000000" w:rsidRPr="00000000" w14:paraId="0000003F">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Event Risk Assessment</w:t>
      </w:r>
    </w:p>
    <w:p w:rsidR="00000000" w:rsidDel="00000000" w:rsidP="00000000" w:rsidRDefault="00000000" w:rsidRPr="00000000" w14:paraId="00000040">
      <w:pPr>
        <w:rPr>
          <w:rFonts w:ascii="Calibri" w:cs="Calibri" w:eastAsia="Calibri" w:hAnsi="Calibri"/>
        </w:rPr>
      </w:pPr>
      <w:r w:rsidDel="00000000" w:rsidR="00000000" w:rsidRPr="00000000">
        <w:rPr>
          <w:rtl w:val="0"/>
        </w:rPr>
      </w:r>
    </w:p>
    <w:tbl>
      <w:tblPr>
        <w:tblStyle w:val="Table3"/>
        <w:tblW w:w="14000.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4"/>
        <w:gridCol w:w="3260"/>
        <w:gridCol w:w="2126"/>
        <w:gridCol w:w="3119"/>
        <w:gridCol w:w="2693"/>
        <w:gridCol w:w="1134"/>
        <w:gridCol w:w="1134"/>
        <w:tblGridChange w:id="0">
          <w:tblGrid>
            <w:gridCol w:w="534"/>
            <w:gridCol w:w="3260"/>
            <w:gridCol w:w="2126"/>
            <w:gridCol w:w="3119"/>
            <w:gridCol w:w="2693"/>
            <w:gridCol w:w="1134"/>
            <w:gridCol w:w="1134"/>
          </w:tblGrid>
        </w:tblGridChange>
      </w:tblGrid>
      <w:tr>
        <w:trPr>
          <w:trHeight w:val="322" w:hRule="atLeast"/>
        </w:trPr>
        <w:tc>
          <w:tcPr>
            <w:shd w:fill="c0c0c0" w:val="clear"/>
          </w:tcPr>
          <w:p w:rsidR="00000000" w:rsidDel="00000000" w:rsidP="00000000" w:rsidRDefault="00000000" w:rsidRPr="00000000" w14:paraId="00000041">
            <w:pPr>
              <w:jc w:val="center"/>
              <w:rPr>
                <w:rFonts w:ascii="Calibri" w:cs="Calibri" w:eastAsia="Calibri" w:hAnsi="Calibri"/>
              </w:rPr>
            </w:pPr>
            <w:r w:rsidDel="00000000" w:rsidR="00000000" w:rsidRPr="00000000">
              <w:rPr>
                <w:rFonts w:ascii="Calibri" w:cs="Calibri" w:eastAsia="Calibri" w:hAnsi="Calibri"/>
                <w:rtl w:val="0"/>
              </w:rPr>
              <w:t xml:space="preserve">Ref</w:t>
            </w:r>
          </w:p>
        </w:tc>
        <w:tc>
          <w:tcPr>
            <w:shd w:fill="c0c0c0" w:val="clear"/>
          </w:tcPr>
          <w:p w:rsidR="00000000" w:rsidDel="00000000" w:rsidP="00000000" w:rsidRDefault="00000000" w:rsidRPr="00000000" w14:paraId="00000042">
            <w:pPr>
              <w:jc w:val="center"/>
              <w:rPr>
                <w:rFonts w:ascii="Calibri" w:cs="Calibri" w:eastAsia="Calibri" w:hAnsi="Calibri"/>
              </w:rPr>
            </w:pPr>
            <w:r w:rsidDel="00000000" w:rsidR="00000000" w:rsidRPr="00000000">
              <w:rPr>
                <w:rFonts w:ascii="Calibri" w:cs="Calibri" w:eastAsia="Calibri" w:hAnsi="Calibri"/>
                <w:rtl w:val="0"/>
              </w:rPr>
              <w:t xml:space="preserve">Hazard / Task / Activity</w:t>
            </w:r>
          </w:p>
          <w:p w:rsidR="00000000" w:rsidDel="00000000" w:rsidP="00000000" w:rsidRDefault="00000000" w:rsidRPr="00000000" w14:paraId="00000043">
            <w:pPr>
              <w:jc w:val="center"/>
              <w:rPr>
                <w:rFonts w:ascii="Calibri" w:cs="Calibri" w:eastAsia="Calibri" w:hAnsi="Calibri"/>
              </w:rPr>
            </w:pPr>
            <w:r w:rsidDel="00000000" w:rsidR="00000000" w:rsidRPr="00000000">
              <w:rPr>
                <w:rFonts w:ascii="Calibri" w:cs="Calibri" w:eastAsia="Calibri" w:hAnsi="Calibri"/>
                <w:rtl w:val="0"/>
              </w:rPr>
              <w:t xml:space="preserve"> Area of Concern</w:t>
            </w:r>
          </w:p>
        </w:tc>
        <w:tc>
          <w:tcPr>
            <w:shd w:fill="c0c0c0" w:val="clear"/>
          </w:tcPr>
          <w:p w:rsidR="00000000" w:rsidDel="00000000" w:rsidP="00000000" w:rsidRDefault="00000000" w:rsidRPr="00000000" w14:paraId="00000044">
            <w:pPr>
              <w:jc w:val="center"/>
              <w:rPr>
                <w:rFonts w:ascii="Calibri" w:cs="Calibri" w:eastAsia="Calibri" w:hAnsi="Calibri"/>
              </w:rPr>
            </w:pPr>
            <w:r w:rsidDel="00000000" w:rsidR="00000000" w:rsidRPr="00000000">
              <w:rPr>
                <w:rFonts w:ascii="Calibri" w:cs="Calibri" w:eastAsia="Calibri" w:hAnsi="Calibri"/>
                <w:rtl w:val="0"/>
              </w:rPr>
              <w:t xml:space="preserve">Persons at Risk</w:t>
            </w:r>
          </w:p>
        </w:tc>
        <w:tc>
          <w:tcPr>
            <w:shd w:fill="c0c0c0" w:val="clear"/>
          </w:tcPr>
          <w:p w:rsidR="00000000" w:rsidDel="00000000" w:rsidP="00000000" w:rsidRDefault="00000000" w:rsidRPr="00000000" w14:paraId="00000045">
            <w:pPr>
              <w:jc w:val="center"/>
              <w:rPr>
                <w:rFonts w:ascii="Calibri" w:cs="Calibri" w:eastAsia="Calibri" w:hAnsi="Calibri"/>
              </w:rPr>
            </w:pPr>
            <w:r w:rsidDel="00000000" w:rsidR="00000000" w:rsidRPr="00000000">
              <w:rPr>
                <w:rFonts w:ascii="Calibri" w:cs="Calibri" w:eastAsia="Calibri" w:hAnsi="Calibri"/>
                <w:rtl w:val="0"/>
              </w:rPr>
              <w:t xml:space="preserve">Existing Controls</w:t>
            </w:r>
          </w:p>
        </w:tc>
        <w:tc>
          <w:tcPr>
            <w:shd w:fill="c0c0c0" w:val="clear"/>
          </w:tcPr>
          <w:p w:rsidR="00000000" w:rsidDel="00000000" w:rsidP="00000000" w:rsidRDefault="00000000" w:rsidRPr="00000000" w14:paraId="00000046">
            <w:pPr>
              <w:jc w:val="center"/>
              <w:rPr>
                <w:rFonts w:ascii="Calibri" w:cs="Calibri" w:eastAsia="Calibri" w:hAnsi="Calibri"/>
              </w:rPr>
            </w:pPr>
            <w:r w:rsidDel="00000000" w:rsidR="00000000" w:rsidRPr="00000000">
              <w:rPr>
                <w:rFonts w:ascii="Calibri" w:cs="Calibri" w:eastAsia="Calibri" w:hAnsi="Calibri"/>
                <w:rtl w:val="0"/>
              </w:rPr>
              <w:t xml:space="preserve">Describe Any Further Controls Actions Needed</w:t>
            </w:r>
          </w:p>
        </w:tc>
        <w:tc>
          <w:tcPr>
            <w:shd w:fill="c0c0c0" w:val="clear"/>
          </w:tcPr>
          <w:p w:rsidR="00000000" w:rsidDel="00000000" w:rsidP="00000000" w:rsidRDefault="00000000" w:rsidRPr="00000000" w14:paraId="00000047">
            <w:pPr>
              <w:jc w:val="center"/>
              <w:rPr>
                <w:rFonts w:ascii="Calibri" w:cs="Calibri" w:eastAsia="Calibri" w:hAnsi="Calibri"/>
              </w:rPr>
            </w:pPr>
            <w:r w:rsidDel="00000000" w:rsidR="00000000" w:rsidRPr="00000000">
              <w:rPr>
                <w:rFonts w:ascii="Calibri" w:cs="Calibri" w:eastAsia="Calibri" w:hAnsi="Calibri"/>
                <w:rtl w:val="0"/>
              </w:rPr>
              <w:t xml:space="preserve">Actions By Whom</w:t>
            </w:r>
          </w:p>
        </w:tc>
        <w:tc>
          <w:tcPr>
            <w:shd w:fill="c0c0c0" w:val="clear"/>
          </w:tcPr>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Action By When</w:t>
            </w:r>
          </w:p>
        </w:tc>
      </w:tr>
      <w:tr>
        <w:trPr>
          <w:trHeight w:val="659" w:hRule="atLeast"/>
        </w:trPr>
        <w:tc>
          <w:tcPr>
            <w:shd w:fill="auto" w:val="clear"/>
          </w:tcPr>
          <w:p w:rsidR="00000000" w:rsidDel="00000000" w:rsidP="00000000" w:rsidRDefault="00000000" w:rsidRPr="00000000" w14:paraId="00000049">
            <w:pPr>
              <w:rPr>
                <w:rFonts w:ascii="Calibri" w:cs="Calibri" w:eastAsia="Calibri" w:hAnsi="Calibri"/>
              </w:rPr>
            </w:pP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1</w:t>
            </w:r>
          </w:p>
        </w:tc>
        <w:tc>
          <w:tcPr>
            <w:shd w:fill="auto" w:val="clear"/>
          </w:tcPr>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Sloping </w:t>
            </w:r>
            <w:r w:rsidDel="00000000" w:rsidR="00000000" w:rsidRPr="00000000">
              <w:rPr>
                <w:rtl w:val="0"/>
              </w:rPr>
              <w:t xml:space="preserve">ceilings</w:t>
            </w:r>
            <w:r w:rsidDel="00000000" w:rsidR="00000000" w:rsidRPr="00000000">
              <w:rPr>
                <w:rFonts w:ascii="Calibri" w:cs="Calibri" w:eastAsia="Calibri" w:hAnsi="Calibri"/>
                <w:rtl w:val="0"/>
              </w:rPr>
              <w:t xml:space="preserve"> </w:t>
            </w:r>
            <w:r w:rsidDel="00000000" w:rsidR="00000000" w:rsidRPr="00000000">
              <w:rPr>
                <w:rtl w:val="0"/>
              </w:rPr>
              <w:t xml:space="preserve">within a room</w:t>
            </w:r>
            <w:r w:rsidDel="00000000" w:rsidR="00000000" w:rsidRPr="00000000">
              <w:rPr>
                <w:rFonts w:ascii="Calibri" w:cs="Calibri" w:eastAsia="Calibri" w:hAnsi="Calibri"/>
                <w:rtl w:val="0"/>
              </w:rPr>
              <w:t xml:space="preserve"> - can cause people to hit their heads when standing from a seated position on that side of the room.</w:t>
            </w:r>
          </w:p>
        </w:tc>
        <w:tc>
          <w:tcPr>
            <w:shd w:fill="auto" w:val="clear"/>
          </w:tcPr>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All attendees</w:t>
            </w:r>
          </w:p>
        </w:tc>
        <w:tc>
          <w:tcPr>
            <w:shd w:fill="auto" w:val="clear"/>
          </w:tcPr>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Walls are painted in a striking </w:t>
            </w:r>
            <w:r w:rsidDel="00000000" w:rsidR="00000000" w:rsidRPr="00000000">
              <w:rPr>
                <w:rtl w:val="0"/>
              </w:rPr>
              <w:t xml:space="preserve">yellow </w:t>
            </w:r>
            <w:r w:rsidDel="00000000" w:rsidR="00000000" w:rsidRPr="00000000">
              <w:rPr>
                <w:rFonts w:ascii="Calibri" w:cs="Calibri" w:eastAsia="Calibri" w:hAnsi="Calibri"/>
                <w:rtl w:val="0"/>
              </w:rPr>
              <w:t xml:space="preserve">colour with the sliding ceiling in bright white. Contrast in colours draws attention to the hazard </w:t>
            </w:r>
          </w:p>
        </w:tc>
        <w:tc>
          <w:tcPr>
            <w:shd w:fill="auto" w:val="clear"/>
          </w:tcPr>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Mention this at the start of the event. </w:t>
            </w:r>
            <w:r w:rsidDel="00000000" w:rsidR="00000000" w:rsidRPr="00000000">
              <w:rPr>
                <w:rtl w:val="0"/>
              </w:rPr>
              <w:t xml:space="preserve">Re-arrange</w:t>
            </w:r>
            <w:r w:rsidDel="00000000" w:rsidR="00000000" w:rsidRPr="00000000">
              <w:rPr>
                <w:rFonts w:ascii="Calibri" w:cs="Calibri" w:eastAsia="Calibri" w:hAnsi="Calibri"/>
                <w:rtl w:val="0"/>
              </w:rPr>
              <w:t xml:space="preserve"> furniture to avoid attendees sitting in this area. </w:t>
            </w:r>
          </w:p>
        </w:tc>
        <w:tc>
          <w:tcPr>
            <w:shd w:fill="auto" w:val="clear"/>
          </w:tcPr>
          <w:p w:rsidR="00000000" w:rsidDel="00000000" w:rsidP="00000000" w:rsidRDefault="00000000" w:rsidRPr="00000000" w14:paraId="0000004F">
            <w:pPr>
              <w:rPr>
                <w:rFonts w:ascii="Calibri" w:cs="Calibri" w:eastAsia="Calibri" w:hAnsi="Calibri"/>
                <w:b w:val="1"/>
              </w:rPr>
            </w:pPr>
            <w:r w:rsidDel="00000000" w:rsidR="00000000" w:rsidRPr="00000000">
              <w:rPr>
                <w:rFonts w:ascii="Calibri" w:cs="Calibri" w:eastAsia="Calibri" w:hAnsi="Calibri"/>
                <w:b w:val="1"/>
                <w:rtl w:val="0"/>
              </w:rPr>
              <w:t xml:space="preserve">Event Organiser</w:t>
            </w:r>
          </w:p>
        </w:tc>
        <w:tc>
          <w:tcPr>
            <w:shd w:fill="auto" w:val="clear"/>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42" w:hRule="atLeast"/>
        </w:trPr>
        <w:tc>
          <w:tcPr>
            <w:shd w:fill="auto" w:val="clear"/>
          </w:tcPr>
          <w:p w:rsidR="00000000" w:rsidDel="00000000" w:rsidP="00000000" w:rsidRDefault="00000000" w:rsidRPr="00000000" w14:paraId="00000051">
            <w:pPr>
              <w:rPr>
                <w:rFonts w:ascii="Calibri" w:cs="Calibri" w:eastAsia="Calibri" w:hAnsi="Calibri"/>
              </w:rPr>
            </w:pP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2</w:t>
            </w:r>
          </w:p>
        </w:tc>
        <w:tc>
          <w:tcPr>
            <w:shd w:fill="auto" w:val="clear"/>
          </w:tcPr>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Glass </w:t>
            </w:r>
            <w:r w:rsidDel="00000000" w:rsidR="00000000" w:rsidRPr="00000000">
              <w:rPr>
                <w:rtl w:val="0"/>
              </w:rPr>
              <w:t xml:space="preserve">doors</w:t>
            </w:r>
            <w:r w:rsidDel="00000000" w:rsidR="00000000" w:rsidRPr="00000000">
              <w:rPr>
                <w:rFonts w:ascii="Calibri" w:cs="Calibri" w:eastAsia="Calibri" w:hAnsi="Calibri"/>
                <w:rtl w:val="0"/>
              </w:rPr>
              <w:t xml:space="preserve">  could cause individuals to walk into</w:t>
            </w:r>
            <w:r w:rsidDel="00000000" w:rsidR="00000000" w:rsidRPr="00000000">
              <w:rPr>
                <w:rtl w:val="0"/>
              </w:rPr>
              <w:t xml:space="preserve">.</w:t>
            </w:r>
            <w:r w:rsidDel="00000000" w:rsidR="00000000" w:rsidRPr="00000000">
              <w:rPr>
                <w:rtl w:val="0"/>
              </w:rPr>
            </w:r>
          </w:p>
        </w:tc>
        <w:tc>
          <w:tcPr>
            <w:shd w:fill="auto" w:val="clear"/>
          </w:tcPr>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All attendees</w:t>
            </w:r>
          </w:p>
        </w:tc>
        <w:tc>
          <w:tcPr>
            <w:shd w:fill="auto" w:val="clear"/>
          </w:tcPr>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Stickers and decals are placed at </w:t>
            </w:r>
            <w:r w:rsidDel="00000000" w:rsidR="00000000" w:rsidRPr="00000000">
              <w:rPr>
                <w:rtl w:val="0"/>
              </w:rPr>
              <w:t xml:space="preserve">eye level</w:t>
            </w:r>
            <w:r w:rsidDel="00000000" w:rsidR="00000000" w:rsidRPr="00000000">
              <w:rPr>
                <w:rFonts w:ascii="Calibri" w:cs="Calibri" w:eastAsia="Calibri" w:hAnsi="Calibri"/>
                <w:rtl w:val="0"/>
              </w:rPr>
              <w:t xml:space="preserve"> on the glass to draw attention to the fact it is a glass wall.</w:t>
            </w:r>
          </w:p>
        </w:tc>
        <w:tc>
          <w:tcPr>
            <w:shd w:fill="auto" w:val="clear"/>
          </w:tcPr>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Mention this at the start of the event.</w:t>
            </w:r>
          </w:p>
        </w:tc>
        <w:tc>
          <w:tcPr>
            <w:shd w:fill="auto" w:val="clear"/>
          </w:tcPr>
          <w:p w:rsidR="00000000" w:rsidDel="00000000" w:rsidP="00000000" w:rsidRDefault="00000000" w:rsidRPr="00000000" w14:paraId="00000057">
            <w:pPr>
              <w:rPr>
                <w:rFonts w:ascii="Calibri" w:cs="Calibri" w:eastAsia="Calibri" w:hAnsi="Calibri"/>
                <w:b w:val="1"/>
              </w:rPr>
            </w:pPr>
            <w:r w:rsidDel="00000000" w:rsidR="00000000" w:rsidRPr="00000000">
              <w:rPr>
                <w:rFonts w:ascii="Calibri" w:cs="Calibri" w:eastAsia="Calibri" w:hAnsi="Calibri"/>
                <w:b w:val="1"/>
                <w:rtl w:val="0"/>
              </w:rPr>
              <w:t xml:space="preserve">Event Organiser</w:t>
            </w:r>
          </w:p>
        </w:tc>
        <w:tc>
          <w:tcPr>
            <w:shd w:fill="auto" w:val="clear"/>
          </w:tcPr>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59" w:hRule="atLeast"/>
        </w:trPr>
        <w:tc>
          <w:tcPr>
            <w:shd w:fill="auto" w:val="clear"/>
          </w:tcPr>
          <w:p w:rsidR="00000000" w:rsidDel="00000000" w:rsidP="00000000" w:rsidRDefault="00000000" w:rsidRPr="00000000" w14:paraId="00000059">
            <w:pPr>
              <w:rPr>
                <w:rFonts w:ascii="Calibri" w:cs="Calibri" w:eastAsia="Calibri" w:hAnsi="Calibri"/>
              </w:rPr>
            </w:pPr>
            <w:r w:rsidDel="00000000" w:rsidR="00000000" w:rsidRPr="00000000">
              <w:rPr>
                <w:rtl w:val="0"/>
              </w:rPr>
            </w:r>
          </w:p>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3</w:t>
            </w:r>
          </w:p>
        </w:tc>
        <w:tc>
          <w:tcPr>
            <w:shd w:fill="auto" w:val="clear"/>
          </w:tcPr>
          <w:p w:rsidR="00000000" w:rsidDel="00000000" w:rsidP="00000000" w:rsidRDefault="00000000" w:rsidRPr="00000000" w14:paraId="0000005B">
            <w:pPr>
              <w:rPr>
                <w:rFonts w:ascii="Calibri" w:cs="Calibri" w:eastAsia="Calibri" w:hAnsi="Calibri"/>
              </w:rPr>
            </w:pPr>
            <w:r w:rsidDel="00000000" w:rsidR="00000000" w:rsidRPr="00000000">
              <w:rPr>
                <w:rFonts w:ascii="Calibri" w:cs="Calibri" w:eastAsia="Calibri" w:hAnsi="Calibri"/>
                <w:rtl w:val="0"/>
              </w:rPr>
              <w:t xml:space="preserve">Food allergy for anyone with a hypersensitivity to nuts or other known ingredients linked to anaphylaxis. </w:t>
            </w:r>
          </w:p>
        </w:tc>
        <w:tc>
          <w:tcPr>
            <w:shd w:fill="auto" w:val="clear"/>
          </w:tcPr>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Any attendee with a nut or other allergy (known or unknown.)</w:t>
            </w:r>
          </w:p>
        </w:tc>
        <w:tc>
          <w:tcPr>
            <w:shd w:fill="auto" w:val="clear"/>
          </w:tcPr>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Food will be marked as vegan and vegetarian and a note will be visible stating that food was prepared in a kitchen where there may have been nuts present.</w:t>
            </w:r>
          </w:p>
        </w:tc>
        <w:tc>
          <w:tcPr>
            <w:shd w:fill="auto" w:val="clear"/>
          </w:tcPr>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First aiders on hand should a nut allergy incident occur. List all ingredients for all items of food served.</w:t>
            </w:r>
          </w:p>
        </w:tc>
        <w:tc>
          <w:tcPr>
            <w:shd w:fill="auto" w:val="clear"/>
          </w:tcPr>
          <w:p w:rsidR="00000000" w:rsidDel="00000000" w:rsidP="00000000" w:rsidRDefault="00000000" w:rsidRPr="00000000" w14:paraId="0000005F">
            <w:pPr>
              <w:rPr>
                <w:rFonts w:ascii="Calibri" w:cs="Calibri" w:eastAsia="Calibri" w:hAnsi="Calibri"/>
                <w:b w:val="1"/>
              </w:rPr>
            </w:pPr>
            <w:r w:rsidDel="00000000" w:rsidR="00000000" w:rsidRPr="00000000">
              <w:rPr>
                <w:rFonts w:ascii="Calibri" w:cs="Calibri" w:eastAsia="Calibri" w:hAnsi="Calibri"/>
                <w:b w:val="1"/>
                <w:rtl w:val="0"/>
              </w:rPr>
              <w:t xml:space="preserve">Event Organiser and Kitchen Staff.</w:t>
            </w:r>
          </w:p>
        </w:tc>
        <w:tc>
          <w:tcPr>
            <w:shd w:fill="auto" w:val="clear"/>
          </w:tcPr>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59" w:hRule="atLeast"/>
        </w:trPr>
        <w:tc>
          <w:tcPr>
            <w:shd w:fill="auto" w:val="clear"/>
          </w:tcPr>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4</w:t>
            </w:r>
          </w:p>
        </w:tc>
        <w:tc>
          <w:tcPr>
            <w:shd w:fill="auto" w:val="clear"/>
          </w:tcPr>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Fire exit plans to use the stairs in the event of a fire for wheelchair users.</w:t>
            </w:r>
          </w:p>
        </w:tc>
        <w:tc>
          <w:tcPr>
            <w:shd w:fill="auto" w:val="clear"/>
          </w:tcPr>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Any wheelchair using attendees.</w:t>
            </w:r>
          </w:p>
        </w:tc>
        <w:tc>
          <w:tcPr>
            <w:shd w:fill="auto" w:val="clear"/>
          </w:tcPr>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rtl w:val="0"/>
              </w:rPr>
              <w:t xml:space="preserve">Evac chairs checked and present at the property and fire Marshalls present </w:t>
            </w:r>
            <w:r w:rsidDel="00000000" w:rsidR="00000000" w:rsidRPr="00000000">
              <w:rPr>
                <w:rtl w:val="0"/>
              </w:rPr>
              <w:t xml:space="preserve">at the event</w:t>
            </w:r>
            <w:r w:rsidDel="00000000" w:rsidR="00000000" w:rsidRPr="00000000">
              <w:rPr>
                <w:rFonts w:ascii="Calibri" w:cs="Calibri" w:eastAsia="Calibri" w:hAnsi="Calibri"/>
                <w:rtl w:val="0"/>
              </w:rPr>
              <w:t xml:space="preserve">.</w:t>
            </w:r>
          </w:p>
        </w:tc>
        <w:tc>
          <w:tcPr>
            <w:shd w:fill="auto" w:val="clear"/>
          </w:tcPr>
          <w:p w:rsidR="00000000" w:rsidDel="00000000" w:rsidP="00000000" w:rsidRDefault="00000000" w:rsidRPr="00000000" w14:paraId="00000066">
            <w:pPr>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67">
            <w:pPr>
              <w:rPr>
                <w:rFonts w:ascii="Calibri" w:cs="Calibri" w:eastAsia="Calibri" w:hAnsi="Calibri"/>
                <w:b w:val="1"/>
              </w:rPr>
            </w:pPr>
            <w:r w:rsidDel="00000000" w:rsidR="00000000" w:rsidRPr="00000000">
              <w:rPr>
                <w:rFonts w:ascii="Calibri" w:cs="Calibri" w:eastAsia="Calibri" w:hAnsi="Calibri"/>
                <w:b w:val="1"/>
                <w:rtl w:val="0"/>
              </w:rPr>
              <w:t xml:space="preserve">Event Organiser and Fire Marshalls</w:t>
            </w:r>
          </w:p>
        </w:tc>
        <w:tc>
          <w:tcPr>
            <w:shd w:fill="auto" w:val="clear"/>
          </w:tcPr>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42" w:hRule="atLeast"/>
        </w:trPr>
        <w:tc>
          <w:tcPr>
            <w:shd w:fill="auto" w:val="clear"/>
          </w:tcPr>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5</w:t>
            </w:r>
          </w:p>
        </w:tc>
        <w:tc>
          <w:tcPr>
            <w:shd w:fill="auto" w:val="clear"/>
          </w:tcPr>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Hot drinks could cause an accident </w:t>
            </w:r>
            <w:r w:rsidDel="00000000" w:rsidR="00000000" w:rsidRPr="00000000">
              <w:rPr>
                <w:rtl w:val="0"/>
              </w:rPr>
              <w:t xml:space="preserve">within residents rooms or within lounge if not</w:t>
            </w:r>
            <w:r w:rsidDel="00000000" w:rsidR="00000000" w:rsidRPr="00000000">
              <w:rPr>
                <w:rFonts w:ascii="Calibri" w:cs="Calibri" w:eastAsia="Calibri" w:hAnsi="Calibri"/>
                <w:rtl w:val="0"/>
              </w:rPr>
              <w:t xml:space="preserve"> manned by staff</w:t>
            </w:r>
          </w:p>
        </w:tc>
        <w:tc>
          <w:tcPr>
            <w:shd w:fill="auto" w:val="clear"/>
          </w:tcPr>
          <w:p w:rsidR="00000000" w:rsidDel="00000000" w:rsidP="00000000" w:rsidRDefault="00000000" w:rsidRPr="00000000" w14:paraId="0000006C">
            <w:pPr>
              <w:rPr>
                <w:rFonts w:ascii="Calibri" w:cs="Calibri" w:eastAsia="Calibri" w:hAnsi="Calibri"/>
              </w:rPr>
            </w:pPr>
            <w:r w:rsidDel="00000000" w:rsidR="00000000" w:rsidRPr="00000000">
              <w:rPr>
                <w:rFonts w:ascii="Calibri" w:cs="Calibri" w:eastAsia="Calibri" w:hAnsi="Calibri"/>
                <w:rtl w:val="0"/>
              </w:rPr>
              <w:t xml:space="preserve">All attendees.</w:t>
            </w:r>
          </w:p>
        </w:tc>
        <w:tc>
          <w:tcPr>
            <w:shd w:fill="auto" w:val="clear"/>
          </w:tcPr>
          <w:p w:rsidR="00000000" w:rsidDel="00000000" w:rsidP="00000000" w:rsidRDefault="00000000" w:rsidRPr="00000000" w14:paraId="0000006D">
            <w:pPr>
              <w:rPr>
                <w:rFonts w:ascii="Calibri" w:cs="Calibri" w:eastAsia="Calibri" w:hAnsi="Calibri"/>
              </w:rPr>
            </w:pPr>
            <w:r w:rsidDel="00000000" w:rsidR="00000000" w:rsidRPr="00000000">
              <w:rPr>
                <w:rFonts w:ascii="Calibri" w:cs="Calibri" w:eastAsia="Calibri" w:hAnsi="Calibri"/>
                <w:rtl w:val="0"/>
              </w:rPr>
              <w:t xml:space="preserve">Hot beverage </w:t>
            </w:r>
            <w:r w:rsidDel="00000000" w:rsidR="00000000" w:rsidRPr="00000000">
              <w:rPr>
                <w:rtl w:val="0"/>
              </w:rPr>
              <w:t xml:space="preserve">to be </w:t>
            </w:r>
            <w:r w:rsidDel="00000000" w:rsidR="00000000" w:rsidRPr="00000000">
              <w:rPr>
                <w:rFonts w:ascii="Calibri" w:cs="Calibri" w:eastAsia="Calibri" w:hAnsi="Calibri"/>
                <w:rtl w:val="0"/>
              </w:rPr>
              <w:t xml:space="preserve">serviced by staff to advise residents a</w:t>
            </w:r>
            <w:r w:rsidDel="00000000" w:rsidR="00000000" w:rsidRPr="00000000">
              <w:rPr>
                <w:rtl w:val="0"/>
              </w:rPr>
              <w:t xml:space="preserve">nd individuals of </w:t>
            </w:r>
            <w:r w:rsidDel="00000000" w:rsidR="00000000" w:rsidRPr="00000000">
              <w:rPr>
                <w:rFonts w:ascii="Calibri" w:cs="Calibri" w:eastAsia="Calibri" w:hAnsi="Calibri"/>
                <w:rtl w:val="0"/>
              </w:rPr>
              <w:t xml:space="preserve"> “extremely hot water”.</w:t>
            </w:r>
          </w:p>
        </w:tc>
        <w:tc>
          <w:tcPr>
            <w:shd w:fill="auto" w:val="clear"/>
          </w:tcPr>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Prohibit hot beverages.</w:t>
            </w:r>
          </w:p>
        </w:tc>
        <w:tc>
          <w:tcPr>
            <w:shd w:fill="auto" w:val="clear"/>
          </w:tcPr>
          <w:p w:rsidR="00000000" w:rsidDel="00000000" w:rsidP="00000000" w:rsidRDefault="00000000" w:rsidRPr="00000000" w14:paraId="0000006F">
            <w:pPr>
              <w:rPr>
                <w:rFonts w:ascii="Calibri" w:cs="Calibri" w:eastAsia="Calibri" w:hAnsi="Calibri"/>
                <w:b w:val="1"/>
              </w:rPr>
            </w:pPr>
            <w:r w:rsidDel="00000000" w:rsidR="00000000" w:rsidRPr="00000000">
              <w:rPr>
                <w:rFonts w:ascii="Calibri" w:cs="Calibri" w:eastAsia="Calibri" w:hAnsi="Calibri"/>
                <w:b w:val="1"/>
                <w:rtl w:val="0"/>
              </w:rPr>
              <w:t xml:space="preserve">Event Organiser and Kitchen Staff.</w:t>
            </w:r>
          </w:p>
        </w:tc>
        <w:tc>
          <w:tcPr>
            <w:shd w:fill="auto" w:val="clear"/>
          </w:tcPr>
          <w:p w:rsidR="00000000" w:rsidDel="00000000" w:rsidP="00000000" w:rsidRDefault="00000000" w:rsidRPr="00000000" w14:paraId="00000070">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42" w:hRule="atLeast"/>
        </w:trPr>
        <w:tc>
          <w:tcPr>
            <w:shd w:fill="auto" w:val="clear"/>
          </w:tcPr>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6</w:t>
            </w:r>
          </w:p>
        </w:tc>
        <w:tc>
          <w:tcPr>
            <w:shd w:fill="auto" w:val="clear"/>
          </w:tcPr>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Furniture on wheels could cause someone to fall if wheels are not locked when leant on</w:t>
            </w:r>
          </w:p>
        </w:tc>
        <w:tc>
          <w:tcPr>
            <w:shd w:fill="auto" w:val="clear"/>
          </w:tcPr>
          <w:p w:rsidR="00000000" w:rsidDel="00000000" w:rsidP="00000000" w:rsidRDefault="00000000" w:rsidRPr="00000000" w14:paraId="00000073">
            <w:pPr>
              <w:rPr>
                <w:rFonts w:ascii="Calibri" w:cs="Calibri" w:eastAsia="Calibri" w:hAnsi="Calibri"/>
              </w:rPr>
            </w:pPr>
            <w:r w:rsidDel="00000000" w:rsidR="00000000" w:rsidRPr="00000000">
              <w:rPr>
                <w:rFonts w:ascii="Calibri" w:cs="Calibri" w:eastAsia="Calibri" w:hAnsi="Calibri"/>
                <w:rtl w:val="0"/>
              </w:rPr>
              <w:t xml:space="preserve">All attendees.</w:t>
            </w:r>
          </w:p>
        </w:tc>
        <w:tc>
          <w:tcPr>
            <w:shd w:fill="auto" w:val="clear"/>
          </w:tcPr>
          <w:p w:rsidR="00000000" w:rsidDel="00000000" w:rsidP="00000000" w:rsidRDefault="00000000" w:rsidRPr="00000000" w14:paraId="00000074">
            <w:pPr>
              <w:rPr>
                <w:rFonts w:ascii="Calibri" w:cs="Calibri" w:eastAsia="Calibri" w:hAnsi="Calibri"/>
              </w:rPr>
            </w:pPr>
            <w:r w:rsidDel="00000000" w:rsidR="00000000" w:rsidRPr="00000000">
              <w:rPr>
                <w:rFonts w:ascii="Calibri" w:cs="Calibri" w:eastAsia="Calibri" w:hAnsi="Calibri"/>
                <w:rtl w:val="0"/>
              </w:rPr>
              <w:t xml:space="preserve">All furniture to be checked prior </w:t>
            </w:r>
            <w:r w:rsidDel="00000000" w:rsidR="00000000" w:rsidRPr="00000000">
              <w:rPr>
                <w:rtl w:val="0"/>
              </w:rPr>
              <w:t xml:space="preserve">to the event</w:t>
            </w:r>
            <w:r w:rsidDel="00000000" w:rsidR="00000000" w:rsidRPr="00000000">
              <w:rPr>
                <w:rFonts w:ascii="Calibri" w:cs="Calibri" w:eastAsia="Calibri" w:hAnsi="Calibri"/>
                <w:rtl w:val="0"/>
              </w:rPr>
              <w:t xml:space="preserve"> to ensure that all wheels are locked.</w:t>
            </w:r>
          </w:p>
        </w:tc>
        <w:tc>
          <w:tcPr>
            <w:shd w:fill="auto" w:val="clear"/>
          </w:tcPr>
          <w:p w:rsidR="00000000" w:rsidDel="00000000" w:rsidP="00000000" w:rsidRDefault="00000000" w:rsidRPr="00000000" w14:paraId="00000075">
            <w:pPr>
              <w:rPr>
                <w:rFonts w:ascii="Calibri" w:cs="Calibri" w:eastAsia="Calibri" w:hAnsi="Calibri"/>
              </w:rPr>
            </w:pPr>
            <w:r w:rsidDel="00000000" w:rsidR="00000000" w:rsidRPr="00000000">
              <w:rPr>
                <w:rFonts w:ascii="Calibri" w:cs="Calibri" w:eastAsia="Calibri" w:hAnsi="Calibri"/>
                <w:rtl w:val="0"/>
              </w:rPr>
              <w:t xml:space="preserve">Potentially replace with static furniture.  </w:t>
            </w:r>
          </w:p>
        </w:tc>
        <w:tc>
          <w:tcPr>
            <w:shd w:fill="auto" w:val="clear"/>
          </w:tcPr>
          <w:p w:rsidR="00000000" w:rsidDel="00000000" w:rsidP="00000000" w:rsidRDefault="00000000" w:rsidRPr="00000000" w14:paraId="00000076">
            <w:pPr>
              <w:rPr>
                <w:rFonts w:ascii="Calibri" w:cs="Calibri" w:eastAsia="Calibri" w:hAnsi="Calibri"/>
                <w:b w:val="1"/>
              </w:rPr>
            </w:pPr>
            <w:r w:rsidDel="00000000" w:rsidR="00000000" w:rsidRPr="00000000">
              <w:rPr>
                <w:rFonts w:ascii="Calibri" w:cs="Calibri" w:eastAsia="Calibri" w:hAnsi="Calibri"/>
                <w:b w:val="1"/>
                <w:rtl w:val="0"/>
              </w:rPr>
              <w:t xml:space="preserve">Event Organiser</w:t>
            </w:r>
          </w:p>
        </w:tc>
        <w:tc>
          <w:tcPr>
            <w:shd w:fill="auto" w:val="clear"/>
          </w:tcPr>
          <w:p w:rsidR="00000000" w:rsidDel="00000000" w:rsidP="00000000" w:rsidRDefault="00000000" w:rsidRPr="00000000" w14:paraId="00000077">
            <w:pPr>
              <w:rPr>
                <w:rFonts w:ascii="Calibri" w:cs="Calibri" w:eastAsia="Calibri" w:hAnsi="Calibri"/>
              </w:rPr>
            </w:pPr>
            <w:r w:rsidDel="00000000" w:rsidR="00000000" w:rsidRPr="00000000">
              <w:rPr>
                <w:rFonts w:ascii="Calibri" w:cs="Calibri" w:eastAsia="Calibri" w:hAnsi="Calibri"/>
                <w:rtl w:val="0"/>
              </w:rPr>
              <w:t xml:space="preserve">Prior to event.</w:t>
            </w:r>
          </w:p>
        </w:tc>
      </w:tr>
      <w:tr>
        <w:trPr>
          <w:trHeight w:val="642" w:hRule="atLeast"/>
        </w:trPr>
        <w:tc>
          <w:tcPr>
            <w:shd w:fill="auto" w:val="clear"/>
          </w:tcPr>
          <w:p w:rsidR="00000000" w:rsidDel="00000000" w:rsidP="00000000" w:rsidRDefault="00000000" w:rsidRPr="00000000" w14:paraId="00000078">
            <w:pPr>
              <w:rPr>
                <w:rFonts w:ascii="Calibri" w:cs="Calibri" w:eastAsia="Calibri" w:hAnsi="Calibri"/>
              </w:rPr>
            </w:pPr>
            <w:r w:rsidDel="00000000" w:rsidR="00000000" w:rsidRPr="00000000">
              <w:rPr>
                <w:rFonts w:ascii="Calibri" w:cs="Calibri" w:eastAsia="Calibri" w:hAnsi="Calibri"/>
                <w:rtl w:val="0"/>
              </w:rPr>
              <w:t xml:space="preserve">7</w:t>
            </w:r>
          </w:p>
        </w:tc>
        <w:tc>
          <w:tcPr>
            <w:shd w:fill="auto" w:val="clear"/>
          </w:tcPr>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rtl w:val="0"/>
              </w:rPr>
              <w:t xml:space="preserve">No locks on </w:t>
            </w:r>
            <w:r w:rsidDel="00000000" w:rsidR="00000000" w:rsidRPr="00000000">
              <w:rPr>
                <w:rtl w:val="0"/>
              </w:rPr>
              <w:t xml:space="preserve">one of the staff toilets. </w:t>
            </w:r>
            <w:r w:rsidDel="00000000" w:rsidR="00000000" w:rsidRPr="00000000">
              <w:rPr>
                <w:rFonts w:ascii="Calibri" w:cs="Calibri" w:eastAsia="Calibri" w:hAnsi="Calibri"/>
                <w:rtl w:val="0"/>
              </w:rPr>
              <w:t xml:space="preserve">.</w:t>
            </w:r>
          </w:p>
        </w:tc>
        <w:tc>
          <w:tcPr>
            <w:shd w:fill="auto" w:val="clear"/>
          </w:tcPr>
          <w:p w:rsidR="00000000" w:rsidDel="00000000" w:rsidP="00000000" w:rsidRDefault="00000000" w:rsidRPr="00000000" w14:paraId="0000007A">
            <w:pPr>
              <w:rPr>
                <w:rFonts w:ascii="Calibri" w:cs="Calibri" w:eastAsia="Calibri" w:hAnsi="Calibri"/>
              </w:rPr>
            </w:pPr>
            <w:r w:rsidDel="00000000" w:rsidR="00000000" w:rsidRPr="00000000">
              <w:rPr>
                <w:rFonts w:ascii="Calibri" w:cs="Calibri" w:eastAsia="Calibri" w:hAnsi="Calibri"/>
                <w:rtl w:val="0"/>
              </w:rPr>
              <w:t xml:space="preserve">All </w:t>
            </w:r>
            <w:r w:rsidDel="00000000" w:rsidR="00000000" w:rsidRPr="00000000">
              <w:rPr>
                <w:rtl w:val="0"/>
              </w:rPr>
              <w:t xml:space="preserve">staff</w:t>
            </w:r>
            <w:r w:rsidDel="00000000" w:rsidR="00000000" w:rsidRPr="00000000">
              <w:rPr>
                <w:rFonts w:ascii="Calibri" w:cs="Calibri" w:eastAsia="Calibri" w:hAnsi="Calibri"/>
                <w:rtl w:val="0"/>
              </w:rPr>
              <w:t xml:space="preserve">.</w:t>
            </w:r>
          </w:p>
        </w:tc>
        <w:tc>
          <w:tcPr>
            <w:shd w:fill="auto" w:val="clear"/>
          </w:tcPr>
          <w:p w:rsidR="00000000" w:rsidDel="00000000" w:rsidP="00000000" w:rsidRDefault="00000000" w:rsidRPr="00000000" w14:paraId="0000007B">
            <w:pPr>
              <w:rPr>
                <w:rFonts w:ascii="Calibri" w:cs="Calibri" w:eastAsia="Calibri" w:hAnsi="Calibri"/>
              </w:rPr>
            </w:pPr>
            <w:r w:rsidDel="00000000" w:rsidR="00000000" w:rsidRPr="00000000">
              <w:rPr>
                <w:rFonts w:ascii="Calibri" w:cs="Calibri" w:eastAsia="Calibri" w:hAnsi="Calibri"/>
                <w:rtl w:val="0"/>
              </w:rPr>
              <w:t xml:space="preserve">Immediate request to Building Services to install locks on cubicle doors.</w:t>
            </w:r>
          </w:p>
        </w:tc>
        <w:tc>
          <w:tcPr>
            <w:shd w:fill="auto" w:val="clear"/>
          </w:tcPr>
          <w:p w:rsidR="00000000" w:rsidDel="00000000" w:rsidP="00000000" w:rsidRDefault="00000000" w:rsidRPr="00000000" w14:paraId="0000007C">
            <w:pPr>
              <w:rPr>
                <w:rFonts w:ascii="Calibri" w:cs="Calibri" w:eastAsia="Calibri" w:hAnsi="Calibri"/>
              </w:rPr>
            </w:pPr>
            <w:r w:rsidDel="00000000" w:rsidR="00000000" w:rsidRPr="00000000">
              <w:rPr>
                <w:rtl w:val="0"/>
              </w:rPr>
            </w:r>
          </w:p>
        </w:tc>
        <w:tc>
          <w:tcPr>
            <w:shd w:fill="auto" w:val="clear"/>
          </w:tcPr>
          <w:p w:rsidR="00000000" w:rsidDel="00000000" w:rsidP="00000000" w:rsidRDefault="00000000" w:rsidRPr="00000000" w14:paraId="0000007D">
            <w:pPr>
              <w:rPr>
                <w:rFonts w:ascii="Calibri" w:cs="Calibri" w:eastAsia="Calibri" w:hAnsi="Calibri"/>
                <w:b w:val="1"/>
              </w:rPr>
            </w:pPr>
            <w:r w:rsidDel="00000000" w:rsidR="00000000" w:rsidRPr="00000000">
              <w:rPr>
                <w:rFonts w:ascii="Calibri" w:cs="Calibri" w:eastAsia="Calibri" w:hAnsi="Calibri"/>
                <w:b w:val="1"/>
                <w:rtl w:val="0"/>
              </w:rPr>
              <w:t xml:space="preserve">Building Services and Event Organiser</w:t>
            </w:r>
          </w:p>
        </w:tc>
        <w:tc>
          <w:tcPr>
            <w:shd w:fill="auto" w:val="clear"/>
          </w:tcPr>
          <w:p w:rsidR="00000000" w:rsidDel="00000000" w:rsidP="00000000" w:rsidRDefault="00000000" w:rsidRPr="00000000" w14:paraId="0000007E">
            <w:pPr>
              <w:rPr>
                <w:rFonts w:ascii="Calibri" w:cs="Calibri" w:eastAsia="Calibri" w:hAnsi="Calibri"/>
              </w:rPr>
            </w:pPr>
            <w:r w:rsidDel="00000000" w:rsidR="00000000" w:rsidRPr="00000000">
              <w:rPr>
                <w:rFonts w:ascii="Calibri" w:cs="Calibri" w:eastAsia="Calibri" w:hAnsi="Calibri"/>
                <w:rtl w:val="0"/>
              </w:rPr>
              <w:t xml:space="preserve">Prior to event.</w:t>
            </w:r>
          </w:p>
        </w:tc>
      </w:tr>
    </w:tbl>
    <w:p w:rsidR="00000000" w:rsidDel="00000000" w:rsidP="00000000" w:rsidRDefault="00000000" w:rsidRPr="00000000" w14:paraId="0000007F">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80">
      <w:pPr>
        <w:rPr/>
        <w:sectPr>
          <w:headerReference r:id="rId19" w:type="default"/>
          <w:headerReference r:id="rId20" w:type="first"/>
          <w:footerReference r:id="rId21" w:type="default"/>
          <w:type w:val="nextPage"/>
          <w:pgSz w:h="11907" w:w="16840" w:orient="landscape"/>
          <w:pgMar w:bottom="1440" w:top="1440" w:left="1440" w:right="1440" w:header="708" w:footer="708"/>
        </w:sect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Review of Risk Assessment </w:t>
      </w:r>
    </w:p>
    <w:tbl>
      <w:tblPr>
        <w:tblStyle w:val="Table4"/>
        <w:tblW w:w="85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8"/>
        <w:gridCol w:w="6704"/>
        <w:tblGridChange w:id="0">
          <w:tblGrid>
            <w:gridCol w:w="1818"/>
            <w:gridCol w:w="6704"/>
          </w:tblGrid>
        </w:tblGridChange>
      </w:tblGrid>
      <w:tr>
        <w:tc>
          <w:tcPr>
            <w:shd w:fill="auto" w:val="clear"/>
          </w:tcPr>
          <w:p w:rsidR="00000000" w:rsidDel="00000000" w:rsidP="00000000" w:rsidRDefault="00000000" w:rsidRPr="00000000" w14:paraId="00000083">
            <w:pPr>
              <w:rPr/>
            </w:pPr>
            <w:r w:rsidDel="00000000" w:rsidR="00000000" w:rsidRPr="00000000">
              <w:rPr>
                <w:rtl w:val="0"/>
              </w:rPr>
              <w:t xml:space="preserve">Review Date:</w:t>
            </w:r>
          </w:p>
        </w:tc>
        <w:tc>
          <w:tcPr>
            <w:shd w:fill="auto" w:val="clear"/>
          </w:tcPr>
          <w:p w:rsidR="00000000" w:rsidDel="00000000" w:rsidP="00000000" w:rsidRDefault="00000000" w:rsidRPr="00000000" w14:paraId="00000084">
            <w:pPr>
              <w:rPr/>
            </w:pPr>
            <w:r w:rsidDel="00000000" w:rsidR="00000000" w:rsidRPr="00000000">
              <w:rPr>
                <w:color w:val="808080"/>
                <w:rtl w:val="0"/>
              </w:rPr>
              <w:t xml:space="preserve">30th April 2021</w:t>
            </w:r>
            <w:r w:rsidDel="00000000" w:rsidR="00000000" w:rsidRPr="00000000">
              <w:rPr>
                <w:rtl w:val="0"/>
              </w:rPr>
            </w:r>
          </w:p>
        </w:tc>
      </w:tr>
      <w:tr>
        <w:tc>
          <w:tcPr>
            <w:gridSpan w:val="2"/>
            <w:shd w:fill="auto" w:val="clear"/>
          </w:tcPr>
          <w:p w:rsidR="00000000" w:rsidDel="00000000" w:rsidP="00000000" w:rsidRDefault="00000000" w:rsidRPr="00000000" w14:paraId="00000085">
            <w:pPr>
              <w:rPr/>
            </w:pPr>
            <w:r w:rsidDel="00000000" w:rsidR="00000000" w:rsidRPr="00000000">
              <w:rPr>
                <w:rtl w:val="0"/>
              </w:rPr>
              <w:t xml:space="preserve">All hazards and potential risks that were identified were addressed and remedied prior to the event to ensure that the organisers had complied with all Health and Safety regulations.</w:t>
            </w:r>
          </w:p>
          <w:p w:rsidR="00000000" w:rsidDel="00000000" w:rsidP="00000000" w:rsidRDefault="00000000" w:rsidRPr="00000000" w14:paraId="00000086">
            <w:pPr>
              <w:rPr/>
            </w:pPr>
            <w:r w:rsidDel="00000000" w:rsidR="00000000" w:rsidRPr="00000000">
              <w:rPr>
                <w:rtl w:val="0"/>
              </w:rPr>
              <w:t xml:space="preserve">A Fire safety talk was delivered at the start of the event to advise that there were no plans for a fire drill that day and that should the fire alarm sound, all residents and employees  were guided to follow  emergency procedures. Fire exit points  were demonstrated  and individuals were  advised that the meeting point was in the car park at the front of the building. It was advised that elevators will not be in use in the event of a fire and that everyone is to use the stairway and that an evacuation chair would be on hand for anyone not able to use the stairs.</w:t>
            </w:r>
          </w:p>
          <w:p w:rsidR="00000000" w:rsidDel="00000000" w:rsidP="00000000" w:rsidRDefault="00000000" w:rsidRPr="00000000" w14:paraId="00000087">
            <w:pPr>
              <w:rPr/>
            </w:pPr>
            <w:r w:rsidDel="00000000" w:rsidR="00000000" w:rsidRPr="00000000">
              <w:rPr>
                <w:rtl w:val="0"/>
              </w:rPr>
              <w:t xml:space="preserve">All food was labelled to advise staff of vegetarian or vegan friendly meals for residents  and a notice was placed to advise food has been prepared in a kitchen and had been provided to careers and family  where there may have been nuts present or any other allergies that may be contained. This was done to alert any persons with severe nut allergies under the Food Safety Regulations. The hot beverage station was serviced by staff who were within the event to avoid attendees not familiar with the equipment in scolding themselves or others.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tc>
      </w:tr>
    </w:tbl>
    <w:p w:rsidR="00000000" w:rsidDel="00000000" w:rsidP="00000000" w:rsidRDefault="00000000" w:rsidRPr="00000000" w14:paraId="00000093">
      <w:pPr>
        <w:jc w:val="both"/>
        <w:rPr>
          <w:b w:val="1"/>
          <w:u w:val="single"/>
        </w:rPr>
      </w:pPr>
      <w:r w:rsidDel="00000000" w:rsidR="00000000" w:rsidRPr="00000000">
        <w:rPr>
          <w:rtl w:val="0"/>
        </w:rPr>
      </w:r>
    </w:p>
    <w:p w:rsidR="00000000" w:rsidDel="00000000" w:rsidP="00000000" w:rsidRDefault="00000000" w:rsidRPr="00000000" w14:paraId="00000094">
      <w:pPr>
        <w:jc w:val="both"/>
        <w:rPr>
          <w:b w:val="1"/>
          <w:u w:val="single"/>
        </w:rPr>
      </w:pPr>
      <w:r w:rsidDel="00000000" w:rsidR="00000000" w:rsidRPr="00000000">
        <w:rPr>
          <w:b w:val="1"/>
          <w:u w:val="single"/>
          <w:rtl w:val="0"/>
        </w:rPr>
        <w:t xml:space="preserve">FULL RISK ASSESSMENTS MUST BE COMPLETED FOR ALL VISITS</w:t>
      </w:r>
    </w:p>
    <w:p w:rsidR="00000000" w:rsidDel="00000000" w:rsidP="00000000" w:rsidRDefault="00000000" w:rsidRPr="00000000" w14:paraId="00000095">
      <w:pPr>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sectPr>
      <w:type w:val="nextPage"/>
      <w:pgSz w:h="16840" w:w="11907"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8505"/>
      </w:tabs>
      <w:spacing w:after="0" w:before="0" w:line="240" w:lineRule="auto"/>
      <w:ind w:left="0" w:right="-9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Trinity St. David</w:t>
      <w:tab/>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-38099</wp:posOffset>
              </wp:positionV>
              <wp:extent cx="5457825" cy="12700"/>
              <wp:effectExtent b="0" l="0" r="0" t="0"/>
              <wp:wrapNone/>
              <wp:docPr id="1" name=""/>
              <a:graphic>
                <a:graphicData uri="http://schemas.microsoft.com/office/word/2010/wordprocessingShape">
                  <wps:wsp>
                    <wps:cNvCnPr/>
                    <wps:spPr>
                      <a:xfrm>
                        <a:off x="2617088" y="3780000"/>
                        <a:ext cx="545782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-38099</wp:posOffset>
              </wp:positionV>
              <wp:extent cx="5457825" cy="127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457825" cy="12700"/>
                      </a:xfrm>
                      <a:prstGeom prst="rect"/>
                      <a:ln/>
                    </pic:spPr>
                  </pic:pic>
                </a:graphicData>
              </a:graphic>
            </wp:anchor>
          </w:drawing>
        </mc:Fallback>
      </mc:AlternateConten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8505"/>
      </w:tabs>
      <w:spacing w:after="0" w:before="0" w:line="240" w:lineRule="auto"/>
      <w:ind w:left="0" w:right="-9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Trinity St. David</w:t>
      <w:tab/>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-38099</wp:posOffset>
              </wp:positionV>
              <wp:extent cx="5457825" cy="12700"/>
              <wp:effectExtent b="0" l="0" r="0" t="0"/>
              <wp:wrapNone/>
              <wp:docPr id="3" name=""/>
              <a:graphic>
                <a:graphicData uri="http://schemas.microsoft.com/office/word/2010/wordprocessingShape">
                  <wps:wsp>
                    <wps:cNvCnPr/>
                    <wps:spPr>
                      <a:xfrm>
                        <a:off x="2617088" y="3780000"/>
                        <a:ext cx="545782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-38099</wp:posOffset>
              </wp:positionV>
              <wp:extent cx="5457825" cy="12700"/>
              <wp:effectExtent b="0" l="0" r="0" t="0"/>
              <wp:wrapNone/>
              <wp:docPr id="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457825" cy="12700"/>
                      </a:xfrm>
                      <a:prstGeom prst="rect"/>
                      <a:ln/>
                    </pic:spPr>
                  </pic:pic>
                </a:graphicData>
              </a:graphic>
            </wp:anchor>
          </w:drawing>
        </mc:Fallback>
      </mc:AlternateConten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019300" cy="438150"/>
          <wp:effectExtent b="0" l="0" r="0" t="0"/>
          <wp:docPr descr="SMULogo" id="5" name="image1.png"/>
          <a:graphic>
            <a:graphicData uri="http://schemas.openxmlformats.org/drawingml/2006/picture">
              <pic:pic>
                <pic:nvPicPr>
                  <pic:cNvPr descr="SMULogo" id="0" name="image1.png"/>
                  <pic:cNvPicPr preferRelativeResize="0"/>
                </pic:nvPicPr>
                <pic:blipFill>
                  <a:blip r:embed="rId1"/>
                  <a:srcRect b="0" l="0" r="0" t="0"/>
                  <a:stretch>
                    <a:fillRect/>
                  </a:stretch>
                </pic:blipFill>
                <pic:spPr>
                  <a:xfrm>
                    <a:off x="0" y="0"/>
                    <a:ext cx="2019300" cy="438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019300" cy="438150"/>
          <wp:effectExtent b="0" l="0" r="0" t="0"/>
          <wp:docPr descr="SMULogo" id="6" name="image1.png"/>
          <a:graphic>
            <a:graphicData uri="http://schemas.openxmlformats.org/drawingml/2006/picture">
              <pic:pic>
                <pic:nvPicPr>
                  <pic:cNvPr descr="SMULogo" id="0" name="image1.png"/>
                  <pic:cNvPicPr preferRelativeResize="0"/>
                </pic:nvPicPr>
                <pic:blipFill>
                  <a:blip r:embed="rId1"/>
                  <a:srcRect b="0" l="0" r="0" t="0"/>
                  <a:stretch>
                    <a:fillRect/>
                  </a:stretch>
                </pic:blipFill>
                <pic:spPr>
                  <a:xfrm>
                    <a:off x="0" y="0"/>
                    <a:ext cx="2019300" cy="43815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850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Event Risk Assessment </w:t>
      <w:tab/>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165100</wp:posOffset>
              </wp:positionV>
              <wp:extent cx="5457825" cy="12700"/>
              <wp:effectExtent b="0" l="0" r="0" t="0"/>
              <wp:wrapNone/>
              <wp:docPr id="2" name=""/>
              <a:graphic>
                <a:graphicData uri="http://schemas.microsoft.com/office/word/2010/wordprocessingShape">
                  <wps:wsp>
                    <wps:cNvCnPr/>
                    <wps:spPr>
                      <a:xfrm>
                        <a:off x="2617088" y="3780000"/>
                        <a:ext cx="545782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165100</wp:posOffset>
              </wp:positionV>
              <wp:extent cx="5457825" cy="12700"/>
              <wp:effectExtent b="0" l="0" r="0" t="0"/>
              <wp:wrapNone/>
              <wp:docPr id="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457825" cy="12700"/>
                      </a:xfrm>
                      <a:prstGeom prst="rect"/>
                      <a:ln/>
                    </pic:spPr>
                  </pic:pic>
                </a:graphicData>
              </a:graphic>
            </wp:anchor>
          </w:drawing>
        </mc:Fallback>
      </mc:AlternateConten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1587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850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Risk Assessments </w:t>
      <w:tab/>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165100</wp:posOffset>
              </wp:positionV>
              <wp:extent cx="5457825" cy="12700"/>
              <wp:effectExtent b="0" l="0" r="0" t="0"/>
              <wp:wrapNone/>
              <wp:docPr id="4" name=""/>
              <a:graphic>
                <a:graphicData uri="http://schemas.microsoft.com/office/word/2010/wordprocessingShape">
                  <wps:wsp>
                    <wps:cNvCnPr/>
                    <wps:spPr>
                      <a:xfrm>
                        <a:off x="2617088" y="3780000"/>
                        <a:ext cx="545782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165100</wp:posOffset>
              </wp:positionV>
              <wp:extent cx="5457825" cy="12700"/>
              <wp:effectExtent b="0" l="0" r="0" t="0"/>
              <wp:wrapNone/>
              <wp:docPr id="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457825" cy="12700"/>
                      </a:xfrm>
                      <a:prstGeom prst="rect"/>
                      <a:ln/>
                    </pic:spPr>
                  </pic:pic>
                </a:graphicData>
              </a:graphic>
            </wp:anchor>
          </w:drawing>
        </mc:Fallback>
      </mc:AlternateConten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hyperlink" Target="http://www.hse.gov.uk/healthservices/riddor.htm" TargetMode="External"/><Relationship Id="rId10" Type="http://schemas.openxmlformats.org/officeDocument/2006/relationships/hyperlink" Target="http://www.hse.gov.uk/firstaid/legislation.htm" TargetMode="External"/><Relationship Id="rId21" Type="http://schemas.openxmlformats.org/officeDocument/2006/relationships/footer" Target="footer2.xml"/><Relationship Id="rId13" Type="http://schemas.openxmlformats.org/officeDocument/2006/relationships/hyperlink" Target="http://www.hse.gov.uk/msd/pushpull/regulations.htm" TargetMode="External"/><Relationship Id="rId12" Type="http://schemas.openxmlformats.org/officeDocument/2006/relationships/hyperlink" Target="http://www.hse.gov.uk/toolbox/fire.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se.gov.uk/msd/pushpull/regulations.htm" TargetMode="External"/><Relationship Id="rId15" Type="http://schemas.openxmlformats.org/officeDocument/2006/relationships/hyperlink" Target="http://www.hse.gov.uk/risk/controlling-risks.htm" TargetMode="External"/><Relationship Id="rId14" Type="http://schemas.openxmlformats.org/officeDocument/2006/relationships/hyperlink" Target="http://www.hse.gov.uk/legislation/hswa.htm"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styles" Target="styles.xml"/><Relationship Id="rId19" Type="http://schemas.openxmlformats.org/officeDocument/2006/relationships/header" Target="header4.xml"/><Relationship Id="rId6" Type="http://schemas.openxmlformats.org/officeDocument/2006/relationships/hyperlink" Target="http://www.food.gov.uk/science/allergy-intolerance" TargetMode="External"/><Relationship Id="rId18" Type="http://schemas.openxmlformats.org/officeDocument/2006/relationships/footer" Target="footer1.xml"/><Relationship Id="rId7" Type="http://schemas.openxmlformats.org/officeDocument/2006/relationships/hyperlink" Target="http://www.food.gov.uk/sites/default/files/multimedia/pdfs/fsactguide.pdf" TargetMode="External"/><Relationship Id="rId8" Type="http://schemas.openxmlformats.org/officeDocument/2006/relationships/hyperlink" Target="http://gov.wales/topics/planning/buildingregs/approved-documents/part-b-fire/?lang=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