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505BD" w14:textId="77777777" w:rsidR="0058461D" w:rsidRDefault="0058461D" w:rsidP="0058461D">
      <w:pPr>
        <w:jc w:val="center"/>
        <w:rPr>
          <w:b/>
        </w:rPr>
      </w:pPr>
    </w:p>
    <w:p w14:paraId="4619DE67" w14:textId="77777777" w:rsidR="0058461D" w:rsidRDefault="0058461D" w:rsidP="0058461D">
      <w:pPr>
        <w:jc w:val="center"/>
        <w:rPr>
          <w:b/>
        </w:rPr>
      </w:pPr>
    </w:p>
    <w:p w14:paraId="6975FED7" w14:textId="77777777" w:rsidR="0058461D" w:rsidRDefault="0058461D" w:rsidP="0058461D">
      <w:pPr>
        <w:jc w:val="center"/>
        <w:rPr>
          <w:b/>
        </w:rPr>
      </w:pPr>
    </w:p>
    <w:p w14:paraId="6EBE6DBF" w14:textId="77777777" w:rsidR="0058461D" w:rsidRDefault="0058461D" w:rsidP="0058461D">
      <w:pPr>
        <w:jc w:val="center"/>
        <w:rPr>
          <w:b/>
        </w:rPr>
      </w:pPr>
    </w:p>
    <w:p w14:paraId="1A852AF4" w14:textId="77777777" w:rsidR="0058461D" w:rsidRDefault="0058461D" w:rsidP="0058461D">
      <w:pPr>
        <w:jc w:val="center"/>
        <w:rPr>
          <w:b/>
        </w:rPr>
      </w:pPr>
    </w:p>
    <w:p w14:paraId="01CDA225" w14:textId="77777777" w:rsidR="0058461D" w:rsidRDefault="0058461D" w:rsidP="0058461D">
      <w:pPr>
        <w:jc w:val="center"/>
        <w:rPr>
          <w:b/>
        </w:rPr>
      </w:pPr>
      <w:r>
        <w:rPr>
          <w:noProof/>
          <w:lang w:val="en-IN" w:eastAsia="en-IN"/>
        </w:rPr>
        <w:drawing>
          <wp:inline distT="0" distB="0" distL="0" distR="0" wp14:anchorId="13EAA36F" wp14:editId="4AEB6AA3">
            <wp:extent cx="2466975" cy="1347811"/>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81775" cy="1355897"/>
                    </a:xfrm>
                    <a:prstGeom prst="rect">
                      <a:avLst/>
                    </a:prstGeom>
                  </pic:spPr>
                </pic:pic>
              </a:graphicData>
            </a:graphic>
          </wp:inline>
        </w:drawing>
      </w:r>
    </w:p>
    <w:p w14:paraId="48D20E34" w14:textId="77777777" w:rsidR="00B633A0" w:rsidRPr="006E2E6A" w:rsidRDefault="00B633A0" w:rsidP="0058461D">
      <w:pPr>
        <w:jc w:val="center"/>
        <w:rPr>
          <w:b/>
          <w:sz w:val="30"/>
          <w:szCs w:val="30"/>
        </w:rPr>
      </w:pPr>
      <w:r w:rsidRPr="006E2E6A">
        <w:rPr>
          <w:b/>
          <w:sz w:val="30"/>
          <w:szCs w:val="30"/>
        </w:rPr>
        <w:t>Programme: Master of Business Administration</w:t>
      </w:r>
    </w:p>
    <w:p w14:paraId="3D77B38A" w14:textId="77777777" w:rsidR="00B633A0" w:rsidRPr="006E2E6A" w:rsidRDefault="00B633A0" w:rsidP="0058461D">
      <w:pPr>
        <w:jc w:val="center"/>
        <w:rPr>
          <w:b/>
          <w:sz w:val="30"/>
          <w:szCs w:val="30"/>
        </w:rPr>
      </w:pPr>
      <w:r w:rsidRPr="006E2E6A">
        <w:rPr>
          <w:b/>
          <w:sz w:val="30"/>
          <w:szCs w:val="30"/>
        </w:rPr>
        <w:t>Module: Marketing Management</w:t>
      </w:r>
    </w:p>
    <w:p w14:paraId="342F8D06" w14:textId="77777777" w:rsidR="008B69D4" w:rsidRPr="006E2E6A" w:rsidRDefault="00B633A0" w:rsidP="0058461D">
      <w:pPr>
        <w:jc w:val="center"/>
        <w:rPr>
          <w:b/>
          <w:sz w:val="30"/>
          <w:szCs w:val="30"/>
        </w:rPr>
      </w:pPr>
      <w:r w:rsidRPr="006E2E6A">
        <w:rPr>
          <w:b/>
          <w:sz w:val="30"/>
          <w:szCs w:val="30"/>
        </w:rPr>
        <w:t>Module code: LCMB7024</w:t>
      </w:r>
    </w:p>
    <w:p w14:paraId="1F41FB7E" w14:textId="77777777" w:rsidR="00B633A0" w:rsidRPr="006E2E6A" w:rsidRDefault="00B633A0" w:rsidP="0058461D">
      <w:pPr>
        <w:jc w:val="center"/>
        <w:rPr>
          <w:b/>
          <w:sz w:val="30"/>
          <w:szCs w:val="30"/>
        </w:rPr>
      </w:pPr>
      <w:r w:rsidRPr="006E2E6A">
        <w:rPr>
          <w:b/>
          <w:sz w:val="30"/>
          <w:szCs w:val="30"/>
        </w:rPr>
        <w:t>Assignment Title: Marketing Environment Analysis</w:t>
      </w:r>
    </w:p>
    <w:p w14:paraId="4159E239" w14:textId="77777777" w:rsidR="006E2E6A" w:rsidRDefault="006E2E6A" w:rsidP="0058461D">
      <w:pPr>
        <w:jc w:val="center"/>
        <w:rPr>
          <w:b/>
        </w:rPr>
      </w:pPr>
    </w:p>
    <w:p w14:paraId="30486931" w14:textId="77777777" w:rsidR="0058461D" w:rsidRDefault="0058461D" w:rsidP="0058461D">
      <w:pPr>
        <w:jc w:val="center"/>
        <w:rPr>
          <w:b/>
        </w:rPr>
      </w:pPr>
      <w:r w:rsidRPr="0058461D">
        <w:rPr>
          <w:b/>
        </w:rPr>
        <w:t>Student name:</w:t>
      </w:r>
      <w:r w:rsidR="006E2E6A">
        <w:rPr>
          <w:b/>
        </w:rPr>
        <w:t xml:space="preserve"> </w:t>
      </w:r>
      <w:proofErr w:type="spellStart"/>
      <w:r w:rsidR="006E2E6A">
        <w:rPr>
          <w:b/>
        </w:rPr>
        <w:t>Gorasiya</w:t>
      </w:r>
      <w:proofErr w:type="spellEnd"/>
      <w:r w:rsidR="006E2E6A">
        <w:rPr>
          <w:b/>
        </w:rPr>
        <w:t xml:space="preserve"> </w:t>
      </w:r>
      <w:proofErr w:type="spellStart"/>
      <w:r w:rsidR="006E2E6A">
        <w:rPr>
          <w:b/>
        </w:rPr>
        <w:t>Vivekkumar</w:t>
      </w:r>
      <w:proofErr w:type="spellEnd"/>
      <w:r w:rsidR="006E2E6A">
        <w:rPr>
          <w:b/>
        </w:rPr>
        <w:t xml:space="preserve"> </w:t>
      </w:r>
      <w:proofErr w:type="spellStart"/>
      <w:r w:rsidR="006E2E6A">
        <w:rPr>
          <w:b/>
        </w:rPr>
        <w:t>Kishorebhai</w:t>
      </w:r>
      <w:proofErr w:type="spellEnd"/>
      <w:r w:rsidR="006E2E6A">
        <w:rPr>
          <w:b/>
        </w:rPr>
        <w:br/>
        <w:t>Student ID: 2542076</w:t>
      </w:r>
    </w:p>
    <w:p w14:paraId="64F85763" w14:textId="77777777" w:rsidR="006E2E6A" w:rsidRPr="0058461D" w:rsidRDefault="006E2E6A" w:rsidP="0058461D">
      <w:pPr>
        <w:jc w:val="center"/>
        <w:rPr>
          <w:b/>
        </w:rPr>
      </w:pPr>
    </w:p>
    <w:p w14:paraId="263D61F5" w14:textId="77777777" w:rsidR="0058461D" w:rsidRPr="0058461D" w:rsidRDefault="0058461D" w:rsidP="0058461D">
      <w:pPr>
        <w:jc w:val="center"/>
        <w:rPr>
          <w:b/>
        </w:rPr>
      </w:pPr>
      <w:r w:rsidRPr="0058461D">
        <w:rPr>
          <w:b/>
        </w:rPr>
        <w:t>Word count: 2538</w:t>
      </w:r>
    </w:p>
    <w:p w14:paraId="1BE3CA8C" w14:textId="77777777" w:rsidR="00B633A0" w:rsidRPr="00B66F6B" w:rsidRDefault="00B633A0" w:rsidP="00B66F6B">
      <w:r w:rsidRPr="00B66F6B">
        <w:br w:type="page"/>
      </w:r>
    </w:p>
    <w:sdt>
      <w:sdtPr>
        <w:id w:val="-581913804"/>
        <w:docPartObj>
          <w:docPartGallery w:val="Table of Contents"/>
          <w:docPartUnique/>
        </w:docPartObj>
      </w:sdtPr>
      <w:sdtEndPr>
        <w:rPr>
          <w:b/>
          <w:bCs/>
          <w:noProof/>
        </w:rPr>
      </w:sdtEndPr>
      <w:sdtContent>
        <w:p w14:paraId="0CDE2ED6" w14:textId="77777777" w:rsidR="002B2032" w:rsidRPr="002B2032" w:rsidRDefault="002B2032" w:rsidP="002B2032">
          <w:pPr>
            <w:jc w:val="center"/>
            <w:rPr>
              <w:b/>
            </w:rPr>
          </w:pPr>
          <w:r w:rsidRPr="002B2032">
            <w:rPr>
              <w:b/>
            </w:rPr>
            <w:t>Table of Contents</w:t>
          </w:r>
        </w:p>
        <w:p w14:paraId="42B77047" w14:textId="77777777" w:rsidR="002B2032" w:rsidRDefault="002B2032">
          <w:pPr>
            <w:pStyle w:val="TOC1"/>
            <w:tabs>
              <w:tab w:val="right" w:leader="dot" w:pos="9016"/>
            </w:tabs>
            <w:rPr>
              <w:noProof/>
            </w:rPr>
          </w:pPr>
          <w:r>
            <w:fldChar w:fldCharType="begin"/>
          </w:r>
          <w:r>
            <w:instrText xml:space="preserve"> TOC \o "1-3" \h \z \u </w:instrText>
          </w:r>
          <w:r>
            <w:fldChar w:fldCharType="separate"/>
          </w:r>
          <w:hyperlink w:anchor="_Toc235294219" w:history="1">
            <w:r w:rsidRPr="00C97A8F">
              <w:rPr>
                <w:rStyle w:val="Hyperlink"/>
                <w:noProof/>
              </w:rPr>
              <w:t>Task 1: Marketing Environment Analysis</w:t>
            </w:r>
            <w:r>
              <w:rPr>
                <w:noProof/>
                <w:webHidden/>
              </w:rPr>
              <w:tab/>
            </w:r>
            <w:r>
              <w:rPr>
                <w:noProof/>
                <w:webHidden/>
              </w:rPr>
              <w:fldChar w:fldCharType="begin"/>
            </w:r>
            <w:r>
              <w:rPr>
                <w:noProof/>
                <w:webHidden/>
              </w:rPr>
              <w:instrText xml:space="preserve"> PAGEREF _Toc235294219 \h </w:instrText>
            </w:r>
            <w:r>
              <w:rPr>
                <w:noProof/>
                <w:webHidden/>
              </w:rPr>
            </w:r>
            <w:r>
              <w:rPr>
                <w:noProof/>
                <w:webHidden/>
              </w:rPr>
              <w:fldChar w:fldCharType="separate"/>
            </w:r>
            <w:r>
              <w:rPr>
                <w:noProof/>
                <w:webHidden/>
              </w:rPr>
              <w:t>3</w:t>
            </w:r>
            <w:r>
              <w:rPr>
                <w:noProof/>
                <w:webHidden/>
              </w:rPr>
              <w:fldChar w:fldCharType="end"/>
            </w:r>
          </w:hyperlink>
        </w:p>
        <w:p w14:paraId="125B37E6" w14:textId="77777777" w:rsidR="002B2032" w:rsidRDefault="002B2032">
          <w:pPr>
            <w:pStyle w:val="TOC2"/>
            <w:tabs>
              <w:tab w:val="right" w:leader="dot" w:pos="9016"/>
            </w:tabs>
            <w:rPr>
              <w:noProof/>
            </w:rPr>
          </w:pPr>
          <w:hyperlink w:anchor="_Toc235294220" w:history="1">
            <w:r w:rsidRPr="00C97A8F">
              <w:rPr>
                <w:rStyle w:val="Hyperlink"/>
                <w:noProof/>
              </w:rPr>
              <w:t>1.1 The Natural Environment Actor</w:t>
            </w:r>
            <w:r>
              <w:rPr>
                <w:noProof/>
                <w:webHidden/>
              </w:rPr>
              <w:tab/>
            </w:r>
            <w:r>
              <w:rPr>
                <w:noProof/>
                <w:webHidden/>
              </w:rPr>
              <w:fldChar w:fldCharType="begin"/>
            </w:r>
            <w:r>
              <w:rPr>
                <w:noProof/>
                <w:webHidden/>
              </w:rPr>
              <w:instrText xml:space="preserve"> PAGEREF _Toc235294220 \h </w:instrText>
            </w:r>
            <w:r>
              <w:rPr>
                <w:noProof/>
                <w:webHidden/>
              </w:rPr>
            </w:r>
            <w:r>
              <w:rPr>
                <w:noProof/>
                <w:webHidden/>
              </w:rPr>
              <w:fldChar w:fldCharType="separate"/>
            </w:r>
            <w:r>
              <w:rPr>
                <w:noProof/>
                <w:webHidden/>
              </w:rPr>
              <w:t>3</w:t>
            </w:r>
            <w:r>
              <w:rPr>
                <w:noProof/>
                <w:webHidden/>
              </w:rPr>
              <w:fldChar w:fldCharType="end"/>
            </w:r>
          </w:hyperlink>
        </w:p>
        <w:p w14:paraId="507C3FCE" w14:textId="77777777" w:rsidR="002B2032" w:rsidRDefault="002B2032">
          <w:pPr>
            <w:pStyle w:val="TOC2"/>
            <w:tabs>
              <w:tab w:val="right" w:leader="dot" w:pos="9016"/>
            </w:tabs>
            <w:rPr>
              <w:noProof/>
            </w:rPr>
          </w:pPr>
          <w:hyperlink w:anchor="_Toc235294221" w:history="1">
            <w:r w:rsidRPr="00C97A8F">
              <w:rPr>
                <w:rStyle w:val="Hyperlink"/>
                <w:noProof/>
              </w:rPr>
              <w:t>1.2 Political and Regulatory Environment actor</w:t>
            </w:r>
            <w:r>
              <w:rPr>
                <w:noProof/>
                <w:webHidden/>
              </w:rPr>
              <w:tab/>
            </w:r>
            <w:r>
              <w:rPr>
                <w:noProof/>
                <w:webHidden/>
              </w:rPr>
              <w:fldChar w:fldCharType="begin"/>
            </w:r>
            <w:r>
              <w:rPr>
                <w:noProof/>
                <w:webHidden/>
              </w:rPr>
              <w:instrText xml:space="preserve"> PAGEREF _Toc235294221 \h </w:instrText>
            </w:r>
            <w:r>
              <w:rPr>
                <w:noProof/>
                <w:webHidden/>
              </w:rPr>
            </w:r>
            <w:r>
              <w:rPr>
                <w:noProof/>
                <w:webHidden/>
              </w:rPr>
              <w:fldChar w:fldCharType="separate"/>
            </w:r>
            <w:r>
              <w:rPr>
                <w:noProof/>
                <w:webHidden/>
              </w:rPr>
              <w:t>4</w:t>
            </w:r>
            <w:r>
              <w:rPr>
                <w:noProof/>
                <w:webHidden/>
              </w:rPr>
              <w:fldChar w:fldCharType="end"/>
            </w:r>
          </w:hyperlink>
        </w:p>
        <w:p w14:paraId="49A8A617" w14:textId="77777777" w:rsidR="002B2032" w:rsidRDefault="002B2032">
          <w:pPr>
            <w:pStyle w:val="TOC1"/>
            <w:tabs>
              <w:tab w:val="right" w:leader="dot" w:pos="9016"/>
            </w:tabs>
            <w:rPr>
              <w:noProof/>
            </w:rPr>
          </w:pPr>
          <w:hyperlink w:anchor="_Toc235294222" w:history="1">
            <w:r w:rsidRPr="00C97A8F">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_Toc235294222 \h </w:instrText>
            </w:r>
            <w:r>
              <w:rPr>
                <w:noProof/>
                <w:webHidden/>
              </w:rPr>
            </w:r>
            <w:r>
              <w:rPr>
                <w:noProof/>
                <w:webHidden/>
              </w:rPr>
              <w:fldChar w:fldCharType="separate"/>
            </w:r>
            <w:r>
              <w:rPr>
                <w:noProof/>
                <w:webHidden/>
              </w:rPr>
              <w:t>6</w:t>
            </w:r>
            <w:r>
              <w:rPr>
                <w:noProof/>
                <w:webHidden/>
              </w:rPr>
              <w:fldChar w:fldCharType="end"/>
            </w:r>
          </w:hyperlink>
        </w:p>
        <w:p w14:paraId="65F89B8B" w14:textId="77777777" w:rsidR="002B2032" w:rsidRDefault="002B2032">
          <w:pPr>
            <w:pStyle w:val="TOC2"/>
            <w:tabs>
              <w:tab w:val="right" w:leader="dot" w:pos="9016"/>
            </w:tabs>
            <w:rPr>
              <w:noProof/>
            </w:rPr>
          </w:pPr>
          <w:hyperlink w:anchor="_Toc235294223" w:history="1">
            <w:r w:rsidRPr="00C97A8F">
              <w:rPr>
                <w:rStyle w:val="Hyperlink"/>
                <w:noProof/>
              </w:rPr>
              <w:t>2.1 Implementing Ansoff Matrix</w:t>
            </w:r>
            <w:r>
              <w:rPr>
                <w:noProof/>
                <w:webHidden/>
              </w:rPr>
              <w:tab/>
            </w:r>
            <w:r>
              <w:rPr>
                <w:noProof/>
                <w:webHidden/>
              </w:rPr>
              <w:fldChar w:fldCharType="begin"/>
            </w:r>
            <w:r>
              <w:rPr>
                <w:noProof/>
                <w:webHidden/>
              </w:rPr>
              <w:instrText xml:space="preserve"> PAGEREF _Toc235294223 \h </w:instrText>
            </w:r>
            <w:r>
              <w:rPr>
                <w:noProof/>
                <w:webHidden/>
              </w:rPr>
            </w:r>
            <w:r>
              <w:rPr>
                <w:noProof/>
                <w:webHidden/>
              </w:rPr>
              <w:fldChar w:fldCharType="separate"/>
            </w:r>
            <w:r>
              <w:rPr>
                <w:noProof/>
                <w:webHidden/>
              </w:rPr>
              <w:t>6</w:t>
            </w:r>
            <w:r>
              <w:rPr>
                <w:noProof/>
                <w:webHidden/>
              </w:rPr>
              <w:fldChar w:fldCharType="end"/>
            </w:r>
          </w:hyperlink>
        </w:p>
        <w:p w14:paraId="0D73FF83" w14:textId="77777777" w:rsidR="002B2032" w:rsidRDefault="002B2032">
          <w:pPr>
            <w:pStyle w:val="TOC2"/>
            <w:tabs>
              <w:tab w:val="right" w:leader="dot" w:pos="9016"/>
            </w:tabs>
            <w:rPr>
              <w:noProof/>
            </w:rPr>
          </w:pPr>
          <w:hyperlink w:anchor="_Toc235294224" w:history="1">
            <w:r w:rsidRPr="00C97A8F">
              <w:rPr>
                <w:rStyle w:val="Hyperlink"/>
                <w:noProof/>
              </w:rPr>
              <w:t>2.2 How to maintain competitive advantage and position</w:t>
            </w:r>
            <w:r>
              <w:rPr>
                <w:noProof/>
                <w:webHidden/>
              </w:rPr>
              <w:tab/>
            </w:r>
            <w:r>
              <w:rPr>
                <w:noProof/>
                <w:webHidden/>
              </w:rPr>
              <w:fldChar w:fldCharType="begin"/>
            </w:r>
            <w:r>
              <w:rPr>
                <w:noProof/>
                <w:webHidden/>
              </w:rPr>
              <w:instrText xml:space="preserve"> PAGEREF _Toc235294224 \h </w:instrText>
            </w:r>
            <w:r>
              <w:rPr>
                <w:noProof/>
                <w:webHidden/>
              </w:rPr>
            </w:r>
            <w:r>
              <w:rPr>
                <w:noProof/>
                <w:webHidden/>
              </w:rPr>
              <w:fldChar w:fldCharType="separate"/>
            </w:r>
            <w:r>
              <w:rPr>
                <w:noProof/>
                <w:webHidden/>
              </w:rPr>
              <w:t>7</w:t>
            </w:r>
            <w:r>
              <w:rPr>
                <w:noProof/>
                <w:webHidden/>
              </w:rPr>
              <w:fldChar w:fldCharType="end"/>
            </w:r>
          </w:hyperlink>
        </w:p>
        <w:p w14:paraId="361DFA2A" w14:textId="77777777" w:rsidR="002B2032" w:rsidRDefault="002B2032">
          <w:pPr>
            <w:pStyle w:val="TOC2"/>
            <w:tabs>
              <w:tab w:val="right" w:leader="dot" w:pos="9016"/>
            </w:tabs>
            <w:rPr>
              <w:noProof/>
            </w:rPr>
          </w:pPr>
          <w:hyperlink w:anchor="_Toc235294225" w:history="1">
            <w:r w:rsidRPr="00C97A8F">
              <w:rPr>
                <w:rStyle w:val="Hyperlink"/>
                <w:noProof/>
              </w:rPr>
              <w:t>2.3 Implementation Considerations</w:t>
            </w:r>
            <w:r>
              <w:rPr>
                <w:noProof/>
                <w:webHidden/>
              </w:rPr>
              <w:tab/>
            </w:r>
            <w:r>
              <w:rPr>
                <w:noProof/>
                <w:webHidden/>
              </w:rPr>
              <w:fldChar w:fldCharType="begin"/>
            </w:r>
            <w:r>
              <w:rPr>
                <w:noProof/>
                <w:webHidden/>
              </w:rPr>
              <w:instrText xml:space="preserve"> PAGEREF _Toc235294225 \h </w:instrText>
            </w:r>
            <w:r>
              <w:rPr>
                <w:noProof/>
                <w:webHidden/>
              </w:rPr>
            </w:r>
            <w:r>
              <w:rPr>
                <w:noProof/>
                <w:webHidden/>
              </w:rPr>
              <w:fldChar w:fldCharType="separate"/>
            </w:r>
            <w:r>
              <w:rPr>
                <w:noProof/>
                <w:webHidden/>
              </w:rPr>
              <w:t>8</w:t>
            </w:r>
            <w:r>
              <w:rPr>
                <w:noProof/>
                <w:webHidden/>
              </w:rPr>
              <w:fldChar w:fldCharType="end"/>
            </w:r>
          </w:hyperlink>
        </w:p>
        <w:p w14:paraId="3712F23A" w14:textId="77777777" w:rsidR="002B2032" w:rsidRDefault="002B2032">
          <w:pPr>
            <w:pStyle w:val="TOC1"/>
            <w:tabs>
              <w:tab w:val="right" w:leader="dot" w:pos="9016"/>
            </w:tabs>
            <w:rPr>
              <w:noProof/>
            </w:rPr>
          </w:pPr>
          <w:hyperlink w:anchor="_Toc235294226" w:history="1">
            <w:r w:rsidRPr="00C97A8F">
              <w:rPr>
                <w:rStyle w:val="Hyperlink"/>
                <w:noProof/>
              </w:rPr>
              <w:t>Task 3: Critical Reflection on the use of AI tools</w:t>
            </w:r>
            <w:r>
              <w:rPr>
                <w:noProof/>
                <w:webHidden/>
              </w:rPr>
              <w:tab/>
            </w:r>
            <w:r>
              <w:rPr>
                <w:noProof/>
                <w:webHidden/>
              </w:rPr>
              <w:fldChar w:fldCharType="begin"/>
            </w:r>
            <w:r>
              <w:rPr>
                <w:noProof/>
                <w:webHidden/>
              </w:rPr>
              <w:instrText xml:space="preserve"> PAGEREF _Toc235294226 \h </w:instrText>
            </w:r>
            <w:r>
              <w:rPr>
                <w:noProof/>
                <w:webHidden/>
              </w:rPr>
            </w:r>
            <w:r>
              <w:rPr>
                <w:noProof/>
                <w:webHidden/>
              </w:rPr>
              <w:fldChar w:fldCharType="separate"/>
            </w:r>
            <w:r>
              <w:rPr>
                <w:noProof/>
                <w:webHidden/>
              </w:rPr>
              <w:t>8</w:t>
            </w:r>
            <w:r>
              <w:rPr>
                <w:noProof/>
                <w:webHidden/>
              </w:rPr>
              <w:fldChar w:fldCharType="end"/>
            </w:r>
          </w:hyperlink>
        </w:p>
        <w:p w14:paraId="6CE37428" w14:textId="77777777" w:rsidR="002B2032" w:rsidRDefault="002B2032">
          <w:pPr>
            <w:pStyle w:val="TOC2"/>
            <w:tabs>
              <w:tab w:val="right" w:leader="dot" w:pos="9016"/>
            </w:tabs>
            <w:rPr>
              <w:noProof/>
            </w:rPr>
          </w:pPr>
          <w:hyperlink w:anchor="_Toc235294227" w:history="1">
            <w:r w:rsidRPr="00C97A8F">
              <w:rPr>
                <w:rStyle w:val="Hyperlink"/>
                <w:noProof/>
              </w:rPr>
              <w:t>3.1 Tool Disclosure</w:t>
            </w:r>
            <w:r>
              <w:rPr>
                <w:noProof/>
                <w:webHidden/>
              </w:rPr>
              <w:tab/>
            </w:r>
            <w:r>
              <w:rPr>
                <w:noProof/>
                <w:webHidden/>
              </w:rPr>
              <w:fldChar w:fldCharType="begin"/>
            </w:r>
            <w:r>
              <w:rPr>
                <w:noProof/>
                <w:webHidden/>
              </w:rPr>
              <w:instrText xml:space="preserve"> PAGEREF _Toc235294227 \h </w:instrText>
            </w:r>
            <w:r>
              <w:rPr>
                <w:noProof/>
                <w:webHidden/>
              </w:rPr>
            </w:r>
            <w:r>
              <w:rPr>
                <w:noProof/>
                <w:webHidden/>
              </w:rPr>
              <w:fldChar w:fldCharType="separate"/>
            </w:r>
            <w:r>
              <w:rPr>
                <w:noProof/>
                <w:webHidden/>
              </w:rPr>
              <w:t>8</w:t>
            </w:r>
            <w:r>
              <w:rPr>
                <w:noProof/>
                <w:webHidden/>
              </w:rPr>
              <w:fldChar w:fldCharType="end"/>
            </w:r>
          </w:hyperlink>
        </w:p>
        <w:p w14:paraId="6CEC219B" w14:textId="77777777" w:rsidR="002B2032" w:rsidRDefault="002B2032">
          <w:pPr>
            <w:pStyle w:val="TOC2"/>
            <w:tabs>
              <w:tab w:val="right" w:leader="dot" w:pos="9016"/>
            </w:tabs>
            <w:rPr>
              <w:noProof/>
            </w:rPr>
          </w:pPr>
          <w:hyperlink w:anchor="_Toc235294228" w:history="1">
            <w:r w:rsidRPr="00C97A8F">
              <w:rPr>
                <w:rStyle w:val="Hyperlink"/>
                <w:noProof/>
              </w:rPr>
              <w:t>3.2 Assessing AI generated copy</w:t>
            </w:r>
            <w:r>
              <w:rPr>
                <w:noProof/>
                <w:webHidden/>
              </w:rPr>
              <w:tab/>
            </w:r>
            <w:r>
              <w:rPr>
                <w:noProof/>
                <w:webHidden/>
              </w:rPr>
              <w:fldChar w:fldCharType="begin"/>
            </w:r>
            <w:r>
              <w:rPr>
                <w:noProof/>
                <w:webHidden/>
              </w:rPr>
              <w:instrText xml:space="preserve"> PAGEREF _Toc235294228 \h </w:instrText>
            </w:r>
            <w:r>
              <w:rPr>
                <w:noProof/>
                <w:webHidden/>
              </w:rPr>
            </w:r>
            <w:r>
              <w:rPr>
                <w:noProof/>
                <w:webHidden/>
              </w:rPr>
              <w:fldChar w:fldCharType="separate"/>
            </w:r>
            <w:r>
              <w:rPr>
                <w:noProof/>
                <w:webHidden/>
              </w:rPr>
              <w:t>9</w:t>
            </w:r>
            <w:r>
              <w:rPr>
                <w:noProof/>
                <w:webHidden/>
              </w:rPr>
              <w:fldChar w:fldCharType="end"/>
            </w:r>
          </w:hyperlink>
        </w:p>
        <w:p w14:paraId="39D239E9" w14:textId="77777777" w:rsidR="002B2032" w:rsidRDefault="002B2032">
          <w:pPr>
            <w:pStyle w:val="TOC2"/>
            <w:tabs>
              <w:tab w:val="right" w:leader="dot" w:pos="9016"/>
            </w:tabs>
            <w:rPr>
              <w:noProof/>
            </w:rPr>
          </w:pPr>
          <w:hyperlink w:anchor="_Toc235294229" w:history="1">
            <w:r w:rsidRPr="00C97A8F">
              <w:rPr>
                <w:rStyle w:val="Hyperlink"/>
                <w:noProof/>
              </w:rPr>
              <w:t>3.3 Contribution Analysis</w:t>
            </w:r>
            <w:r>
              <w:rPr>
                <w:noProof/>
                <w:webHidden/>
              </w:rPr>
              <w:tab/>
            </w:r>
            <w:r>
              <w:rPr>
                <w:noProof/>
                <w:webHidden/>
              </w:rPr>
              <w:fldChar w:fldCharType="begin"/>
            </w:r>
            <w:r>
              <w:rPr>
                <w:noProof/>
                <w:webHidden/>
              </w:rPr>
              <w:instrText xml:space="preserve"> PAGEREF _Toc235294229 \h </w:instrText>
            </w:r>
            <w:r>
              <w:rPr>
                <w:noProof/>
                <w:webHidden/>
              </w:rPr>
            </w:r>
            <w:r>
              <w:rPr>
                <w:noProof/>
                <w:webHidden/>
              </w:rPr>
              <w:fldChar w:fldCharType="separate"/>
            </w:r>
            <w:r>
              <w:rPr>
                <w:noProof/>
                <w:webHidden/>
              </w:rPr>
              <w:t>9</w:t>
            </w:r>
            <w:r>
              <w:rPr>
                <w:noProof/>
                <w:webHidden/>
              </w:rPr>
              <w:fldChar w:fldCharType="end"/>
            </w:r>
          </w:hyperlink>
        </w:p>
        <w:p w14:paraId="51046A33" w14:textId="77777777" w:rsidR="002B2032" w:rsidRDefault="002B2032">
          <w:pPr>
            <w:pStyle w:val="TOC1"/>
            <w:tabs>
              <w:tab w:val="right" w:leader="dot" w:pos="9016"/>
            </w:tabs>
            <w:rPr>
              <w:noProof/>
            </w:rPr>
          </w:pPr>
          <w:hyperlink w:anchor="_Toc235294230" w:history="1">
            <w:r w:rsidRPr="00C97A8F">
              <w:rPr>
                <w:rStyle w:val="Hyperlink"/>
                <w:noProof/>
              </w:rPr>
              <w:t>Reference list</w:t>
            </w:r>
            <w:r>
              <w:rPr>
                <w:noProof/>
                <w:webHidden/>
              </w:rPr>
              <w:tab/>
            </w:r>
            <w:r>
              <w:rPr>
                <w:noProof/>
                <w:webHidden/>
              </w:rPr>
              <w:fldChar w:fldCharType="begin"/>
            </w:r>
            <w:r>
              <w:rPr>
                <w:noProof/>
                <w:webHidden/>
              </w:rPr>
              <w:instrText xml:space="preserve"> PAGEREF _Toc235294230 \h </w:instrText>
            </w:r>
            <w:r>
              <w:rPr>
                <w:noProof/>
                <w:webHidden/>
              </w:rPr>
            </w:r>
            <w:r>
              <w:rPr>
                <w:noProof/>
                <w:webHidden/>
              </w:rPr>
              <w:fldChar w:fldCharType="separate"/>
            </w:r>
            <w:r>
              <w:rPr>
                <w:noProof/>
                <w:webHidden/>
              </w:rPr>
              <w:t>11</w:t>
            </w:r>
            <w:r>
              <w:rPr>
                <w:noProof/>
                <w:webHidden/>
              </w:rPr>
              <w:fldChar w:fldCharType="end"/>
            </w:r>
          </w:hyperlink>
        </w:p>
        <w:p w14:paraId="316AF61A" w14:textId="77777777" w:rsidR="002B2032" w:rsidRDefault="002B2032">
          <w:r>
            <w:rPr>
              <w:b/>
              <w:bCs/>
              <w:noProof/>
            </w:rPr>
            <w:fldChar w:fldCharType="end"/>
          </w:r>
        </w:p>
      </w:sdtContent>
    </w:sdt>
    <w:p w14:paraId="6F701989" w14:textId="77777777" w:rsidR="002B2032" w:rsidRDefault="002B2032">
      <w:pPr>
        <w:spacing w:line="259" w:lineRule="auto"/>
        <w:jc w:val="left"/>
        <w:rPr>
          <w:b/>
          <w:sz w:val="28"/>
          <w:szCs w:val="28"/>
        </w:rPr>
      </w:pPr>
      <w:r>
        <w:br w:type="page"/>
      </w:r>
    </w:p>
    <w:p w14:paraId="3A9091A9" w14:textId="77777777" w:rsidR="00C03629" w:rsidRPr="00812643" w:rsidRDefault="00C03629" w:rsidP="00812643">
      <w:pPr>
        <w:pStyle w:val="Heading1"/>
      </w:pPr>
      <w:bookmarkStart w:id="0" w:name="_Toc235294219"/>
      <w:r w:rsidRPr="00812643">
        <w:lastRenderedPageBreak/>
        <w:t>Task 1:</w:t>
      </w:r>
      <w:r w:rsidR="00E81799" w:rsidRPr="00812643">
        <w:t xml:space="preserve"> Marketing Environment Analysis</w:t>
      </w:r>
      <w:bookmarkEnd w:id="0"/>
    </w:p>
    <w:p w14:paraId="5730C1A8" w14:textId="77777777" w:rsidR="00C03629" w:rsidRPr="00B66F6B" w:rsidRDefault="00C03629" w:rsidP="00B66F6B">
      <w:r w:rsidRPr="00B66F6B">
        <w:t>BHP Group Limited is a diversified mining firm based in Melbourne, Australia with a market capitalisation of $495 billion, making it the world's largest mining company by market value</w:t>
      </w:r>
      <w:r w:rsidR="000129CC">
        <w:t xml:space="preserve"> </w:t>
      </w:r>
      <w:r w:rsidR="000129CC" w:rsidRPr="000129CC">
        <w:t>(BHP, 2024)</w:t>
      </w:r>
      <w:r w:rsidRPr="00B66F6B">
        <w:t>. BHP is increasingly under pressure to move towards lower carbon products and processes due to the increased attention and pressure on climate change</w:t>
      </w:r>
      <w:r w:rsidR="000129CC">
        <w:t xml:space="preserve"> globally. Kotler et al. (2024), </w:t>
      </w:r>
      <w:r w:rsidRPr="00B66F6B">
        <w:t>the marketing environment consists of the actors and forces outside of marketing that impact an organisation's capacity to build and maintain relationships with target customers. This section critically examines two external influences on BHP's low-carbon transition: the natural environment (as this is a requirement); and the political/regulatory environment (because it is becoming a mediator between pressures from the natural environment and commercial reality).</w:t>
      </w:r>
    </w:p>
    <w:p w14:paraId="04822BE4" w14:textId="77777777" w:rsidR="00C03629" w:rsidRPr="009C7D66" w:rsidRDefault="009C7D66" w:rsidP="009C7D66">
      <w:pPr>
        <w:pStyle w:val="Heading2"/>
      </w:pPr>
      <w:bookmarkStart w:id="1" w:name="_Toc235294220"/>
      <w:r w:rsidRPr="009C7D66">
        <w:t xml:space="preserve">1.1 </w:t>
      </w:r>
      <w:r w:rsidR="00C03629" w:rsidRPr="009C7D66">
        <w:t>The Natural Environment Actor</w:t>
      </w:r>
      <w:bookmarkEnd w:id="1"/>
    </w:p>
    <w:p w14:paraId="10DA85D9" w14:textId="77777777" w:rsidR="00C03629" w:rsidRDefault="00C03629" w:rsidP="00B66F6B">
      <w:r w:rsidRPr="00B66F6B">
        <w:t>The natural environment is the physical resources and ecological limits on which marketing operation relies and which are influenced by marketing operation (Kotler et al., 2024). This actor is at</w:t>
      </w:r>
      <w:r w:rsidR="000129CC">
        <w:t xml:space="preserve"> the heart of BHP's business -</w:t>
      </w:r>
      <w:r w:rsidRPr="00B66F6B">
        <w:t xml:space="preserve"> the metals and mining sector accounted for around a quarter of the GHG emissions reported by the world's 12,000 largest companies – subjecting the industry to constant stakeholder pressure</w:t>
      </w:r>
      <w:r w:rsidR="000129CC">
        <w:t xml:space="preserve"> </w:t>
      </w:r>
      <w:r w:rsidR="000129CC" w:rsidRPr="000129CC">
        <w:t>(Yahoo, 2025)</w:t>
      </w:r>
      <w:r w:rsidRPr="00B66F6B">
        <w:t>. In response, BHP has published its Climate Transition Action Plan (CTAP 2024), which includes a long-term operational (Scope 1 and 2) GHG emission reduction target of 30% or more by 2030 from 2020 and a longer term Net Zero operational (Scope 1 and 2) GHG emissions goal of 2050. This actor is also deeply involved in governance, as BHP plans to place its climate strategy on a non-binding shareholder advisory vote agenda at its Annual General Meeting, and reports on climate performance in its Annual Report and dedicated climate performance disclosures.</w:t>
      </w:r>
    </w:p>
    <w:p w14:paraId="2A4D9C44" w14:textId="77777777" w:rsidR="000129CC" w:rsidRPr="000129CC" w:rsidRDefault="000129CC" w:rsidP="000129CC">
      <w:pPr>
        <w:jc w:val="center"/>
        <w:rPr>
          <w:b/>
        </w:rPr>
      </w:pPr>
      <w:r w:rsidRPr="000129CC">
        <w:rPr>
          <w:b/>
          <w:noProof/>
          <w:lang w:val="en-IN" w:eastAsia="en-IN"/>
        </w:rPr>
        <w:lastRenderedPageBreak/>
        <w:drawing>
          <wp:inline distT="0" distB="0" distL="0" distR="0" wp14:anchorId="1025A50B" wp14:editId="09EBA14B">
            <wp:extent cx="5731510" cy="24491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49195"/>
                    </a:xfrm>
                    <a:prstGeom prst="rect">
                      <a:avLst/>
                    </a:prstGeom>
                  </pic:spPr>
                </pic:pic>
              </a:graphicData>
            </a:graphic>
          </wp:inline>
        </w:drawing>
      </w:r>
    </w:p>
    <w:p w14:paraId="7E70ACA6" w14:textId="77777777" w:rsidR="000129CC" w:rsidRDefault="000129CC" w:rsidP="000129CC">
      <w:pPr>
        <w:jc w:val="center"/>
        <w:rPr>
          <w:b/>
        </w:rPr>
      </w:pPr>
      <w:r w:rsidRPr="000129CC">
        <w:rPr>
          <w:b/>
        </w:rPr>
        <w:t>Figure 1: BHP overview</w:t>
      </w:r>
    </w:p>
    <w:p w14:paraId="439C553D" w14:textId="77777777" w:rsidR="000129CC" w:rsidRPr="000129CC" w:rsidRDefault="000129CC" w:rsidP="000129CC">
      <w:pPr>
        <w:jc w:val="center"/>
        <w:rPr>
          <w:b/>
        </w:rPr>
      </w:pPr>
      <w:r w:rsidRPr="000129CC">
        <w:t>(</w:t>
      </w:r>
      <w:r>
        <w:t xml:space="preserve">Source: </w:t>
      </w:r>
      <w:r w:rsidRPr="000129CC">
        <w:t>Yahoo, 2025)</w:t>
      </w:r>
    </w:p>
    <w:p w14:paraId="5F7EE597" w14:textId="77777777" w:rsidR="00C03629" w:rsidRPr="00B66F6B" w:rsidRDefault="00C03629" w:rsidP="00B66F6B">
      <w:r w:rsidRPr="00B66F6B">
        <w:t xml:space="preserve">In addition to its own footprint, BHP </w:t>
      </w:r>
      <w:r w:rsidR="00A435FB">
        <w:t xml:space="preserve">(Figure 1) </w:t>
      </w:r>
      <w:r w:rsidRPr="00B66F6B">
        <w:t xml:space="preserve">is now positioning itself as a catalyst for the decarbonisation megatrend and not just a </w:t>
      </w:r>
      <w:r w:rsidR="008461EE" w:rsidRPr="00B66F6B">
        <w:t>decarbonise</w:t>
      </w:r>
      <w:r w:rsidRPr="00B66F6B">
        <w:t xml:space="preserve"> of its own emissions. As copper and nickel become more 'future facing commodities' vital to electrification, renewable energy infrastructure and electric vehicles, BHP is attempting to re-brand bulk commodities as 'sustainability commodities'. On the supply-chain (Scope 3) side, BHP has allocated capital, which it says had reached US$171 million to date, to steelmaking partnerships and ventures, such as a pilot project for an electric smelting furnace at BHP's Pilbara operations to produce lower-emissions iron instead of conventional blast-furnace steelmaking</w:t>
      </w:r>
      <w:r w:rsidR="008461EE">
        <w:t xml:space="preserve"> </w:t>
      </w:r>
      <w:r w:rsidR="008461EE" w:rsidRPr="008461EE">
        <w:t>(BHP, 2025)</w:t>
      </w:r>
      <w:r w:rsidRPr="00B66F6B">
        <w:t>.</w:t>
      </w:r>
    </w:p>
    <w:p w14:paraId="223AC94B" w14:textId="77777777" w:rsidR="00C03629" w:rsidRPr="00B66F6B" w:rsidRDefault="00C03629" w:rsidP="00B66F6B">
      <w:r w:rsidRPr="00B66F6B">
        <w:t>However, there are problems with this marketing story when a critical appraisal examines it, and these elicit tension with operational decision-making. BHP's iron ore from the Pilbara is a lower-grade ore compared to the high-grade iron ore that is used in a direct-reduced iron (DRI) route, which is central to green steelmaking. Just before the onset of regula</w:t>
      </w:r>
      <w:r w:rsidR="008461EE">
        <w:t xml:space="preserve">tory and competitive pressures, </w:t>
      </w:r>
      <w:r w:rsidRPr="00B66F6B">
        <w:t>a previously planned scope 3 ore-beneficiation facility at Jimblebar was cancelled, on the stated grounds of marginal economics, which had been thought to reduce emissions by approximately 1.7 million tonnes per year</w:t>
      </w:r>
      <w:r w:rsidR="008461EE">
        <w:t xml:space="preserve"> (BHP, 2025</w:t>
      </w:r>
      <w:r w:rsidR="008461EE" w:rsidRPr="008461EE">
        <w:t>)</w:t>
      </w:r>
      <w:r w:rsidRPr="00B66F6B">
        <w:t>. It creates another 'say-do gap' issue: there is a lack of parallel investment in green steel when profitability is emphasized in the short term, which must be addressed by any credible marketing communication plan or risk accusations of greenwashing.</w:t>
      </w:r>
    </w:p>
    <w:p w14:paraId="44490A41" w14:textId="77777777" w:rsidR="00C03629" w:rsidRPr="00B66F6B" w:rsidRDefault="009C7D66" w:rsidP="009C7D66">
      <w:pPr>
        <w:pStyle w:val="Heading2"/>
      </w:pPr>
      <w:bookmarkStart w:id="2" w:name="_Toc235294221"/>
      <w:r>
        <w:t xml:space="preserve">1.2 </w:t>
      </w:r>
      <w:r w:rsidR="00C03629" w:rsidRPr="00B66F6B">
        <w:t>Political and Regulatory Environment</w:t>
      </w:r>
      <w:r>
        <w:t xml:space="preserve"> actor</w:t>
      </w:r>
      <w:bookmarkEnd w:id="2"/>
    </w:p>
    <w:p w14:paraId="411B2872" w14:textId="77777777" w:rsidR="00C03629" w:rsidRPr="00B66F6B" w:rsidRDefault="00C03629" w:rsidP="00B66F6B">
      <w:r w:rsidRPr="00B66F6B">
        <w:lastRenderedPageBreak/>
        <w:t>Political environment includes laws, government agencies and pressure groups which limit and influence organisational activities (Kotler et al., 2024). The impact of natural-environment pressure on BHP is mediated by regulation, so that regulation is becoming the vehicle through which this pressure becomes a commercial constraint. Domestically, the Safeguard Mechanism is implemented for around 220 of Australia's largest industrial facilities, including some BHP, with progressive annual reductions in baseline emissions providing a direct financial incentive to decarbonise the operations</w:t>
      </w:r>
      <w:r w:rsidR="001A6B1C">
        <w:t xml:space="preserve"> </w:t>
      </w:r>
      <w:r w:rsidR="001A6B1C" w:rsidRPr="001A6B1C">
        <w:t>(Knaus and Morton, 2026)</w:t>
      </w:r>
      <w:r w:rsidRPr="00B66F6B">
        <w:t>.</w:t>
      </w:r>
      <w:r w:rsidR="001A6B1C">
        <w:t xml:space="preserve"> </w:t>
      </w:r>
    </w:p>
    <w:p w14:paraId="49EB662B" w14:textId="77777777" w:rsidR="00C03629" w:rsidRPr="00B66F6B" w:rsidRDefault="00C03629" w:rsidP="00B66F6B">
      <w:r w:rsidRPr="00B66F6B">
        <w:t>The European Union (EU) Carbon Border Adjustment Mechanism (CBAM) rolled out into its final phase of enforcement for iron, steel and aluminium products in January 2026, where importers will need to buy CBAM certificates that account for the carbon emissions associated with the products entering the EU</w:t>
      </w:r>
      <w:r w:rsidR="00597F70">
        <w:t xml:space="preserve"> </w:t>
      </w:r>
      <w:r w:rsidR="00597F70" w:rsidRPr="00597F70">
        <w:t>(European Commission, 2025)</w:t>
      </w:r>
      <w:r w:rsidRPr="00B66F6B">
        <w:t>. While BHP does not sell finished steel, CBAM raises the cost of the steelmaking’s customers, encouraging the customers to ask for lower 'emissions intensity' raw materials. At the same time, China's national emissions trading programme (ETS) has been expanded to include the steel industry, and caps on emissions intensity are planned to become absolute in 2027</w:t>
      </w:r>
      <w:r w:rsidR="00597F70">
        <w:t xml:space="preserve"> </w:t>
      </w:r>
      <w:r w:rsidR="00597F70" w:rsidRPr="00597F70">
        <w:t>(ICAP, 2025)</w:t>
      </w:r>
      <w:r w:rsidRPr="00B66F6B">
        <w:t xml:space="preserve">. With China as BHP's biggest iron ore customer, this regulatory adjustment is changing customer buying criteria to include ore quality and the intensity of emissions, which is furthering driven by the Chinese market opening to high-grade </w:t>
      </w:r>
      <w:proofErr w:type="spellStart"/>
      <w:r w:rsidRPr="00B66F6B">
        <w:t>Simandou</w:t>
      </w:r>
      <w:proofErr w:type="spellEnd"/>
      <w:r w:rsidRPr="00B66F6B">
        <w:t xml:space="preserve"> iron ore, as a direct competitor to BHP's Pilbara ore, in late 2025.</w:t>
      </w:r>
      <w:r w:rsidR="00597F70">
        <w:t xml:space="preserve">  </w:t>
      </w:r>
    </w:p>
    <w:p w14:paraId="66BB67C5" w14:textId="77777777" w:rsidR="00C03629" w:rsidRPr="00B66F6B" w:rsidRDefault="00C03629" w:rsidP="00B66F6B">
      <w:r w:rsidRPr="00B66F6B">
        <w:t>The two are therefore not divided but joined: the natural environment is the ecological imperative that leads to an underlying imperative, political and regulatory measures like the Safeguard Mechanism and CBAM are measures that assign cost structures and customer expectations to this imperative. For BHP's marketing arm, environmental scanning must now be a core element of B2B value-proposition design, understanding customer carbon intensity segments and the proactive involvement of BH</w:t>
      </w:r>
      <w:r w:rsidR="00597F70">
        <w:t>P in the design of new schemes,</w:t>
      </w:r>
      <w:r w:rsidRPr="00B66F6B">
        <w:t xml:space="preserve"> like the prospective Australian carbon border adjustment currently under government consideration</w:t>
      </w:r>
      <w:r w:rsidR="00597F70">
        <w:t xml:space="preserve"> </w:t>
      </w:r>
      <w:r w:rsidR="00597F70" w:rsidRPr="00597F70">
        <w:t>(Knaus and Morton, 2026)</w:t>
      </w:r>
      <w:r w:rsidRPr="00B66F6B">
        <w:t xml:space="preserve">. This is the sort of contribution </w:t>
      </w:r>
      <w:r w:rsidR="00597F70">
        <w:t>that</w:t>
      </w:r>
      <w:r w:rsidRPr="00B66F6B">
        <w:t xml:space="preserve"> expects to appraise: marketing's influence is shifting from product attributes, to actively managing the organisation's licence to sell in a global market that is increasingly carbon priced.</w:t>
      </w:r>
    </w:p>
    <w:p w14:paraId="3E88DCD7" w14:textId="77777777" w:rsidR="00C03629" w:rsidRPr="00B66F6B" w:rsidRDefault="00C03629" w:rsidP="00B66F6B">
      <w:r w:rsidRPr="00B66F6B">
        <w:t xml:space="preserve">Interdependence also impacts internal marketing and its structure at BHP. Historically, environmental compliance and government relations have co-existed in isolation from the commercial marketing and key account management. The evidence indicates that these </w:t>
      </w:r>
      <w:r w:rsidRPr="00B66F6B">
        <w:lastRenderedPageBreak/>
        <w:t>functions are becoming more interdependent, with account teams involved in long-term offtake agreements being able to discuss the impact on their customers' carbon footprints under CBAM or domestically designed carbon schemes, and public-affairs teams discussing the implications for BHP's product portfolio. If these functions are not integrated there is risk of conflicting messages, such as promoting grandiose climate policy in public and advocating for low scheme design influences in private, which would exacerbate the say-do gap identified above and would create further reputational risk for BHP from investors, non-governmental organisations and more and more carbon aware consumers.</w:t>
      </w:r>
    </w:p>
    <w:p w14:paraId="238CE9A4" w14:textId="77777777" w:rsidR="00C03629" w:rsidRPr="00B66F6B" w:rsidRDefault="00C03629" w:rsidP="009C7D66">
      <w:pPr>
        <w:pStyle w:val="Heading1"/>
      </w:pPr>
      <w:bookmarkStart w:id="3" w:name="_Toc235294222"/>
      <w:r w:rsidRPr="00B66F6B">
        <w:t xml:space="preserve">Task </w:t>
      </w:r>
      <w:r w:rsidR="009C7D66">
        <w:t xml:space="preserve">2: </w:t>
      </w:r>
      <w:r w:rsidRPr="00B66F6B">
        <w:t xml:space="preserve"> Strategic Gro</w:t>
      </w:r>
      <w:r w:rsidR="009C7D66">
        <w:t>wth and Competitive Positioning</w:t>
      </w:r>
      <w:bookmarkEnd w:id="3"/>
    </w:p>
    <w:p w14:paraId="6FEC01A1" w14:textId="77777777" w:rsidR="00C03629" w:rsidRPr="00B66F6B" w:rsidRDefault="00C03629" w:rsidP="00B66F6B">
      <w:r w:rsidRPr="00B66F6B">
        <w:t>The environmental analysis above is then used as a basis for recommending a strategic growth path for BHP during its transition from a high-carbon to a lower-carbon business model, taking into account the competing positions in which BHP may be able to sustain its competitive advantage during the transition using the Porter's generic approach as a lens.</w:t>
      </w:r>
    </w:p>
    <w:p w14:paraId="4C078183" w14:textId="77777777" w:rsidR="00C03629" w:rsidRPr="00B66F6B" w:rsidRDefault="009C7D66" w:rsidP="009C7D66">
      <w:pPr>
        <w:pStyle w:val="Heading2"/>
      </w:pPr>
      <w:bookmarkStart w:id="4" w:name="_Toc235294223"/>
      <w:r>
        <w:t xml:space="preserve">2.1 </w:t>
      </w:r>
      <w:r w:rsidR="00C03629" w:rsidRPr="00B66F6B">
        <w:t>Implementing Ansoff Matrix</w:t>
      </w:r>
      <w:bookmarkEnd w:id="4"/>
    </w:p>
    <w:p w14:paraId="57005A87" w14:textId="77777777" w:rsidR="00C03629" w:rsidRPr="00B66F6B" w:rsidRDefault="00C03629" w:rsidP="00B66F6B">
      <w:r w:rsidRPr="00B66F6B">
        <w:t>The Ansoff Matrix is a 2x2 matrix with the growth options of existing market, new market, existing product and new product. A pu</w:t>
      </w:r>
      <w:r w:rsidR="0026195E">
        <w:t>re market penetration strategy,</w:t>
      </w:r>
      <w:r w:rsidRPr="00B66F6B">
        <w:t xml:space="preserve"> simply trying to sell BHP's existing and undifferentiated commodities to its existing market relationships – is not enough, because regulatory change is actively making the customers' value set redefine itself; it is not enough to solve the repricing of carbon intensity described in Task 1. A full diversification into non-related markets is not the most straightforward lever for the low carbon transition in particular, although BHP is actively exploring this route via its Jansen potash project in Canada</w:t>
      </w:r>
      <w:r w:rsidR="0026195E">
        <w:t xml:space="preserve"> </w:t>
      </w:r>
      <w:r w:rsidR="0026195E" w:rsidRPr="0026195E">
        <w:t>(</w:t>
      </w:r>
      <w:proofErr w:type="spellStart"/>
      <w:r w:rsidR="0026195E" w:rsidRPr="0026195E">
        <w:t>Krüger</w:t>
      </w:r>
      <w:proofErr w:type="spellEnd"/>
      <w:r w:rsidR="0026195E" w:rsidRPr="0026195E">
        <w:t>, 2025)</w:t>
      </w:r>
      <w:r w:rsidRPr="00B66F6B">
        <w:t>. Product development and market development are the most logical ways to take a strategic approach to the carbon transition.</w:t>
      </w:r>
    </w:p>
    <w:p w14:paraId="439DC203" w14:textId="77777777" w:rsidR="00C03629" w:rsidRPr="00B66F6B" w:rsidRDefault="00C03629" w:rsidP="00B66F6B">
      <w:r w:rsidRPr="00B66F6B">
        <w:t xml:space="preserve">The near-term lever suggested is product development, in which the company provides customers with new or changed products. Instead of reformulating iron ore, BHP can create segments of iron ore, as well as technology partnerships, that can be bundled and sold: Further investment in the electric smelting furnace pilot project; Direct reduced iron pathways; Joint ventures with </w:t>
      </w:r>
      <w:r w:rsidR="0026195E" w:rsidRPr="00B66F6B">
        <w:t>stealers</w:t>
      </w:r>
      <w:r w:rsidRPr="00B66F6B">
        <w:t xml:space="preserve"> to co-develop lower-emissions-intensity steelmaking routes, which are compatible with Pilbara ore characteristics. This transforms commodity relationships into technology-partnership relatio</w:t>
      </w:r>
      <w:r w:rsidR="0026195E">
        <w:t>nships with existing customers.</w:t>
      </w:r>
      <w:r w:rsidR="00BC020B">
        <w:t xml:space="preserve"> </w:t>
      </w:r>
    </w:p>
    <w:p w14:paraId="1628C62F" w14:textId="77777777" w:rsidR="00C03629" w:rsidRPr="00B66F6B" w:rsidRDefault="00C03629" w:rsidP="00B66F6B">
      <w:r w:rsidRPr="00B66F6B">
        <w:lastRenderedPageBreak/>
        <w:t>Market development should be considered a lever for additional product growth, especially with copper, and is recommended. BHP has the opportunity to diversify away from the reliance on China-dominated commodity trading relationships, as global demand surges for copper in the context of power infrastructure for data centres and EV supply chains, by increasing its long-term offtake contracts with markets that are more electrification oriented</w:t>
      </w:r>
      <w:r w:rsidR="0026195E">
        <w:t xml:space="preserve"> </w:t>
      </w:r>
      <w:r w:rsidR="0026195E" w:rsidRPr="0026195E">
        <w:t>(de Koning et al., 2018)</w:t>
      </w:r>
      <w:r w:rsidRPr="00B66F6B">
        <w:t>. This spreads customer concentration risk while also enabling revenue growth in line with the decarbonisation megatrend, minimising exposure to individual tightening regulations.</w:t>
      </w:r>
    </w:p>
    <w:p w14:paraId="3547AB6D" w14:textId="77777777" w:rsidR="00C03629" w:rsidRPr="00B66F6B" w:rsidRDefault="009C7D66" w:rsidP="009C7D66">
      <w:pPr>
        <w:pStyle w:val="Heading2"/>
      </w:pPr>
      <w:bookmarkStart w:id="5" w:name="_Toc235294224"/>
      <w:r>
        <w:t xml:space="preserve">2.2 </w:t>
      </w:r>
      <w:r w:rsidR="00C03629" w:rsidRPr="00B66F6B">
        <w:t>How to maintain com</w:t>
      </w:r>
      <w:r>
        <w:t>petitive advantage and position</w:t>
      </w:r>
      <w:bookmarkEnd w:id="5"/>
    </w:p>
    <w:p w14:paraId="198850D6" w14:textId="77777777" w:rsidR="00C03629" w:rsidRPr="00B66F6B" w:rsidRDefault="00C03629" w:rsidP="00B66F6B">
      <w:r w:rsidRPr="00B66F6B">
        <w:t>According to Porter's generic strategies, sustainable competitive advantage can be achieved through one of two approaches: cost leadership or differentiation, either to a broad market or at a particular niche</w:t>
      </w:r>
      <w:r w:rsidR="0026195E">
        <w:t xml:space="preserve"> </w:t>
      </w:r>
      <w:r w:rsidR="0026195E" w:rsidRPr="0026195E">
        <w:t>(Tanwar, 2013)</w:t>
      </w:r>
      <w:r w:rsidRPr="00B66F6B">
        <w:t>. This is because there is no structural cost advantage in the premium, high grade, low carbon-steel market to justify a wide cost-leadership strategy. Rather, a niche approach is suggested: BHP should not try to market its full iron ore production as ‘green'; it should instead create a differentiated premium product based on a technology partnership, verified emissions-intensity data and the predictability of supply security to a limited group of steelmakers that are most vulnerable to CBAM and to the tightening domestic carbon schemes</w:t>
      </w:r>
      <w:r w:rsidR="00104E18">
        <w:t xml:space="preserve"> (</w:t>
      </w:r>
      <w:proofErr w:type="spellStart"/>
      <w:r w:rsidR="00104E18">
        <w:t>Krüger</w:t>
      </w:r>
      <w:proofErr w:type="spellEnd"/>
      <w:r w:rsidR="00104E18">
        <w:t xml:space="preserve">, </w:t>
      </w:r>
      <w:r w:rsidR="00104E18" w:rsidRPr="00104E18">
        <w:t>2025)</w:t>
      </w:r>
      <w:r w:rsidRPr="00B66F6B">
        <w:t>. In copper, BHP's assets are more rounded, which allows for a more defensible relationship, and often offtake, differentiation strategy that may be realised through explicit positioning copper as a commodity for decarbonisation.</w:t>
      </w:r>
      <w:r w:rsidR="0026195E">
        <w:t xml:space="preserve"> </w:t>
      </w:r>
    </w:p>
    <w:p w14:paraId="1D91EC39" w14:textId="77777777" w:rsidR="00C03629" w:rsidRPr="00B66F6B" w:rsidRDefault="00C03629" w:rsidP="00B66F6B">
      <w:r w:rsidRPr="00B66F6B">
        <w:t>Lastly, the say-do ga</w:t>
      </w:r>
      <w:r w:rsidR="00104E18">
        <w:t>p that was uncovered in Task 1-</w:t>
      </w:r>
      <w:r w:rsidRPr="00B66F6B">
        <w:t xml:space="preserve"> the cancelled J</w:t>
      </w:r>
      <w:r w:rsidR="00104E18">
        <w:t xml:space="preserve">imblebar beneficiation </w:t>
      </w:r>
      <w:r w:rsidR="00BC020B">
        <w:t xml:space="preserve">project </w:t>
      </w:r>
      <w:r w:rsidR="00BC020B" w:rsidRPr="00B66F6B">
        <w:t>is</w:t>
      </w:r>
      <w:r w:rsidRPr="00B66F6B">
        <w:t xml:space="preserve"> a direct risk to BHP's credibility when customers or stakeholders check how its capital allocation decisions align with its ambition to reduce its carbon footprint</w:t>
      </w:r>
      <w:r w:rsidR="00104E18">
        <w:t xml:space="preserve"> (Knaus and Morton, 2026</w:t>
      </w:r>
      <w:r w:rsidR="00104E18" w:rsidRPr="00104E18">
        <w:t>)</w:t>
      </w:r>
      <w:r w:rsidRPr="00B66F6B">
        <w:t>. The authors therefore recommend that BHP allocate a proportion of their sustaining and growth capital expenditure that is clearly defined and directed towards product development specifically for decarbonisation, with clear marketing communication related to this investment activity, tracked transparently against CTAP milestones. By investing first and binding compliance requirements under the Safeguard Mechanism and CBAM in second place, BHP would benefit from the first-mover positioning advantage with its most carbon intensive customers.</w:t>
      </w:r>
    </w:p>
    <w:p w14:paraId="02200F51" w14:textId="77777777" w:rsidR="00C03629" w:rsidRPr="00B66F6B" w:rsidRDefault="009C7D66" w:rsidP="009C7D66">
      <w:pPr>
        <w:pStyle w:val="Heading2"/>
      </w:pPr>
      <w:bookmarkStart w:id="6" w:name="_Toc235294225"/>
      <w:r>
        <w:t xml:space="preserve">2.3 </w:t>
      </w:r>
      <w:r w:rsidR="00C03629" w:rsidRPr="00B66F6B">
        <w:t>Implementation Considerations</w:t>
      </w:r>
      <w:bookmarkEnd w:id="6"/>
    </w:p>
    <w:p w14:paraId="22F84A47" w14:textId="77777777" w:rsidR="00B633A0" w:rsidRPr="00B66F6B" w:rsidRDefault="00C03629" w:rsidP="00B66F6B">
      <w:r w:rsidRPr="00B66F6B">
        <w:lastRenderedPageBreak/>
        <w:t>Implementing these recommendations will need a gradual process that matches the process of the regulations. BHP should focus on expanding the pilot of the electric smelting furnace and carry on trials of DRI-compatible products with lead steelmaking customers that are most vulnerable to CBAM certificate costs before FY2027 and ensure these are made public as proof points for B</w:t>
      </w:r>
      <w:r w:rsidR="00BC020B">
        <w:t xml:space="preserve">HP's account-level negotiations </w:t>
      </w:r>
      <w:r w:rsidRPr="00B66F6B">
        <w:t>account-level negotiations of BHP customers are B2B, making it difficult to imagine how they can be used for mass-market announcements. Over the medium-term (FY2027-2030), copper offtake deals should be gradually rebalanced towards markets that are more reliant on electrification, which can be achieved thr</w:t>
      </w:r>
      <w:r w:rsidR="00BC020B">
        <w:t>ough market-development efforts (BHP, 2025</w:t>
      </w:r>
      <w:r w:rsidR="00BC020B" w:rsidRPr="00BC020B">
        <w:t>)</w:t>
      </w:r>
      <w:r w:rsidRPr="00B66F6B">
        <w:t xml:space="preserve">. Competitive positioning should be reviewed throughout, with regard to </w:t>
      </w:r>
      <w:proofErr w:type="spellStart"/>
      <w:r w:rsidRPr="00B66F6B">
        <w:t>Simandou's</w:t>
      </w:r>
      <w:proofErr w:type="spellEnd"/>
      <w:r w:rsidRPr="00B66F6B">
        <w:t xml:space="preserve"> ramp-up because a structural grade handicap in high-purity DRI feedstock can't be overcome solely by marketing and may necessitate the technology partnership route in order to maintain a commercial validity.</w:t>
      </w:r>
    </w:p>
    <w:p w14:paraId="2A4653F2" w14:textId="77777777" w:rsidR="00C03629" w:rsidRPr="00B66F6B" w:rsidRDefault="00C03629" w:rsidP="00B66F6B">
      <w:r w:rsidRPr="00B66F6B">
        <w:t>Incorporating these metrics into BHP's sustainability scorecard, alongside their Scope 1 and 2 reduction goals, would provide a tangible means for the marketing function to provide assurance that their growth strategy and environmental positioning are not at odds, as required by this task in order to secure competitive advantage.</w:t>
      </w:r>
      <w:r w:rsidR="002956EA">
        <w:t xml:space="preserve"> </w:t>
      </w:r>
      <w:r w:rsidR="002956EA" w:rsidRPr="00B66F6B">
        <w:t>It is important to note that BHP does not have complete control over these actors. Political/regulatory forces are</w:t>
      </w:r>
      <w:r w:rsidR="002956EA">
        <w:t xml:space="preserve"> only partially amenable to BHP, </w:t>
      </w:r>
      <w:r w:rsidR="002956EA" w:rsidRPr="00B66F6B">
        <w:t xml:space="preserve">whereas demographic and economic forces can be only </w:t>
      </w:r>
      <w:r w:rsidR="002956EA">
        <w:t>partly monitored and adapted. B</w:t>
      </w:r>
      <w:r w:rsidR="002956EA" w:rsidRPr="00B66F6B">
        <w:t>ut can be influenced through lobbying, industry association membership and participation in consultation processes like the Australia's Carbon Leakage Review. Simply modelling the environment with an environmental view of BHP is therefore inadequate as the environmental context is not only a constraint on BHP, but it is also something BHP is trying to influence under its future rules of engagement.</w:t>
      </w:r>
      <w:r w:rsidR="002956EA">
        <w:t xml:space="preserve"> </w:t>
      </w:r>
    </w:p>
    <w:p w14:paraId="670F46B3" w14:textId="77777777" w:rsidR="00C03629" w:rsidRPr="00B66F6B" w:rsidRDefault="009C7D66" w:rsidP="009C7D66">
      <w:pPr>
        <w:pStyle w:val="Heading1"/>
      </w:pPr>
      <w:bookmarkStart w:id="7" w:name="_Toc235294226"/>
      <w:r>
        <w:t xml:space="preserve">Task 3: </w:t>
      </w:r>
      <w:r w:rsidR="00C03629" w:rsidRPr="00B66F6B">
        <w:t>Critical Re</w:t>
      </w:r>
      <w:r>
        <w:t>flection on the use of AI tools</w:t>
      </w:r>
      <w:bookmarkEnd w:id="7"/>
    </w:p>
    <w:p w14:paraId="50182E6C" w14:textId="77777777" w:rsidR="00C03629" w:rsidRPr="00B66F6B" w:rsidRDefault="009C7D66" w:rsidP="009C7D66">
      <w:pPr>
        <w:pStyle w:val="Heading2"/>
      </w:pPr>
      <w:bookmarkStart w:id="8" w:name="_Toc235294227"/>
      <w:r>
        <w:t xml:space="preserve">3.1 </w:t>
      </w:r>
      <w:r w:rsidR="00C03629" w:rsidRPr="00B66F6B">
        <w:t>Tool Disclosure</w:t>
      </w:r>
      <w:bookmarkEnd w:id="8"/>
    </w:p>
    <w:p w14:paraId="4AB9C691" w14:textId="77777777" w:rsidR="00C03629" w:rsidRPr="00B66F6B" w:rsidRDefault="00C03629" w:rsidP="00B66F6B">
      <w:r w:rsidRPr="00B66F6B">
        <w:t xml:space="preserve">The preparation of this report was assisted at various stages by generative AI (Claude, Anthropic). This included structuring the analysis around the Kotler PESTLE/actors framework and the Ansoff Matrix, writing initial paragraphs of directed prompts, and summarising publicly available secondary sources, such as BHP's Annual Report 2025, its Climate Transition Action Plan 2024, and third-party commentary on CBAM and the Safeguard Mechanism. This use is recognised in accordance with the AI use policy of the </w:t>
      </w:r>
      <w:r w:rsidRPr="00B66F6B">
        <w:lastRenderedPageBreak/>
        <w:t>module, and all sections using AI were checked, verified and edited by the author prior to submission.</w:t>
      </w:r>
    </w:p>
    <w:p w14:paraId="540380A4" w14:textId="77777777" w:rsidR="00C03629" w:rsidRPr="00B66F6B" w:rsidRDefault="009C7D66" w:rsidP="009C7D66">
      <w:pPr>
        <w:pStyle w:val="Heading2"/>
      </w:pPr>
      <w:bookmarkStart w:id="9" w:name="_Toc235294228"/>
      <w:r>
        <w:t>3.2 Assessing AI generated copy</w:t>
      </w:r>
      <w:bookmarkEnd w:id="9"/>
    </w:p>
    <w:p w14:paraId="256AF6DC" w14:textId="77777777" w:rsidR="00C03629" w:rsidRPr="00B66F6B" w:rsidRDefault="00C03629" w:rsidP="00B66F6B">
      <w:r w:rsidRPr="00B66F6B">
        <w:t>All factual and quantitative claims made with the aid of AI were not simply taken at face value, but were verified against the BHP's main disclosures and trustworthy secondary sources. In one case, the initial AI-generated draft suggested that a 2030 emissions reduction target had already been met, when it was actually a future target enshrined in the disclosure, which was subsequently corrected. Ambiguous or unverifiable figures have been either removed or caveated. This validation process was deemed critical, especially with regard to certain statistics and dates, as there is a documented risk of hallucination from AI tools.</w:t>
      </w:r>
    </w:p>
    <w:p w14:paraId="138D2340" w14:textId="77777777" w:rsidR="00C03629" w:rsidRPr="00B66F6B" w:rsidRDefault="009C7D66" w:rsidP="009C7D66">
      <w:pPr>
        <w:pStyle w:val="Heading2"/>
      </w:pPr>
      <w:bookmarkStart w:id="10" w:name="_Toc235294229"/>
      <w:r>
        <w:t xml:space="preserve">3.3 </w:t>
      </w:r>
      <w:r w:rsidR="00C03629" w:rsidRPr="00B66F6B">
        <w:t>Contribution Analysis</w:t>
      </w:r>
      <w:bookmarkEnd w:id="10"/>
    </w:p>
    <w:p w14:paraId="288E131C" w14:textId="77777777" w:rsidR="00C03629" w:rsidRPr="00B66F6B" w:rsidRDefault="00C03629" w:rsidP="00B66F6B">
      <w:r w:rsidRPr="00B66F6B">
        <w:t>AI assisted in structuring the report, summarizing background information, and generating initial report language. The author's own analysis involved: selection of the strategic tension between BHP's low carbon aspiration and the cancelled Jimblebar project</w:t>
      </w:r>
      <w:r w:rsidR="00644F40">
        <w:t xml:space="preserve"> (Knaus and Morton, 2026</w:t>
      </w:r>
      <w:r w:rsidR="00644F40" w:rsidRPr="00644F40">
        <w:t>)</w:t>
      </w:r>
      <w:r w:rsidRPr="00B66F6B">
        <w:t>; the analytical approach of considering the natural and the political environment actors as interdependent rather than separate; the choice and justification of product development and market development as the recommended Ansoff quadrants over penetration and full diversification; the analysis of the competitive position of BHP's iron ore product compared to copper, and the recommendation of focused differentiation rather than broader differentiation, and the overall critical evaluation and argumentation linking tasks 1 and 2.</w:t>
      </w:r>
    </w:p>
    <w:p w14:paraId="6D7FF03C" w14:textId="77777777" w:rsidR="00C03629" w:rsidRPr="00B66F6B" w:rsidRDefault="00C03629" w:rsidP="00B66F6B">
      <w:r w:rsidRPr="00B66F6B">
        <w:t>There are some ethical implications to consider when leveraging AI for marketing analysis. The first is that relying on AI too heavily can undermine the value of fostering critical thinking, which is what the assessment aims to cultivate; the AI generated answers were used as a starting point and then verified and argued with independently rather than as final answers. Second, transparency with assessors is an obligation to academic integrity, which here is to make explicit disclosure, not to report work generated by AI as being wholly unaided. Third, it was noted that no confidential or commercially sensitive information was up</w:t>
      </w:r>
      <w:r w:rsidR="00644F40">
        <w:t xml:space="preserve">loaded to third party AI tools </w:t>
      </w:r>
      <w:r w:rsidR="00644F40" w:rsidRPr="00B66F6B">
        <w:t>only</w:t>
      </w:r>
      <w:r w:rsidRPr="00B66F6B">
        <w:t xml:space="preserve"> public information related to company disclosures. On a broader scale, as AI tools gain traction and become part of the everyday workflow of professional marketing, there will be a need for good internal governance in relation to standards and disclosure for wheth</w:t>
      </w:r>
      <w:r w:rsidR="00644F40">
        <w:t>er and how to verify their use,</w:t>
      </w:r>
      <w:r w:rsidRPr="00B66F6B">
        <w:t xml:space="preserve"> as has been done in the preparation of this report.</w:t>
      </w:r>
    </w:p>
    <w:p w14:paraId="6030308C" w14:textId="77777777" w:rsidR="00051BC2" w:rsidRDefault="00C03629" w:rsidP="00B66F6B">
      <w:r w:rsidRPr="00B66F6B">
        <w:lastRenderedPageBreak/>
        <w:t>Overall, AI proved most useful to act as an aid to the structuring and assembling available public information, but least useful in providing specific facts and figures which had to be verified independently in each instance. It's a larger message relevant to BHP's own low-carbon claims: if BHP's marketing claims about its low-carbon transition are going to be credible, they have to be backed up by action and, for that action to be credible, it has to be backed up by verifiable, disclosed human verification and original critical judgement, and if AI-assisted academic work is going to be credible, it must be backed up by verifiable, disclosed human verification and original critical judgement.</w:t>
      </w:r>
    </w:p>
    <w:p w14:paraId="33C3435A" w14:textId="77777777" w:rsidR="00051BC2" w:rsidRDefault="00051BC2">
      <w:pPr>
        <w:spacing w:line="259" w:lineRule="auto"/>
        <w:jc w:val="left"/>
      </w:pPr>
      <w:r>
        <w:br w:type="page"/>
      </w:r>
    </w:p>
    <w:p w14:paraId="64FB9B06" w14:textId="77777777" w:rsidR="00C1700A" w:rsidRDefault="00C1700A" w:rsidP="00C1700A">
      <w:pPr>
        <w:pStyle w:val="Heading1"/>
        <w:rPr>
          <w:lang w:val="en-IN"/>
        </w:rPr>
      </w:pPr>
      <w:bookmarkStart w:id="11" w:name="_Toc235294230"/>
      <w:r>
        <w:lastRenderedPageBreak/>
        <w:t xml:space="preserve">Reference </w:t>
      </w:r>
      <w:r w:rsidRPr="00C1700A">
        <w:t>list</w:t>
      </w:r>
      <w:bookmarkEnd w:id="11"/>
    </w:p>
    <w:p w14:paraId="23773263" w14:textId="77777777" w:rsidR="00C1700A" w:rsidRDefault="00C1700A" w:rsidP="00C1700A">
      <w:pPr>
        <w:pStyle w:val="NormalWeb"/>
        <w:spacing w:before="0" w:beforeAutospacing="0" w:after="240" w:afterAutospacing="0" w:line="360" w:lineRule="auto"/>
        <w:jc w:val="both"/>
      </w:pPr>
      <w:r>
        <w:t xml:space="preserve">BHP (2024). </w:t>
      </w:r>
      <w:r>
        <w:rPr>
          <w:i/>
          <w:iCs/>
        </w:rPr>
        <w:t>BHP | a leading global resources company</w:t>
      </w:r>
      <w:r>
        <w:t>. [online] BHP. Available at: https://www.bhp.com/ [Accessed 18 July 2026].</w:t>
      </w:r>
    </w:p>
    <w:p w14:paraId="2ED4C773" w14:textId="77777777" w:rsidR="00C1700A" w:rsidRDefault="00C1700A" w:rsidP="00C1700A">
      <w:pPr>
        <w:pStyle w:val="NormalWeb"/>
        <w:spacing w:before="0" w:beforeAutospacing="0" w:after="240" w:afterAutospacing="0" w:line="360" w:lineRule="auto"/>
        <w:jc w:val="both"/>
      </w:pPr>
      <w:r>
        <w:t xml:space="preserve">BHP (2025). </w:t>
      </w:r>
      <w:r>
        <w:rPr>
          <w:i/>
          <w:iCs/>
        </w:rPr>
        <w:t>Annual Report 2025</w:t>
      </w:r>
      <w:r>
        <w:t>. [online] Available at: https://www.bhp.com/-/media/documents/investors/annual-reports/2025/250819_bhpannualreport2025.pdf.</w:t>
      </w:r>
    </w:p>
    <w:p w14:paraId="33F44532" w14:textId="77777777" w:rsidR="00C1700A" w:rsidRDefault="00C1700A" w:rsidP="00C1700A">
      <w:pPr>
        <w:pStyle w:val="NormalWeb"/>
        <w:spacing w:before="0" w:beforeAutospacing="0" w:after="240" w:afterAutospacing="0" w:line="360" w:lineRule="auto"/>
        <w:jc w:val="both"/>
      </w:pPr>
      <w:r>
        <w:t xml:space="preserve">BHP (2025). </w:t>
      </w:r>
      <w:r>
        <w:rPr>
          <w:i/>
          <w:iCs/>
        </w:rPr>
        <w:t xml:space="preserve">BHP and </w:t>
      </w:r>
      <w:proofErr w:type="spellStart"/>
      <w:r>
        <w:rPr>
          <w:i/>
          <w:iCs/>
        </w:rPr>
        <w:t>china</w:t>
      </w:r>
      <w:proofErr w:type="spellEnd"/>
      <w:r>
        <w:rPr>
          <w:i/>
          <w:iCs/>
        </w:rPr>
        <w:t xml:space="preserve"> </w:t>
      </w:r>
      <w:proofErr w:type="spellStart"/>
      <w:r>
        <w:rPr>
          <w:i/>
          <w:iCs/>
        </w:rPr>
        <w:t>baowu</w:t>
      </w:r>
      <w:proofErr w:type="spellEnd"/>
      <w:r>
        <w:rPr>
          <w:i/>
          <w:iCs/>
        </w:rPr>
        <w:t xml:space="preserve"> celebrated successful commercial-scale DRI trials using BHP’s </w:t>
      </w:r>
      <w:proofErr w:type="spellStart"/>
      <w:r>
        <w:rPr>
          <w:i/>
          <w:iCs/>
        </w:rPr>
        <w:t>pilbara</w:t>
      </w:r>
      <w:proofErr w:type="spellEnd"/>
      <w:r>
        <w:rPr>
          <w:i/>
          <w:iCs/>
        </w:rPr>
        <w:t xml:space="preserve"> iron ores</w:t>
      </w:r>
      <w:r>
        <w:t>. [online] Bhp.com. Available at: https://www.bhp.com/news/articles/2025/05/bhp-and-china-baowu-celebrated-successful-commercial-scale-dri-trials-using-bhps-pilbara-iron-ores [Accessed 18 July 2026b].</w:t>
      </w:r>
    </w:p>
    <w:p w14:paraId="3D0F4E67" w14:textId="77777777" w:rsidR="00C1700A" w:rsidRDefault="00C1700A" w:rsidP="00C1700A">
      <w:pPr>
        <w:pStyle w:val="NormalWeb"/>
        <w:spacing w:before="0" w:beforeAutospacing="0" w:after="240" w:afterAutospacing="0" w:line="360" w:lineRule="auto"/>
        <w:jc w:val="both"/>
      </w:pPr>
      <w:r>
        <w:t xml:space="preserve">de Koning, A., Kleijn, R., </w:t>
      </w:r>
      <w:proofErr w:type="spellStart"/>
      <w:r>
        <w:t>Huppes</w:t>
      </w:r>
      <w:proofErr w:type="spellEnd"/>
      <w:r>
        <w:t xml:space="preserve">, G., Sprecher, B., van Engelen, G. and Tukker, A. (2018). Metal supply constraints for a low-carbon economy? </w:t>
      </w:r>
      <w:r>
        <w:rPr>
          <w:i/>
          <w:iCs/>
        </w:rPr>
        <w:t>Resources, conservation and recycling</w:t>
      </w:r>
      <w:r>
        <w:t xml:space="preserve">, 129, pp.202–208. </w:t>
      </w:r>
      <w:proofErr w:type="gramStart"/>
      <w:r>
        <w:t>doi:10.1016/j.resconrec</w:t>
      </w:r>
      <w:proofErr w:type="gramEnd"/>
      <w:r>
        <w:t>.2017.10.040.</w:t>
      </w:r>
    </w:p>
    <w:p w14:paraId="0F3FAAF3" w14:textId="77777777" w:rsidR="00C1700A" w:rsidRDefault="00C1700A" w:rsidP="00C1700A">
      <w:pPr>
        <w:pStyle w:val="NormalWeb"/>
        <w:spacing w:before="0" w:beforeAutospacing="0" w:after="240" w:afterAutospacing="0" w:line="360" w:lineRule="auto"/>
        <w:jc w:val="both"/>
      </w:pPr>
      <w:r>
        <w:t xml:space="preserve">European Commission (2025). </w:t>
      </w:r>
      <w:r>
        <w:rPr>
          <w:i/>
          <w:iCs/>
        </w:rPr>
        <w:t>Carbon border adjustment mechanism</w:t>
      </w:r>
      <w:r>
        <w:t>. [online] European commission. Available at: https://taxation-customs.ec.europa.eu/carbon-border-adjustment-mechanism_en [Accessed 18 July 2026].</w:t>
      </w:r>
    </w:p>
    <w:p w14:paraId="188DE47A" w14:textId="77777777" w:rsidR="00C1700A" w:rsidRDefault="00C1700A" w:rsidP="00C1700A">
      <w:pPr>
        <w:pStyle w:val="NormalWeb"/>
        <w:spacing w:before="0" w:beforeAutospacing="0" w:after="240" w:afterAutospacing="0" w:line="360" w:lineRule="auto"/>
        <w:jc w:val="both"/>
      </w:pPr>
      <w:r>
        <w:t xml:space="preserve">ICAP (2025). </w:t>
      </w:r>
      <w:r>
        <w:rPr>
          <w:i/>
          <w:iCs/>
        </w:rPr>
        <w:t xml:space="preserve">China officially expands national ETS to cement, steel and </w:t>
      </w:r>
      <w:proofErr w:type="spellStart"/>
      <w:r>
        <w:rPr>
          <w:i/>
          <w:iCs/>
        </w:rPr>
        <w:t>aluminum</w:t>
      </w:r>
      <w:proofErr w:type="spellEnd"/>
      <w:r>
        <w:rPr>
          <w:i/>
          <w:iCs/>
        </w:rPr>
        <w:t xml:space="preserve"> sectors</w:t>
      </w:r>
      <w:r>
        <w:t>. [online] Icapcarbonaction.com. Available at: https://icapcarbonaction.com/en/news/china-officially-expands-national-ets-cement-steel-and-aluminum-sectors [Accessed 18 July 2026].</w:t>
      </w:r>
    </w:p>
    <w:p w14:paraId="1682D8A4" w14:textId="77777777" w:rsidR="00C1700A" w:rsidRDefault="00C1700A" w:rsidP="00C1700A">
      <w:pPr>
        <w:pStyle w:val="NormalWeb"/>
        <w:spacing w:before="0" w:beforeAutospacing="0" w:after="240" w:afterAutospacing="0" w:line="360" w:lineRule="auto"/>
        <w:jc w:val="both"/>
      </w:pPr>
      <w:r>
        <w:t xml:space="preserve">Knaus, C. and Morton, A. (2026). </w:t>
      </w:r>
      <w:r>
        <w:rPr>
          <w:i/>
          <w:iCs/>
        </w:rPr>
        <w:t xml:space="preserve">BHP quietly scrapped plan to build </w:t>
      </w:r>
      <w:proofErr w:type="spellStart"/>
      <w:r>
        <w:rPr>
          <w:i/>
          <w:iCs/>
        </w:rPr>
        <w:t>pilbara</w:t>
      </w:r>
      <w:proofErr w:type="spellEnd"/>
      <w:r>
        <w:rPr>
          <w:i/>
          <w:iCs/>
        </w:rPr>
        <w:t xml:space="preserve"> plant that would have drastically cut emissions</w:t>
      </w:r>
      <w:r>
        <w:t>. [online] The guardian. Available at: https://www.theguardian.com/world/2026/may/25/bhp-mining-pilbara-iron-ore-plant-to-drastically-cut-emissions-scrapped [Accessed 18 July 2026a].</w:t>
      </w:r>
    </w:p>
    <w:p w14:paraId="34BDC786" w14:textId="77777777" w:rsidR="00C1700A" w:rsidRDefault="00C1700A" w:rsidP="00C1700A">
      <w:pPr>
        <w:pStyle w:val="NormalWeb"/>
        <w:spacing w:before="0" w:beforeAutospacing="0" w:after="240" w:afterAutospacing="0" w:line="360" w:lineRule="auto"/>
        <w:jc w:val="both"/>
      </w:pPr>
      <w:r>
        <w:t xml:space="preserve">Knaus, C. and Morton, A. (2026). </w:t>
      </w:r>
      <w:r>
        <w:rPr>
          <w:i/>
          <w:iCs/>
        </w:rPr>
        <w:t>Former top BHP economist urges tougher government policies to push miners to decarbonise</w:t>
      </w:r>
      <w:r>
        <w:t>. [online] The guardian. Available at: https://www.theguardian.com/business/2026/jul/10/former-bhp-economist-carbon-price-emissions [Accessed 18 July 2026b].</w:t>
      </w:r>
    </w:p>
    <w:p w14:paraId="6F9C1F24" w14:textId="77777777" w:rsidR="00C1700A" w:rsidRDefault="00C1700A" w:rsidP="00C1700A">
      <w:r w:rsidRPr="00051BC2">
        <w:t>Kotler, P., Armstrong, G., Harris, L.C. and He, H. (2024)</w:t>
      </w:r>
      <w:r>
        <w:t>.</w:t>
      </w:r>
      <w:r w:rsidRPr="00051BC2">
        <w:t xml:space="preserve"> Principles of Marketing. 19th </w:t>
      </w:r>
      <w:proofErr w:type="spellStart"/>
      <w:r w:rsidRPr="00051BC2">
        <w:t>edn</w:t>
      </w:r>
      <w:proofErr w:type="spellEnd"/>
      <w:r w:rsidRPr="00051BC2">
        <w:t>. Harlow: Pearson.</w:t>
      </w:r>
    </w:p>
    <w:p w14:paraId="5363A283" w14:textId="77777777" w:rsidR="00C1700A" w:rsidRDefault="00C1700A" w:rsidP="00C1700A">
      <w:pPr>
        <w:pStyle w:val="NormalWeb"/>
        <w:spacing w:before="0" w:beforeAutospacing="0" w:after="240" w:afterAutospacing="0" w:line="360" w:lineRule="auto"/>
        <w:jc w:val="both"/>
      </w:pPr>
      <w:r>
        <w:lastRenderedPageBreak/>
        <w:t xml:space="preserve">Krüger, C. (2025). Navigating the decarbonisation of steel production: A strategic roadmap for coal producers. </w:t>
      </w:r>
      <w:r>
        <w:rPr>
          <w:i/>
          <w:iCs/>
        </w:rPr>
        <w:t>Theseus.fi</w:t>
      </w:r>
      <w:r>
        <w:t xml:space="preserve">. [online] </w:t>
      </w:r>
      <w:proofErr w:type="spellStart"/>
      <w:r>
        <w:t>doi:https</w:t>
      </w:r>
      <w:proofErr w:type="spellEnd"/>
      <w:r>
        <w:t>://www.theseus.fi/handle/10024/886611.</w:t>
      </w:r>
    </w:p>
    <w:p w14:paraId="305E4DF0" w14:textId="77777777" w:rsidR="00C1700A" w:rsidRDefault="00C1700A" w:rsidP="00C1700A">
      <w:pPr>
        <w:pStyle w:val="NormalWeb"/>
        <w:spacing w:before="0" w:beforeAutospacing="0" w:after="240" w:afterAutospacing="0" w:line="360" w:lineRule="auto"/>
        <w:jc w:val="both"/>
      </w:pPr>
      <w:r>
        <w:t>Tanwar, R. (2013). Porter’s generic competitive strategies. [online] 15(1), pp.11–17. Available at: https://www.researchgate.net/profile/John-Yanney/post/What-is-best-research-instrument-to-measure-porters-strategy-of-differentiation-cost/attachment/59d6438579197b807799ef67/AS%3A443993927491586%401482867809983/download/PGS+2.pdf [Accessed 18 July 2026].</w:t>
      </w:r>
    </w:p>
    <w:p w14:paraId="2CE0BB91" w14:textId="77777777" w:rsidR="00C1700A" w:rsidRDefault="00C1700A" w:rsidP="00C1700A">
      <w:pPr>
        <w:pStyle w:val="NormalWeb"/>
        <w:spacing w:before="0" w:beforeAutospacing="0" w:after="240" w:afterAutospacing="0" w:line="360" w:lineRule="auto"/>
        <w:jc w:val="both"/>
      </w:pPr>
      <w:r>
        <w:t xml:space="preserve">Yahoo (2025). </w:t>
      </w:r>
      <w:r>
        <w:rPr>
          <w:i/>
          <w:iCs/>
        </w:rPr>
        <w:t>BHP group limited (BHP) stock price, news, quote and history - yahoo finance</w:t>
      </w:r>
      <w:r>
        <w:t>. [online] Yahoo finance. Available at: https://uk.finance.yahoo.com/quote/BHP/ [Accessed 18 July 2026].</w:t>
      </w:r>
    </w:p>
    <w:p w14:paraId="4488792D" w14:textId="77777777" w:rsidR="00051BC2" w:rsidRPr="00B66F6B" w:rsidRDefault="00051BC2" w:rsidP="00B66F6B"/>
    <w:sectPr w:rsidR="00051BC2" w:rsidRPr="00B66F6B" w:rsidSect="00BF6467">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D57C7" w14:textId="77777777" w:rsidR="00A72AFD" w:rsidRDefault="00A72AFD" w:rsidP="00232295">
      <w:pPr>
        <w:spacing w:after="0" w:line="240" w:lineRule="auto"/>
      </w:pPr>
      <w:r>
        <w:separator/>
      </w:r>
    </w:p>
  </w:endnote>
  <w:endnote w:type="continuationSeparator" w:id="0">
    <w:p w14:paraId="57F9F431" w14:textId="77777777" w:rsidR="00A72AFD" w:rsidRDefault="00A72AFD" w:rsidP="00232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768505"/>
      <w:docPartObj>
        <w:docPartGallery w:val="Page Numbers (Bottom of Page)"/>
        <w:docPartUnique/>
      </w:docPartObj>
    </w:sdtPr>
    <w:sdtEndPr>
      <w:rPr>
        <w:noProof/>
      </w:rPr>
    </w:sdtEndPr>
    <w:sdtContent>
      <w:p w14:paraId="410EF8C9" w14:textId="77777777" w:rsidR="00232295" w:rsidRDefault="00232295">
        <w:pPr>
          <w:pStyle w:val="Footer"/>
          <w:jc w:val="right"/>
        </w:pPr>
        <w:r>
          <w:fldChar w:fldCharType="begin"/>
        </w:r>
        <w:r>
          <w:instrText xml:space="preserve"> PAGE   \* MERGEFORMAT </w:instrText>
        </w:r>
        <w:r>
          <w:fldChar w:fldCharType="separate"/>
        </w:r>
        <w:r w:rsidR="006E2E6A">
          <w:rPr>
            <w:noProof/>
          </w:rPr>
          <w:t>12</w:t>
        </w:r>
        <w:r>
          <w:rPr>
            <w:noProof/>
          </w:rPr>
          <w:fldChar w:fldCharType="end"/>
        </w:r>
      </w:p>
    </w:sdtContent>
  </w:sdt>
  <w:p w14:paraId="766B1A39" w14:textId="77777777" w:rsidR="00232295" w:rsidRDefault="00232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9B3F2" w14:textId="77777777" w:rsidR="00A72AFD" w:rsidRDefault="00A72AFD" w:rsidP="00232295">
      <w:pPr>
        <w:spacing w:after="0" w:line="240" w:lineRule="auto"/>
      </w:pPr>
      <w:r>
        <w:separator/>
      </w:r>
    </w:p>
  </w:footnote>
  <w:footnote w:type="continuationSeparator" w:id="0">
    <w:p w14:paraId="33C95577" w14:textId="77777777" w:rsidR="00A72AFD" w:rsidRDefault="00A72AFD" w:rsidP="002322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A48673" w14:textId="77777777" w:rsidR="00232295" w:rsidRDefault="00232295" w:rsidP="00232295">
    <w:pPr>
      <w:pStyle w:val="Header"/>
      <w:jc w:val="right"/>
    </w:pPr>
    <w:r w:rsidRPr="00232295">
      <w:t>MARKETING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3D26"/>
    <w:rsid w:val="000129CC"/>
    <w:rsid w:val="00051BC2"/>
    <w:rsid w:val="000F1A2B"/>
    <w:rsid w:val="00104E18"/>
    <w:rsid w:val="001A6B1C"/>
    <w:rsid w:val="00203088"/>
    <w:rsid w:val="00232295"/>
    <w:rsid w:val="0026195E"/>
    <w:rsid w:val="002956EA"/>
    <w:rsid w:val="002B2032"/>
    <w:rsid w:val="003A030C"/>
    <w:rsid w:val="004D3D26"/>
    <w:rsid w:val="0058461D"/>
    <w:rsid w:val="00597F70"/>
    <w:rsid w:val="00644F40"/>
    <w:rsid w:val="006E2E6A"/>
    <w:rsid w:val="00812643"/>
    <w:rsid w:val="008461EE"/>
    <w:rsid w:val="008B69D4"/>
    <w:rsid w:val="009C7D66"/>
    <w:rsid w:val="00A435FB"/>
    <w:rsid w:val="00A72AFD"/>
    <w:rsid w:val="00B01553"/>
    <w:rsid w:val="00B633A0"/>
    <w:rsid w:val="00B66F6B"/>
    <w:rsid w:val="00BA05AD"/>
    <w:rsid w:val="00BC020B"/>
    <w:rsid w:val="00BF6467"/>
    <w:rsid w:val="00C03629"/>
    <w:rsid w:val="00C1700A"/>
    <w:rsid w:val="00E817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9FC177"/>
  <w15:chartTrackingRefBased/>
  <w15:docId w15:val="{BF6F6080-56A4-4502-84FA-22ED27C6B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F6B"/>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812643"/>
    <w:pPr>
      <w:outlineLvl w:val="0"/>
    </w:pPr>
    <w:rPr>
      <w:b/>
      <w:sz w:val="28"/>
      <w:szCs w:val="28"/>
    </w:rPr>
  </w:style>
  <w:style w:type="paragraph" w:styleId="Heading2">
    <w:name w:val="heading 2"/>
    <w:basedOn w:val="Normal"/>
    <w:next w:val="Normal"/>
    <w:link w:val="Heading2Char"/>
    <w:uiPriority w:val="9"/>
    <w:unhideWhenUsed/>
    <w:qFormat/>
    <w:rsid w:val="009C7D66"/>
    <w:pPr>
      <w:outlineLvl w:val="1"/>
    </w:pPr>
    <w:rPr>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643"/>
    <w:rPr>
      <w:rFonts w:ascii="Times New Roman" w:hAnsi="Times New Roman" w:cs="Times New Roman"/>
      <w:b/>
      <w:sz w:val="28"/>
      <w:szCs w:val="28"/>
      <w:lang w:val="en-GB"/>
    </w:rPr>
  </w:style>
  <w:style w:type="character" w:customStyle="1" w:styleId="Heading2Char">
    <w:name w:val="Heading 2 Char"/>
    <w:basedOn w:val="DefaultParagraphFont"/>
    <w:link w:val="Heading2"/>
    <w:uiPriority w:val="9"/>
    <w:rsid w:val="009C7D66"/>
    <w:rPr>
      <w:rFonts w:ascii="Times New Roman" w:hAnsi="Times New Roman" w:cs="Times New Roman"/>
      <w:b/>
      <w:i/>
      <w:sz w:val="26"/>
      <w:szCs w:val="26"/>
      <w:lang w:val="en-GB"/>
    </w:rPr>
  </w:style>
  <w:style w:type="paragraph" w:styleId="NormalWeb">
    <w:name w:val="Normal (Web)"/>
    <w:basedOn w:val="Normal"/>
    <w:uiPriority w:val="99"/>
    <w:unhideWhenUsed/>
    <w:rsid w:val="00C1700A"/>
    <w:pPr>
      <w:spacing w:before="100" w:beforeAutospacing="1" w:after="100" w:afterAutospacing="1" w:line="240" w:lineRule="auto"/>
      <w:jc w:val="left"/>
    </w:pPr>
    <w:rPr>
      <w:rFonts w:eastAsia="Times New Roman"/>
      <w:lang w:val="en-IN" w:eastAsia="en-IN"/>
    </w:rPr>
  </w:style>
  <w:style w:type="paragraph" w:styleId="TOCHeading">
    <w:name w:val="TOC Heading"/>
    <w:basedOn w:val="Heading1"/>
    <w:next w:val="Normal"/>
    <w:uiPriority w:val="39"/>
    <w:unhideWhenUsed/>
    <w:qFormat/>
    <w:rsid w:val="002B2032"/>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2B2032"/>
    <w:pPr>
      <w:spacing w:after="100"/>
    </w:pPr>
  </w:style>
  <w:style w:type="paragraph" w:styleId="TOC2">
    <w:name w:val="toc 2"/>
    <w:basedOn w:val="Normal"/>
    <w:next w:val="Normal"/>
    <w:autoRedefine/>
    <w:uiPriority w:val="39"/>
    <w:unhideWhenUsed/>
    <w:rsid w:val="002B2032"/>
    <w:pPr>
      <w:spacing w:after="100"/>
      <w:ind w:left="240"/>
    </w:pPr>
  </w:style>
  <w:style w:type="character" w:styleId="Hyperlink">
    <w:name w:val="Hyperlink"/>
    <w:basedOn w:val="DefaultParagraphFont"/>
    <w:uiPriority w:val="99"/>
    <w:unhideWhenUsed/>
    <w:rsid w:val="002B2032"/>
    <w:rPr>
      <w:color w:val="0563C1" w:themeColor="hyperlink"/>
      <w:u w:val="single"/>
    </w:rPr>
  </w:style>
  <w:style w:type="paragraph" w:styleId="Header">
    <w:name w:val="header"/>
    <w:basedOn w:val="Normal"/>
    <w:link w:val="HeaderChar"/>
    <w:uiPriority w:val="99"/>
    <w:unhideWhenUsed/>
    <w:rsid w:val="00232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295"/>
    <w:rPr>
      <w:rFonts w:ascii="Times New Roman" w:hAnsi="Times New Roman" w:cs="Times New Roman"/>
      <w:sz w:val="24"/>
      <w:szCs w:val="24"/>
      <w:lang w:val="en-GB"/>
    </w:rPr>
  </w:style>
  <w:style w:type="paragraph" w:styleId="Footer">
    <w:name w:val="footer"/>
    <w:basedOn w:val="Normal"/>
    <w:link w:val="FooterChar"/>
    <w:uiPriority w:val="99"/>
    <w:unhideWhenUsed/>
    <w:rsid w:val="00232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295"/>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1168">
      <w:bodyDiv w:val="1"/>
      <w:marLeft w:val="0"/>
      <w:marRight w:val="0"/>
      <w:marTop w:val="0"/>
      <w:marBottom w:val="0"/>
      <w:divBdr>
        <w:top w:val="none" w:sz="0" w:space="0" w:color="auto"/>
        <w:left w:val="none" w:sz="0" w:space="0" w:color="auto"/>
        <w:bottom w:val="none" w:sz="0" w:space="0" w:color="auto"/>
        <w:right w:val="none" w:sz="0" w:space="0" w:color="auto"/>
      </w:divBdr>
    </w:div>
    <w:div w:id="33628679">
      <w:bodyDiv w:val="1"/>
      <w:marLeft w:val="0"/>
      <w:marRight w:val="0"/>
      <w:marTop w:val="0"/>
      <w:marBottom w:val="0"/>
      <w:divBdr>
        <w:top w:val="none" w:sz="0" w:space="0" w:color="auto"/>
        <w:left w:val="none" w:sz="0" w:space="0" w:color="auto"/>
        <w:bottom w:val="none" w:sz="0" w:space="0" w:color="auto"/>
        <w:right w:val="none" w:sz="0" w:space="0" w:color="auto"/>
      </w:divBdr>
    </w:div>
    <w:div w:id="66416156">
      <w:bodyDiv w:val="1"/>
      <w:marLeft w:val="0"/>
      <w:marRight w:val="0"/>
      <w:marTop w:val="0"/>
      <w:marBottom w:val="0"/>
      <w:divBdr>
        <w:top w:val="none" w:sz="0" w:space="0" w:color="auto"/>
        <w:left w:val="none" w:sz="0" w:space="0" w:color="auto"/>
        <w:bottom w:val="none" w:sz="0" w:space="0" w:color="auto"/>
        <w:right w:val="none" w:sz="0" w:space="0" w:color="auto"/>
      </w:divBdr>
    </w:div>
    <w:div w:id="120812159">
      <w:bodyDiv w:val="1"/>
      <w:marLeft w:val="0"/>
      <w:marRight w:val="0"/>
      <w:marTop w:val="0"/>
      <w:marBottom w:val="0"/>
      <w:divBdr>
        <w:top w:val="none" w:sz="0" w:space="0" w:color="auto"/>
        <w:left w:val="none" w:sz="0" w:space="0" w:color="auto"/>
        <w:bottom w:val="none" w:sz="0" w:space="0" w:color="auto"/>
        <w:right w:val="none" w:sz="0" w:space="0" w:color="auto"/>
      </w:divBdr>
    </w:div>
    <w:div w:id="419526006">
      <w:bodyDiv w:val="1"/>
      <w:marLeft w:val="0"/>
      <w:marRight w:val="0"/>
      <w:marTop w:val="0"/>
      <w:marBottom w:val="0"/>
      <w:divBdr>
        <w:top w:val="none" w:sz="0" w:space="0" w:color="auto"/>
        <w:left w:val="none" w:sz="0" w:space="0" w:color="auto"/>
        <w:bottom w:val="none" w:sz="0" w:space="0" w:color="auto"/>
        <w:right w:val="none" w:sz="0" w:space="0" w:color="auto"/>
      </w:divBdr>
    </w:div>
    <w:div w:id="559366725">
      <w:bodyDiv w:val="1"/>
      <w:marLeft w:val="0"/>
      <w:marRight w:val="0"/>
      <w:marTop w:val="0"/>
      <w:marBottom w:val="0"/>
      <w:divBdr>
        <w:top w:val="none" w:sz="0" w:space="0" w:color="auto"/>
        <w:left w:val="none" w:sz="0" w:space="0" w:color="auto"/>
        <w:bottom w:val="none" w:sz="0" w:space="0" w:color="auto"/>
        <w:right w:val="none" w:sz="0" w:space="0" w:color="auto"/>
      </w:divBdr>
    </w:div>
    <w:div w:id="614949184">
      <w:bodyDiv w:val="1"/>
      <w:marLeft w:val="0"/>
      <w:marRight w:val="0"/>
      <w:marTop w:val="0"/>
      <w:marBottom w:val="0"/>
      <w:divBdr>
        <w:top w:val="none" w:sz="0" w:space="0" w:color="auto"/>
        <w:left w:val="none" w:sz="0" w:space="0" w:color="auto"/>
        <w:bottom w:val="none" w:sz="0" w:space="0" w:color="auto"/>
        <w:right w:val="none" w:sz="0" w:space="0" w:color="auto"/>
      </w:divBdr>
    </w:div>
    <w:div w:id="622079546">
      <w:bodyDiv w:val="1"/>
      <w:marLeft w:val="0"/>
      <w:marRight w:val="0"/>
      <w:marTop w:val="0"/>
      <w:marBottom w:val="0"/>
      <w:divBdr>
        <w:top w:val="none" w:sz="0" w:space="0" w:color="auto"/>
        <w:left w:val="none" w:sz="0" w:space="0" w:color="auto"/>
        <w:bottom w:val="none" w:sz="0" w:space="0" w:color="auto"/>
        <w:right w:val="none" w:sz="0" w:space="0" w:color="auto"/>
      </w:divBdr>
    </w:div>
    <w:div w:id="649945900">
      <w:bodyDiv w:val="1"/>
      <w:marLeft w:val="0"/>
      <w:marRight w:val="0"/>
      <w:marTop w:val="0"/>
      <w:marBottom w:val="0"/>
      <w:divBdr>
        <w:top w:val="none" w:sz="0" w:space="0" w:color="auto"/>
        <w:left w:val="none" w:sz="0" w:space="0" w:color="auto"/>
        <w:bottom w:val="none" w:sz="0" w:space="0" w:color="auto"/>
        <w:right w:val="none" w:sz="0" w:space="0" w:color="auto"/>
      </w:divBdr>
    </w:div>
    <w:div w:id="791439665">
      <w:bodyDiv w:val="1"/>
      <w:marLeft w:val="0"/>
      <w:marRight w:val="0"/>
      <w:marTop w:val="0"/>
      <w:marBottom w:val="0"/>
      <w:divBdr>
        <w:top w:val="none" w:sz="0" w:space="0" w:color="auto"/>
        <w:left w:val="none" w:sz="0" w:space="0" w:color="auto"/>
        <w:bottom w:val="none" w:sz="0" w:space="0" w:color="auto"/>
        <w:right w:val="none" w:sz="0" w:space="0" w:color="auto"/>
      </w:divBdr>
      <w:divsChild>
        <w:div w:id="264650434">
          <w:marLeft w:val="0"/>
          <w:marRight w:val="0"/>
          <w:marTop w:val="0"/>
          <w:marBottom w:val="0"/>
          <w:divBdr>
            <w:top w:val="none" w:sz="0" w:space="0" w:color="auto"/>
            <w:left w:val="none" w:sz="0" w:space="0" w:color="auto"/>
            <w:bottom w:val="none" w:sz="0" w:space="0" w:color="auto"/>
            <w:right w:val="none" w:sz="0" w:space="0" w:color="auto"/>
          </w:divBdr>
        </w:div>
      </w:divsChild>
    </w:div>
    <w:div w:id="881136013">
      <w:bodyDiv w:val="1"/>
      <w:marLeft w:val="0"/>
      <w:marRight w:val="0"/>
      <w:marTop w:val="0"/>
      <w:marBottom w:val="0"/>
      <w:divBdr>
        <w:top w:val="none" w:sz="0" w:space="0" w:color="auto"/>
        <w:left w:val="none" w:sz="0" w:space="0" w:color="auto"/>
        <w:bottom w:val="none" w:sz="0" w:space="0" w:color="auto"/>
        <w:right w:val="none" w:sz="0" w:space="0" w:color="auto"/>
      </w:divBdr>
    </w:div>
    <w:div w:id="899440058">
      <w:bodyDiv w:val="1"/>
      <w:marLeft w:val="0"/>
      <w:marRight w:val="0"/>
      <w:marTop w:val="0"/>
      <w:marBottom w:val="0"/>
      <w:divBdr>
        <w:top w:val="none" w:sz="0" w:space="0" w:color="auto"/>
        <w:left w:val="none" w:sz="0" w:space="0" w:color="auto"/>
        <w:bottom w:val="none" w:sz="0" w:space="0" w:color="auto"/>
        <w:right w:val="none" w:sz="0" w:space="0" w:color="auto"/>
      </w:divBdr>
    </w:div>
    <w:div w:id="1013068200">
      <w:bodyDiv w:val="1"/>
      <w:marLeft w:val="0"/>
      <w:marRight w:val="0"/>
      <w:marTop w:val="0"/>
      <w:marBottom w:val="0"/>
      <w:divBdr>
        <w:top w:val="none" w:sz="0" w:space="0" w:color="auto"/>
        <w:left w:val="none" w:sz="0" w:space="0" w:color="auto"/>
        <w:bottom w:val="none" w:sz="0" w:space="0" w:color="auto"/>
        <w:right w:val="none" w:sz="0" w:space="0" w:color="auto"/>
      </w:divBdr>
    </w:div>
    <w:div w:id="1424296458">
      <w:bodyDiv w:val="1"/>
      <w:marLeft w:val="0"/>
      <w:marRight w:val="0"/>
      <w:marTop w:val="0"/>
      <w:marBottom w:val="0"/>
      <w:divBdr>
        <w:top w:val="none" w:sz="0" w:space="0" w:color="auto"/>
        <w:left w:val="none" w:sz="0" w:space="0" w:color="auto"/>
        <w:bottom w:val="none" w:sz="0" w:space="0" w:color="auto"/>
        <w:right w:val="none" w:sz="0" w:space="0" w:color="auto"/>
      </w:divBdr>
    </w:div>
    <w:div w:id="1672682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A6800-D06D-49CC-926F-A000F3012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3240</Words>
  <Characters>18473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VIVEK</dc:creator>
  <cp:keywords/>
  <dc:description/>
  <cp:lastModifiedBy>Vivek Patel</cp:lastModifiedBy>
  <cp:revision>2</cp:revision>
  <dcterms:created xsi:type="dcterms:W3CDTF">2026-07-24T11:29:00Z</dcterms:created>
  <dcterms:modified xsi:type="dcterms:W3CDTF">2026-07-24T11:29:00Z</dcterms:modified>
</cp:coreProperties>
</file>