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0CB21E" w14:textId="77777777" w:rsidR="004E040B" w:rsidRPr="004E040B" w:rsidRDefault="004E040B" w:rsidP="00931230">
      <w:pPr>
        <w:spacing w:line="360" w:lineRule="auto"/>
        <w:jc w:val="center"/>
        <w:rPr>
          <w:rFonts w:ascii="Times New Roman" w:eastAsia="宋体" w:hAnsi="Times New Roman" w:cs="Times New Roman"/>
          <w:b/>
          <w:sz w:val="28"/>
          <w:lang w:eastAsia="zh-CN"/>
        </w:rPr>
      </w:pPr>
    </w:p>
    <w:p w14:paraId="466A3D93" w14:textId="77777777" w:rsidR="004E040B" w:rsidRPr="004E040B" w:rsidRDefault="004E040B" w:rsidP="00931230">
      <w:pPr>
        <w:spacing w:line="360" w:lineRule="auto"/>
        <w:jc w:val="center"/>
        <w:rPr>
          <w:rFonts w:ascii="Times New Roman" w:eastAsia="宋体" w:hAnsi="Times New Roman" w:cs="Times New Roman"/>
          <w:b/>
          <w:sz w:val="28"/>
          <w:lang w:eastAsia="zh-CN"/>
        </w:rPr>
      </w:pPr>
    </w:p>
    <w:p w14:paraId="58965C99" w14:textId="77777777" w:rsidR="004E040B" w:rsidRPr="004E040B" w:rsidRDefault="004E040B" w:rsidP="00931230">
      <w:pPr>
        <w:spacing w:line="360" w:lineRule="auto"/>
        <w:jc w:val="center"/>
        <w:rPr>
          <w:rFonts w:ascii="Times New Roman" w:eastAsia="宋体" w:hAnsi="Times New Roman" w:cs="Times New Roman"/>
          <w:b/>
          <w:sz w:val="28"/>
          <w:lang w:eastAsia="zh-CN"/>
        </w:rPr>
      </w:pPr>
    </w:p>
    <w:p w14:paraId="1CD05774" w14:textId="77777777" w:rsidR="004E040B" w:rsidRPr="004E040B" w:rsidRDefault="004E040B" w:rsidP="00931230">
      <w:pPr>
        <w:spacing w:line="360" w:lineRule="auto"/>
        <w:jc w:val="center"/>
        <w:rPr>
          <w:rFonts w:ascii="Times New Roman" w:eastAsia="宋体" w:hAnsi="Times New Roman" w:cs="Times New Roman"/>
          <w:b/>
          <w:sz w:val="28"/>
          <w:lang w:eastAsia="zh-CN"/>
        </w:rPr>
      </w:pPr>
    </w:p>
    <w:p w14:paraId="4583A91F" w14:textId="77777777" w:rsidR="004E040B" w:rsidRPr="004E040B" w:rsidRDefault="004E040B" w:rsidP="00931230">
      <w:pPr>
        <w:spacing w:line="360" w:lineRule="auto"/>
        <w:jc w:val="center"/>
        <w:rPr>
          <w:rFonts w:ascii="Times New Roman" w:eastAsia="宋体" w:hAnsi="Times New Roman" w:cs="Times New Roman"/>
          <w:b/>
          <w:sz w:val="28"/>
          <w:lang w:eastAsia="zh-CN"/>
        </w:rPr>
      </w:pPr>
    </w:p>
    <w:p w14:paraId="68AF8803" w14:textId="77777777" w:rsidR="004E040B" w:rsidRPr="004E040B" w:rsidRDefault="004E040B" w:rsidP="00931230">
      <w:pPr>
        <w:spacing w:line="360" w:lineRule="auto"/>
        <w:jc w:val="center"/>
        <w:rPr>
          <w:rFonts w:ascii="Times New Roman" w:eastAsia="宋体" w:hAnsi="Times New Roman" w:cs="Times New Roman"/>
          <w:b/>
          <w:sz w:val="28"/>
          <w:lang w:eastAsia="zh-CN"/>
        </w:rPr>
      </w:pPr>
    </w:p>
    <w:p w14:paraId="360617A4" w14:textId="77777777" w:rsidR="004E040B" w:rsidRPr="004E040B" w:rsidRDefault="004E040B" w:rsidP="00931230">
      <w:pPr>
        <w:spacing w:line="360" w:lineRule="auto"/>
        <w:jc w:val="center"/>
        <w:rPr>
          <w:rFonts w:ascii="Times New Roman" w:eastAsia="宋体" w:hAnsi="Times New Roman" w:cs="Times New Roman"/>
          <w:b/>
          <w:sz w:val="28"/>
          <w:lang w:eastAsia="zh-CN"/>
        </w:rPr>
      </w:pPr>
    </w:p>
    <w:p w14:paraId="61DD9177" w14:textId="77777777" w:rsidR="004E040B" w:rsidRPr="004E040B" w:rsidRDefault="004E040B" w:rsidP="00931230">
      <w:pPr>
        <w:spacing w:line="360" w:lineRule="auto"/>
        <w:jc w:val="center"/>
        <w:rPr>
          <w:rFonts w:ascii="Times New Roman" w:eastAsia="宋体" w:hAnsi="Times New Roman" w:cs="Times New Roman"/>
          <w:b/>
          <w:sz w:val="28"/>
          <w:lang w:eastAsia="zh-CN"/>
        </w:rPr>
      </w:pPr>
    </w:p>
    <w:p w14:paraId="635D4BF0" w14:textId="77777777" w:rsidR="00AA23BB" w:rsidRPr="004E040B" w:rsidRDefault="00000000" w:rsidP="00931230">
      <w:pPr>
        <w:spacing w:line="360" w:lineRule="auto"/>
        <w:jc w:val="center"/>
        <w:rPr>
          <w:rFonts w:ascii="Times New Roman" w:hAnsi="Times New Roman" w:cs="Times New Roman"/>
        </w:rPr>
      </w:pPr>
      <w:r w:rsidRPr="004E040B">
        <w:rPr>
          <w:rFonts w:ascii="Times New Roman" w:hAnsi="Times New Roman" w:cs="Times New Roman"/>
          <w:b/>
          <w:sz w:val="32"/>
        </w:rPr>
        <w:t>Managing AI-Driven Risk at BYD:</w:t>
      </w:r>
    </w:p>
    <w:p w14:paraId="0D371F2A" w14:textId="77777777" w:rsidR="00AA23BB" w:rsidRPr="004E040B" w:rsidRDefault="00000000" w:rsidP="00931230">
      <w:pPr>
        <w:spacing w:line="360" w:lineRule="auto"/>
        <w:jc w:val="center"/>
        <w:rPr>
          <w:rFonts w:ascii="Times New Roman" w:hAnsi="Times New Roman" w:cs="Times New Roman"/>
        </w:rPr>
      </w:pPr>
      <w:r w:rsidRPr="004E040B">
        <w:rPr>
          <w:rFonts w:ascii="Times New Roman" w:hAnsi="Times New Roman" w:cs="Times New Roman"/>
          <w:b/>
          <w:sz w:val="30"/>
        </w:rPr>
        <w:t>Data Governance, Ethical AI, Regulatory Compliance and Customer Trust in the UK and European Union</w:t>
      </w:r>
    </w:p>
    <w:p w14:paraId="16B35418" w14:textId="77777777" w:rsidR="00AA23BB" w:rsidRPr="004E040B" w:rsidRDefault="00000000" w:rsidP="00931230">
      <w:pPr>
        <w:spacing w:line="360" w:lineRule="auto"/>
        <w:jc w:val="center"/>
        <w:rPr>
          <w:rFonts w:ascii="Times New Roman" w:hAnsi="Times New Roman" w:cs="Times New Roman"/>
        </w:rPr>
      </w:pPr>
      <w:r w:rsidRPr="004E040B">
        <w:rPr>
          <w:rFonts w:ascii="Times New Roman" w:hAnsi="Times New Roman" w:cs="Times New Roman"/>
        </w:rPr>
        <w:t>Student Name: Yanmo Liu</w:t>
      </w:r>
    </w:p>
    <w:p w14:paraId="78ADDB48" w14:textId="77777777" w:rsidR="00AA23BB" w:rsidRPr="004E040B" w:rsidRDefault="00000000" w:rsidP="009E38D1">
      <w:pPr>
        <w:spacing w:line="360" w:lineRule="auto"/>
        <w:jc w:val="center"/>
        <w:rPr>
          <w:rFonts w:ascii="Times New Roman" w:eastAsia="宋体" w:hAnsi="Times New Roman" w:cs="Times New Roman"/>
          <w:lang w:eastAsia="zh-CN"/>
        </w:rPr>
      </w:pPr>
      <w:r w:rsidRPr="004E040B">
        <w:rPr>
          <w:rFonts w:ascii="Times New Roman" w:hAnsi="Times New Roman" w:cs="Times New Roman"/>
        </w:rPr>
        <w:t>Student ID: 2519987</w:t>
      </w:r>
    </w:p>
    <w:p w14:paraId="186FE501" w14:textId="77777777" w:rsidR="004E040B" w:rsidRPr="004E040B" w:rsidRDefault="004E040B" w:rsidP="009E38D1">
      <w:pPr>
        <w:spacing w:line="360" w:lineRule="auto"/>
        <w:jc w:val="center"/>
        <w:rPr>
          <w:rFonts w:ascii="Times New Roman" w:eastAsia="宋体" w:hAnsi="Times New Roman" w:cs="Times New Roman"/>
          <w:lang w:eastAsia="zh-CN"/>
        </w:rPr>
      </w:pPr>
    </w:p>
    <w:p w14:paraId="6F5E4E49" w14:textId="77777777" w:rsidR="004E040B" w:rsidRPr="004E040B" w:rsidRDefault="004E040B" w:rsidP="009E38D1">
      <w:pPr>
        <w:spacing w:line="360" w:lineRule="auto"/>
        <w:jc w:val="center"/>
        <w:rPr>
          <w:rFonts w:ascii="Times New Roman" w:eastAsia="宋体" w:hAnsi="Times New Roman" w:cs="Times New Roman"/>
          <w:lang w:eastAsia="zh-CN"/>
        </w:rPr>
      </w:pPr>
    </w:p>
    <w:p w14:paraId="5551E8FC" w14:textId="77777777" w:rsidR="004E040B" w:rsidRPr="004E040B" w:rsidRDefault="004E040B" w:rsidP="009E38D1">
      <w:pPr>
        <w:spacing w:line="360" w:lineRule="auto"/>
        <w:jc w:val="center"/>
        <w:rPr>
          <w:rFonts w:ascii="Times New Roman" w:eastAsia="宋体" w:hAnsi="Times New Roman" w:cs="Times New Roman"/>
          <w:lang w:eastAsia="zh-CN"/>
        </w:rPr>
      </w:pPr>
    </w:p>
    <w:p w14:paraId="72AB6770" w14:textId="77777777" w:rsidR="004E040B" w:rsidRPr="004E040B" w:rsidRDefault="004E040B" w:rsidP="009E38D1">
      <w:pPr>
        <w:spacing w:line="360" w:lineRule="auto"/>
        <w:jc w:val="center"/>
        <w:rPr>
          <w:rFonts w:ascii="Times New Roman" w:eastAsia="宋体" w:hAnsi="Times New Roman" w:cs="Times New Roman"/>
          <w:lang w:eastAsia="zh-CN"/>
        </w:rPr>
      </w:pPr>
    </w:p>
    <w:p w14:paraId="675ABD83" w14:textId="77777777" w:rsidR="004E040B" w:rsidRPr="004E040B" w:rsidRDefault="004E040B" w:rsidP="009E38D1">
      <w:pPr>
        <w:spacing w:line="360" w:lineRule="auto"/>
        <w:jc w:val="center"/>
        <w:rPr>
          <w:rFonts w:ascii="Times New Roman" w:eastAsia="宋体" w:hAnsi="Times New Roman" w:cs="Times New Roman"/>
          <w:lang w:eastAsia="zh-CN"/>
        </w:rPr>
      </w:pPr>
    </w:p>
    <w:p w14:paraId="4F63554B" w14:textId="77777777" w:rsidR="004E040B" w:rsidRPr="004E040B" w:rsidRDefault="004E040B" w:rsidP="009E38D1">
      <w:pPr>
        <w:spacing w:line="360" w:lineRule="auto"/>
        <w:jc w:val="center"/>
        <w:rPr>
          <w:rFonts w:ascii="Times New Roman" w:eastAsia="宋体" w:hAnsi="Times New Roman" w:cs="Times New Roman"/>
          <w:lang w:eastAsia="zh-CN"/>
        </w:rPr>
      </w:pPr>
    </w:p>
    <w:p w14:paraId="3BA6D5B7" w14:textId="77777777" w:rsidR="004E040B" w:rsidRPr="004E040B" w:rsidRDefault="004E040B" w:rsidP="009E38D1">
      <w:pPr>
        <w:spacing w:line="360" w:lineRule="auto"/>
        <w:jc w:val="center"/>
        <w:rPr>
          <w:rFonts w:ascii="Times New Roman" w:eastAsia="宋体" w:hAnsi="Times New Roman" w:cs="Times New Roman"/>
          <w:lang w:eastAsia="zh-CN"/>
        </w:rPr>
      </w:pPr>
    </w:p>
    <w:p w14:paraId="316EC9FA" w14:textId="77777777" w:rsidR="004E040B" w:rsidRPr="004E040B" w:rsidRDefault="004E040B" w:rsidP="009E38D1">
      <w:pPr>
        <w:spacing w:line="360" w:lineRule="auto"/>
        <w:jc w:val="center"/>
        <w:rPr>
          <w:rFonts w:ascii="Times New Roman" w:eastAsia="宋体" w:hAnsi="Times New Roman" w:cs="Times New Roman"/>
          <w:lang w:eastAsia="zh-CN"/>
        </w:rPr>
      </w:pPr>
    </w:p>
    <w:p w14:paraId="6AAFEB07" w14:textId="77777777" w:rsidR="004E040B" w:rsidRPr="004E040B" w:rsidRDefault="004E040B" w:rsidP="009E38D1">
      <w:pPr>
        <w:spacing w:line="360" w:lineRule="auto"/>
        <w:jc w:val="center"/>
        <w:rPr>
          <w:rFonts w:ascii="Times New Roman" w:eastAsia="宋体" w:hAnsi="Times New Roman" w:cs="Times New Roman"/>
          <w:lang w:eastAsia="zh-CN"/>
        </w:rPr>
      </w:pPr>
    </w:p>
    <w:p w14:paraId="3A3FD9C7" w14:textId="77777777" w:rsidR="004E040B" w:rsidRPr="004E040B" w:rsidRDefault="004E040B" w:rsidP="009E38D1">
      <w:pPr>
        <w:spacing w:line="360" w:lineRule="auto"/>
        <w:jc w:val="center"/>
        <w:rPr>
          <w:rFonts w:ascii="Times New Roman" w:eastAsia="宋体" w:hAnsi="Times New Roman" w:cs="Times New Roman"/>
          <w:lang w:eastAsia="zh-CN"/>
        </w:rPr>
      </w:pPr>
    </w:p>
    <w:p w14:paraId="62FE5AB4" w14:textId="77777777" w:rsidR="004E040B" w:rsidRPr="004E040B" w:rsidRDefault="004E040B" w:rsidP="009E38D1">
      <w:pPr>
        <w:spacing w:line="360" w:lineRule="auto"/>
        <w:jc w:val="center"/>
        <w:rPr>
          <w:rFonts w:ascii="Times New Roman" w:eastAsia="宋体" w:hAnsi="Times New Roman" w:cs="Times New Roman"/>
          <w:lang w:eastAsia="zh-CN"/>
        </w:rPr>
      </w:pPr>
    </w:p>
    <w:p w14:paraId="2B9118E7" w14:textId="77777777" w:rsidR="004E040B" w:rsidRPr="004E040B" w:rsidRDefault="004E040B" w:rsidP="009E38D1">
      <w:pPr>
        <w:spacing w:line="360" w:lineRule="auto"/>
        <w:jc w:val="center"/>
        <w:rPr>
          <w:rFonts w:ascii="Times New Roman" w:eastAsia="宋体" w:hAnsi="Times New Roman" w:cs="Times New Roman"/>
          <w:lang w:eastAsia="zh-CN"/>
        </w:rPr>
      </w:pPr>
    </w:p>
    <w:p w14:paraId="79052619" w14:textId="77777777" w:rsidR="00AA23BB" w:rsidRPr="004E040B" w:rsidRDefault="00000000" w:rsidP="00931230">
      <w:pPr>
        <w:pStyle w:val="1"/>
        <w:spacing w:after="120"/>
        <w:rPr>
          <w:rFonts w:ascii="Times New Roman" w:hAnsi="Times New Roman" w:cs="Times New Roman"/>
        </w:rPr>
      </w:pPr>
      <w:bookmarkStart w:id="0" w:name="_Toc235380092"/>
      <w:r w:rsidRPr="004E040B">
        <w:rPr>
          <w:rFonts w:ascii="Times New Roman" w:eastAsia="Arial" w:hAnsi="Times New Roman" w:cs="Times New Roman"/>
        </w:rPr>
        <w:lastRenderedPageBreak/>
        <w:t>Executive Summary</w:t>
      </w:r>
      <w:bookmarkEnd w:id="0"/>
    </w:p>
    <w:p w14:paraId="55937A54" w14:textId="77777777" w:rsidR="00AA23BB" w:rsidRPr="004E040B" w:rsidRDefault="00000000" w:rsidP="00931230">
      <w:pPr>
        <w:spacing w:line="360" w:lineRule="auto"/>
        <w:jc w:val="both"/>
        <w:rPr>
          <w:rFonts w:ascii="Times New Roman" w:hAnsi="Times New Roman" w:cs="Times New Roman"/>
        </w:rPr>
      </w:pPr>
      <w:r w:rsidRPr="004E040B">
        <w:rPr>
          <w:rFonts w:ascii="Times New Roman" w:hAnsi="Times New Roman" w:cs="Times New Roman"/>
        </w:rPr>
        <w:t>This report advises BYD on the management of AI-driven risk in its connected-vehicle expansion across the United Kingdom and the European Union. Its central argument is that AI assurance, vehicle-data governance and safety evidence are strategic economic capabilities, not merely legal obligations. BYD must determine which controls require regional ownership and which lower-risk services can be outsourced without weakening accountability, speed or customer trust.</w:t>
      </w:r>
    </w:p>
    <w:p w14:paraId="15C8BC10" w14:textId="77777777" w:rsidR="00AA23BB" w:rsidRPr="004E040B" w:rsidRDefault="00000000" w:rsidP="00931230">
      <w:pPr>
        <w:spacing w:line="360" w:lineRule="auto"/>
        <w:jc w:val="both"/>
        <w:rPr>
          <w:rFonts w:ascii="Times New Roman" w:hAnsi="Times New Roman" w:cs="Times New Roman"/>
        </w:rPr>
      </w:pPr>
      <w:r w:rsidRPr="004E040B">
        <w:rPr>
          <w:rFonts w:ascii="Times New Roman" w:hAnsi="Times New Roman" w:cs="Times New Roman"/>
        </w:rPr>
        <w:t>The UK and EU present related but distinct governance conditions. The UK remains more principles-based and regulator-led, while the EU combines GDPR, the Data Act and a staged AI Act regime. The UK Automated Vehicles Act 2024 is relevant to future authorised self-driving functions but is not a substitute for the rules currently governing ordinary driver-assistance systems. Under-governance could expose BYD to data misuse, safety remediation and trust shocks; disproportionate governance could raise costs and slow low-risk software updates. The appropriate response is proportionate, risk-based governance with non-negotiable legal and safety floors.</w:t>
      </w:r>
    </w:p>
    <w:p w14:paraId="50E37998" w14:textId="77777777" w:rsidR="00AA23BB" w:rsidRPr="004E040B" w:rsidRDefault="00000000" w:rsidP="00931230">
      <w:pPr>
        <w:spacing w:line="360" w:lineRule="auto"/>
        <w:jc w:val="both"/>
        <w:rPr>
          <w:rFonts w:ascii="Times New Roman" w:hAnsi="Times New Roman" w:cs="Times New Roman"/>
        </w:rPr>
      </w:pPr>
      <w:r w:rsidRPr="004E040B">
        <w:rPr>
          <w:rFonts w:ascii="Times New Roman" w:hAnsi="Times New Roman" w:cs="Times New Roman"/>
        </w:rPr>
        <w:t>OLI, transaction cost economics, agency theory and marginal analysis are used to connect regulation with market-entry and make-or-buy decisions. Current registration data establish BYD's growing commercial exposure, while comparison with Tesla, Volkswagen and MG examines privacy transparency, ADAS wording, data-location evidence and supplier disclosure. Sensitivity analysis then identifies the conditions under which governance investment is economically defensible, rather than assuming that every additional control creates value.</w:t>
      </w:r>
    </w:p>
    <w:p w14:paraId="41BC9682" w14:textId="77777777" w:rsidR="00AA23BB" w:rsidRPr="004E040B" w:rsidRDefault="00000000" w:rsidP="00931230">
      <w:pPr>
        <w:spacing w:line="360" w:lineRule="auto"/>
        <w:jc w:val="both"/>
        <w:rPr>
          <w:rFonts w:ascii="Times New Roman" w:hAnsi="Times New Roman" w:cs="Times New Roman"/>
        </w:rPr>
      </w:pPr>
      <w:r w:rsidRPr="004E040B">
        <w:rPr>
          <w:rFonts w:ascii="Times New Roman" w:hAnsi="Times New Roman" w:cs="Times New Roman"/>
        </w:rPr>
        <w:t>The recommended model combines a UK/EU AI-risk unit, model-level data maps, risk-tiered product gates, clearer customer information, controlled supplier contracts and board-level economic monitoring. Regional risk leaders should have genuine stop-release authority where legal compliance, safety evidence or material customer harm is unresolved; these minimum conditions must not be commercially overridden. A staged 18-month plan assigns owners, measurable targets, resources and regulatory review triggers so that controls can evolve with the UK and EU regimes.</w:t>
      </w:r>
    </w:p>
    <w:p w14:paraId="7AE6CE58" w14:textId="77777777" w:rsidR="00AA23BB" w:rsidRPr="004E040B" w:rsidRDefault="00000000" w:rsidP="00931230">
      <w:pPr>
        <w:jc w:val="both"/>
        <w:rPr>
          <w:rFonts w:ascii="Times New Roman" w:hAnsi="Times New Roman" w:cs="Times New Roman"/>
        </w:rPr>
      </w:pPr>
      <w:r w:rsidRPr="004E040B">
        <w:rPr>
          <w:rFonts w:ascii="Times New Roman" w:hAnsi="Times New Roman" w:cs="Times New Roman"/>
        </w:rPr>
        <w:br w:type="page"/>
      </w:r>
    </w:p>
    <w:sdt>
      <w:sdtPr>
        <w:rPr>
          <w:rFonts w:ascii="Times New Roman" w:eastAsia="Arial" w:hAnsi="Times New Roman" w:cs="Times New Roman"/>
          <w:b w:val="0"/>
          <w:bCs w:val="0"/>
          <w:color w:val="auto"/>
          <w:sz w:val="24"/>
          <w:szCs w:val="22"/>
          <w:lang w:val="zh-CN" w:eastAsia="zh-CN"/>
        </w:rPr>
        <w:id w:val="-1208480349"/>
        <w:docPartObj>
          <w:docPartGallery w:val="Table of Contents"/>
          <w:docPartUnique/>
        </w:docPartObj>
      </w:sdtPr>
      <w:sdtEndPr>
        <w:rPr>
          <w:lang w:eastAsia="en-GB"/>
        </w:rPr>
      </w:sdtEndPr>
      <w:sdtContent>
        <w:p w14:paraId="0386ED00" w14:textId="0F218D4A" w:rsidR="009E38D1" w:rsidRPr="004E040B" w:rsidRDefault="004E040B">
          <w:pPr>
            <w:pStyle w:val="TOC"/>
            <w:rPr>
              <w:rFonts w:ascii="Times New Roman" w:eastAsia="宋体" w:hAnsi="Times New Roman" w:cs="Times New Roman"/>
            </w:rPr>
          </w:pPr>
          <w:r>
            <w:rPr>
              <w:rFonts w:ascii="Times New Roman" w:eastAsia="宋体" w:hAnsi="Times New Roman" w:cs="Times New Roman" w:hint="eastAsia"/>
              <w:lang w:val="zh-CN" w:eastAsia="zh-CN"/>
            </w:rPr>
            <w:t>Table of C</w:t>
          </w:r>
          <w:r w:rsidR="009E38D1" w:rsidRPr="004E040B">
            <w:rPr>
              <w:rFonts w:ascii="Times New Roman" w:eastAsia="宋体" w:hAnsi="Times New Roman" w:cs="Times New Roman"/>
              <w:lang w:val="zh-CN" w:eastAsia="zh-CN"/>
            </w:rPr>
            <w:t>ontents</w:t>
          </w:r>
        </w:p>
        <w:p w14:paraId="12179197" w14:textId="1EB0BC81" w:rsidR="004E040B" w:rsidRDefault="009E38D1">
          <w:pPr>
            <w:pStyle w:val="TOC1"/>
            <w:tabs>
              <w:tab w:val="right" w:leader="dot" w:pos="9016"/>
            </w:tabs>
            <w:rPr>
              <w:rFonts w:asciiTheme="minorHAnsi" w:eastAsiaTheme="minorEastAsia" w:hAnsiTheme="minorHAnsi" w:hint="eastAsia"/>
              <w:noProof/>
              <w:kern w:val="2"/>
              <w:sz w:val="22"/>
              <w:szCs w:val="24"/>
              <w:lang w:val="en-US" w:eastAsia="zh-CN" w:bidi="ar-SA"/>
              <w14:ligatures w14:val="standardContextual"/>
            </w:rPr>
          </w:pPr>
          <w:r w:rsidRPr="004E040B">
            <w:rPr>
              <w:rFonts w:ascii="Times New Roman" w:hAnsi="Times New Roman" w:cs="Times New Roman"/>
            </w:rPr>
            <w:fldChar w:fldCharType="begin"/>
          </w:r>
          <w:r w:rsidRPr="004E040B">
            <w:rPr>
              <w:rFonts w:ascii="Times New Roman" w:hAnsi="Times New Roman" w:cs="Times New Roman"/>
            </w:rPr>
            <w:instrText xml:space="preserve"> TOC \o "1-3" \h \z \u </w:instrText>
          </w:r>
          <w:r w:rsidRPr="004E040B">
            <w:rPr>
              <w:rFonts w:ascii="Times New Roman" w:hAnsi="Times New Roman" w:cs="Times New Roman"/>
            </w:rPr>
            <w:fldChar w:fldCharType="separate"/>
          </w:r>
          <w:hyperlink w:anchor="_Toc235380092" w:history="1">
            <w:r w:rsidR="004E040B" w:rsidRPr="00DA1729">
              <w:rPr>
                <w:rStyle w:val="aff9"/>
                <w:rFonts w:ascii="Times New Roman" w:hAnsi="Times New Roman" w:cs="Times New Roman"/>
                <w:noProof/>
              </w:rPr>
              <w:t>Executive Summary</w:t>
            </w:r>
            <w:r w:rsidR="004E040B">
              <w:rPr>
                <w:rFonts w:hint="eastAsia"/>
                <w:noProof/>
                <w:webHidden/>
              </w:rPr>
              <w:tab/>
            </w:r>
            <w:r w:rsidR="004E040B">
              <w:rPr>
                <w:rFonts w:hint="eastAsia"/>
                <w:noProof/>
                <w:webHidden/>
              </w:rPr>
              <w:fldChar w:fldCharType="begin"/>
            </w:r>
            <w:r w:rsidR="004E040B">
              <w:rPr>
                <w:rFonts w:hint="eastAsia"/>
                <w:noProof/>
                <w:webHidden/>
              </w:rPr>
              <w:instrText xml:space="preserve"> </w:instrText>
            </w:r>
            <w:r w:rsidR="004E040B">
              <w:rPr>
                <w:noProof/>
                <w:webHidden/>
              </w:rPr>
              <w:instrText>PAGEREF _Toc235380092 \h</w:instrText>
            </w:r>
            <w:r w:rsidR="004E040B">
              <w:rPr>
                <w:rFonts w:hint="eastAsia"/>
                <w:noProof/>
                <w:webHidden/>
              </w:rPr>
              <w:instrText xml:space="preserve"> </w:instrText>
            </w:r>
            <w:r w:rsidR="004E040B">
              <w:rPr>
                <w:rFonts w:hint="eastAsia"/>
                <w:noProof/>
                <w:webHidden/>
              </w:rPr>
            </w:r>
            <w:r w:rsidR="004E040B">
              <w:rPr>
                <w:rFonts w:hint="eastAsia"/>
                <w:noProof/>
                <w:webHidden/>
              </w:rPr>
              <w:fldChar w:fldCharType="separate"/>
            </w:r>
            <w:r w:rsidR="004E040B">
              <w:rPr>
                <w:noProof/>
                <w:webHidden/>
              </w:rPr>
              <w:t>2</w:t>
            </w:r>
            <w:r w:rsidR="004E040B">
              <w:rPr>
                <w:rFonts w:hint="eastAsia"/>
                <w:noProof/>
                <w:webHidden/>
              </w:rPr>
              <w:fldChar w:fldCharType="end"/>
            </w:r>
          </w:hyperlink>
        </w:p>
        <w:p w14:paraId="2D38F724" w14:textId="118FFBD8" w:rsidR="004E040B" w:rsidRDefault="004E040B">
          <w:pPr>
            <w:pStyle w:val="TOC1"/>
            <w:tabs>
              <w:tab w:val="right" w:leader="dot" w:pos="9016"/>
            </w:tabs>
            <w:rPr>
              <w:rFonts w:asciiTheme="minorHAnsi" w:eastAsiaTheme="minorEastAsia" w:hAnsiTheme="minorHAnsi" w:hint="eastAsia"/>
              <w:noProof/>
              <w:kern w:val="2"/>
              <w:sz w:val="22"/>
              <w:szCs w:val="24"/>
              <w:lang w:val="en-US" w:eastAsia="zh-CN" w:bidi="ar-SA"/>
              <w14:ligatures w14:val="standardContextual"/>
            </w:rPr>
          </w:pPr>
          <w:hyperlink w:anchor="_Toc235380093" w:history="1">
            <w:r w:rsidRPr="00DA1729">
              <w:rPr>
                <w:rStyle w:val="aff9"/>
                <w:rFonts w:ascii="Times New Roman" w:hAnsi="Times New Roman" w:cs="Times New Roman"/>
                <w:noProof/>
              </w:rPr>
              <w:t>1. Introduction</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_Toc235380093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4</w:t>
            </w:r>
            <w:r>
              <w:rPr>
                <w:rFonts w:hint="eastAsia"/>
                <w:noProof/>
                <w:webHidden/>
              </w:rPr>
              <w:fldChar w:fldCharType="end"/>
            </w:r>
          </w:hyperlink>
        </w:p>
        <w:p w14:paraId="7D6DFD23" w14:textId="09A1B0DC" w:rsidR="004E040B" w:rsidRDefault="004E040B">
          <w:pPr>
            <w:pStyle w:val="TOC1"/>
            <w:tabs>
              <w:tab w:val="right" w:leader="dot" w:pos="9016"/>
            </w:tabs>
            <w:rPr>
              <w:rFonts w:asciiTheme="minorHAnsi" w:eastAsiaTheme="minorEastAsia" w:hAnsiTheme="minorHAnsi" w:hint="eastAsia"/>
              <w:noProof/>
              <w:kern w:val="2"/>
              <w:sz w:val="22"/>
              <w:szCs w:val="24"/>
              <w:lang w:val="en-US" w:eastAsia="zh-CN" w:bidi="ar-SA"/>
              <w14:ligatures w14:val="standardContextual"/>
            </w:rPr>
          </w:pPr>
          <w:hyperlink w:anchor="_Toc235380094" w:history="1">
            <w:r w:rsidRPr="00DA1729">
              <w:rPr>
                <w:rStyle w:val="aff9"/>
                <w:rFonts w:ascii="Times New Roman" w:hAnsi="Times New Roman" w:cs="Times New Roman"/>
                <w:noProof/>
              </w:rPr>
              <w:t>2. Analytical Framework and Comparative Design</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_Toc235380094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5</w:t>
            </w:r>
            <w:r>
              <w:rPr>
                <w:rFonts w:hint="eastAsia"/>
                <w:noProof/>
                <w:webHidden/>
              </w:rPr>
              <w:fldChar w:fldCharType="end"/>
            </w:r>
          </w:hyperlink>
        </w:p>
        <w:p w14:paraId="7F95187A" w14:textId="03BB89EB" w:rsidR="004E040B" w:rsidRDefault="004E040B">
          <w:pPr>
            <w:pStyle w:val="TOC2"/>
            <w:tabs>
              <w:tab w:val="right" w:leader="dot" w:pos="9016"/>
            </w:tabs>
            <w:ind w:left="480"/>
            <w:rPr>
              <w:rFonts w:asciiTheme="minorHAnsi" w:eastAsiaTheme="minorEastAsia" w:hAnsiTheme="minorHAnsi" w:hint="eastAsia"/>
              <w:noProof/>
              <w:kern w:val="2"/>
              <w:sz w:val="22"/>
              <w:szCs w:val="24"/>
              <w:lang w:val="en-US" w:eastAsia="zh-CN" w:bidi="ar-SA"/>
              <w14:ligatures w14:val="standardContextual"/>
            </w:rPr>
          </w:pPr>
          <w:hyperlink w:anchor="_Toc235380095" w:history="1">
            <w:r w:rsidRPr="00DA1729">
              <w:rPr>
                <w:rStyle w:val="aff9"/>
                <w:rFonts w:ascii="Times New Roman" w:hAnsi="Times New Roman" w:cs="Times New Roman"/>
                <w:noProof/>
              </w:rPr>
              <w:t>2.1 Applying and critiquing the theoretical tools</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_Toc235380095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6</w:t>
            </w:r>
            <w:r>
              <w:rPr>
                <w:rFonts w:hint="eastAsia"/>
                <w:noProof/>
                <w:webHidden/>
              </w:rPr>
              <w:fldChar w:fldCharType="end"/>
            </w:r>
          </w:hyperlink>
        </w:p>
        <w:p w14:paraId="15D90EC3" w14:textId="2F310679" w:rsidR="004E040B" w:rsidRDefault="004E040B">
          <w:pPr>
            <w:pStyle w:val="TOC1"/>
            <w:tabs>
              <w:tab w:val="right" w:leader="dot" w:pos="9016"/>
            </w:tabs>
            <w:rPr>
              <w:rFonts w:asciiTheme="minorHAnsi" w:eastAsiaTheme="minorEastAsia" w:hAnsiTheme="minorHAnsi" w:hint="eastAsia"/>
              <w:noProof/>
              <w:kern w:val="2"/>
              <w:sz w:val="22"/>
              <w:szCs w:val="24"/>
              <w:lang w:val="en-US" w:eastAsia="zh-CN" w:bidi="ar-SA"/>
              <w14:ligatures w14:val="standardContextual"/>
            </w:rPr>
          </w:pPr>
          <w:hyperlink w:anchor="_Toc235380096" w:history="1">
            <w:r w:rsidRPr="00DA1729">
              <w:rPr>
                <w:rStyle w:val="aff9"/>
                <w:rFonts w:ascii="Times New Roman" w:hAnsi="Times New Roman" w:cs="Times New Roman"/>
                <w:noProof/>
              </w:rPr>
              <w:t>3. Main Findings</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_Toc235380096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6</w:t>
            </w:r>
            <w:r>
              <w:rPr>
                <w:rFonts w:hint="eastAsia"/>
                <w:noProof/>
                <w:webHidden/>
              </w:rPr>
              <w:fldChar w:fldCharType="end"/>
            </w:r>
          </w:hyperlink>
        </w:p>
        <w:p w14:paraId="43180DDB" w14:textId="47E5056B" w:rsidR="004E040B" w:rsidRDefault="004E040B">
          <w:pPr>
            <w:pStyle w:val="TOC2"/>
            <w:tabs>
              <w:tab w:val="right" w:leader="dot" w:pos="9016"/>
            </w:tabs>
            <w:ind w:left="480"/>
            <w:rPr>
              <w:rFonts w:asciiTheme="minorHAnsi" w:eastAsiaTheme="minorEastAsia" w:hAnsiTheme="minorHAnsi" w:hint="eastAsia"/>
              <w:noProof/>
              <w:kern w:val="2"/>
              <w:sz w:val="22"/>
              <w:szCs w:val="24"/>
              <w:lang w:val="en-US" w:eastAsia="zh-CN" w:bidi="ar-SA"/>
              <w14:ligatures w14:val="standardContextual"/>
            </w:rPr>
          </w:pPr>
          <w:hyperlink w:anchor="_Toc235380097" w:history="1">
            <w:r w:rsidRPr="00DA1729">
              <w:rPr>
                <w:rStyle w:val="aff9"/>
                <w:rFonts w:ascii="Times New Roman" w:hAnsi="Times New Roman" w:cs="Times New Roman"/>
                <w:noProof/>
              </w:rPr>
              <w:t>3.1 BYD positioning, market data and competitor context</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_Toc235380097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6</w:t>
            </w:r>
            <w:r>
              <w:rPr>
                <w:rFonts w:hint="eastAsia"/>
                <w:noProof/>
                <w:webHidden/>
              </w:rPr>
              <w:fldChar w:fldCharType="end"/>
            </w:r>
          </w:hyperlink>
        </w:p>
        <w:p w14:paraId="0CD85B2F" w14:textId="01D391DC" w:rsidR="004E040B" w:rsidRDefault="004E040B">
          <w:pPr>
            <w:pStyle w:val="TOC2"/>
            <w:tabs>
              <w:tab w:val="right" w:leader="dot" w:pos="9016"/>
            </w:tabs>
            <w:ind w:left="480"/>
            <w:rPr>
              <w:rFonts w:asciiTheme="minorHAnsi" w:eastAsiaTheme="minorEastAsia" w:hAnsiTheme="minorHAnsi" w:hint="eastAsia"/>
              <w:noProof/>
              <w:kern w:val="2"/>
              <w:sz w:val="22"/>
              <w:szCs w:val="24"/>
              <w:lang w:val="en-US" w:eastAsia="zh-CN" w:bidi="ar-SA"/>
              <w14:ligatures w14:val="standardContextual"/>
            </w:rPr>
          </w:pPr>
          <w:hyperlink w:anchor="_Toc235380098" w:history="1">
            <w:r w:rsidRPr="00DA1729">
              <w:rPr>
                <w:rStyle w:val="aff9"/>
                <w:rFonts w:ascii="Times New Roman" w:hAnsi="Times New Roman" w:cs="Times New Roman"/>
                <w:noProof/>
              </w:rPr>
              <w:t>3.2 UK/EU regulation and the geopolitics of AI enforcement</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_Toc235380098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8</w:t>
            </w:r>
            <w:r>
              <w:rPr>
                <w:rFonts w:hint="eastAsia"/>
                <w:noProof/>
                <w:webHidden/>
              </w:rPr>
              <w:fldChar w:fldCharType="end"/>
            </w:r>
          </w:hyperlink>
        </w:p>
        <w:p w14:paraId="632EDEA2" w14:textId="13A94270" w:rsidR="004E040B" w:rsidRDefault="004E040B">
          <w:pPr>
            <w:pStyle w:val="TOC2"/>
            <w:tabs>
              <w:tab w:val="right" w:leader="dot" w:pos="9016"/>
            </w:tabs>
            <w:ind w:left="480"/>
            <w:rPr>
              <w:rFonts w:asciiTheme="minorHAnsi" w:eastAsiaTheme="minorEastAsia" w:hAnsiTheme="minorHAnsi" w:hint="eastAsia"/>
              <w:noProof/>
              <w:kern w:val="2"/>
              <w:sz w:val="22"/>
              <w:szCs w:val="24"/>
              <w:lang w:val="en-US" w:eastAsia="zh-CN" w:bidi="ar-SA"/>
              <w14:ligatures w14:val="standardContextual"/>
            </w:rPr>
          </w:pPr>
          <w:hyperlink w:anchor="_Toc235380099" w:history="1">
            <w:r w:rsidRPr="00DA1729">
              <w:rPr>
                <w:rStyle w:val="aff9"/>
                <w:rFonts w:ascii="Times New Roman" w:hAnsi="Times New Roman" w:cs="Times New Roman"/>
                <w:noProof/>
              </w:rPr>
              <w:t>3.3 Data governance and third-party AI supplier control</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_Toc235380099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10</w:t>
            </w:r>
            <w:r>
              <w:rPr>
                <w:rFonts w:hint="eastAsia"/>
                <w:noProof/>
                <w:webHidden/>
              </w:rPr>
              <w:fldChar w:fldCharType="end"/>
            </w:r>
          </w:hyperlink>
        </w:p>
        <w:p w14:paraId="181FCE69" w14:textId="791D976F" w:rsidR="004E040B" w:rsidRDefault="004E040B">
          <w:pPr>
            <w:pStyle w:val="TOC2"/>
            <w:tabs>
              <w:tab w:val="right" w:leader="dot" w:pos="9016"/>
            </w:tabs>
            <w:ind w:left="480"/>
            <w:rPr>
              <w:rFonts w:asciiTheme="minorHAnsi" w:eastAsiaTheme="minorEastAsia" w:hAnsiTheme="minorHAnsi" w:hint="eastAsia"/>
              <w:noProof/>
              <w:kern w:val="2"/>
              <w:sz w:val="22"/>
              <w:szCs w:val="24"/>
              <w:lang w:val="en-US" w:eastAsia="zh-CN" w:bidi="ar-SA"/>
              <w14:ligatures w14:val="standardContextual"/>
            </w:rPr>
          </w:pPr>
          <w:hyperlink w:anchor="_Toc235380100" w:history="1">
            <w:r w:rsidRPr="00DA1729">
              <w:rPr>
                <w:rStyle w:val="aff9"/>
                <w:rFonts w:ascii="Times New Roman" w:hAnsi="Times New Roman" w:cs="Times New Roman"/>
                <w:noProof/>
              </w:rPr>
              <w:t>3.4 Trade theory implications for BYD's UK/EU strategy</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_Toc235380100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11</w:t>
            </w:r>
            <w:r>
              <w:rPr>
                <w:rFonts w:hint="eastAsia"/>
                <w:noProof/>
                <w:webHidden/>
              </w:rPr>
              <w:fldChar w:fldCharType="end"/>
            </w:r>
          </w:hyperlink>
        </w:p>
        <w:p w14:paraId="173E58A8" w14:textId="7528CFE4" w:rsidR="004E040B" w:rsidRDefault="004E040B">
          <w:pPr>
            <w:pStyle w:val="TOC2"/>
            <w:tabs>
              <w:tab w:val="right" w:leader="dot" w:pos="9016"/>
            </w:tabs>
            <w:ind w:left="480"/>
            <w:rPr>
              <w:rFonts w:asciiTheme="minorHAnsi" w:eastAsiaTheme="minorEastAsia" w:hAnsiTheme="minorHAnsi" w:hint="eastAsia"/>
              <w:noProof/>
              <w:kern w:val="2"/>
              <w:sz w:val="22"/>
              <w:szCs w:val="24"/>
              <w:lang w:val="en-US" w:eastAsia="zh-CN" w:bidi="ar-SA"/>
              <w14:ligatures w14:val="standardContextual"/>
            </w:rPr>
          </w:pPr>
          <w:hyperlink w:anchor="_Toc235380101" w:history="1">
            <w:r w:rsidRPr="00DA1729">
              <w:rPr>
                <w:rStyle w:val="aff9"/>
                <w:rFonts w:ascii="Times New Roman" w:hAnsi="Times New Roman" w:cs="Times New Roman"/>
                <w:noProof/>
              </w:rPr>
              <w:t>3.5 Macroeconomic and Microeconomic Decision-Making</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_Toc235380101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13</w:t>
            </w:r>
            <w:r>
              <w:rPr>
                <w:rFonts w:hint="eastAsia"/>
                <w:noProof/>
                <w:webHidden/>
              </w:rPr>
              <w:fldChar w:fldCharType="end"/>
            </w:r>
          </w:hyperlink>
        </w:p>
        <w:p w14:paraId="4DDBD596" w14:textId="0B56204F" w:rsidR="004E040B" w:rsidRDefault="004E040B">
          <w:pPr>
            <w:pStyle w:val="TOC2"/>
            <w:tabs>
              <w:tab w:val="right" w:leader="dot" w:pos="9016"/>
            </w:tabs>
            <w:ind w:left="480"/>
            <w:rPr>
              <w:rFonts w:asciiTheme="minorHAnsi" w:eastAsiaTheme="minorEastAsia" w:hAnsiTheme="minorHAnsi" w:hint="eastAsia"/>
              <w:noProof/>
              <w:kern w:val="2"/>
              <w:sz w:val="22"/>
              <w:szCs w:val="24"/>
              <w:lang w:val="en-US" w:eastAsia="zh-CN" w:bidi="ar-SA"/>
              <w14:ligatures w14:val="standardContextual"/>
            </w:rPr>
          </w:pPr>
          <w:hyperlink w:anchor="_Toc235380102" w:history="1">
            <w:r w:rsidRPr="00DA1729">
              <w:rPr>
                <w:rStyle w:val="aff9"/>
                <w:rFonts w:ascii="Times New Roman" w:hAnsi="Times New Roman" w:cs="Times New Roman"/>
                <w:noProof/>
              </w:rPr>
              <w:t>3.6 Ethical AI, ADAS trust and competitor benchmark</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_Toc235380102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15</w:t>
            </w:r>
            <w:r>
              <w:rPr>
                <w:rFonts w:hint="eastAsia"/>
                <w:noProof/>
                <w:webHidden/>
              </w:rPr>
              <w:fldChar w:fldCharType="end"/>
            </w:r>
          </w:hyperlink>
        </w:p>
        <w:p w14:paraId="059DA9F2" w14:textId="7708CBDE" w:rsidR="004E040B" w:rsidRDefault="004E040B">
          <w:pPr>
            <w:pStyle w:val="TOC2"/>
            <w:tabs>
              <w:tab w:val="right" w:leader="dot" w:pos="9016"/>
            </w:tabs>
            <w:ind w:left="480"/>
            <w:rPr>
              <w:rFonts w:asciiTheme="minorHAnsi" w:eastAsiaTheme="minorEastAsia" w:hAnsiTheme="minorHAnsi" w:hint="eastAsia"/>
              <w:noProof/>
              <w:kern w:val="2"/>
              <w:sz w:val="22"/>
              <w:szCs w:val="24"/>
              <w:lang w:val="en-US" w:eastAsia="zh-CN" w:bidi="ar-SA"/>
              <w14:ligatures w14:val="standardContextual"/>
            </w:rPr>
          </w:pPr>
          <w:hyperlink w:anchor="_Toc235380103" w:history="1">
            <w:r w:rsidRPr="00DA1729">
              <w:rPr>
                <w:rStyle w:val="aff9"/>
                <w:rFonts w:ascii="Times New Roman" w:hAnsi="Times New Roman" w:cs="Times New Roman"/>
                <w:noProof/>
              </w:rPr>
              <w:t>3.7 Stress testing AI-risk consequences</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_Toc235380103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17</w:t>
            </w:r>
            <w:r>
              <w:rPr>
                <w:rFonts w:hint="eastAsia"/>
                <w:noProof/>
                <w:webHidden/>
              </w:rPr>
              <w:fldChar w:fldCharType="end"/>
            </w:r>
          </w:hyperlink>
        </w:p>
        <w:p w14:paraId="0C8D6336" w14:textId="3DD2B960" w:rsidR="004E040B" w:rsidRDefault="004E040B">
          <w:pPr>
            <w:pStyle w:val="TOC1"/>
            <w:tabs>
              <w:tab w:val="right" w:leader="dot" w:pos="9016"/>
            </w:tabs>
            <w:rPr>
              <w:rFonts w:asciiTheme="minorHAnsi" w:eastAsiaTheme="minorEastAsia" w:hAnsiTheme="minorHAnsi" w:hint="eastAsia"/>
              <w:noProof/>
              <w:kern w:val="2"/>
              <w:sz w:val="22"/>
              <w:szCs w:val="24"/>
              <w:lang w:val="en-US" w:eastAsia="zh-CN" w:bidi="ar-SA"/>
              <w14:ligatures w14:val="standardContextual"/>
            </w:rPr>
          </w:pPr>
          <w:hyperlink w:anchor="_Toc235380104" w:history="1">
            <w:r w:rsidRPr="00DA1729">
              <w:rPr>
                <w:rStyle w:val="aff9"/>
                <w:rFonts w:ascii="Times New Roman" w:hAnsi="Times New Roman" w:cs="Times New Roman"/>
                <w:noProof/>
              </w:rPr>
              <w:t>4. Strategic Recommendations and Implementation Plan</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_Toc235380104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17</w:t>
            </w:r>
            <w:r>
              <w:rPr>
                <w:rFonts w:hint="eastAsia"/>
                <w:noProof/>
                <w:webHidden/>
              </w:rPr>
              <w:fldChar w:fldCharType="end"/>
            </w:r>
          </w:hyperlink>
        </w:p>
        <w:p w14:paraId="2723CE3C" w14:textId="201A8C64" w:rsidR="004E040B" w:rsidRDefault="004E040B">
          <w:pPr>
            <w:pStyle w:val="TOC1"/>
            <w:tabs>
              <w:tab w:val="right" w:leader="dot" w:pos="9016"/>
            </w:tabs>
            <w:rPr>
              <w:rFonts w:asciiTheme="minorHAnsi" w:eastAsiaTheme="minorEastAsia" w:hAnsiTheme="minorHAnsi" w:hint="eastAsia"/>
              <w:noProof/>
              <w:kern w:val="2"/>
              <w:sz w:val="22"/>
              <w:szCs w:val="24"/>
              <w:lang w:val="en-US" w:eastAsia="zh-CN" w:bidi="ar-SA"/>
              <w14:ligatures w14:val="standardContextual"/>
            </w:rPr>
          </w:pPr>
          <w:hyperlink w:anchor="_Toc235380105" w:history="1">
            <w:r w:rsidRPr="00DA1729">
              <w:rPr>
                <w:rStyle w:val="aff9"/>
                <w:rFonts w:ascii="Times New Roman" w:hAnsi="Times New Roman" w:cs="Times New Roman"/>
                <w:noProof/>
              </w:rPr>
              <w:t>5. Conclusion</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_Toc235380105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20</w:t>
            </w:r>
            <w:r>
              <w:rPr>
                <w:rFonts w:hint="eastAsia"/>
                <w:noProof/>
                <w:webHidden/>
              </w:rPr>
              <w:fldChar w:fldCharType="end"/>
            </w:r>
          </w:hyperlink>
        </w:p>
        <w:p w14:paraId="23AB8F71" w14:textId="55D4E810" w:rsidR="004E040B" w:rsidRDefault="004E040B">
          <w:pPr>
            <w:pStyle w:val="TOC1"/>
            <w:tabs>
              <w:tab w:val="right" w:leader="dot" w:pos="9016"/>
            </w:tabs>
            <w:rPr>
              <w:rFonts w:asciiTheme="minorHAnsi" w:eastAsiaTheme="minorEastAsia" w:hAnsiTheme="minorHAnsi" w:hint="eastAsia"/>
              <w:noProof/>
              <w:kern w:val="2"/>
              <w:sz w:val="22"/>
              <w:szCs w:val="24"/>
              <w:lang w:val="en-US" w:eastAsia="zh-CN" w:bidi="ar-SA"/>
              <w14:ligatures w14:val="standardContextual"/>
            </w:rPr>
          </w:pPr>
          <w:hyperlink w:anchor="_Toc235380106" w:history="1">
            <w:r w:rsidRPr="00DA1729">
              <w:rPr>
                <w:rStyle w:val="aff9"/>
                <w:rFonts w:ascii="Times New Roman" w:hAnsi="Times New Roman" w:cs="Times New Roman"/>
                <w:noProof/>
              </w:rPr>
              <w:t>Bibliography</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_Toc235380106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22</w:t>
            </w:r>
            <w:r>
              <w:rPr>
                <w:rFonts w:hint="eastAsia"/>
                <w:noProof/>
                <w:webHidden/>
              </w:rPr>
              <w:fldChar w:fldCharType="end"/>
            </w:r>
          </w:hyperlink>
        </w:p>
        <w:p w14:paraId="1E7F7BF1" w14:textId="07AAAC02" w:rsidR="009E38D1" w:rsidRPr="004E040B" w:rsidRDefault="009E38D1">
          <w:pPr>
            <w:rPr>
              <w:rFonts w:ascii="Times New Roman" w:hAnsi="Times New Roman" w:cs="Times New Roman"/>
            </w:rPr>
          </w:pPr>
          <w:r w:rsidRPr="004E040B">
            <w:rPr>
              <w:rFonts w:ascii="Times New Roman" w:hAnsi="Times New Roman" w:cs="Times New Roman"/>
              <w:b/>
              <w:bCs/>
              <w:lang w:val="zh-CN"/>
            </w:rPr>
            <w:fldChar w:fldCharType="end"/>
          </w:r>
        </w:p>
      </w:sdtContent>
    </w:sdt>
    <w:p w14:paraId="1BC29BC1" w14:textId="77777777" w:rsidR="00AA23BB" w:rsidRPr="004E040B" w:rsidRDefault="00000000" w:rsidP="00931230">
      <w:pPr>
        <w:pStyle w:val="1"/>
        <w:pageBreakBefore/>
        <w:spacing w:after="120"/>
        <w:jc w:val="both"/>
        <w:rPr>
          <w:rFonts w:ascii="Times New Roman" w:hAnsi="Times New Roman" w:cs="Times New Roman"/>
          <w:sz w:val="32"/>
          <w:szCs w:val="32"/>
        </w:rPr>
      </w:pPr>
      <w:bookmarkStart w:id="1" w:name="_Toc235380093"/>
      <w:r w:rsidRPr="004E040B">
        <w:rPr>
          <w:rFonts w:ascii="Times New Roman" w:eastAsia="Arial" w:hAnsi="Times New Roman" w:cs="Times New Roman"/>
          <w:szCs w:val="32"/>
        </w:rPr>
        <w:lastRenderedPageBreak/>
        <w:t>1. Introduction</w:t>
      </w:r>
      <w:bookmarkEnd w:id="1"/>
    </w:p>
    <w:p w14:paraId="13DDEE5E" w14:textId="77777777" w:rsidR="00AA23BB" w:rsidRPr="004E040B" w:rsidRDefault="00000000" w:rsidP="00931230">
      <w:pPr>
        <w:jc w:val="both"/>
        <w:rPr>
          <w:rFonts w:ascii="Times New Roman" w:hAnsi="Times New Roman" w:cs="Times New Roman"/>
        </w:rPr>
      </w:pPr>
      <w:r w:rsidRPr="004E040B">
        <w:rPr>
          <w:rFonts w:ascii="Times New Roman" w:hAnsi="Times New Roman" w:cs="Times New Roman"/>
        </w:rPr>
        <w:t>Artificial intelligence has become a global business challenge for automotive firms because electric vehicles are increasingly software-defined connected products. Vehicles now process location data, battery diagnostics, charging behaviour, mobile-app interactions, over-the-air updates and driver-assistance inputs. For BYD, this changes internationalisation. The company is no longer exporting only cars; it is exporting a data-driven mobility system that must be trusted by regulators, customers, fleet buyers and insurers.</w:t>
      </w:r>
    </w:p>
    <w:p w14:paraId="440E48EA" w14:textId="77777777" w:rsidR="00AA23BB" w:rsidRPr="004E040B" w:rsidRDefault="00000000" w:rsidP="00931230">
      <w:pPr>
        <w:jc w:val="both"/>
        <w:rPr>
          <w:rFonts w:ascii="Times New Roman" w:hAnsi="Times New Roman" w:cs="Times New Roman"/>
        </w:rPr>
      </w:pPr>
      <w:r w:rsidRPr="004E040B">
        <w:rPr>
          <w:rFonts w:ascii="Times New Roman" w:hAnsi="Times New Roman" w:cs="Times New Roman"/>
        </w:rPr>
        <w:t>This report advises BYD, a Chinese multinational new energy vehicle company, on AI-driven risk management in the UK and European Union. The comparison is analytically valuable because the UK relies more heavily on principles applied by existing regulators, whereas the EU has adopted a more codified and staged framework. Treating them as separate regulatory and commercial environments makes it possible to identify which controls should be common and which decisions require regional adaptation.</w:t>
      </w:r>
    </w:p>
    <w:p w14:paraId="73101EC2" w14:textId="77777777" w:rsidR="00AA23BB" w:rsidRPr="004E040B" w:rsidRDefault="00000000" w:rsidP="00931230">
      <w:pPr>
        <w:jc w:val="both"/>
        <w:rPr>
          <w:rFonts w:ascii="Times New Roman" w:hAnsi="Times New Roman" w:cs="Times New Roman"/>
        </w:rPr>
      </w:pPr>
      <w:r w:rsidRPr="004E040B">
        <w:rPr>
          <w:rFonts w:ascii="Times New Roman" w:hAnsi="Times New Roman" w:cs="Times New Roman"/>
        </w:rPr>
        <w:t>The report's research question is: how should BYD manage AI-driven risk in the UK and EU while preserving the cost advantage and speed that support its international growth? This question matters because BYD's competitive model is double-edged. Vertical integration, battery expertise and fast product renewal are ownership advantages, yet they can also encourage headquarters-led software decisions and launch-first routines. If privacy, ADAS transparency and supplier assurance are added late, BYD may face regulatory and trust problems. If governance becomes excessive, BYD may lose the price and time-to-market advantages that helped it grow.</w:t>
      </w:r>
    </w:p>
    <w:p w14:paraId="4C78EBF1" w14:textId="77777777" w:rsidR="00AA23BB" w:rsidRPr="004E040B" w:rsidRDefault="00000000" w:rsidP="00931230">
      <w:pPr>
        <w:jc w:val="both"/>
        <w:rPr>
          <w:rFonts w:ascii="Times New Roman" w:hAnsi="Times New Roman" w:cs="Times New Roman"/>
        </w:rPr>
      </w:pPr>
      <w:r w:rsidRPr="004E040B">
        <w:rPr>
          <w:rFonts w:ascii="Times New Roman" w:hAnsi="Times New Roman" w:cs="Times New Roman"/>
        </w:rPr>
        <w:t xml:space="preserve">The report therefore treats AI governance as a strategic economic decision. It links regulation to internalisation, outsourcing, marginal cost, price elasticity and organisational decision rights, then tests the resulting recommendations against competitor practices and adverse </w:t>
      </w:r>
      <w:r w:rsidRPr="004E040B">
        <w:rPr>
          <w:rFonts w:ascii="Times New Roman" w:hAnsi="Times New Roman" w:cs="Times New Roman"/>
        </w:rPr>
        <w:lastRenderedPageBreak/>
        <w:t>scenarios. UK and EU figures are kept geographically distinct wherever the underlying datasets permit; Europe-wide data are not treated as EU-only evidence.</w:t>
      </w:r>
    </w:p>
    <w:p w14:paraId="560052F1" w14:textId="77777777" w:rsidR="00AA23BB" w:rsidRPr="004E040B" w:rsidRDefault="00000000" w:rsidP="00931230">
      <w:pPr>
        <w:pStyle w:val="1"/>
        <w:spacing w:after="120"/>
        <w:jc w:val="both"/>
        <w:rPr>
          <w:rFonts w:ascii="Times New Roman" w:hAnsi="Times New Roman" w:cs="Times New Roman"/>
          <w:sz w:val="32"/>
          <w:szCs w:val="32"/>
        </w:rPr>
      </w:pPr>
      <w:bookmarkStart w:id="2" w:name="_Toc235380094"/>
      <w:r w:rsidRPr="004E040B">
        <w:rPr>
          <w:rFonts w:ascii="Times New Roman" w:eastAsia="Arial" w:hAnsi="Times New Roman" w:cs="Times New Roman"/>
          <w:szCs w:val="32"/>
        </w:rPr>
        <w:t>2. Analytical Framework and Comparative Design</w:t>
      </w:r>
      <w:bookmarkEnd w:id="2"/>
    </w:p>
    <w:p w14:paraId="657AD1F2" w14:textId="77777777" w:rsidR="00AA23BB" w:rsidRPr="004E040B" w:rsidRDefault="00000000" w:rsidP="00931230">
      <w:pPr>
        <w:jc w:val="both"/>
        <w:rPr>
          <w:rFonts w:ascii="Times New Roman" w:hAnsi="Times New Roman" w:cs="Times New Roman"/>
        </w:rPr>
      </w:pPr>
      <w:r w:rsidRPr="004E040B">
        <w:rPr>
          <w:rFonts w:ascii="Times New Roman" w:hAnsi="Times New Roman" w:cs="Times New Roman"/>
        </w:rPr>
        <w:t>The analysis uses a focused set of connected lenses. PESTLE identifies the political, economic, legal, technological and social conditions that change the value and risk of connected vehicles. Institutional theory explains why BYD requires legitimacy as well as formal compliance, while dynamic capabilities test whether it can reconfigure product-release, data and dealer routines across markets. OLI addresses market-entry choices; transaction cost and agency theory address control boundaries and decision rights; marginal analysis and stress testing evaluate affordability and expected loss. Environmental and cultural factors also matter: AI can improve battery efficiency but increase computing demand, while privacy, autonomy and corporate-trust expectations differ across BYD's UK and EU markets.</w:t>
      </w:r>
    </w:p>
    <w:p w14:paraId="33D52E6C" w14:textId="77777777" w:rsidR="00AA23BB" w:rsidRPr="004E040B" w:rsidRDefault="00000000" w:rsidP="00931230">
      <w:pPr>
        <w:jc w:val="both"/>
        <w:rPr>
          <w:rFonts w:ascii="Times New Roman" w:hAnsi="Times New Roman" w:cs="Times New Roman"/>
        </w:rPr>
      </w:pPr>
      <w:r w:rsidRPr="004E040B">
        <w:rPr>
          <w:rFonts w:ascii="Times New Roman" w:hAnsi="Times New Roman" w:cs="Times New Roman"/>
        </w:rPr>
        <w:t>Institutional pressures are not symmetrical. Regulators, privacy professionals, consumer groups, safety engineers, fleet buyers and insurers create coercive and normative expectations, while established manufacturers provide mimetic benchmarks (DiMaggio and Powell, 1983). A comparable failure may therefore carry a larger legitimacy penalty for a Chinese connected-vehicle entrant if it is interpreted through national-security or strategic-autonomy narratives.</w:t>
      </w:r>
    </w:p>
    <w:p w14:paraId="1462A23B" w14:textId="77777777" w:rsidR="00AA23BB" w:rsidRPr="004E040B" w:rsidRDefault="00000000" w:rsidP="00931230">
      <w:pPr>
        <w:jc w:val="both"/>
        <w:rPr>
          <w:rFonts w:ascii="Times New Roman" w:hAnsi="Times New Roman" w:cs="Times New Roman"/>
        </w:rPr>
      </w:pPr>
      <w:r w:rsidRPr="004E040B">
        <w:rPr>
          <w:rFonts w:ascii="Times New Roman" w:hAnsi="Times New Roman" w:cs="Times New Roman"/>
        </w:rPr>
        <w:t>Dynamic capabilities theory asks whether BYD can sense regulatory change, seize commercial opportunities and transform routines abroad (Teece, 2007). BYD is demonstrably strong at scale and rapid product renewal, but the more difficult test is reconfiguration: giving regional teams usable evidence, decision authority and supplier visibility without reproducing a slow approval process for every software update.</w:t>
      </w:r>
    </w:p>
    <w:p w14:paraId="26F65F5E" w14:textId="77777777" w:rsidR="00AA23BB" w:rsidRPr="004E040B" w:rsidRDefault="00000000" w:rsidP="00931230">
      <w:pPr>
        <w:jc w:val="both"/>
        <w:rPr>
          <w:rFonts w:ascii="Times New Roman" w:hAnsi="Times New Roman" w:cs="Times New Roman"/>
        </w:rPr>
      </w:pPr>
      <w:r w:rsidRPr="004E040B">
        <w:rPr>
          <w:rFonts w:ascii="Times New Roman" w:hAnsi="Times New Roman" w:cs="Times New Roman"/>
        </w:rPr>
        <w:lastRenderedPageBreak/>
        <w:t>Transaction cost economics determines which AI and data functions should be internalised because asset specificity, uncertainty and monitoring costs vary by risk (Coase, 1937; Williamson, 1985). Agency theory frames conflicts between Shenzhen headquarters, UK/EU risk teams, dealers and suppliers (Jensen and Meckling, 1976). OLI links these governance choices to exporting, local production and regional capability (Dunning, 1988), while marginal-cost, elasticity and scenario analysis test whether the proposed controls protect rather than erase BYD's price advantage.</w:t>
      </w:r>
    </w:p>
    <w:p w14:paraId="54B559E3" w14:textId="77777777" w:rsidR="00AA23BB" w:rsidRPr="004E040B" w:rsidRDefault="00000000" w:rsidP="00931230">
      <w:pPr>
        <w:pStyle w:val="21"/>
        <w:spacing w:after="120"/>
        <w:rPr>
          <w:rFonts w:ascii="Times New Roman" w:hAnsi="Times New Roman" w:cs="Times New Roman"/>
          <w:szCs w:val="24"/>
        </w:rPr>
      </w:pPr>
      <w:bookmarkStart w:id="3" w:name="_Toc235380095"/>
      <w:r w:rsidRPr="004E040B">
        <w:rPr>
          <w:rFonts w:ascii="Times New Roman" w:eastAsia="Arial" w:hAnsi="Times New Roman" w:cs="Times New Roman"/>
          <w:szCs w:val="24"/>
        </w:rPr>
        <w:t>2.1 Applying and critiquing the theoretical tools</w:t>
      </w:r>
      <w:bookmarkEnd w:id="3"/>
    </w:p>
    <w:p w14:paraId="4C4630E8" w14:textId="77777777" w:rsidR="00AA23BB" w:rsidRPr="004E040B" w:rsidRDefault="00000000" w:rsidP="00931230">
      <w:pPr>
        <w:jc w:val="both"/>
        <w:rPr>
          <w:rFonts w:ascii="Times New Roman" w:hAnsi="Times New Roman" w:cs="Times New Roman"/>
        </w:rPr>
      </w:pPr>
      <w:r w:rsidRPr="004E040B">
        <w:rPr>
          <w:rFonts w:ascii="Times New Roman" w:hAnsi="Times New Roman" w:cs="Times New Roman"/>
        </w:rPr>
        <w:t>These theories are useful but incomplete. Institutional theory can understate geopolitical asymmetry, dynamic capabilities do not allocate decision rights, and OLI may underweight data-related reputational liability. Regulation of connected and automated vehicles is also a 'wicked' problem because safety, data, infrastructure and institutional responsibilities interact (Dunphy, 2024). Evidence also shows that governments act simultaneously as regulators, facilitators and participants, so policy cannot be reduced to a single compliance burden (Schepis et al., 2023).</w:t>
      </w:r>
    </w:p>
    <w:p w14:paraId="3BCF0D26" w14:textId="77777777" w:rsidR="00AA23BB" w:rsidRPr="004E040B" w:rsidRDefault="00000000" w:rsidP="00931230">
      <w:pPr>
        <w:jc w:val="both"/>
        <w:rPr>
          <w:rFonts w:ascii="Times New Roman" w:hAnsi="Times New Roman" w:cs="Times New Roman"/>
        </w:rPr>
      </w:pPr>
      <w:r w:rsidRPr="004E040B">
        <w:rPr>
          <w:rFonts w:ascii="Times New Roman" w:hAnsi="Times New Roman" w:cs="Times New Roman"/>
        </w:rPr>
        <w:t>The frameworks are therefore applied as decision tools rather than labels. Legal compliance and substantiated safety are fixed constraints. Above that floor, BYD should vary control intensity according to the severity, reversibility and evidence requirements of each use case, internalising high-impact assurance while fast-tracking low-risk changes. This proportionate approach is more defensible than either minimum compliance or maximum governance.</w:t>
      </w:r>
    </w:p>
    <w:p w14:paraId="11382E9E" w14:textId="77777777" w:rsidR="00AA23BB" w:rsidRPr="004E040B" w:rsidRDefault="00000000" w:rsidP="00931230">
      <w:pPr>
        <w:pStyle w:val="1"/>
        <w:spacing w:after="120"/>
        <w:jc w:val="both"/>
        <w:rPr>
          <w:rFonts w:ascii="Times New Roman" w:hAnsi="Times New Roman" w:cs="Times New Roman"/>
          <w:sz w:val="32"/>
          <w:szCs w:val="32"/>
        </w:rPr>
      </w:pPr>
      <w:bookmarkStart w:id="4" w:name="_Toc235380096"/>
      <w:r w:rsidRPr="004E040B">
        <w:rPr>
          <w:rFonts w:ascii="Times New Roman" w:eastAsia="Arial" w:hAnsi="Times New Roman" w:cs="Times New Roman"/>
          <w:szCs w:val="32"/>
        </w:rPr>
        <w:t>3. Main Findings</w:t>
      </w:r>
      <w:bookmarkEnd w:id="4"/>
    </w:p>
    <w:p w14:paraId="336125A3" w14:textId="77777777" w:rsidR="00AA23BB" w:rsidRPr="004E040B" w:rsidRDefault="00000000" w:rsidP="00931230">
      <w:pPr>
        <w:pStyle w:val="21"/>
        <w:spacing w:after="120"/>
        <w:rPr>
          <w:rFonts w:ascii="Times New Roman" w:hAnsi="Times New Roman" w:cs="Times New Roman"/>
          <w:szCs w:val="24"/>
        </w:rPr>
      </w:pPr>
      <w:bookmarkStart w:id="5" w:name="_Toc235380097"/>
      <w:r w:rsidRPr="004E040B">
        <w:rPr>
          <w:rFonts w:ascii="Times New Roman" w:eastAsia="Arial" w:hAnsi="Times New Roman" w:cs="Times New Roman"/>
          <w:szCs w:val="24"/>
        </w:rPr>
        <w:t>3.1 BYD positioning, market data and competitor context</w:t>
      </w:r>
      <w:bookmarkEnd w:id="5"/>
    </w:p>
    <w:p w14:paraId="30EDA792" w14:textId="77777777" w:rsidR="00AA23BB" w:rsidRPr="004E040B" w:rsidRDefault="00000000" w:rsidP="00931230">
      <w:pPr>
        <w:jc w:val="both"/>
        <w:rPr>
          <w:rFonts w:ascii="Times New Roman" w:hAnsi="Times New Roman" w:cs="Times New Roman"/>
        </w:rPr>
      </w:pPr>
      <w:r w:rsidRPr="004E040B">
        <w:rPr>
          <w:rFonts w:ascii="Times New Roman" w:hAnsi="Times New Roman" w:cs="Times New Roman"/>
        </w:rPr>
        <w:t xml:space="preserve">BYD is now large enough in the region for AI risk to have commercial significance. BYD UK reported 51,422 registrations and a 2.55% full-year UK market share in 2025, compared </w:t>
      </w:r>
      <w:r w:rsidRPr="004E040B">
        <w:rPr>
          <w:rFonts w:ascii="Times New Roman" w:hAnsi="Times New Roman" w:cs="Times New Roman"/>
        </w:rPr>
        <w:lastRenderedPageBreak/>
        <w:t>with 0.45% in 2024 (BYD UK, 2026a). Autovista24 reported 187,112 BYD battery-electric registrations and a 4.8% share across its Europe-wide dataset (Autovista24, 2026). Because that dataset is labelled 'Europe', it is not treated here as EU-only and should not be added to the UK figure. For the EU specifically, ACEA recorded 1,880,370 new battery-electric registrations and a 17.4% BEV share in 2025 (ACEA, 2026).</w:t>
      </w:r>
    </w:p>
    <w:p w14:paraId="28425F36" w14:textId="77777777" w:rsidR="00AA23BB" w:rsidRPr="004E040B" w:rsidRDefault="00000000" w:rsidP="00931230">
      <w:pPr>
        <w:jc w:val="both"/>
        <w:rPr>
          <w:rFonts w:ascii="Times New Roman" w:hAnsi="Times New Roman" w:cs="Times New Roman"/>
        </w:rPr>
      </w:pPr>
      <w:r w:rsidRPr="004E040B">
        <w:rPr>
          <w:rFonts w:ascii="Times New Roman" w:hAnsi="Times New Roman" w:cs="Times New Roman"/>
        </w:rPr>
        <w:t>BYD's growth relies on cost leadership and rapid product renewal. For example, BYD UK's DOLPHIN PCP page listed on-the-road prices of GBP 30,230 and GBP 31,730 for Comfort and Design versions before retailer discounts (BYD UK, 2026b). This places BYD in a price-sensitive competitive field against MG, Tesla price cuts, Volkswagen's ID range and other mainstream EVs. A governance system that adds hundreds of pounds per vehicle matters. Equally, a data or ADAS incident could damage the trust needed to convert rapid registrations into durable brand loyalty.</w:t>
      </w:r>
    </w:p>
    <w:p w14:paraId="154B65EC" w14:textId="77777777" w:rsidR="00AA23BB" w:rsidRPr="004E040B" w:rsidRDefault="00000000" w:rsidP="00931230">
      <w:pPr>
        <w:jc w:val="both"/>
        <w:rPr>
          <w:rFonts w:ascii="Times New Roman" w:hAnsi="Times New Roman" w:cs="Times New Roman"/>
        </w:rPr>
      </w:pPr>
      <w:r w:rsidRPr="004E040B">
        <w:rPr>
          <w:rFonts w:ascii="Times New Roman" w:hAnsi="Times New Roman" w:cs="Times New Roman"/>
        </w:rPr>
        <w:t>BYD's ownership advantage is also different from MG (SAIC) or many European incumbents. It controls batteries, electric drivetrains, electronics and much software-hardware integration. This can make privacy-by-design and ADAS evidence faster if embedded early, because fewer external interfaces need negotiation. However, the same integration can centralise accountability in China and create a gap between public privacy language and auditable UK/EU data flows.</w:t>
      </w:r>
    </w:p>
    <w:p w14:paraId="0891D745" w14:textId="77777777" w:rsidR="00AA23BB" w:rsidRPr="004E040B" w:rsidRDefault="00000000" w:rsidP="00931230">
      <w:pPr>
        <w:jc w:val="both"/>
        <w:rPr>
          <w:rFonts w:ascii="Times New Roman" w:hAnsi="Times New Roman" w:cs="Times New Roman"/>
        </w:rPr>
      </w:pPr>
      <w:r w:rsidRPr="004E040B">
        <w:rPr>
          <w:rFonts w:ascii="Times New Roman" w:hAnsi="Times New Roman" w:cs="Times New Roman"/>
        </w:rPr>
        <w:t>The benchmark is commercially important because Tesla competes on software visibility, Volkswagen on institutional trust and MG on value. BYD can combine integrated cost with stronger assurance, but price alone may not persuade fleet buyers if data flows, ADAS naming or update accountability appear weaker than those of rivals. Privacy transparency and driver-assistance wording are therefore market-positioning variables, not only back-office compliance matters.</w:t>
      </w:r>
    </w:p>
    <w:p w14:paraId="5DFC1EF2" w14:textId="77777777" w:rsidR="00AA23BB" w:rsidRPr="004E040B" w:rsidRDefault="00000000" w:rsidP="00931230">
      <w:pPr>
        <w:pStyle w:val="21"/>
        <w:spacing w:after="120"/>
        <w:rPr>
          <w:rFonts w:ascii="Times New Roman" w:hAnsi="Times New Roman" w:cs="Times New Roman"/>
        </w:rPr>
      </w:pPr>
      <w:bookmarkStart w:id="6" w:name="_Toc235380098"/>
      <w:r w:rsidRPr="004E040B">
        <w:rPr>
          <w:rFonts w:ascii="Times New Roman" w:eastAsia="Arial" w:hAnsi="Times New Roman" w:cs="Times New Roman"/>
        </w:rPr>
        <w:lastRenderedPageBreak/>
        <w:t>3.2 UK/EU regulation and the geopolitics of AI enforcement</w:t>
      </w:r>
      <w:bookmarkEnd w:id="6"/>
    </w:p>
    <w:p w14:paraId="2C3C228D" w14:textId="77777777" w:rsidR="00AA23BB" w:rsidRPr="004E040B" w:rsidRDefault="00000000" w:rsidP="00931230">
      <w:pPr>
        <w:jc w:val="both"/>
        <w:rPr>
          <w:rFonts w:ascii="Times New Roman" w:hAnsi="Times New Roman" w:cs="Times New Roman"/>
        </w:rPr>
      </w:pPr>
      <w:r w:rsidRPr="004E040B">
        <w:rPr>
          <w:rFonts w:ascii="Times New Roman" w:hAnsi="Times New Roman" w:cs="Times New Roman"/>
        </w:rPr>
        <w:t>The UK and EU regulate AI and vehicle data through different institutional designs. The UK government's framework is principles-based and relies on existing regulators to apply safety, transparency, fairness, accountability and contestability within their remits (DSIT, 2023). UK GDPR and ICO guidance already apply to relevant personal-data processing (ICO, 2023). The Automated Vehicles Act 2024 establishes the future authorisation and responsibility framework for vehicles capable of driving without human monitoring or control, but full implementation is planned for 2027 (UK Parliament, 2024; UK Government, 2025). Ordinary Level 2 ADAS should therefore not be described as already authorised self-driving technology.</w:t>
      </w:r>
    </w:p>
    <w:p w14:paraId="1A063FA3" w14:textId="77777777" w:rsidR="00AA23BB" w:rsidRPr="004E040B" w:rsidRDefault="00000000" w:rsidP="00931230">
      <w:pPr>
        <w:jc w:val="both"/>
        <w:rPr>
          <w:rFonts w:ascii="Times New Roman" w:hAnsi="Times New Roman" w:cs="Times New Roman"/>
        </w:rPr>
      </w:pPr>
      <w:r w:rsidRPr="004E040B">
        <w:rPr>
          <w:rFonts w:ascii="Times New Roman" w:hAnsi="Times New Roman" w:cs="Times New Roman"/>
        </w:rPr>
        <w:t>The EU is more codified but its obligations must also be classified carefully. GDPR and the Data Act apply to personal data and access to connected-product data, while the AI Act uses a staged, risk-based framework (European Commission, 2024a; 2025a; 2025b). Not every in-vehicle algorithm is high-risk: the classification depends on the function and whether the system is a safety component of a regulated product. At the time of writing, Commission implementation material indicates an extended transition to 2 August 2028 for high-risk AI embedded in regulated products (European Commission, 2026a). BYD therefore needs a live classification register rather than treating all ADAS, chatbots and analytics as one regulatory category.</w:t>
      </w:r>
    </w:p>
    <w:p w14:paraId="7CC3FD78" w14:textId="77777777" w:rsidR="00AA23BB" w:rsidRPr="004E040B" w:rsidRDefault="00000000" w:rsidP="00931230">
      <w:pPr>
        <w:jc w:val="both"/>
        <w:rPr>
          <w:rFonts w:ascii="Times New Roman" w:hAnsi="Times New Roman" w:cs="Times New Roman"/>
        </w:rPr>
      </w:pPr>
      <w:r w:rsidRPr="004E040B">
        <w:rPr>
          <w:rFonts w:ascii="Times New Roman" w:hAnsi="Times New Roman" w:cs="Times New Roman"/>
        </w:rPr>
        <w:t xml:space="preserve">These formally nationality-neutral rules can still operate as capability barriers. Firms with local legal teams, technical files, regulator relationships and data infrastructure can produce evidence at lower cost. BYD also faces industrial-policy scrutiny: the EU's 17.0% countervailing duty on BYD's China-made BEVs demonstrates that market access is already politically conditioned (European Commission, 2024b). Because governments can regulate, </w:t>
      </w:r>
      <w:r w:rsidRPr="004E040B">
        <w:rPr>
          <w:rFonts w:ascii="Times New Roman" w:hAnsi="Times New Roman" w:cs="Times New Roman"/>
        </w:rPr>
        <w:lastRenderedPageBreak/>
        <w:t>facilitate and participate in emerging mobility markets at the same time, BYD must manage policy relationships as well as technical compliance (Schepis et al., 2023).</w:t>
      </w:r>
    </w:p>
    <w:p w14:paraId="05DFD9B6" w14:textId="77777777" w:rsidR="00AA23BB" w:rsidRPr="004E040B" w:rsidRDefault="00000000" w:rsidP="00931230">
      <w:pPr>
        <w:jc w:val="both"/>
        <w:rPr>
          <w:rFonts w:ascii="Times New Roman" w:hAnsi="Times New Roman" w:cs="Times New Roman"/>
        </w:rPr>
      </w:pPr>
      <w:r w:rsidRPr="004E040B">
        <w:rPr>
          <w:rFonts w:ascii="Times New Roman" w:hAnsi="Times New Roman" w:cs="Times New Roman"/>
        </w:rPr>
        <w:t>Geopolitical amplification increases expected loss beyond a fine or recall. In the UK, a principles-based system places greater responsibility on BYD to justify its judgement to the ICO, safety authorities, fleet buyers and insurers. In the EU, incomplete classification, technical documentation or data-access arrangements may create more direct evidence and market-access problems. In both regions, an incident can move from a technical fault to consumer scrutiny, regulatory investigation, procurement hesitation, insurer caution and weaker residual values. Trust is therefore a transmission mechanism between governance quality and commercial performance, but the route and timing of that transmission differ by market.</w:t>
      </w:r>
    </w:p>
    <w:p w14:paraId="77AFCAFE" w14:textId="77777777" w:rsidR="0062763A" w:rsidRPr="004E040B" w:rsidRDefault="00000000">
      <w:pPr>
        <w:rPr>
          <w:rFonts w:ascii="Times New Roman" w:hAnsi="Times New Roman" w:cs="Times New Roman"/>
        </w:rPr>
      </w:pPr>
      <w:r w:rsidRPr="004E040B">
        <w:rPr>
          <w:rFonts w:ascii="Times New Roman" w:hAnsi="Times New Roman" w:cs="Times New Roman"/>
        </w:rPr>
        <w:t>Trust effects also differ by customer segment. Private buyers may respond mainly to understandable permissions, safety communication and monthly affordability, whereas fleets and leasing companies place greater weight on audit evidence, incident response, residual values and insurer acceptance. BYD should not infer trust from registrations alone: rapid sales growth can coexist with weak long-term confidence. Separate UK and EU measures should include fleet tender outcomes, opt-out behaviour, complaints per 10,000 vehicles, dealer explanation scores and post-update sentiment, with pre-defined escalation thresholds.</w:t>
      </w:r>
    </w:p>
    <w:p w14:paraId="2E0B751A" w14:textId="77777777" w:rsidR="00AA23BB" w:rsidRPr="004E040B" w:rsidRDefault="00000000" w:rsidP="00931230">
      <w:pPr>
        <w:jc w:val="both"/>
        <w:rPr>
          <w:rFonts w:ascii="Times New Roman" w:hAnsi="Times New Roman" w:cs="Times New Roman"/>
        </w:rPr>
      </w:pPr>
      <w:r w:rsidRPr="004E040B">
        <w:rPr>
          <w:rFonts w:ascii="Times New Roman" w:hAnsi="Times New Roman" w:cs="Times New Roman"/>
        </w:rPr>
        <w:t>The mechanism is cumulative. A routine software or data fault first creates a technical issue; then consumer groups ask whether customers understood the risk; regulators ask whether documentation and post-market monitoring were adequate; media narratives connect the issue with Chinese connected technologies; and commercial partners ask whether procurement exposure is worth the discount. This chain of consequences may be more commercially significant than a single regulatory fine. In a politically sensitive sector, weak AI assurance can become a non-tariff market-access cost even when the legal rule is formally neutral.</w:t>
      </w:r>
    </w:p>
    <w:p w14:paraId="08981F9F" w14:textId="77777777" w:rsidR="00AA23BB" w:rsidRPr="004E040B" w:rsidRDefault="00000000" w:rsidP="00931230">
      <w:pPr>
        <w:pStyle w:val="21"/>
        <w:spacing w:after="120"/>
        <w:rPr>
          <w:rFonts w:ascii="Times New Roman" w:hAnsi="Times New Roman" w:cs="Times New Roman"/>
        </w:rPr>
      </w:pPr>
      <w:bookmarkStart w:id="7" w:name="_Toc235380099"/>
      <w:r w:rsidRPr="004E040B">
        <w:rPr>
          <w:rFonts w:ascii="Times New Roman" w:eastAsia="Arial" w:hAnsi="Times New Roman" w:cs="Times New Roman"/>
        </w:rPr>
        <w:lastRenderedPageBreak/>
        <w:t>3.3 Data governance and third-party AI supplier control</w:t>
      </w:r>
      <w:bookmarkEnd w:id="7"/>
    </w:p>
    <w:p w14:paraId="4F01BA94" w14:textId="77777777" w:rsidR="00AA23BB" w:rsidRPr="004E040B" w:rsidRDefault="00000000" w:rsidP="00931230">
      <w:pPr>
        <w:jc w:val="both"/>
        <w:rPr>
          <w:rFonts w:ascii="Times New Roman" w:hAnsi="Times New Roman" w:cs="Times New Roman"/>
        </w:rPr>
      </w:pPr>
      <w:r w:rsidRPr="004E040B">
        <w:rPr>
          <w:rFonts w:ascii="Times New Roman" w:hAnsi="Times New Roman" w:cs="Times New Roman"/>
        </w:rPr>
        <w:t>BYD's public privacy materials are a starting point rather than proof. BYD UK provides a privacy policy and data-protection contact, and BYD Europe states that it uses privacy measures in product design, cloud services and data-compliance programmes (BYD Europe, 2024; BYD UK, 2024). BYD's Data Act notice also explains that users may request product and related-service data and ask BYD to transmit data to a third party (BYD Europe, 2026). These statements are useful, but regulators would ask for operational evidence: what data are collected by model and service, where they are stored, who can access them, how long they are retained, and whether they are used for model training or diagnostics.</w:t>
      </w:r>
    </w:p>
    <w:p w14:paraId="105F92DD" w14:textId="77777777" w:rsidR="00AA23BB" w:rsidRPr="004E040B" w:rsidRDefault="00000000" w:rsidP="00931230">
      <w:pPr>
        <w:jc w:val="both"/>
        <w:rPr>
          <w:rFonts w:ascii="Times New Roman" w:hAnsi="Times New Roman" w:cs="Times New Roman"/>
        </w:rPr>
      </w:pPr>
      <w:r w:rsidRPr="004E040B">
        <w:rPr>
          <w:rFonts w:ascii="Times New Roman" w:hAnsi="Times New Roman" w:cs="Times New Roman"/>
        </w:rPr>
        <w:t>Vehicle data pass through the car, app, dealer, cloud, mapping, customer-service and update environments. A model-level register should identify the controller and processor, purpose, lawful basis, retention period, storage location, international transfer, recipient, training use and deletion route for every material data flow. High-risk processing should also link to a DPIA, security test and named product owner. The register must be reconciled with supplier contracts and actual telemetry logs: a policy-level map that is not verified against system behaviour would reproduce the same evidence gap it is intended to solve.</w:t>
      </w:r>
    </w:p>
    <w:p w14:paraId="3D91EC9F" w14:textId="77777777" w:rsidR="0062763A" w:rsidRPr="004E040B" w:rsidRDefault="00000000">
      <w:pPr>
        <w:rPr>
          <w:rFonts w:ascii="Times New Roman" w:hAnsi="Times New Roman" w:cs="Times New Roman"/>
        </w:rPr>
      </w:pPr>
      <w:r w:rsidRPr="004E040B">
        <w:rPr>
          <w:rFonts w:ascii="Times New Roman" w:hAnsi="Times New Roman" w:cs="Times New Roman"/>
        </w:rPr>
        <w:t>Governance must continue after release. Over-the-air updates can change functionality, data collection and risk without a physical recall, so each material update should trigger change-impact screening, regression testing and confirmation that customer information remains accurate. Post-market monitoring should combine incident logs, near-miss reports, complaints, cybersecurity alerts and model-drift indicators. Where an update changes purpose or introduces a new recipient, the privacy notice, DPIA and supplier register should be revised before deployment rather than retrospectively.</w:t>
      </w:r>
    </w:p>
    <w:p w14:paraId="222F5C6A" w14:textId="77777777" w:rsidR="00AA23BB" w:rsidRPr="004E040B" w:rsidRDefault="00000000" w:rsidP="00931230">
      <w:pPr>
        <w:jc w:val="both"/>
        <w:rPr>
          <w:rFonts w:ascii="Times New Roman" w:hAnsi="Times New Roman" w:cs="Times New Roman"/>
        </w:rPr>
      </w:pPr>
      <w:r w:rsidRPr="004E040B">
        <w:rPr>
          <w:rFonts w:ascii="Times New Roman" w:hAnsi="Times New Roman" w:cs="Times New Roman"/>
        </w:rPr>
        <w:t xml:space="preserve">Third-party governance is important even for a vertically integrated manufacturer. Cloud, mapping, app analytics, cybersecurity, dealer and diagnostic providers create shared attack </w:t>
      </w:r>
      <w:r w:rsidRPr="004E040B">
        <w:rPr>
          <w:rFonts w:ascii="Times New Roman" w:hAnsi="Times New Roman" w:cs="Times New Roman"/>
        </w:rPr>
        <w:lastRenderedPageBreak/>
        <w:t>surfaces and fragmented responsibility. Research on connected and automated vehicles identifies regulatory fragmentation, stakeholder coordination and lifecycle cybersecurity as persistent governance problems (Khan et al., 2023). Transaction cost economics therefore supports internal control of high-risk data architecture, ADAS assurance, transfer assessments and safety monitoring, while lower-risk tools may be outsourced under audit rights, data-location limits, model-training restrictions, incident deadlines, change logs and tested exit plans (Coase, 1937; Williamson, 1985).</w:t>
      </w:r>
    </w:p>
    <w:p w14:paraId="0DF92162" w14:textId="77777777" w:rsidR="00AA23BB" w:rsidRPr="004E040B" w:rsidRDefault="00000000" w:rsidP="00931230">
      <w:pPr>
        <w:jc w:val="both"/>
        <w:rPr>
          <w:rFonts w:ascii="Times New Roman" w:hAnsi="Times New Roman" w:cs="Times New Roman"/>
        </w:rPr>
      </w:pPr>
      <w:r w:rsidRPr="004E040B">
        <w:rPr>
          <w:rFonts w:ascii="Times New Roman" w:hAnsi="Times New Roman" w:cs="Times New Roman"/>
        </w:rPr>
        <w:t>Algorithmic accountability should therefore be operationalised rather than treated as a citation label. For BYD, this means a named owner for each high-impact AI function, a documented purpose, training-data restrictions, pre-release safety and bias tests, human-override design, post-market monitoring, incident logs and independent audit evidence (Kroll et al., 2017; Raji et al., 2020). The audit trail must follow the system from design to dealer use, because regulators and customers will judge BYD's outcome, not the internal boundary between BYD and a supplier.</w:t>
      </w:r>
    </w:p>
    <w:p w14:paraId="29825C08" w14:textId="77777777" w:rsidR="00AA23BB" w:rsidRPr="004E040B" w:rsidRDefault="00000000" w:rsidP="00931230">
      <w:pPr>
        <w:jc w:val="both"/>
        <w:rPr>
          <w:rFonts w:ascii="Times New Roman" w:hAnsi="Times New Roman" w:cs="Times New Roman"/>
        </w:rPr>
      </w:pPr>
      <w:r w:rsidRPr="004E040B">
        <w:rPr>
          <w:rFonts w:ascii="Times New Roman" w:hAnsi="Times New Roman" w:cs="Times New Roman"/>
        </w:rPr>
        <w:t>The supplier issue is also a make-or-buy problem. If BYD uses external cloud or AI-diagnostic tools, the headline licence cost may be lower than building internal capability, but hidden transaction costs rise when contracts need transfer-impact assessment, incident drills, security testing, termination rights and continuous audit. For high-impact functions, the lowest-cost vendor may become strategically costly if it creates evidence gaps after an incident. BYD should therefore calculate supplier cost as licence fee plus monitoring cost plus expected failure cost, not licence fee alone.</w:t>
      </w:r>
    </w:p>
    <w:p w14:paraId="091177ED" w14:textId="77777777" w:rsidR="00AA23BB" w:rsidRPr="004E040B" w:rsidRDefault="00000000" w:rsidP="00931230">
      <w:pPr>
        <w:pStyle w:val="21"/>
        <w:spacing w:after="120"/>
        <w:rPr>
          <w:rFonts w:ascii="Times New Roman" w:hAnsi="Times New Roman" w:cs="Times New Roman"/>
        </w:rPr>
      </w:pPr>
      <w:bookmarkStart w:id="8" w:name="_Toc235380100"/>
      <w:r w:rsidRPr="004E040B">
        <w:rPr>
          <w:rFonts w:ascii="Times New Roman" w:eastAsia="Arial" w:hAnsi="Times New Roman" w:cs="Times New Roman"/>
        </w:rPr>
        <w:t>3.4 Trade theory implications for BYD's UK/EU strategy</w:t>
      </w:r>
      <w:bookmarkEnd w:id="8"/>
    </w:p>
    <w:p w14:paraId="7E326A7A" w14:textId="77777777" w:rsidR="00AA23BB" w:rsidRPr="004E040B" w:rsidRDefault="00000000" w:rsidP="00931230">
      <w:pPr>
        <w:jc w:val="both"/>
        <w:rPr>
          <w:rFonts w:ascii="Times New Roman" w:hAnsi="Times New Roman" w:cs="Times New Roman"/>
        </w:rPr>
      </w:pPr>
      <w:r w:rsidRPr="004E040B">
        <w:rPr>
          <w:rFonts w:ascii="Times New Roman" w:hAnsi="Times New Roman" w:cs="Times New Roman"/>
        </w:rPr>
        <w:t xml:space="preserve">Dunning's OLI framework helps explain BYD's internationalisation path by linking ownership, location and internalisation advantages to cross-border expansion choices (Dunning, 1988). The ownership advantage is clear: battery technology, vertical integration, </w:t>
      </w:r>
      <w:r w:rsidRPr="004E040B">
        <w:rPr>
          <w:rFonts w:ascii="Times New Roman" w:hAnsi="Times New Roman" w:cs="Times New Roman"/>
        </w:rPr>
        <w:lastRenderedPageBreak/>
        <w:t>cost control, manufacturing scale and software-hardware coordination. These resources allow BYD to challenge incumbents on price and technology. However, ownership advantage is no longer enough once trade policy raises import cost and data rules raise governance cost. The EU's 17.0% countervailing duty weakens the comparative advantage of China-based production by turning low-cost exporting into tariff-exposed exporting.</w:t>
      </w:r>
    </w:p>
    <w:p w14:paraId="6F2BD10A" w14:textId="77777777" w:rsidR="00AA23BB" w:rsidRPr="004E040B" w:rsidRDefault="00000000" w:rsidP="00931230">
      <w:pPr>
        <w:jc w:val="both"/>
        <w:rPr>
          <w:rFonts w:ascii="Times New Roman" w:hAnsi="Times New Roman" w:cs="Times New Roman"/>
        </w:rPr>
      </w:pPr>
      <w:r w:rsidRPr="004E040B">
        <w:rPr>
          <w:rFonts w:ascii="Times New Roman" w:hAnsi="Times New Roman" w:cs="Times New Roman"/>
        </w:rPr>
        <w:t>Location advantage differs between the two markets. The UK combines a large fleet channel with a 33% zero-emission car target for 2026 under the Vehicle Emissions Trading Schemes, creating demand-side pressure without the EU's BYD-specific countervailing duty (Department for Transport, 2026; European Commission, 2024b). The EU offers single-market scale but also tariff exposure and more demanding data and AI documentation. Brexit means one regional platform may provide operational economies, but it cannot automatically satisfy both UK authorisation and EU conformity requirements.</w:t>
      </w:r>
    </w:p>
    <w:p w14:paraId="7EFF5D3F" w14:textId="77777777" w:rsidR="00CD1B9C" w:rsidRPr="004E040B" w:rsidRDefault="00000000">
      <w:pPr>
        <w:jc w:val="both"/>
        <w:rPr>
          <w:rFonts w:ascii="Times New Roman" w:hAnsi="Times New Roman" w:cs="Times New Roman"/>
        </w:rPr>
      </w:pPr>
      <w:r w:rsidRPr="004E040B">
        <w:rPr>
          <w:rFonts w:ascii="Times New Roman" w:hAnsi="Times New Roman" w:cs="Times New Roman"/>
        </w:rPr>
        <w:t>BYD's engagement choices include China-based exporting, EU production, dealer and fleet partnerships, and regional digital or cloud capability. These decisions should not be collapsed into one localisation question. EU production can reduce tariff exposure but does not by itself establish lawful data flows or regional release authority; UK importing can preserve scale economies but still requires local assurance and dealer accountability. A partnership transfers tasks, not ultimate reputational responsibility. BYD should therefore compare each option across landed cost, fixed investment, evidence ownership, reversibility and regulatory learning, using staged commitments where uncertainty remains high.</w:t>
      </w:r>
    </w:p>
    <w:p w14:paraId="25A93A64" w14:textId="77777777" w:rsidR="0062763A" w:rsidRPr="004E040B" w:rsidRDefault="00000000">
      <w:pPr>
        <w:rPr>
          <w:rFonts w:ascii="Times New Roman" w:hAnsi="Times New Roman" w:cs="Times New Roman"/>
        </w:rPr>
      </w:pPr>
      <w:r w:rsidRPr="004E040B">
        <w:rPr>
          <w:rFonts w:ascii="Times New Roman" w:hAnsi="Times New Roman" w:cs="Times New Roman"/>
        </w:rPr>
        <w:t xml:space="preserve">A practical option appraisal should therefore compare exporting, local production and partnership routes under the same criteria. Exporting offers low fixed commitment and scale but greater tariff and political exposure; production inside the EU reduces border cost but creates capital and utilisation risk; partnerships accelerate access but may weaken evidence ownership. Regional digital assurance is required under all three routes. This separates the </w:t>
      </w:r>
      <w:r w:rsidRPr="004E040B">
        <w:rPr>
          <w:rFonts w:ascii="Times New Roman" w:hAnsi="Times New Roman" w:cs="Times New Roman"/>
        </w:rPr>
        <w:lastRenderedPageBreak/>
        <w:t>physical mode of entry from the governance mode and prevents OLI from becoming a descriptive label rather than a decision framework.</w:t>
      </w:r>
    </w:p>
    <w:p w14:paraId="6831D595" w14:textId="77777777" w:rsidR="00AA23BB" w:rsidRPr="004E040B" w:rsidRDefault="00000000" w:rsidP="00931230">
      <w:pPr>
        <w:jc w:val="both"/>
        <w:rPr>
          <w:rFonts w:ascii="Times New Roman" w:hAnsi="Times New Roman" w:cs="Times New Roman"/>
        </w:rPr>
      </w:pPr>
      <w:r w:rsidRPr="004E040B">
        <w:rPr>
          <w:rFonts w:ascii="Times New Roman" w:hAnsi="Times New Roman" w:cs="Times New Roman"/>
        </w:rPr>
        <w:t>Internalisation advantage is strongest for AI and vehicle-data governance. BYD could use AWS, Azure or other local cloud nodes, but it should not outsource strategic accountability. The correct distinction is between infrastructure outsourcing and governance internalisation. BYD can buy cloud capacity, cybersecurity tools and legal advice, but the data architecture, risk-tiering logic, ADAS evidence and customer-facing explanations should remain under BYD-controlled UK/EU governance. That preserves strategic knowledge and reduces dependency on suppliers whose incentives may differ from BYD's long-term trust objectives.</w:t>
      </w:r>
    </w:p>
    <w:p w14:paraId="5ADBAB5D" w14:textId="77777777" w:rsidR="00AA23BB" w:rsidRPr="004E040B" w:rsidRDefault="00000000" w:rsidP="00931230">
      <w:pPr>
        <w:jc w:val="both"/>
        <w:rPr>
          <w:rFonts w:ascii="Times New Roman" w:hAnsi="Times New Roman" w:cs="Times New Roman"/>
        </w:rPr>
      </w:pPr>
      <w:r w:rsidRPr="004E040B">
        <w:rPr>
          <w:rFonts w:ascii="Times New Roman" w:hAnsi="Times New Roman" w:cs="Times New Roman"/>
        </w:rPr>
        <w:t>Comparative advantage also changes over time. BYD's original advantage comes from China-based scale, battery learning curves and integrated supply chains. EU trade defence reduces the value of that advantage at the border, while UK/EU data and AI rules require local evidence that cannot be shipped as cheaply as hardware. The strategic implication is that BYD should not treat the UK and EU as identical export destinations. It should keep export flexibility where tariffs are lower, but build local assurance capability where regulatory evidence is a recurring asset.</w:t>
      </w:r>
    </w:p>
    <w:p w14:paraId="384A00C0" w14:textId="77777777" w:rsidR="00AA23BB" w:rsidRPr="004E040B" w:rsidRDefault="00000000" w:rsidP="00931230">
      <w:pPr>
        <w:pStyle w:val="21"/>
        <w:spacing w:after="120"/>
        <w:rPr>
          <w:rFonts w:ascii="Times New Roman" w:hAnsi="Times New Roman" w:cs="Times New Roman"/>
        </w:rPr>
      </w:pPr>
      <w:bookmarkStart w:id="9" w:name="_Toc235380101"/>
      <w:r w:rsidRPr="004E040B">
        <w:rPr>
          <w:rFonts w:ascii="Times New Roman" w:eastAsia="Arial" w:hAnsi="Times New Roman" w:cs="Times New Roman"/>
        </w:rPr>
        <w:t>3.5 Macroeconomic and Microeconomic Decision-Making</w:t>
      </w:r>
      <w:bookmarkEnd w:id="9"/>
    </w:p>
    <w:p w14:paraId="0A0BAA28" w14:textId="77777777" w:rsidR="00AA23BB" w:rsidRPr="004E040B" w:rsidRDefault="00000000" w:rsidP="00931230">
      <w:pPr>
        <w:jc w:val="both"/>
        <w:rPr>
          <w:rFonts w:ascii="Times New Roman" w:hAnsi="Times New Roman" w:cs="Times New Roman"/>
        </w:rPr>
      </w:pPr>
      <w:r w:rsidRPr="004E040B">
        <w:rPr>
          <w:rFonts w:ascii="Times New Roman" w:hAnsi="Times New Roman" w:cs="Times New Roman"/>
        </w:rPr>
        <w:t xml:space="preserve">The economic question is not whether governance is desirable, but when it produces value. Consider a transparent sensitivity range rather than a forecast. At 100,000 vehicles and an assumed contribution of EUR 2,000 per unit, annual contribution is EUR 200 million. If a severe incident affects 20-40% of that contribution and adds EUR 5-10 million of remediation, impact ranges from EUR 45-90 million. At an assumed annual probability of 2-5%, expected loss ranges from EUR 0.9-4.5 million. A first-year programme costing EUR 2-4 million is therefore not automatically justified. It reaches break-even only if it materially reduces probability or severity over several years, or creates measurable approval-speed, </w:t>
      </w:r>
      <w:r w:rsidRPr="004E040B">
        <w:rPr>
          <w:rFonts w:ascii="Times New Roman" w:hAnsi="Times New Roman" w:cs="Times New Roman"/>
        </w:rPr>
        <w:lastRenderedPageBreak/>
        <w:t>fleet-retention or trust benefits. These assumptions should be replaced with BYD internal data before investment approval.</w:t>
      </w:r>
    </w:p>
    <w:p w14:paraId="7C8B834A" w14:textId="77777777" w:rsidR="00AA23BB" w:rsidRPr="004E040B" w:rsidRDefault="00000000" w:rsidP="00931230">
      <w:pPr>
        <w:jc w:val="both"/>
        <w:rPr>
          <w:rFonts w:ascii="Times New Roman" w:hAnsi="Times New Roman" w:cs="Times New Roman"/>
        </w:rPr>
      </w:pPr>
      <w:r w:rsidRPr="004E040B">
        <w:rPr>
          <w:rFonts w:ascii="Times New Roman" w:hAnsi="Times New Roman" w:cs="Times New Roman"/>
        </w:rPr>
        <w:t>Tariff analysis also requires the correct base. EU ad valorem duties are normally calculated on customs value, not the final retail price (European Commission, 2026b). If an imported vehicle has an illustrative customs value of EUR 20,000, a 17.0% duty equals EUR 3,400. Passing through half would add EUR 1,700, or 5.7% of a EUR 30,000 retail price. With an illustrative demand elasticity of -1.0 to -1.5, volume could fall by approximately 5.7-8.6%; absorbing the duty would instead reduce contribution. The calculation is a sensitivity test, not an estimate of BYD's actual customs value or demand elasticity.</w:t>
      </w:r>
    </w:p>
    <w:p w14:paraId="0F38A805" w14:textId="77777777" w:rsidR="00AA23BB" w:rsidRPr="004E040B" w:rsidRDefault="00000000" w:rsidP="00931230">
      <w:pPr>
        <w:jc w:val="both"/>
        <w:rPr>
          <w:rFonts w:ascii="Times New Roman" w:hAnsi="Times New Roman" w:cs="Times New Roman"/>
        </w:rPr>
      </w:pPr>
      <w:r w:rsidRPr="004E040B">
        <w:rPr>
          <w:rFonts w:ascii="Times New Roman" w:hAnsi="Times New Roman" w:cs="Times New Roman"/>
        </w:rPr>
        <w:t>Current macroeconomic conditions reinforce the need for separate UK and euro-area decisions. In June 2026 the Bank of England maintained Bank Rate at 3.75%, while the ECB deposit facility rate rose to 2.25% (Bank of England, 2026; ECB, 2026). UK CPI was 2.8% in May and euro-area inflation was estimated at 2.8% in June (ONS, 2026; Eurostat, 2026). The higher UK policy rate can place greater pressure on PCP and fleet-finance affordability, while the EU tariff creates a larger direct import-cost problem. Exchange-rate movements between CNY, GBP and EUR add another margin risk. BYD should therefore model monthly payment sensitivity in the UK and customs-value, localisation and member-state demand scenarios in the EU rather than applying one regional price assumption.</w:t>
      </w:r>
    </w:p>
    <w:p w14:paraId="0B927E4B" w14:textId="77777777" w:rsidR="00AA23BB" w:rsidRPr="004E040B" w:rsidRDefault="00000000" w:rsidP="00931230">
      <w:pPr>
        <w:jc w:val="both"/>
        <w:rPr>
          <w:rFonts w:ascii="Times New Roman" w:hAnsi="Times New Roman" w:cs="Times New Roman"/>
        </w:rPr>
      </w:pPr>
      <w:r w:rsidRPr="004E040B">
        <w:rPr>
          <w:rFonts w:ascii="Times New Roman" w:hAnsi="Times New Roman" w:cs="Times New Roman"/>
        </w:rPr>
        <w:t>Governance cost should be evaluated in the same way. A EUR 500 per-vehicle burden across 100,000 units would cost EUR 50 million before any demand response, whereas a reusable assurance capability costing EUR 20-40 per unit is easier to absorb. The objective is not to minimise compliance expenditure but to fund controls whose avoided loss or commercial benefit exceeds their lifecycle cost. Approval should therefore use low, base and high cases, a three-year horizon and explicit assumptions about risk reduction.</w:t>
      </w:r>
    </w:p>
    <w:p w14:paraId="0E03B8C0" w14:textId="77777777" w:rsidR="00AA23BB" w:rsidRPr="004E040B" w:rsidRDefault="00000000" w:rsidP="00931230">
      <w:pPr>
        <w:jc w:val="both"/>
        <w:rPr>
          <w:rFonts w:ascii="Times New Roman" w:hAnsi="Times New Roman" w:cs="Times New Roman"/>
        </w:rPr>
      </w:pPr>
      <w:r w:rsidRPr="004E040B">
        <w:rPr>
          <w:rFonts w:ascii="Times New Roman" w:hAnsi="Times New Roman" w:cs="Times New Roman"/>
        </w:rPr>
        <w:lastRenderedPageBreak/>
        <w:t>The wait-or-invest decision favours staged commitment. BYD should build high-impact ADAS, privacy and supplier-assurance capability now, but release further budget only when evidence shows lower incident exposure, faster approval or improved fleet and customer outcomes. Low-risk services can remain outsourced under audit rights. Quarterly horizon scanning should update the classification register when UK secondary legislation, EU AI Act guidance or connected-vehicle rules materially change.</w:t>
      </w:r>
    </w:p>
    <w:p w14:paraId="3FD34563" w14:textId="77777777" w:rsidR="00AA23BB" w:rsidRPr="004E040B" w:rsidRDefault="00000000" w:rsidP="00931230">
      <w:pPr>
        <w:pStyle w:val="21"/>
        <w:spacing w:after="120"/>
        <w:rPr>
          <w:rFonts w:ascii="Times New Roman" w:hAnsi="Times New Roman" w:cs="Times New Roman"/>
        </w:rPr>
      </w:pPr>
      <w:bookmarkStart w:id="10" w:name="_Toc235380102"/>
      <w:r w:rsidRPr="004E040B">
        <w:rPr>
          <w:rFonts w:ascii="Times New Roman" w:eastAsia="Arial" w:hAnsi="Times New Roman" w:cs="Times New Roman"/>
        </w:rPr>
        <w:t>3.6 Ethical AI, ADAS trust and competitor benchmark</w:t>
      </w:r>
      <w:bookmarkEnd w:id="10"/>
    </w:p>
    <w:p w14:paraId="2719C42D" w14:textId="77777777" w:rsidR="00AA23BB" w:rsidRPr="004E040B" w:rsidRDefault="00000000" w:rsidP="00931230">
      <w:pPr>
        <w:jc w:val="both"/>
        <w:rPr>
          <w:rFonts w:ascii="Times New Roman" w:hAnsi="Times New Roman" w:cs="Times New Roman"/>
        </w:rPr>
      </w:pPr>
      <w:r w:rsidRPr="004E040B">
        <w:rPr>
          <w:rFonts w:ascii="Times New Roman" w:hAnsi="Times New Roman" w:cs="Times New Roman"/>
        </w:rPr>
        <w:t>Ethical AI extends beyond accurate marketing language. Customers must understand the limits of assistance, retain meaningful control over location, camera and app data, and have access to human review where automated outputs affect safety, insurance or service decisions. Driver-monitoring or risk-scoring systems may also perform unevenly across demographic groups, while opaque updates can weaken meaningful consent and contestability (Floridi and Cowls, 2019; Gros et al., 2025). Tesla's prominent Autopilot and Full Self-Driving terminology illustrates why disclaimers do not always eliminate over-reliance even when the driver remains responsible (Tesla, 2026a; 2026b).</w:t>
      </w:r>
    </w:p>
    <w:p w14:paraId="2287CAB1" w14:textId="77777777" w:rsidR="00AA23BB" w:rsidRPr="004E040B" w:rsidRDefault="00000000" w:rsidP="00931230">
      <w:pPr>
        <w:jc w:val="both"/>
        <w:rPr>
          <w:rFonts w:ascii="Times New Roman" w:hAnsi="Times New Roman" w:cs="Times New Roman"/>
        </w:rPr>
      </w:pPr>
      <w:r w:rsidRPr="004E040B">
        <w:rPr>
          <w:rFonts w:ascii="Times New Roman" w:hAnsi="Times New Roman" w:cs="Times New Roman"/>
        </w:rPr>
        <w:t>Trust should be supported by current consumer evidence rather than inferred only from corporate policy. Research links trust and perceived risk directly with willingness to adopt automated vehicles (Kenesei et al., 2022). A 2025 stated-preference study also found that data ownership and storage location influenced consumer choice, although its mainland-China sample limits direct transfer to UK/EU customers (Huang and Qian, 2025). BYD should therefore test plain-English ADAS explanations and privacy choices with UK and EU users, then benchmark public evidence against Tesla, Volkswagen and MG. Using Mayer, Davis and Schoorman's (1995) framework, BYD must demonstrate ability, integrity and benevolence rather than assuming that sales growth proves trust.</w:t>
      </w:r>
    </w:p>
    <w:p w14:paraId="4E77A1B2" w14:textId="77777777" w:rsidR="00AA23BB" w:rsidRPr="004E040B" w:rsidRDefault="00000000" w:rsidP="00931230">
      <w:pPr>
        <w:jc w:val="both"/>
        <w:rPr>
          <w:rFonts w:ascii="Times New Roman" w:hAnsi="Times New Roman" w:cs="Times New Roman"/>
        </w:rPr>
      </w:pPr>
      <w:r w:rsidRPr="004E040B">
        <w:rPr>
          <w:rFonts w:ascii="Times New Roman" w:hAnsi="Times New Roman" w:cs="Times New Roman"/>
        </w:rPr>
        <w:lastRenderedPageBreak/>
        <w:t>The benchmark indicates relative disclosure, not the quality of undisclosed internal controls. Tesla offers strong customer-facing data tools but carries naming and over-reliance risk; Volkswagen provides more service-specific EEA processing information; MG clearly states driver responsibility but publishes less connected-service detail. BYD can differentiate through model-level data categories, clearer assistance limits and supplier-assurance principles. The review should be repeated annually using the same evidence criteria and a dated source record.</w:t>
      </w:r>
    </w:p>
    <w:p w14:paraId="5E8308BF" w14:textId="77777777" w:rsidR="0062763A" w:rsidRPr="004E040B" w:rsidRDefault="00000000">
      <w:pPr>
        <w:rPr>
          <w:rFonts w:ascii="Times New Roman" w:hAnsi="Times New Roman" w:cs="Times New Roman"/>
        </w:rPr>
      </w:pPr>
      <w:r w:rsidRPr="004E040B">
        <w:rPr>
          <w:rFonts w:ascii="Times New Roman" w:hAnsi="Times New Roman" w:cs="Times New Roman"/>
        </w:rPr>
        <w:t>The annual benchmark should follow a fixed protocol: identical UK/EU webpages and manuals, a recorded review date, defined disclosure indicators and two independent reviewers. Each claim should distinguish verified disclosure, partial disclosure and no public evidence. BYD should also compare customer outcomes, not only document volume, because lengthy policies can satisfy formal transparency while remaining unusable. This method makes year-on-year change measurable and reduces the risk that the table reflects selective searching or assumes that unpublished controls do not exist.</w:t>
      </w:r>
    </w:p>
    <w:p w14:paraId="63F3747B" w14:textId="77777777" w:rsidR="0062763A" w:rsidRPr="004E040B" w:rsidRDefault="00000000">
      <w:pPr>
        <w:pStyle w:val="af7"/>
        <w:keepNext/>
        <w:spacing w:before="160" w:after="80"/>
        <w:rPr>
          <w:rFonts w:ascii="Times New Roman" w:hAnsi="Times New Roman" w:cs="Times New Roman"/>
        </w:rPr>
      </w:pPr>
      <w:r w:rsidRPr="004E040B">
        <w:rPr>
          <w:rFonts w:ascii="Times New Roman" w:hAnsi="Times New Roman" w:cs="Times New Roman"/>
          <w:color w:val="000000"/>
          <w:sz w:val="20"/>
        </w:rPr>
        <w:t>Table 1. Public UK/EU customer-material benchmark</w:t>
      </w:r>
    </w:p>
    <w:tbl>
      <w:tblPr>
        <w:tblStyle w:val="aff1"/>
        <w:tblW w:w="8926" w:type="dxa"/>
        <w:jc w:val="center"/>
        <w:tblLayout w:type="fixed"/>
        <w:tblLook w:val="04A0" w:firstRow="1" w:lastRow="0" w:firstColumn="1" w:lastColumn="0" w:noHBand="0" w:noVBand="1"/>
      </w:tblPr>
      <w:tblGrid>
        <w:gridCol w:w="900"/>
        <w:gridCol w:w="2200"/>
        <w:gridCol w:w="1900"/>
        <w:gridCol w:w="2100"/>
        <w:gridCol w:w="1826"/>
      </w:tblGrid>
      <w:tr w:rsidR="00AA23BB" w:rsidRPr="004E040B" w14:paraId="788D8E9B" w14:textId="77777777" w:rsidTr="004E040B">
        <w:trPr>
          <w:cantSplit/>
          <w:tblHeader/>
          <w:jc w:val="center"/>
        </w:trPr>
        <w:tc>
          <w:tcPr>
            <w:tcW w:w="900" w:type="dxa"/>
            <w:tcMar>
              <w:top w:w="90" w:type="dxa"/>
              <w:left w:w="100" w:type="dxa"/>
              <w:bottom w:w="90" w:type="dxa"/>
              <w:right w:w="100" w:type="dxa"/>
            </w:tcMar>
            <w:vAlign w:val="center"/>
          </w:tcPr>
          <w:p w14:paraId="0DC87E82" w14:textId="77777777" w:rsidR="00AA23BB" w:rsidRPr="004E040B" w:rsidRDefault="00000000" w:rsidP="00931230">
            <w:pPr>
              <w:spacing w:after="0" w:line="240" w:lineRule="auto"/>
              <w:rPr>
                <w:rFonts w:ascii="Times New Roman" w:hAnsi="Times New Roman" w:cs="Times New Roman"/>
              </w:rPr>
            </w:pPr>
            <w:r w:rsidRPr="004E040B">
              <w:rPr>
                <w:rFonts w:ascii="Times New Roman" w:hAnsi="Times New Roman" w:cs="Times New Roman"/>
                <w:b/>
                <w:sz w:val="16"/>
              </w:rPr>
              <w:t>Brand</w:t>
            </w:r>
          </w:p>
        </w:tc>
        <w:tc>
          <w:tcPr>
            <w:tcW w:w="2200" w:type="dxa"/>
            <w:tcMar>
              <w:top w:w="90" w:type="dxa"/>
              <w:left w:w="100" w:type="dxa"/>
              <w:bottom w:w="90" w:type="dxa"/>
              <w:right w:w="100" w:type="dxa"/>
            </w:tcMar>
            <w:vAlign w:val="center"/>
          </w:tcPr>
          <w:p w14:paraId="5FAA0350" w14:textId="77777777" w:rsidR="00AA23BB" w:rsidRPr="004E040B" w:rsidRDefault="00000000" w:rsidP="00931230">
            <w:pPr>
              <w:spacing w:after="0" w:line="240" w:lineRule="auto"/>
              <w:rPr>
                <w:rFonts w:ascii="Times New Roman" w:hAnsi="Times New Roman" w:cs="Times New Roman"/>
              </w:rPr>
            </w:pPr>
            <w:r w:rsidRPr="004E040B">
              <w:rPr>
                <w:rFonts w:ascii="Times New Roman" w:hAnsi="Times New Roman" w:cs="Times New Roman"/>
                <w:b/>
                <w:sz w:val="16"/>
              </w:rPr>
              <w:t>Privacy transparency</w:t>
            </w:r>
          </w:p>
        </w:tc>
        <w:tc>
          <w:tcPr>
            <w:tcW w:w="1900" w:type="dxa"/>
            <w:tcMar>
              <w:top w:w="90" w:type="dxa"/>
              <w:left w:w="100" w:type="dxa"/>
              <w:bottom w:w="90" w:type="dxa"/>
              <w:right w:w="100" w:type="dxa"/>
            </w:tcMar>
            <w:vAlign w:val="center"/>
          </w:tcPr>
          <w:p w14:paraId="184DF5D9" w14:textId="77777777" w:rsidR="00AA23BB" w:rsidRPr="004E040B" w:rsidRDefault="00000000" w:rsidP="00931230">
            <w:pPr>
              <w:spacing w:after="0" w:line="240" w:lineRule="auto"/>
              <w:rPr>
                <w:rFonts w:ascii="Times New Roman" w:hAnsi="Times New Roman" w:cs="Times New Roman"/>
              </w:rPr>
            </w:pPr>
            <w:r w:rsidRPr="004E040B">
              <w:rPr>
                <w:rFonts w:ascii="Times New Roman" w:hAnsi="Times New Roman" w:cs="Times New Roman"/>
                <w:b/>
                <w:sz w:val="16"/>
              </w:rPr>
              <w:t>ADAS wording</w:t>
            </w:r>
          </w:p>
        </w:tc>
        <w:tc>
          <w:tcPr>
            <w:tcW w:w="2100" w:type="dxa"/>
            <w:tcMar>
              <w:top w:w="90" w:type="dxa"/>
              <w:left w:w="100" w:type="dxa"/>
              <w:bottom w:w="90" w:type="dxa"/>
              <w:right w:w="100" w:type="dxa"/>
            </w:tcMar>
            <w:vAlign w:val="center"/>
          </w:tcPr>
          <w:p w14:paraId="01DD3AE3" w14:textId="77777777" w:rsidR="00AA23BB" w:rsidRPr="004E040B" w:rsidRDefault="00000000" w:rsidP="00931230">
            <w:pPr>
              <w:spacing w:after="0" w:line="240" w:lineRule="auto"/>
              <w:rPr>
                <w:rFonts w:ascii="Times New Roman" w:hAnsi="Times New Roman" w:cs="Times New Roman"/>
              </w:rPr>
            </w:pPr>
            <w:r w:rsidRPr="004E040B">
              <w:rPr>
                <w:rFonts w:ascii="Times New Roman" w:hAnsi="Times New Roman" w:cs="Times New Roman"/>
                <w:b/>
                <w:sz w:val="16"/>
              </w:rPr>
              <w:t>Location/storage evidence</w:t>
            </w:r>
          </w:p>
        </w:tc>
        <w:tc>
          <w:tcPr>
            <w:tcW w:w="1826" w:type="dxa"/>
            <w:tcMar>
              <w:top w:w="90" w:type="dxa"/>
              <w:left w:w="100" w:type="dxa"/>
              <w:bottom w:w="90" w:type="dxa"/>
              <w:right w:w="100" w:type="dxa"/>
            </w:tcMar>
            <w:vAlign w:val="center"/>
          </w:tcPr>
          <w:p w14:paraId="1F28BAA8" w14:textId="77777777" w:rsidR="00AA23BB" w:rsidRPr="004E040B" w:rsidRDefault="00000000" w:rsidP="00931230">
            <w:pPr>
              <w:spacing w:after="0" w:line="240" w:lineRule="auto"/>
              <w:rPr>
                <w:rFonts w:ascii="Times New Roman" w:hAnsi="Times New Roman" w:cs="Times New Roman"/>
              </w:rPr>
            </w:pPr>
            <w:r w:rsidRPr="004E040B">
              <w:rPr>
                <w:rFonts w:ascii="Times New Roman" w:hAnsi="Times New Roman" w:cs="Times New Roman"/>
                <w:b/>
                <w:sz w:val="16"/>
              </w:rPr>
              <w:t>Supplier disclosure</w:t>
            </w:r>
          </w:p>
        </w:tc>
      </w:tr>
      <w:tr w:rsidR="00AA23BB" w:rsidRPr="004E040B" w14:paraId="6ECB60EB" w14:textId="77777777">
        <w:trPr>
          <w:cantSplit/>
          <w:jc w:val="center"/>
        </w:trPr>
        <w:tc>
          <w:tcPr>
            <w:tcW w:w="900" w:type="dxa"/>
            <w:tcMar>
              <w:top w:w="90" w:type="dxa"/>
              <w:left w:w="100" w:type="dxa"/>
              <w:bottom w:w="90" w:type="dxa"/>
              <w:right w:w="100" w:type="dxa"/>
            </w:tcMar>
            <w:vAlign w:val="center"/>
          </w:tcPr>
          <w:p w14:paraId="69A4BD67" w14:textId="77777777" w:rsidR="00AA23BB" w:rsidRPr="004E040B" w:rsidRDefault="00000000" w:rsidP="00931230">
            <w:pPr>
              <w:spacing w:after="0" w:line="240" w:lineRule="auto"/>
              <w:rPr>
                <w:rFonts w:ascii="Times New Roman" w:hAnsi="Times New Roman" w:cs="Times New Roman"/>
              </w:rPr>
            </w:pPr>
            <w:r w:rsidRPr="004E040B">
              <w:rPr>
                <w:rFonts w:ascii="Times New Roman" w:hAnsi="Times New Roman" w:cs="Times New Roman"/>
                <w:sz w:val="16"/>
              </w:rPr>
              <w:t>BYD</w:t>
            </w:r>
          </w:p>
        </w:tc>
        <w:tc>
          <w:tcPr>
            <w:tcW w:w="2200" w:type="dxa"/>
            <w:tcMar>
              <w:top w:w="90" w:type="dxa"/>
              <w:left w:w="100" w:type="dxa"/>
              <w:bottom w:w="90" w:type="dxa"/>
              <w:right w:w="100" w:type="dxa"/>
            </w:tcMar>
            <w:vAlign w:val="center"/>
          </w:tcPr>
          <w:p w14:paraId="7003043D" w14:textId="77777777" w:rsidR="00AA23BB" w:rsidRPr="004E040B" w:rsidRDefault="00000000" w:rsidP="00931230">
            <w:pPr>
              <w:spacing w:after="0" w:line="240" w:lineRule="auto"/>
              <w:rPr>
                <w:rFonts w:ascii="Times New Roman" w:hAnsi="Times New Roman" w:cs="Times New Roman"/>
              </w:rPr>
            </w:pPr>
            <w:r w:rsidRPr="004E040B">
              <w:rPr>
                <w:rFonts w:ascii="Times New Roman" w:hAnsi="Times New Roman" w:cs="Times New Roman"/>
                <w:sz w:val="16"/>
              </w:rPr>
              <w:t>UK/EU privacy contacts and Data Act notice; limited model-level detail.</w:t>
            </w:r>
          </w:p>
        </w:tc>
        <w:tc>
          <w:tcPr>
            <w:tcW w:w="1900" w:type="dxa"/>
            <w:tcMar>
              <w:top w:w="90" w:type="dxa"/>
              <w:left w:w="100" w:type="dxa"/>
              <w:bottom w:w="90" w:type="dxa"/>
              <w:right w:w="100" w:type="dxa"/>
            </w:tcMar>
            <w:vAlign w:val="center"/>
          </w:tcPr>
          <w:p w14:paraId="3EC6809C" w14:textId="77777777" w:rsidR="00AA23BB" w:rsidRPr="004E040B" w:rsidRDefault="00000000" w:rsidP="00931230">
            <w:pPr>
              <w:spacing w:after="0" w:line="240" w:lineRule="auto"/>
              <w:rPr>
                <w:rFonts w:ascii="Times New Roman" w:hAnsi="Times New Roman" w:cs="Times New Roman"/>
              </w:rPr>
            </w:pPr>
            <w:r w:rsidRPr="004E040B">
              <w:rPr>
                <w:rFonts w:ascii="Times New Roman" w:hAnsi="Times New Roman" w:cs="Times New Roman"/>
                <w:sz w:val="16"/>
              </w:rPr>
              <w:t>Needs consistent driver-responsibility wording for each feature.</w:t>
            </w:r>
          </w:p>
        </w:tc>
        <w:tc>
          <w:tcPr>
            <w:tcW w:w="2100" w:type="dxa"/>
            <w:tcMar>
              <w:top w:w="90" w:type="dxa"/>
              <w:left w:w="100" w:type="dxa"/>
              <w:bottom w:w="90" w:type="dxa"/>
              <w:right w:w="100" w:type="dxa"/>
            </w:tcMar>
            <w:vAlign w:val="center"/>
          </w:tcPr>
          <w:p w14:paraId="6040C29A" w14:textId="77777777" w:rsidR="00AA23BB" w:rsidRPr="004E040B" w:rsidRDefault="00000000" w:rsidP="00931230">
            <w:pPr>
              <w:spacing w:after="0" w:line="240" w:lineRule="auto"/>
              <w:rPr>
                <w:rFonts w:ascii="Times New Roman" w:hAnsi="Times New Roman" w:cs="Times New Roman"/>
              </w:rPr>
            </w:pPr>
            <w:r w:rsidRPr="004E040B">
              <w:rPr>
                <w:rFonts w:ascii="Times New Roman" w:hAnsi="Times New Roman" w:cs="Times New Roman"/>
                <w:sz w:val="16"/>
              </w:rPr>
              <w:t>European controls are described, but model-level transfer evidence is limited.</w:t>
            </w:r>
          </w:p>
        </w:tc>
        <w:tc>
          <w:tcPr>
            <w:tcW w:w="1826" w:type="dxa"/>
            <w:tcMar>
              <w:top w:w="90" w:type="dxa"/>
              <w:left w:w="100" w:type="dxa"/>
              <w:bottom w:w="90" w:type="dxa"/>
              <w:right w:w="100" w:type="dxa"/>
            </w:tcMar>
            <w:vAlign w:val="center"/>
          </w:tcPr>
          <w:p w14:paraId="2F76774C" w14:textId="77777777" w:rsidR="00AA23BB" w:rsidRPr="004E040B" w:rsidRDefault="00000000" w:rsidP="00931230">
            <w:pPr>
              <w:spacing w:after="0" w:line="240" w:lineRule="auto"/>
              <w:rPr>
                <w:rFonts w:ascii="Times New Roman" w:hAnsi="Times New Roman" w:cs="Times New Roman"/>
              </w:rPr>
            </w:pPr>
            <w:r w:rsidRPr="004E040B">
              <w:rPr>
                <w:rFonts w:ascii="Times New Roman" w:hAnsi="Times New Roman" w:cs="Times New Roman"/>
                <w:sz w:val="16"/>
              </w:rPr>
              <w:t>Limited public audit detail; an assurance statement would differentiate.</w:t>
            </w:r>
          </w:p>
        </w:tc>
      </w:tr>
      <w:tr w:rsidR="00AA23BB" w:rsidRPr="004E040B" w14:paraId="0FDA8AFB" w14:textId="77777777">
        <w:trPr>
          <w:cantSplit/>
          <w:jc w:val="center"/>
        </w:trPr>
        <w:tc>
          <w:tcPr>
            <w:tcW w:w="900" w:type="dxa"/>
            <w:tcMar>
              <w:top w:w="90" w:type="dxa"/>
              <w:left w:w="100" w:type="dxa"/>
              <w:bottom w:w="90" w:type="dxa"/>
              <w:right w:w="100" w:type="dxa"/>
            </w:tcMar>
            <w:vAlign w:val="center"/>
          </w:tcPr>
          <w:p w14:paraId="0B520E10" w14:textId="77777777" w:rsidR="00AA23BB" w:rsidRPr="004E040B" w:rsidRDefault="00000000" w:rsidP="00931230">
            <w:pPr>
              <w:spacing w:after="0" w:line="240" w:lineRule="auto"/>
              <w:rPr>
                <w:rFonts w:ascii="Times New Roman" w:hAnsi="Times New Roman" w:cs="Times New Roman"/>
              </w:rPr>
            </w:pPr>
            <w:r w:rsidRPr="004E040B">
              <w:rPr>
                <w:rFonts w:ascii="Times New Roman" w:hAnsi="Times New Roman" w:cs="Times New Roman"/>
                <w:sz w:val="16"/>
              </w:rPr>
              <w:t>Tesla</w:t>
            </w:r>
          </w:p>
        </w:tc>
        <w:tc>
          <w:tcPr>
            <w:tcW w:w="2200" w:type="dxa"/>
            <w:tcMar>
              <w:top w:w="90" w:type="dxa"/>
              <w:left w:w="100" w:type="dxa"/>
              <w:bottom w:w="90" w:type="dxa"/>
              <w:right w:w="100" w:type="dxa"/>
            </w:tcMar>
            <w:vAlign w:val="center"/>
          </w:tcPr>
          <w:p w14:paraId="65F2247F" w14:textId="77777777" w:rsidR="00AA23BB" w:rsidRPr="004E040B" w:rsidRDefault="00000000" w:rsidP="00931230">
            <w:pPr>
              <w:spacing w:after="0" w:line="240" w:lineRule="auto"/>
              <w:rPr>
                <w:rFonts w:ascii="Times New Roman" w:hAnsi="Times New Roman" w:cs="Times New Roman"/>
              </w:rPr>
            </w:pPr>
            <w:r w:rsidRPr="004E040B">
              <w:rPr>
                <w:rFonts w:ascii="Times New Roman" w:hAnsi="Times New Roman" w:cs="Times New Roman"/>
                <w:sz w:val="16"/>
              </w:rPr>
              <w:t>Strong customer portal and access tools; extensive camera/location processing remains salient.</w:t>
            </w:r>
          </w:p>
        </w:tc>
        <w:tc>
          <w:tcPr>
            <w:tcW w:w="1900" w:type="dxa"/>
            <w:tcMar>
              <w:top w:w="90" w:type="dxa"/>
              <w:left w:w="100" w:type="dxa"/>
              <w:bottom w:w="90" w:type="dxa"/>
              <w:right w:w="100" w:type="dxa"/>
            </w:tcMar>
            <w:vAlign w:val="center"/>
          </w:tcPr>
          <w:p w14:paraId="156F0E2E" w14:textId="77777777" w:rsidR="00AA23BB" w:rsidRPr="004E040B" w:rsidRDefault="00000000" w:rsidP="00931230">
            <w:pPr>
              <w:spacing w:after="0" w:line="240" w:lineRule="auto"/>
              <w:rPr>
                <w:rFonts w:ascii="Times New Roman" w:hAnsi="Times New Roman" w:cs="Times New Roman"/>
              </w:rPr>
            </w:pPr>
            <w:r w:rsidRPr="004E040B">
              <w:rPr>
                <w:rFonts w:ascii="Times New Roman" w:hAnsi="Times New Roman" w:cs="Times New Roman"/>
                <w:sz w:val="16"/>
              </w:rPr>
              <w:t>Autopilot/FSD carries higher over-reliance risk despite disclaimers.</w:t>
            </w:r>
          </w:p>
        </w:tc>
        <w:tc>
          <w:tcPr>
            <w:tcW w:w="2100" w:type="dxa"/>
            <w:tcMar>
              <w:top w:w="90" w:type="dxa"/>
              <w:left w:w="100" w:type="dxa"/>
              <w:bottom w:w="90" w:type="dxa"/>
              <w:right w:w="100" w:type="dxa"/>
            </w:tcMar>
            <w:vAlign w:val="center"/>
          </w:tcPr>
          <w:p w14:paraId="607FBFB8" w14:textId="77777777" w:rsidR="00AA23BB" w:rsidRPr="004E040B" w:rsidRDefault="00000000" w:rsidP="00931230">
            <w:pPr>
              <w:spacing w:after="0" w:line="240" w:lineRule="auto"/>
              <w:rPr>
                <w:rFonts w:ascii="Times New Roman" w:hAnsi="Times New Roman" w:cs="Times New Roman"/>
              </w:rPr>
            </w:pPr>
            <w:r w:rsidRPr="004E040B">
              <w:rPr>
                <w:rFonts w:ascii="Times New Roman" w:hAnsi="Times New Roman" w:cs="Times New Roman"/>
                <w:sz w:val="16"/>
              </w:rPr>
              <w:t>Some local or non-identifying processing stated; infrastructure detail remains limited.</w:t>
            </w:r>
          </w:p>
        </w:tc>
        <w:tc>
          <w:tcPr>
            <w:tcW w:w="1826" w:type="dxa"/>
            <w:tcMar>
              <w:top w:w="90" w:type="dxa"/>
              <w:left w:w="100" w:type="dxa"/>
              <w:bottom w:w="90" w:type="dxa"/>
              <w:right w:w="100" w:type="dxa"/>
            </w:tcMar>
            <w:vAlign w:val="center"/>
          </w:tcPr>
          <w:p w14:paraId="1FEADAD9" w14:textId="77777777" w:rsidR="00AA23BB" w:rsidRPr="004E040B" w:rsidRDefault="00000000" w:rsidP="00931230">
            <w:pPr>
              <w:spacing w:after="0" w:line="240" w:lineRule="auto"/>
              <w:rPr>
                <w:rFonts w:ascii="Times New Roman" w:hAnsi="Times New Roman" w:cs="Times New Roman"/>
              </w:rPr>
            </w:pPr>
            <w:r w:rsidRPr="004E040B">
              <w:rPr>
                <w:rFonts w:ascii="Times New Roman" w:hAnsi="Times New Roman" w:cs="Times New Roman"/>
                <w:sz w:val="16"/>
              </w:rPr>
              <w:t>Limited public vendor-audit detail; greater internal software capability.</w:t>
            </w:r>
          </w:p>
        </w:tc>
      </w:tr>
      <w:tr w:rsidR="00AA23BB" w:rsidRPr="004E040B" w14:paraId="7CE9DD4D" w14:textId="77777777">
        <w:trPr>
          <w:cantSplit/>
          <w:jc w:val="center"/>
        </w:trPr>
        <w:tc>
          <w:tcPr>
            <w:tcW w:w="900" w:type="dxa"/>
            <w:tcMar>
              <w:top w:w="90" w:type="dxa"/>
              <w:left w:w="100" w:type="dxa"/>
              <w:bottom w:w="90" w:type="dxa"/>
              <w:right w:w="100" w:type="dxa"/>
            </w:tcMar>
            <w:vAlign w:val="center"/>
          </w:tcPr>
          <w:p w14:paraId="4E1271FC" w14:textId="77777777" w:rsidR="00AA23BB" w:rsidRPr="004E040B" w:rsidRDefault="00000000" w:rsidP="00931230">
            <w:pPr>
              <w:spacing w:after="0" w:line="240" w:lineRule="auto"/>
              <w:rPr>
                <w:rFonts w:ascii="Times New Roman" w:hAnsi="Times New Roman" w:cs="Times New Roman"/>
              </w:rPr>
            </w:pPr>
            <w:r w:rsidRPr="004E040B">
              <w:rPr>
                <w:rFonts w:ascii="Times New Roman" w:hAnsi="Times New Roman" w:cs="Times New Roman"/>
                <w:sz w:val="16"/>
              </w:rPr>
              <w:t>Volkswagen</w:t>
            </w:r>
          </w:p>
        </w:tc>
        <w:tc>
          <w:tcPr>
            <w:tcW w:w="2200" w:type="dxa"/>
            <w:tcMar>
              <w:top w:w="90" w:type="dxa"/>
              <w:left w:w="100" w:type="dxa"/>
              <w:bottom w:w="90" w:type="dxa"/>
              <w:right w:w="100" w:type="dxa"/>
            </w:tcMar>
            <w:vAlign w:val="center"/>
          </w:tcPr>
          <w:p w14:paraId="34ABB03B" w14:textId="77777777" w:rsidR="00AA23BB" w:rsidRPr="004E040B" w:rsidRDefault="00000000" w:rsidP="00931230">
            <w:pPr>
              <w:spacing w:after="0" w:line="240" w:lineRule="auto"/>
              <w:rPr>
                <w:rFonts w:ascii="Times New Roman" w:hAnsi="Times New Roman" w:cs="Times New Roman"/>
              </w:rPr>
            </w:pPr>
            <w:r w:rsidRPr="004E040B">
              <w:rPr>
                <w:rFonts w:ascii="Times New Roman" w:hAnsi="Times New Roman" w:cs="Times New Roman"/>
                <w:sz w:val="16"/>
              </w:rPr>
              <w:t>Service-specific VW Connect explanations and EEA processing language.</w:t>
            </w:r>
          </w:p>
        </w:tc>
        <w:tc>
          <w:tcPr>
            <w:tcW w:w="1900" w:type="dxa"/>
            <w:tcMar>
              <w:top w:w="90" w:type="dxa"/>
              <w:left w:w="100" w:type="dxa"/>
              <w:bottom w:w="90" w:type="dxa"/>
              <w:right w:w="100" w:type="dxa"/>
            </w:tcMar>
            <w:vAlign w:val="center"/>
          </w:tcPr>
          <w:p w14:paraId="39949F8D" w14:textId="77777777" w:rsidR="00AA23BB" w:rsidRPr="004E040B" w:rsidRDefault="00000000" w:rsidP="00931230">
            <w:pPr>
              <w:spacing w:after="0" w:line="240" w:lineRule="auto"/>
              <w:rPr>
                <w:rFonts w:ascii="Times New Roman" w:hAnsi="Times New Roman" w:cs="Times New Roman"/>
              </w:rPr>
            </w:pPr>
            <w:r w:rsidRPr="004E040B">
              <w:rPr>
                <w:rFonts w:ascii="Times New Roman" w:hAnsi="Times New Roman" w:cs="Times New Roman"/>
                <w:sz w:val="16"/>
              </w:rPr>
              <w:t>Travel Assist/IQ.DRIVE is framed as assistance, reducing autonomy ambiguity.</w:t>
            </w:r>
          </w:p>
        </w:tc>
        <w:tc>
          <w:tcPr>
            <w:tcW w:w="2100" w:type="dxa"/>
            <w:tcMar>
              <w:top w:w="90" w:type="dxa"/>
              <w:left w:w="100" w:type="dxa"/>
              <w:bottom w:w="90" w:type="dxa"/>
              <w:right w:w="100" w:type="dxa"/>
            </w:tcMar>
            <w:vAlign w:val="center"/>
          </w:tcPr>
          <w:p w14:paraId="15B9AF14" w14:textId="77777777" w:rsidR="00AA23BB" w:rsidRPr="004E040B" w:rsidRDefault="00000000" w:rsidP="00931230">
            <w:pPr>
              <w:spacing w:after="0" w:line="240" w:lineRule="auto"/>
              <w:rPr>
                <w:rFonts w:ascii="Times New Roman" w:hAnsi="Times New Roman" w:cs="Times New Roman"/>
              </w:rPr>
            </w:pPr>
            <w:r w:rsidRPr="004E040B">
              <w:rPr>
                <w:rFonts w:ascii="Times New Roman" w:hAnsi="Times New Roman" w:cs="Times New Roman"/>
                <w:sz w:val="16"/>
              </w:rPr>
              <w:t>EEA processing is the general rule, with qualified third-country transfers.</w:t>
            </w:r>
          </w:p>
        </w:tc>
        <w:tc>
          <w:tcPr>
            <w:tcW w:w="1826" w:type="dxa"/>
            <w:tcMar>
              <w:top w:w="90" w:type="dxa"/>
              <w:left w:w="100" w:type="dxa"/>
              <w:bottom w:w="90" w:type="dxa"/>
              <w:right w:w="100" w:type="dxa"/>
            </w:tcMar>
            <w:vAlign w:val="center"/>
          </w:tcPr>
          <w:p w14:paraId="0F7E575A" w14:textId="77777777" w:rsidR="00AA23BB" w:rsidRPr="004E040B" w:rsidRDefault="00000000" w:rsidP="00931230">
            <w:pPr>
              <w:spacing w:after="0" w:line="240" w:lineRule="auto"/>
              <w:rPr>
                <w:rFonts w:ascii="Times New Roman" w:hAnsi="Times New Roman" w:cs="Times New Roman"/>
              </w:rPr>
            </w:pPr>
            <w:r w:rsidRPr="004E040B">
              <w:rPr>
                <w:rFonts w:ascii="Times New Roman" w:hAnsi="Times New Roman" w:cs="Times New Roman"/>
                <w:sz w:val="16"/>
              </w:rPr>
              <w:t>Mature compliance structure; public AI-vendor audit detail remains limited.</w:t>
            </w:r>
          </w:p>
        </w:tc>
      </w:tr>
      <w:tr w:rsidR="00AA23BB" w:rsidRPr="004E040B" w14:paraId="4B3544EC" w14:textId="77777777">
        <w:trPr>
          <w:cantSplit/>
          <w:jc w:val="center"/>
        </w:trPr>
        <w:tc>
          <w:tcPr>
            <w:tcW w:w="900" w:type="dxa"/>
            <w:tcMar>
              <w:top w:w="90" w:type="dxa"/>
              <w:left w:w="100" w:type="dxa"/>
              <w:bottom w:w="90" w:type="dxa"/>
              <w:right w:w="100" w:type="dxa"/>
            </w:tcMar>
            <w:vAlign w:val="center"/>
          </w:tcPr>
          <w:p w14:paraId="32DBC95C" w14:textId="77777777" w:rsidR="00AA23BB" w:rsidRPr="004E040B" w:rsidRDefault="00000000" w:rsidP="00931230">
            <w:pPr>
              <w:spacing w:after="0" w:line="240" w:lineRule="auto"/>
              <w:rPr>
                <w:rFonts w:ascii="Times New Roman" w:hAnsi="Times New Roman" w:cs="Times New Roman"/>
              </w:rPr>
            </w:pPr>
            <w:r w:rsidRPr="004E040B">
              <w:rPr>
                <w:rFonts w:ascii="Times New Roman" w:hAnsi="Times New Roman" w:cs="Times New Roman"/>
                <w:sz w:val="16"/>
              </w:rPr>
              <w:t>MG (SAIC)</w:t>
            </w:r>
          </w:p>
        </w:tc>
        <w:tc>
          <w:tcPr>
            <w:tcW w:w="2200" w:type="dxa"/>
            <w:tcMar>
              <w:top w:w="90" w:type="dxa"/>
              <w:left w:w="100" w:type="dxa"/>
              <w:bottom w:w="90" w:type="dxa"/>
              <w:right w:w="100" w:type="dxa"/>
            </w:tcMar>
            <w:vAlign w:val="center"/>
          </w:tcPr>
          <w:p w14:paraId="34C8A7F6" w14:textId="77777777" w:rsidR="00AA23BB" w:rsidRPr="004E040B" w:rsidRDefault="00000000" w:rsidP="00931230">
            <w:pPr>
              <w:spacing w:after="0" w:line="240" w:lineRule="auto"/>
              <w:rPr>
                <w:rFonts w:ascii="Times New Roman" w:hAnsi="Times New Roman" w:cs="Times New Roman"/>
              </w:rPr>
            </w:pPr>
            <w:r w:rsidRPr="004E040B">
              <w:rPr>
                <w:rFonts w:ascii="Times New Roman" w:hAnsi="Times New Roman" w:cs="Times New Roman"/>
                <w:sz w:val="16"/>
              </w:rPr>
              <w:t>UK privacy and dealer/customer explanations; less connected-service detail.</w:t>
            </w:r>
          </w:p>
        </w:tc>
        <w:tc>
          <w:tcPr>
            <w:tcW w:w="1900" w:type="dxa"/>
            <w:tcMar>
              <w:top w:w="90" w:type="dxa"/>
              <w:left w:w="100" w:type="dxa"/>
              <w:bottom w:w="90" w:type="dxa"/>
              <w:right w:w="100" w:type="dxa"/>
            </w:tcMar>
            <w:vAlign w:val="center"/>
          </w:tcPr>
          <w:p w14:paraId="10E06488" w14:textId="77777777" w:rsidR="00AA23BB" w:rsidRPr="004E040B" w:rsidRDefault="00000000" w:rsidP="00931230">
            <w:pPr>
              <w:spacing w:after="0" w:line="240" w:lineRule="auto"/>
              <w:rPr>
                <w:rFonts w:ascii="Times New Roman" w:hAnsi="Times New Roman" w:cs="Times New Roman"/>
              </w:rPr>
            </w:pPr>
            <w:r w:rsidRPr="004E040B">
              <w:rPr>
                <w:rFonts w:ascii="Times New Roman" w:hAnsi="Times New Roman" w:cs="Times New Roman"/>
                <w:sz w:val="16"/>
              </w:rPr>
              <w:t>MG Pilot states that the driver remains responsible.</w:t>
            </w:r>
          </w:p>
        </w:tc>
        <w:tc>
          <w:tcPr>
            <w:tcW w:w="2100" w:type="dxa"/>
            <w:tcMar>
              <w:top w:w="90" w:type="dxa"/>
              <w:left w:w="100" w:type="dxa"/>
              <w:bottom w:w="90" w:type="dxa"/>
              <w:right w:w="100" w:type="dxa"/>
            </w:tcMar>
            <w:vAlign w:val="center"/>
          </w:tcPr>
          <w:p w14:paraId="0B7D78EC" w14:textId="77777777" w:rsidR="00AA23BB" w:rsidRPr="004E040B" w:rsidRDefault="00000000" w:rsidP="00931230">
            <w:pPr>
              <w:spacing w:after="0" w:line="240" w:lineRule="auto"/>
              <w:rPr>
                <w:rFonts w:ascii="Times New Roman" w:hAnsi="Times New Roman" w:cs="Times New Roman"/>
              </w:rPr>
            </w:pPr>
            <w:r w:rsidRPr="004E040B">
              <w:rPr>
                <w:rFonts w:ascii="Times New Roman" w:hAnsi="Times New Roman" w:cs="Times New Roman"/>
                <w:sz w:val="16"/>
              </w:rPr>
              <w:t>Limited public localisation detail creates a comparable trust question.</w:t>
            </w:r>
          </w:p>
        </w:tc>
        <w:tc>
          <w:tcPr>
            <w:tcW w:w="1826" w:type="dxa"/>
            <w:tcMar>
              <w:top w:w="90" w:type="dxa"/>
              <w:left w:w="100" w:type="dxa"/>
              <w:bottom w:w="90" w:type="dxa"/>
              <w:right w:w="100" w:type="dxa"/>
            </w:tcMar>
            <w:vAlign w:val="center"/>
          </w:tcPr>
          <w:p w14:paraId="67949C18" w14:textId="77777777" w:rsidR="00AA23BB" w:rsidRPr="004E040B" w:rsidRDefault="00000000" w:rsidP="00931230">
            <w:pPr>
              <w:spacing w:after="0" w:line="240" w:lineRule="auto"/>
              <w:rPr>
                <w:rFonts w:ascii="Times New Roman" w:hAnsi="Times New Roman" w:cs="Times New Roman"/>
              </w:rPr>
            </w:pPr>
            <w:r w:rsidRPr="004E040B">
              <w:rPr>
                <w:rFonts w:ascii="Times New Roman" w:hAnsi="Times New Roman" w:cs="Times New Roman"/>
                <w:sz w:val="16"/>
              </w:rPr>
              <w:t>Limited public supplier-audit disclosure.</w:t>
            </w:r>
          </w:p>
        </w:tc>
      </w:tr>
    </w:tbl>
    <w:p w14:paraId="55A1E368" w14:textId="77777777" w:rsidR="00AA23BB" w:rsidRPr="004E040B" w:rsidRDefault="00AA23BB" w:rsidP="00931230">
      <w:pPr>
        <w:spacing w:before="60"/>
        <w:rPr>
          <w:rFonts w:ascii="Times New Roman" w:hAnsi="Times New Roman" w:cs="Times New Roman"/>
        </w:rPr>
      </w:pPr>
      <w:r w:rsidRPr="004E040B">
        <w:rPr>
          <w:rFonts w:ascii="Times New Roman" w:hAnsi="Times New Roman" w:cs="Times New Roman"/>
          <w:i/>
          <w:sz w:val="18"/>
        </w:rPr>
        <w:t>Source: assessment of publicly available UK/EU customer materials at 12 July 2026 (BYD Europe, 2024; BYD Europe, 2026; BYD UK, 2024; Tesla, 2026a; Tesla, 2026b; Volkswagen AG, 2026; MG Motor UK, 2026a; MG Motor UK, 2026b). Absence of public disclosure is not evidence that an internal control is absent.</w:t>
      </w:r>
    </w:p>
    <w:p w14:paraId="3E9DE62C" w14:textId="77777777" w:rsidR="00AA23BB" w:rsidRPr="004E040B" w:rsidRDefault="00000000" w:rsidP="00931230">
      <w:pPr>
        <w:pStyle w:val="21"/>
        <w:spacing w:after="120"/>
        <w:rPr>
          <w:rFonts w:ascii="Times New Roman" w:hAnsi="Times New Roman" w:cs="Times New Roman"/>
        </w:rPr>
      </w:pPr>
      <w:bookmarkStart w:id="11" w:name="_Toc235380103"/>
      <w:r w:rsidRPr="004E040B">
        <w:rPr>
          <w:rFonts w:ascii="Times New Roman" w:eastAsia="Arial" w:hAnsi="Times New Roman" w:cs="Times New Roman"/>
        </w:rPr>
        <w:lastRenderedPageBreak/>
        <w:t>3.7 Stress testing AI-risk consequences</w:t>
      </w:r>
      <w:bookmarkEnd w:id="11"/>
    </w:p>
    <w:p w14:paraId="4A93F436" w14:textId="77777777" w:rsidR="00AA23BB" w:rsidRPr="004E040B" w:rsidRDefault="00000000" w:rsidP="00931230">
      <w:pPr>
        <w:jc w:val="both"/>
        <w:rPr>
          <w:rFonts w:ascii="Times New Roman" w:hAnsi="Times New Roman" w:cs="Times New Roman"/>
        </w:rPr>
      </w:pPr>
      <w:r w:rsidRPr="004E040B">
        <w:rPr>
          <w:rFonts w:ascii="Times New Roman" w:hAnsi="Times New Roman" w:cs="Times New Roman"/>
        </w:rPr>
        <w:t>Stress testing should distinguish revenue timing, contribution loss, remediation and long-term trust effects. The ranges below are decision assumptions, not forecasts, because BYD's incident probabilities, customs values and model-level margins are not public. Management should replace them with internal data and calculate separate GBP and EUR cases before approving investment.</w:t>
      </w:r>
    </w:p>
    <w:p w14:paraId="290C875F" w14:textId="77777777" w:rsidR="0062763A" w:rsidRPr="004E040B" w:rsidRDefault="00000000">
      <w:pPr>
        <w:pStyle w:val="af7"/>
        <w:keepNext/>
        <w:spacing w:before="160" w:after="80"/>
        <w:rPr>
          <w:rFonts w:ascii="Times New Roman" w:hAnsi="Times New Roman" w:cs="Times New Roman"/>
        </w:rPr>
      </w:pPr>
      <w:r w:rsidRPr="004E040B">
        <w:rPr>
          <w:rFonts w:ascii="Times New Roman" w:hAnsi="Times New Roman" w:cs="Times New Roman"/>
          <w:color w:val="000000"/>
          <w:sz w:val="20"/>
        </w:rPr>
        <w:t>Table 2. Illustrative AI-risk stress-test scenarios</w:t>
      </w:r>
    </w:p>
    <w:tbl>
      <w:tblPr>
        <w:tblStyle w:val="aff1"/>
        <w:tblW w:w="8926" w:type="dxa"/>
        <w:jc w:val="center"/>
        <w:tblLayout w:type="fixed"/>
        <w:tblLook w:val="04A0" w:firstRow="1" w:lastRow="0" w:firstColumn="1" w:lastColumn="0" w:noHBand="0" w:noVBand="1"/>
      </w:tblPr>
      <w:tblGrid>
        <w:gridCol w:w="1600"/>
        <w:gridCol w:w="2500"/>
        <w:gridCol w:w="2200"/>
        <w:gridCol w:w="2626"/>
      </w:tblGrid>
      <w:tr w:rsidR="00AA23BB" w:rsidRPr="004E040B" w14:paraId="3B311BE9" w14:textId="77777777" w:rsidTr="004E040B">
        <w:trPr>
          <w:cantSplit/>
          <w:tblHeader/>
          <w:jc w:val="center"/>
        </w:trPr>
        <w:tc>
          <w:tcPr>
            <w:tcW w:w="1600" w:type="dxa"/>
            <w:tcMar>
              <w:top w:w="90" w:type="dxa"/>
              <w:left w:w="100" w:type="dxa"/>
              <w:bottom w:w="90" w:type="dxa"/>
              <w:right w:w="100" w:type="dxa"/>
            </w:tcMar>
            <w:vAlign w:val="center"/>
          </w:tcPr>
          <w:p w14:paraId="60B2137D" w14:textId="77777777" w:rsidR="00AA23BB" w:rsidRPr="004E040B" w:rsidRDefault="00000000" w:rsidP="00931230">
            <w:pPr>
              <w:spacing w:after="0" w:line="240" w:lineRule="auto"/>
              <w:rPr>
                <w:rFonts w:ascii="Times New Roman" w:hAnsi="Times New Roman" w:cs="Times New Roman"/>
              </w:rPr>
            </w:pPr>
            <w:r w:rsidRPr="004E040B">
              <w:rPr>
                <w:rFonts w:ascii="Times New Roman" w:hAnsi="Times New Roman" w:cs="Times New Roman"/>
                <w:b/>
                <w:sz w:val="17"/>
              </w:rPr>
              <w:t>Scenario</w:t>
            </w:r>
          </w:p>
        </w:tc>
        <w:tc>
          <w:tcPr>
            <w:tcW w:w="2500" w:type="dxa"/>
            <w:tcMar>
              <w:top w:w="90" w:type="dxa"/>
              <w:left w:w="100" w:type="dxa"/>
              <w:bottom w:w="90" w:type="dxa"/>
              <w:right w:w="100" w:type="dxa"/>
            </w:tcMar>
            <w:vAlign w:val="center"/>
          </w:tcPr>
          <w:p w14:paraId="2AA2834B" w14:textId="77777777" w:rsidR="00AA23BB" w:rsidRPr="004E040B" w:rsidRDefault="00000000" w:rsidP="00931230">
            <w:pPr>
              <w:spacing w:after="0" w:line="240" w:lineRule="auto"/>
              <w:rPr>
                <w:rFonts w:ascii="Times New Roman" w:hAnsi="Times New Roman" w:cs="Times New Roman"/>
              </w:rPr>
            </w:pPr>
            <w:r w:rsidRPr="004E040B">
              <w:rPr>
                <w:rFonts w:ascii="Times New Roman" w:hAnsi="Times New Roman" w:cs="Times New Roman"/>
                <w:b/>
                <w:sz w:val="17"/>
              </w:rPr>
              <w:t>External benchmark</w:t>
            </w:r>
          </w:p>
        </w:tc>
        <w:tc>
          <w:tcPr>
            <w:tcW w:w="2200" w:type="dxa"/>
            <w:tcMar>
              <w:top w:w="90" w:type="dxa"/>
              <w:left w:w="100" w:type="dxa"/>
              <w:bottom w:w="90" w:type="dxa"/>
              <w:right w:w="100" w:type="dxa"/>
            </w:tcMar>
            <w:vAlign w:val="center"/>
          </w:tcPr>
          <w:p w14:paraId="3793A8C4" w14:textId="77777777" w:rsidR="00AA23BB" w:rsidRPr="004E040B" w:rsidRDefault="00000000" w:rsidP="00931230">
            <w:pPr>
              <w:spacing w:after="0" w:line="240" w:lineRule="auto"/>
              <w:rPr>
                <w:rFonts w:ascii="Times New Roman" w:hAnsi="Times New Roman" w:cs="Times New Roman"/>
              </w:rPr>
            </w:pPr>
            <w:r w:rsidRPr="004E040B">
              <w:rPr>
                <w:rFonts w:ascii="Times New Roman" w:hAnsi="Times New Roman" w:cs="Times New Roman"/>
                <w:b/>
                <w:sz w:val="17"/>
              </w:rPr>
              <w:t>BYD trigger</w:t>
            </w:r>
          </w:p>
        </w:tc>
        <w:tc>
          <w:tcPr>
            <w:tcW w:w="2626" w:type="dxa"/>
            <w:tcMar>
              <w:top w:w="90" w:type="dxa"/>
              <w:left w:w="100" w:type="dxa"/>
              <w:bottom w:w="90" w:type="dxa"/>
              <w:right w:w="100" w:type="dxa"/>
            </w:tcMar>
            <w:vAlign w:val="center"/>
          </w:tcPr>
          <w:p w14:paraId="36BE3CD9" w14:textId="77777777" w:rsidR="00AA23BB" w:rsidRPr="004E040B" w:rsidRDefault="00000000" w:rsidP="00931230">
            <w:pPr>
              <w:spacing w:after="0" w:line="240" w:lineRule="auto"/>
              <w:rPr>
                <w:rFonts w:ascii="Times New Roman" w:hAnsi="Times New Roman" w:cs="Times New Roman"/>
              </w:rPr>
            </w:pPr>
            <w:r w:rsidRPr="004E040B">
              <w:rPr>
                <w:rFonts w:ascii="Times New Roman" w:hAnsi="Times New Roman" w:cs="Times New Roman"/>
                <w:b/>
                <w:sz w:val="17"/>
              </w:rPr>
              <w:t>Decision range</w:t>
            </w:r>
          </w:p>
        </w:tc>
      </w:tr>
      <w:tr w:rsidR="00AA23BB" w:rsidRPr="004E040B" w14:paraId="3B70298B" w14:textId="77777777">
        <w:trPr>
          <w:cantSplit/>
          <w:jc w:val="center"/>
        </w:trPr>
        <w:tc>
          <w:tcPr>
            <w:tcW w:w="1600" w:type="dxa"/>
            <w:tcMar>
              <w:top w:w="90" w:type="dxa"/>
              <w:left w:w="100" w:type="dxa"/>
              <w:bottom w:w="90" w:type="dxa"/>
              <w:right w:w="100" w:type="dxa"/>
            </w:tcMar>
            <w:vAlign w:val="center"/>
          </w:tcPr>
          <w:p w14:paraId="660893A2" w14:textId="77777777" w:rsidR="00AA23BB" w:rsidRPr="004E040B" w:rsidRDefault="00000000" w:rsidP="00931230">
            <w:pPr>
              <w:spacing w:after="0" w:line="240" w:lineRule="auto"/>
              <w:rPr>
                <w:rFonts w:ascii="Times New Roman" w:hAnsi="Times New Roman" w:cs="Times New Roman"/>
              </w:rPr>
            </w:pPr>
            <w:r w:rsidRPr="004E040B">
              <w:rPr>
                <w:rFonts w:ascii="Times New Roman" w:hAnsi="Times New Roman" w:cs="Times New Roman"/>
                <w:sz w:val="17"/>
              </w:rPr>
              <w:t>Connected-data misuse</w:t>
            </w:r>
          </w:p>
        </w:tc>
        <w:tc>
          <w:tcPr>
            <w:tcW w:w="2500" w:type="dxa"/>
            <w:tcMar>
              <w:top w:w="90" w:type="dxa"/>
              <w:left w:w="100" w:type="dxa"/>
              <w:bottom w:w="90" w:type="dxa"/>
              <w:right w:w="100" w:type="dxa"/>
            </w:tcMar>
            <w:vAlign w:val="center"/>
          </w:tcPr>
          <w:p w14:paraId="72148D75" w14:textId="77777777" w:rsidR="00AA23BB" w:rsidRPr="004E040B" w:rsidRDefault="00000000" w:rsidP="00931230">
            <w:pPr>
              <w:spacing w:after="0" w:line="240" w:lineRule="auto"/>
              <w:rPr>
                <w:rFonts w:ascii="Times New Roman" w:hAnsi="Times New Roman" w:cs="Times New Roman"/>
              </w:rPr>
            </w:pPr>
            <w:r w:rsidRPr="004E040B">
              <w:rPr>
                <w:rFonts w:ascii="Times New Roman" w:hAnsi="Times New Roman" w:cs="Times New Roman"/>
                <w:sz w:val="17"/>
              </w:rPr>
              <w:t>GM/OnStar location-data action shows purpose and disclosure risk (FTC, 2025).</w:t>
            </w:r>
          </w:p>
        </w:tc>
        <w:tc>
          <w:tcPr>
            <w:tcW w:w="2200" w:type="dxa"/>
            <w:tcMar>
              <w:top w:w="90" w:type="dxa"/>
              <w:left w:w="100" w:type="dxa"/>
              <w:bottom w:w="90" w:type="dxa"/>
              <w:right w:w="100" w:type="dxa"/>
            </w:tcMar>
            <w:vAlign w:val="center"/>
          </w:tcPr>
          <w:p w14:paraId="1983B904" w14:textId="77777777" w:rsidR="00AA23BB" w:rsidRPr="004E040B" w:rsidRDefault="00000000" w:rsidP="00931230">
            <w:pPr>
              <w:spacing w:after="0" w:line="240" w:lineRule="auto"/>
              <w:rPr>
                <w:rFonts w:ascii="Times New Roman" w:hAnsi="Times New Roman" w:cs="Times New Roman"/>
              </w:rPr>
            </w:pPr>
            <w:r w:rsidRPr="004E040B">
              <w:rPr>
                <w:rFonts w:ascii="Times New Roman" w:hAnsi="Times New Roman" w:cs="Times New Roman"/>
                <w:sz w:val="17"/>
              </w:rPr>
              <w:t>Dealer, cloud or analytics use exceeds the stated purpose.</w:t>
            </w:r>
          </w:p>
        </w:tc>
        <w:tc>
          <w:tcPr>
            <w:tcW w:w="2626" w:type="dxa"/>
            <w:tcMar>
              <w:top w:w="90" w:type="dxa"/>
              <w:left w:w="100" w:type="dxa"/>
              <w:bottom w:w="90" w:type="dxa"/>
              <w:right w:w="100" w:type="dxa"/>
            </w:tcMar>
            <w:vAlign w:val="center"/>
          </w:tcPr>
          <w:p w14:paraId="6D5D9D80" w14:textId="77777777" w:rsidR="00AA23BB" w:rsidRPr="004E040B" w:rsidRDefault="00000000" w:rsidP="00931230">
            <w:pPr>
              <w:spacing w:after="0" w:line="240" w:lineRule="auto"/>
              <w:rPr>
                <w:rFonts w:ascii="Times New Roman" w:hAnsi="Times New Roman" w:cs="Times New Roman"/>
              </w:rPr>
            </w:pPr>
            <w:r w:rsidRPr="004E040B">
              <w:rPr>
                <w:rFonts w:ascii="Times New Roman" w:hAnsi="Times New Roman" w:cs="Times New Roman"/>
                <w:sz w:val="17"/>
              </w:rPr>
              <w:t>Assume 10,000 users affected and EUR 100–250 support/remediation each: EUR 1–2.5m direct cost, plus enforcement and churn.</w:t>
            </w:r>
          </w:p>
        </w:tc>
      </w:tr>
      <w:tr w:rsidR="00AA23BB" w:rsidRPr="004E040B" w14:paraId="77420010" w14:textId="77777777">
        <w:trPr>
          <w:cantSplit/>
          <w:jc w:val="center"/>
        </w:trPr>
        <w:tc>
          <w:tcPr>
            <w:tcW w:w="1600" w:type="dxa"/>
            <w:tcMar>
              <w:top w:w="90" w:type="dxa"/>
              <w:left w:w="100" w:type="dxa"/>
              <w:bottom w:w="90" w:type="dxa"/>
              <w:right w:w="100" w:type="dxa"/>
            </w:tcMar>
            <w:vAlign w:val="center"/>
          </w:tcPr>
          <w:p w14:paraId="58F67EA7" w14:textId="77777777" w:rsidR="00AA23BB" w:rsidRPr="004E040B" w:rsidRDefault="00000000" w:rsidP="00931230">
            <w:pPr>
              <w:spacing w:after="0" w:line="240" w:lineRule="auto"/>
              <w:rPr>
                <w:rFonts w:ascii="Times New Roman" w:hAnsi="Times New Roman" w:cs="Times New Roman"/>
              </w:rPr>
            </w:pPr>
            <w:r w:rsidRPr="004E040B">
              <w:rPr>
                <w:rFonts w:ascii="Times New Roman" w:hAnsi="Times New Roman" w:cs="Times New Roman"/>
                <w:sz w:val="17"/>
              </w:rPr>
              <w:t>ADAS remediation</w:t>
            </w:r>
          </w:p>
        </w:tc>
        <w:tc>
          <w:tcPr>
            <w:tcW w:w="2500" w:type="dxa"/>
            <w:tcMar>
              <w:top w:w="90" w:type="dxa"/>
              <w:left w:w="100" w:type="dxa"/>
              <w:bottom w:w="90" w:type="dxa"/>
              <w:right w:w="100" w:type="dxa"/>
            </w:tcMar>
            <w:vAlign w:val="center"/>
          </w:tcPr>
          <w:p w14:paraId="0365BF9D" w14:textId="77777777" w:rsidR="00AA23BB" w:rsidRPr="004E040B" w:rsidRDefault="00000000" w:rsidP="00931230">
            <w:pPr>
              <w:spacing w:after="0" w:line="240" w:lineRule="auto"/>
              <w:rPr>
                <w:rFonts w:ascii="Times New Roman" w:hAnsi="Times New Roman" w:cs="Times New Roman"/>
              </w:rPr>
            </w:pPr>
            <w:r w:rsidRPr="004E040B">
              <w:rPr>
                <w:rFonts w:ascii="Times New Roman" w:hAnsi="Times New Roman" w:cs="Times New Roman"/>
                <w:sz w:val="17"/>
              </w:rPr>
              <w:t>Tesla's US Autosteer/FSD filings show recall scale, but are not UK/EU forecasts (NHTSA, 2023a; 2023b).</w:t>
            </w:r>
          </w:p>
        </w:tc>
        <w:tc>
          <w:tcPr>
            <w:tcW w:w="2200" w:type="dxa"/>
            <w:tcMar>
              <w:top w:w="90" w:type="dxa"/>
              <w:left w:w="100" w:type="dxa"/>
              <w:bottom w:w="90" w:type="dxa"/>
              <w:right w:w="100" w:type="dxa"/>
            </w:tcMar>
            <w:vAlign w:val="center"/>
          </w:tcPr>
          <w:p w14:paraId="71748F92" w14:textId="77777777" w:rsidR="00AA23BB" w:rsidRPr="004E040B" w:rsidRDefault="00000000" w:rsidP="00931230">
            <w:pPr>
              <w:spacing w:after="0" w:line="240" w:lineRule="auto"/>
              <w:rPr>
                <w:rFonts w:ascii="Times New Roman" w:hAnsi="Times New Roman" w:cs="Times New Roman"/>
              </w:rPr>
            </w:pPr>
            <w:r w:rsidRPr="004E040B">
              <w:rPr>
                <w:rFonts w:ascii="Times New Roman" w:hAnsi="Times New Roman" w:cs="Times New Roman"/>
                <w:sz w:val="17"/>
              </w:rPr>
              <w:t>A feature is misunderstood or requires OTA/dealer action.</w:t>
            </w:r>
          </w:p>
        </w:tc>
        <w:tc>
          <w:tcPr>
            <w:tcW w:w="2626" w:type="dxa"/>
            <w:tcMar>
              <w:top w:w="90" w:type="dxa"/>
              <w:left w:w="100" w:type="dxa"/>
              <w:bottom w:w="90" w:type="dxa"/>
              <w:right w:w="100" w:type="dxa"/>
            </w:tcMar>
            <w:vAlign w:val="center"/>
          </w:tcPr>
          <w:p w14:paraId="1FB4D452" w14:textId="77777777" w:rsidR="00AA23BB" w:rsidRPr="004E040B" w:rsidRDefault="00000000" w:rsidP="00931230">
            <w:pPr>
              <w:spacing w:after="0" w:line="240" w:lineRule="auto"/>
              <w:rPr>
                <w:rFonts w:ascii="Times New Roman" w:hAnsi="Times New Roman" w:cs="Times New Roman"/>
              </w:rPr>
            </w:pPr>
            <w:r w:rsidRPr="004E040B">
              <w:rPr>
                <w:rFonts w:ascii="Times New Roman" w:hAnsi="Times New Roman" w:cs="Times New Roman"/>
                <w:sz w:val="17"/>
              </w:rPr>
              <w:t>At 100,000 vehicles and EUR 50–100 per vehicle, direct cost is EUR 5–10m before litigation or contribution loss.</w:t>
            </w:r>
          </w:p>
        </w:tc>
      </w:tr>
      <w:tr w:rsidR="00AA23BB" w:rsidRPr="004E040B" w14:paraId="5ED182DC" w14:textId="77777777">
        <w:trPr>
          <w:cantSplit/>
          <w:jc w:val="center"/>
        </w:trPr>
        <w:tc>
          <w:tcPr>
            <w:tcW w:w="1600" w:type="dxa"/>
            <w:tcMar>
              <w:top w:w="90" w:type="dxa"/>
              <w:left w:w="100" w:type="dxa"/>
              <w:bottom w:w="90" w:type="dxa"/>
              <w:right w:w="100" w:type="dxa"/>
            </w:tcMar>
            <w:vAlign w:val="center"/>
          </w:tcPr>
          <w:p w14:paraId="3A096172" w14:textId="77777777" w:rsidR="00AA23BB" w:rsidRPr="004E040B" w:rsidRDefault="00000000" w:rsidP="00931230">
            <w:pPr>
              <w:spacing w:after="0" w:line="240" w:lineRule="auto"/>
              <w:rPr>
                <w:rFonts w:ascii="Times New Roman" w:hAnsi="Times New Roman" w:cs="Times New Roman"/>
              </w:rPr>
            </w:pPr>
            <w:r w:rsidRPr="004E040B">
              <w:rPr>
                <w:rFonts w:ascii="Times New Roman" w:hAnsi="Times New Roman" w:cs="Times New Roman"/>
                <w:sz w:val="17"/>
              </w:rPr>
              <w:t>Launch restriction</w:t>
            </w:r>
          </w:p>
        </w:tc>
        <w:tc>
          <w:tcPr>
            <w:tcW w:w="2500" w:type="dxa"/>
            <w:tcMar>
              <w:top w:w="90" w:type="dxa"/>
              <w:left w:w="100" w:type="dxa"/>
              <w:bottom w:w="90" w:type="dxa"/>
              <w:right w:w="100" w:type="dxa"/>
            </w:tcMar>
            <w:vAlign w:val="center"/>
          </w:tcPr>
          <w:p w14:paraId="14EC212B" w14:textId="77777777" w:rsidR="00AA23BB" w:rsidRPr="004E040B" w:rsidRDefault="00000000" w:rsidP="00931230">
            <w:pPr>
              <w:spacing w:after="0" w:line="240" w:lineRule="auto"/>
              <w:rPr>
                <w:rFonts w:ascii="Times New Roman" w:hAnsi="Times New Roman" w:cs="Times New Roman"/>
              </w:rPr>
            </w:pPr>
            <w:r w:rsidRPr="004E040B">
              <w:rPr>
                <w:rFonts w:ascii="Times New Roman" w:hAnsi="Times New Roman" w:cs="Times New Roman"/>
                <w:sz w:val="17"/>
              </w:rPr>
              <w:t>EU connected-vehicle rules require demonstrable purpose limitation and user control (EDPB, 2021).</w:t>
            </w:r>
          </w:p>
        </w:tc>
        <w:tc>
          <w:tcPr>
            <w:tcW w:w="2200" w:type="dxa"/>
            <w:tcMar>
              <w:top w:w="90" w:type="dxa"/>
              <w:left w:w="100" w:type="dxa"/>
              <w:bottom w:w="90" w:type="dxa"/>
              <w:right w:w="100" w:type="dxa"/>
            </w:tcMar>
            <w:vAlign w:val="center"/>
          </w:tcPr>
          <w:p w14:paraId="41C11E6D" w14:textId="77777777" w:rsidR="00AA23BB" w:rsidRPr="004E040B" w:rsidRDefault="00000000" w:rsidP="00931230">
            <w:pPr>
              <w:spacing w:after="0" w:line="240" w:lineRule="auto"/>
              <w:rPr>
                <w:rFonts w:ascii="Times New Roman" w:hAnsi="Times New Roman" w:cs="Times New Roman"/>
              </w:rPr>
            </w:pPr>
            <w:r w:rsidRPr="004E040B">
              <w:rPr>
                <w:rFonts w:ascii="Times New Roman" w:hAnsi="Times New Roman" w:cs="Times New Roman"/>
                <w:sz w:val="17"/>
              </w:rPr>
              <w:t>Evidence gaps delay a high-impact release by 30 days.</w:t>
            </w:r>
          </w:p>
        </w:tc>
        <w:tc>
          <w:tcPr>
            <w:tcW w:w="2626" w:type="dxa"/>
            <w:tcMar>
              <w:top w:w="90" w:type="dxa"/>
              <w:left w:w="100" w:type="dxa"/>
              <w:bottom w:w="90" w:type="dxa"/>
              <w:right w:w="100" w:type="dxa"/>
            </w:tcMar>
            <w:vAlign w:val="center"/>
          </w:tcPr>
          <w:p w14:paraId="28B91118" w14:textId="77777777" w:rsidR="00AA23BB" w:rsidRPr="004E040B" w:rsidRDefault="00000000" w:rsidP="00931230">
            <w:pPr>
              <w:spacing w:after="0" w:line="240" w:lineRule="auto"/>
              <w:rPr>
                <w:rFonts w:ascii="Times New Roman" w:hAnsi="Times New Roman" w:cs="Times New Roman"/>
              </w:rPr>
            </w:pPr>
            <w:r w:rsidRPr="004E040B">
              <w:rPr>
                <w:rFonts w:ascii="Times New Roman" w:hAnsi="Times New Roman" w:cs="Times New Roman"/>
                <w:sz w:val="17"/>
              </w:rPr>
              <w:t>For 10,000 units at EUR 2,000 contribution, 25–50% permanent defection implies EUR 5–10m contribution loss; delayed sales are not counted as lost.</w:t>
            </w:r>
          </w:p>
        </w:tc>
      </w:tr>
      <w:tr w:rsidR="00AA23BB" w:rsidRPr="004E040B" w14:paraId="07CD973A" w14:textId="77777777">
        <w:trPr>
          <w:cantSplit/>
          <w:jc w:val="center"/>
        </w:trPr>
        <w:tc>
          <w:tcPr>
            <w:tcW w:w="1600" w:type="dxa"/>
            <w:tcMar>
              <w:top w:w="90" w:type="dxa"/>
              <w:left w:w="100" w:type="dxa"/>
              <w:bottom w:w="90" w:type="dxa"/>
              <w:right w:w="100" w:type="dxa"/>
            </w:tcMar>
            <w:vAlign w:val="center"/>
          </w:tcPr>
          <w:p w14:paraId="26961428" w14:textId="77777777" w:rsidR="00AA23BB" w:rsidRPr="004E040B" w:rsidRDefault="00000000" w:rsidP="00931230">
            <w:pPr>
              <w:spacing w:after="0" w:line="240" w:lineRule="auto"/>
              <w:rPr>
                <w:rFonts w:ascii="Times New Roman" w:hAnsi="Times New Roman" w:cs="Times New Roman"/>
              </w:rPr>
            </w:pPr>
            <w:r w:rsidRPr="004E040B">
              <w:rPr>
                <w:rFonts w:ascii="Times New Roman" w:hAnsi="Times New Roman" w:cs="Times New Roman"/>
                <w:sz w:val="17"/>
              </w:rPr>
              <w:t>Over-governance</w:t>
            </w:r>
          </w:p>
        </w:tc>
        <w:tc>
          <w:tcPr>
            <w:tcW w:w="2500" w:type="dxa"/>
            <w:tcMar>
              <w:top w:w="90" w:type="dxa"/>
              <w:left w:w="100" w:type="dxa"/>
              <w:bottom w:w="90" w:type="dxa"/>
              <w:right w:w="100" w:type="dxa"/>
            </w:tcMar>
            <w:vAlign w:val="center"/>
          </w:tcPr>
          <w:p w14:paraId="668FFB06" w14:textId="77777777" w:rsidR="00AA23BB" w:rsidRPr="004E040B" w:rsidRDefault="00000000" w:rsidP="00931230">
            <w:pPr>
              <w:spacing w:after="0" w:line="240" w:lineRule="auto"/>
              <w:rPr>
                <w:rFonts w:ascii="Times New Roman" w:hAnsi="Times New Roman" w:cs="Times New Roman"/>
              </w:rPr>
            </w:pPr>
            <w:r w:rsidRPr="004E040B">
              <w:rPr>
                <w:rFonts w:ascii="Times New Roman" w:hAnsi="Times New Roman" w:cs="Times New Roman"/>
                <w:sz w:val="17"/>
              </w:rPr>
              <w:t>Duplicated approvals can raise cost and slow low-risk updates.</w:t>
            </w:r>
          </w:p>
        </w:tc>
        <w:tc>
          <w:tcPr>
            <w:tcW w:w="2200" w:type="dxa"/>
            <w:tcMar>
              <w:top w:w="90" w:type="dxa"/>
              <w:left w:w="100" w:type="dxa"/>
              <w:bottom w:w="90" w:type="dxa"/>
              <w:right w:w="100" w:type="dxa"/>
            </w:tcMar>
            <w:vAlign w:val="center"/>
          </w:tcPr>
          <w:p w14:paraId="3C9E13BC" w14:textId="77777777" w:rsidR="00AA23BB" w:rsidRPr="004E040B" w:rsidRDefault="00000000" w:rsidP="00931230">
            <w:pPr>
              <w:spacing w:after="0" w:line="240" w:lineRule="auto"/>
              <w:rPr>
                <w:rFonts w:ascii="Times New Roman" w:hAnsi="Times New Roman" w:cs="Times New Roman"/>
              </w:rPr>
            </w:pPr>
            <w:r w:rsidRPr="004E040B">
              <w:rPr>
                <w:rFonts w:ascii="Times New Roman" w:hAnsi="Times New Roman" w:cs="Times New Roman"/>
                <w:sz w:val="17"/>
              </w:rPr>
              <w:t>UK/EU teams repeat low-risk reviews without shared evidence.</w:t>
            </w:r>
          </w:p>
        </w:tc>
        <w:tc>
          <w:tcPr>
            <w:tcW w:w="2626" w:type="dxa"/>
            <w:tcMar>
              <w:top w:w="90" w:type="dxa"/>
              <w:left w:w="100" w:type="dxa"/>
              <w:bottom w:w="90" w:type="dxa"/>
              <w:right w:w="100" w:type="dxa"/>
            </w:tcMar>
            <w:vAlign w:val="center"/>
          </w:tcPr>
          <w:p w14:paraId="1767E51F" w14:textId="77777777" w:rsidR="00AA23BB" w:rsidRPr="004E040B" w:rsidRDefault="00000000" w:rsidP="00931230">
            <w:pPr>
              <w:spacing w:after="0" w:line="240" w:lineRule="auto"/>
              <w:rPr>
                <w:rFonts w:ascii="Times New Roman" w:hAnsi="Times New Roman" w:cs="Times New Roman"/>
              </w:rPr>
            </w:pPr>
            <w:r w:rsidRPr="004E040B">
              <w:rPr>
                <w:rFonts w:ascii="Times New Roman" w:hAnsi="Times New Roman" w:cs="Times New Roman"/>
                <w:sz w:val="17"/>
              </w:rPr>
              <w:t>EUR 500 per vehicle across 100,000 units equals EUR 50m before elasticity effects; fast-track controls should prevent this case.</w:t>
            </w:r>
          </w:p>
        </w:tc>
      </w:tr>
    </w:tbl>
    <w:p w14:paraId="752F520D" w14:textId="77777777" w:rsidR="00AA23BB" w:rsidRPr="004E040B" w:rsidRDefault="00AA23BB" w:rsidP="00931230">
      <w:pPr>
        <w:spacing w:before="60"/>
        <w:rPr>
          <w:rFonts w:ascii="Times New Roman" w:hAnsi="Times New Roman" w:cs="Times New Roman"/>
        </w:rPr>
      </w:pPr>
      <w:r w:rsidRPr="004E040B">
        <w:rPr>
          <w:rFonts w:ascii="Times New Roman" w:hAnsi="Times New Roman" w:cs="Times New Roman"/>
          <w:i/>
          <w:sz w:val="18"/>
        </w:rPr>
        <w:t>Note: the scenarios deliberately use contribution-at-risk and direct cost rather than treating temporarily delayed revenue as a realised loss. Each assumption should be reported with a low, base and high case.</w:t>
      </w:r>
    </w:p>
    <w:p w14:paraId="336BAF97" w14:textId="77777777" w:rsidR="00AA23BB" w:rsidRPr="004E040B" w:rsidRDefault="00000000" w:rsidP="00931230">
      <w:pPr>
        <w:pStyle w:val="1"/>
        <w:spacing w:after="120"/>
        <w:jc w:val="both"/>
        <w:rPr>
          <w:rFonts w:ascii="Times New Roman" w:hAnsi="Times New Roman" w:cs="Times New Roman"/>
          <w:sz w:val="32"/>
          <w:szCs w:val="32"/>
        </w:rPr>
      </w:pPr>
      <w:bookmarkStart w:id="12" w:name="_Toc235380104"/>
      <w:r w:rsidRPr="004E040B">
        <w:rPr>
          <w:rFonts w:ascii="Times New Roman" w:eastAsia="Arial" w:hAnsi="Times New Roman" w:cs="Times New Roman"/>
          <w:szCs w:val="32"/>
        </w:rPr>
        <w:t>4. Strategic Recommendations and Implementation Plan</w:t>
      </w:r>
      <w:bookmarkEnd w:id="12"/>
    </w:p>
    <w:p w14:paraId="453BF8DD" w14:textId="77777777" w:rsidR="00AA23BB" w:rsidRPr="004E040B" w:rsidRDefault="00000000" w:rsidP="00931230">
      <w:pPr>
        <w:jc w:val="both"/>
        <w:rPr>
          <w:rFonts w:ascii="Times New Roman" w:hAnsi="Times New Roman" w:cs="Times New Roman"/>
        </w:rPr>
      </w:pPr>
      <w:r w:rsidRPr="004E040B">
        <w:rPr>
          <w:rFonts w:ascii="Times New Roman" w:hAnsi="Times New Roman" w:cs="Times New Roman"/>
        </w:rPr>
        <w:t>BYD should adopt proportionate, risk-based governance: non-negotiable legal and safety evidence for high-impact systems, accelerated review for low-risk functions and commercial stress testing before major software or market decisions. Risk tiers should reflect severity, reversibility, personal-data sensitivity, degree of automation and regulatory classification. This turns compliance into a repeatable product capability without describing the objective as 'minimum' governance.</w:t>
      </w:r>
    </w:p>
    <w:p w14:paraId="28C71B4A" w14:textId="77777777" w:rsidR="00AA23BB" w:rsidRPr="004E040B" w:rsidRDefault="00000000" w:rsidP="00931230">
      <w:pPr>
        <w:jc w:val="both"/>
        <w:rPr>
          <w:rFonts w:ascii="Times New Roman" w:hAnsi="Times New Roman" w:cs="Times New Roman"/>
        </w:rPr>
      </w:pPr>
      <w:r w:rsidRPr="004E040B">
        <w:rPr>
          <w:rFonts w:ascii="Times New Roman" w:hAnsi="Times New Roman" w:cs="Times New Roman"/>
        </w:rPr>
        <w:lastRenderedPageBreak/>
        <w:t>The first recommendation is a UK/EU AI-risk and compliance unit covering privacy engineering, ADAS assurance, cybersecurity, product, legal, suppliers, dealers and finance. An initial 8-12 roles plus specialist testing and legal support could cost approximately EUR 2-4 million equivalent in year one; UK expenditure should be budgeted and reported separately in GBP. The board should release later funding only against risk reduction, approval-time and customer outcomes, avoiding a claim that cost per vehicle alone proves value.</w:t>
      </w:r>
    </w:p>
    <w:p w14:paraId="796EBA06" w14:textId="77777777" w:rsidR="00AA23BB" w:rsidRPr="004E040B" w:rsidRDefault="00000000" w:rsidP="00931230">
      <w:pPr>
        <w:jc w:val="both"/>
        <w:rPr>
          <w:rFonts w:ascii="Times New Roman" w:hAnsi="Times New Roman" w:cs="Times New Roman"/>
        </w:rPr>
      </w:pPr>
      <w:r w:rsidRPr="004E040B">
        <w:rPr>
          <w:rFonts w:ascii="Times New Roman" w:hAnsi="Times New Roman" w:cs="Times New Roman"/>
        </w:rPr>
        <w:t>This unit should not be a conventional committee that meets after launch. It should be embedded in product gates: concept design, data-architecture approval, beta testing, dealer training and post-market monitoring. That integration is where BYD's vertical model can become an advantage. If privacy engineers and ADAS assurance leads join early, the firm can avoid expensive redesigns and create reusable evidence packs for later models. Compliance then becomes a repeatable capability, not a one-off cost for each launch.</w:t>
      </w:r>
    </w:p>
    <w:p w14:paraId="27E377B6" w14:textId="77777777" w:rsidR="00AA23BB" w:rsidRPr="004E040B" w:rsidRDefault="00000000" w:rsidP="00931230">
      <w:pPr>
        <w:jc w:val="both"/>
        <w:rPr>
          <w:rFonts w:ascii="Times New Roman" w:hAnsi="Times New Roman" w:cs="Times New Roman"/>
        </w:rPr>
      </w:pPr>
      <w:r w:rsidRPr="004E040B">
        <w:rPr>
          <w:rFonts w:ascii="Times New Roman" w:hAnsi="Times New Roman" w:cs="Times New Roman"/>
        </w:rPr>
        <w:t>The second recommendation is enforceable decision rights. Regional AI-risk leads should have stop-release authority for unresolved legal non-compliance, insufficient safety evidence or a credible risk of material customer harm. Disagreement with Shenzhen should be escalated to a board risk committee through a written record of evidence gaps, expected commercial benefit and customer consequences. Finance may inform the decision but cannot authorise release below the legal or safety floor.</w:t>
      </w:r>
    </w:p>
    <w:p w14:paraId="5C743A96" w14:textId="77777777" w:rsidR="00AA23BB" w:rsidRPr="004E040B" w:rsidRDefault="00000000" w:rsidP="00931230">
      <w:pPr>
        <w:jc w:val="both"/>
        <w:rPr>
          <w:rFonts w:ascii="Times New Roman" w:hAnsi="Times New Roman" w:cs="Times New Roman"/>
        </w:rPr>
      </w:pPr>
      <w:r w:rsidRPr="004E040B">
        <w:rPr>
          <w:rFonts w:ascii="Times New Roman" w:hAnsi="Times New Roman" w:cs="Times New Roman"/>
        </w:rPr>
        <w:t>Headquarters should retain global software architecture, while UK/EU teams control regional release readiness for high-impact features. Low-risk infotainment and app changes may use a fast track. A commercial exception is permissible only for controls above the mandatory legal and safety baseline, must be time-limited, and requires independent risk-committee approval, named remediation actions and a review date. Statutory duties, unresolved safety evidence and material customer-harm controls cannot be overridden.</w:t>
      </w:r>
    </w:p>
    <w:p w14:paraId="71F8728B" w14:textId="77777777" w:rsidR="00AA23BB" w:rsidRPr="004E040B" w:rsidRDefault="00000000" w:rsidP="00931230">
      <w:pPr>
        <w:jc w:val="both"/>
        <w:rPr>
          <w:rFonts w:ascii="Times New Roman" w:hAnsi="Times New Roman" w:cs="Times New Roman"/>
        </w:rPr>
      </w:pPr>
      <w:r w:rsidRPr="004E040B">
        <w:rPr>
          <w:rFonts w:ascii="Times New Roman" w:hAnsi="Times New Roman" w:cs="Times New Roman"/>
        </w:rPr>
        <w:lastRenderedPageBreak/>
        <w:t>The third recommendation is a competitor-facing transparency strategy. BYD should publish a customer data dashboard, model-level data categories, plain-English ADAS limitations, software-update notes and a short supplier-assurance statement. The aim is not to reveal trade secrets but to reduce the trust discount attached to Chinese connected vehicles. Draft explanations should be tested with UK and EU customers and dealers before release. Comprehension, opt-in clarity and the ability to distinguish assistance from self-driving should be measured; publication alone is not evidence that customers understood the information.</w:t>
      </w:r>
    </w:p>
    <w:p w14:paraId="634F2778" w14:textId="77777777" w:rsidR="00AA23BB" w:rsidRPr="004E040B" w:rsidRDefault="00000000" w:rsidP="00931230">
      <w:pPr>
        <w:jc w:val="both"/>
        <w:rPr>
          <w:rFonts w:ascii="Times New Roman" w:hAnsi="Times New Roman" w:cs="Times New Roman"/>
        </w:rPr>
      </w:pPr>
      <w:r w:rsidRPr="004E040B">
        <w:rPr>
          <w:rFonts w:ascii="Times New Roman" w:hAnsi="Times New Roman" w:cs="Times New Roman"/>
        </w:rPr>
        <w:t>The fourth recommendation is staged internalisation. BYD should internalise high-risk data architecture, ADAS evidence, transfer assessment, audit trails and final release accountability. Cloud infrastructure, generic analytics and low-risk customer-service AI may be outsourced under data-location controls, model-training restrictions, audit rights, incident deadlines and exit clauses. Each critical service should have a tested portability plan and an alternative provider or internal fallback. This preserves strategic knowledge and avoids supplier lock-in without requiring BYD to build every technical component itself.</w:t>
      </w:r>
    </w:p>
    <w:p w14:paraId="6EAA12DD" w14:textId="77777777" w:rsidR="00AA23BB" w:rsidRPr="004E040B" w:rsidRDefault="00000000" w:rsidP="00931230">
      <w:pPr>
        <w:jc w:val="both"/>
        <w:rPr>
          <w:rFonts w:ascii="Times New Roman" w:hAnsi="Times New Roman" w:cs="Times New Roman"/>
        </w:rPr>
      </w:pPr>
      <w:r w:rsidRPr="004E040B">
        <w:rPr>
          <w:rFonts w:ascii="Times New Roman" w:hAnsi="Times New Roman" w:cs="Times New Roman"/>
        </w:rPr>
        <w:t>Board monitoring should connect risk and strategy. The quarterly dashboard should separate UK and EU tariff or customs exposure, financing conditions, governance cost per vehicle, high-risk flows mapped, incidents, complaints, supplier audits, approval-cycle time and margin after compliance. It should also record material regulatory developments and require the classification register and evidence packs to be refreshed within 30 days of a significant change. This keeps governance future-ready.</w:t>
      </w:r>
    </w:p>
    <w:p w14:paraId="0DA2942F" w14:textId="77777777" w:rsidR="0062763A" w:rsidRPr="004E040B" w:rsidRDefault="00000000">
      <w:pPr>
        <w:pStyle w:val="af7"/>
        <w:keepNext/>
        <w:spacing w:before="160" w:after="80"/>
        <w:rPr>
          <w:rFonts w:ascii="Times New Roman" w:hAnsi="Times New Roman" w:cs="Times New Roman"/>
        </w:rPr>
      </w:pPr>
      <w:r w:rsidRPr="004E040B">
        <w:rPr>
          <w:rFonts w:ascii="Times New Roman" w:hAnsi="Times New Roman" w:cs="Times New Roman"/>
          <w:color w:val="000000"/>
          <w:sz w:val="20"/>
        </w:rPr>
        <w:t>Table 3. Eighteen-month implementation plan</w:t>
      </w:r>
    </w:p>
    <w:tbl>
      <w:tblPr>
        <w:tblStyle w:val="aff1"/>
        <w:tblW w:w="8926" w:type="dxa"/>
        <w:jc w:val="center"/>
        <w:tblLayout w:type="fixed"/>
        <w:tblLook w:val="04A0" w:firstRow="1" w:lastRow="0" w:firstColumn="1" w:lastColumn="0" w:noHBand="0" w:noVBand="1"/>
      </w:tblPr>
      <w:tblGrid>
        <w:gridCol w:w="1300"/>
        <w:gridCol w:w="2600"/>
        <w:gridCol w:w="2300"/>
        <w:gridCol w:w="2726"/>
      </w:tblGrid>
      <w:tr w:rsidR="00AA23BB" w:rsidRPr="004E040B" w14:paraId="0E62E916" w14:textId="77777777" w:rsidTr="004E040B">
        <w:trPr>
          <w:cantSplit/>
          <w:tblHeader/>
          <w:jc w:val="center"/>
        </w:trPr>
        <w:tc>
          <w:tcPr>
            <w:tcW w:w="1300" w:type="dxa"/>
            <w:tcMar>
              <w:top w:w="90" w:type="dxa"/>
              <w:left w:w="100" w:type="dxa"/>
              <w:bottom w:w="90" w:type="dxa"/>
              <w:right w:w="100" w:type="dxa"/>
            </w:tcMar>
            <w:vAlign w:val="center"/>
          </w:tcPr>
          <w:p w14:paraId="311B9821" w14:textId="77777777" w:rsidR="00AA23BB" w:rsidRPr="004E040B" w:rsidRDefault="00000000" w:rsidP="00931230">
            <w:pPr>
              <w:spacing w:after="0" w:line="240" w:lineRule="auto"/>
              <w:rPr>
                <w:rFonts w:ascii="Times New Roman" w:hAnsi="Times New Roman" w:cs="Times New Roman"/>
              </w:rPr>
            </w:pPr>
            <w:r w:rsidRPr="004E040B">
              <w:rPr>
                <w:rFonts w:ascii="Times New Roman" w:hAnsi="Times New Roman" w:cs="Times New Roman"/>
                <w:b/>
                <w:sz w:val="17"/>
              </w:rPr>
              <w:t>Timing</w:t>
            </w:r>
          </w:p>
        </w:tc>
        <w:tc>
          <w:tcPr>
            <w:tcW w:w="2600" w:type="dxa"/>
            <w:tcMar>
              <w:top w:w="90" w:type="dxa"/>
              <w:left w:w="100" w:type="dxa"/>
              <w:bottom w:w="90" w:type="dxa"/>
              <w:right w:w="100" w:type="dxa"/>
            </w:tcMar>
            <w:vAlign w:val="center"/>
          </w:tcPr>
          <w:p w14:paraId="0AA807A7" w14:textId="77777777" w:rsidR="00AA23BB" w:rsidRPr="004E040B" w:rsidRDefault="00000000" w:rsidP="00931230">
            <w:pPr>
              <w:spacing w:after="0" w:line="240" w:lineRule="auto"/>
              <w:rPr>
                <w:rFonts w:ascii="Times New Roman" w:hAnsi="Times New Roman" w:cs="Times New Roman"/>
              </w:rPr>
            </w:pPr>
            <w:r w:rsidRPr="004E040B">
              <w:rPr>
                <w:rFonts w:ascii="Times New Roman" w:hAnsi="Times New Roman" w:cs="Times New Roman"/>
                <w:b/>
                <w:sz w:val="17"/>
              </w:rPr>
              <w:t>Action and owner</w:t>
            </w:r>
          </w:p>
        </w:tc>
        <w:tc>
          <w:tcPr>
            <w:tcW w:w="2300" w:type="dxa"/>
            <w:tcMar>
              <w:top w:w="90" w:type="dxa"/>
              <w:left w:w="100" w:type="dxa"/>
              <w:bottom w:w="90" w:type="dxa"/>
              <w:right w:w="100" w:type="dxa"/>
            </w:tcMar>
            <w:vAlign w:val="center"/>
          </w:tcPr>
          <w:p w14:paraId="6B3A4717" w14:textId="77777777" w:rsidR="00AA23BB" w:rsidRPr="004E040B" w:rsidRDefault="00000000" w:rsidP="00931230">
            <w:pPr>
              <w:spacing w:after="0" w:line="240" w:lineRule="auto"/>
              <w:rPr>
                <w:rFonts w:ascii="Times New Roman" w:hAnsi="Times New Roman" w:cs="Times New Roman"/>
              </w:rPr>
            </w:pPr>
            <w:r w:rsidRPr="004E040B">
              <w:rPr>
                <w:rFonts w:ascii="Times New Roman" w:hAnsi="Times New Roman" w:cs="Times New Roman"/>
                <w:b/>
                <w:sz w:val="17"/>
              </w:rPr>
              <w:t>SMART target</w:t>
            </w:r>
          </w:p>
        </w:tc>
        <w:tc>
          <w:tcPr>
            <w:tcW w:w="2726" w:type="dxa"/>
            <w:tcMar>
              <w:top w:w="90" w:type="dxa"/>
              <w:left w:w="100" w:type="dxa"/>
              <w:bottom w:w="90" w:type="dxa"/>
              <w:right w:w="100" w:type="dxa"/>
            </w:tcMar>
            <w:vAlign w:val="center"/>
          </w:tcPr>
          <w:p w14:paraId="35C62AC0" w14:textId="77777777" w:rsidR="00AA23BB" w:rsidRPr="004E040B" w:rsidRDefault="00000000" w:rsidP="00931230">
            <w:pPr>
              <w:spacing w:after="0" w:line="240" w:lineRule="auto"/>
              <w:rPr>
                <w:rFonts w:ascii="Times New Roman" w:hAnsi="Times New Roman" w:cs="Times New Roman"/>
              </w:rPr>
            </w:pPr>
            <w:r w:rsidRPr="004E040B">
              <w:rPr>
                <w:rFonts w:ascii="Times New Roman" w:hAnsi="Times New Roman" w:cs="Times New Roman"/>
                <w:b/>
                <w:sz w:val="17"/>
              </w:rPr>
              <w:t>Resource, dependency and risk control</w:t>
            </w:r>
          </w:p>
        </w:tc>
      </w:tr>
      <w:tr w:rsidR="00AA23BB" w:rsidRPr="004E040B" w14:paraId="4025D471" w14:textId="77777777">
        <w:trPr>
          <w:cantSplit/>
          <w:jc w:val="center"/>
        </w:trPr>
        <w:tc>
          <w:tcPr>
            <w:tcW w:w="1300" w:type="dxa"/>
            <w:tcMar>
              <w:top w:w="90" w:type="dxa"/>
              <w:left w:w="100" w:type="dxa"/>
              <w:bottom w:w="90" w:type="dxa"/>
              <w:right w:w="100" w:type="dxa"/>
            </w:tcMar>
            <w:vAlign w:val="center"/>
          </w:tcPr>
          <w:p w14:paraId="0394A299" w14:textId="77777777" w:rsidR="00AA23BB" w:rsidRPr="004E040B" w:rsidRDefault="00000000" w:rsidP="00931230">
            <w:pPr>
              <w:spacing w:after="0" w:line="240" w:lineRule="auto"/>
              <w:rPr>
                <w:rFonts w:ascii="Times New Roman" w:hAnsi="Times New Roman" w:cs="Times New Roman"/>
              </w:rPr>
            </w:pPr>
            <w:r w:rsidRPr="004E040B">
              <w:rPr>
                <w:rFonts w:ascii="Times New Roman" w:hAnsi="Times New Roman" w:cs="Times New Roman"/>
                <w:sz w:val="17"/>
              </w:rPr>
              <w:t>0–3 months</w:t>
            </w:r>
          </w:p>
        </w:tc>
        <w:tc>
          <w:tcPr>
            <w:tcW w:w="2600" w:type="dxa"/>
            <w:tcMar>
              <w:top w:w="90" w:type="dxa"/>
              <w:left w:w="100" w:type="dxa"/>
              <w:bottom w:w="90" w:type="dxa"/>
              <w:right w:w="100" w:type="dxa"/>
            </w:tcMar>
            <w:vAlign w:val="center"/>
          </w:tcPr>
          <w:p w14:paraId="782E847F" w14:textId="77777777" w:rsidR="00AA23BB" w:rsidRPr="004E040B" w:rsidRDefault="00000000" w:rsidP="00931230">
            <w:pPr>
              <w:spacing w:after="0" w:line="240" w:lineRule="auto"/>
              <w:rPr>
                <w:rFonts w:ascii="Times New Roman" w:hAnsi="Times New Roman" w:cs="Times New Roman"/>
              </w:rPr>
            </w:pPr>
            <w:r w:rsidRPr="004E040B">
              <w:rPr>
                <w:rFonts w:ascii="Times New Roman" w:hAnsi="Times New Roman" w:cs="Times New Roman"/>
                <w:sz w:val="17"/>
              </w:rPr>
              <w:t>Regional DPO and data architect: map data and classify AI/ADAS functions.</w:t>
            </w:r>
          </w:p>
        </w:tc>
        <w:tc>
          <w:tcPr>
            <w:tcW w:w="2300" w:type="dxa"/>
            <w:tcMar>
              <w:top w:w="90" w:type="dxa"/>
              <w:left w:w="100" w:type="dxa"/>
              <w:bottom w:w="90" w:type="dxa"/>
              <w:right w:w="100" w:type="dxa"/>
            </w:tcMar>
            <w:vAlign w:val="center"/>
          </w:tcPr>
          <w:p w14:paraId="2B9DEFD4" w14:textId="77777777" w:rsidR="00AA23BB" w:rsidRPr="004E040B" w:rsidRDefault="00000000" w:rsidP="00931230">
            <w:pPr>
              <w:spacing w:after="0" w:line="240" w:lineRule="auto"/>
              <w:rPr>
                <w:rFonts w:ascii="Times New Roman" w:hAnsi="Times New Roman" w:cs="Times New Roman"/>
              </w:rPr>
            </w:pPr>
            <w:r w:rsidRPr="004E040B">
              <w:rPr>
                <w:rFonts w:ascii="Times New Roman" w:hAnsi="Times New Roman" w:cs="Times New Roman"/>
                <w:sz w:val="17"/>
              </w:rPr>
              <w:t>100% of in-market connected services mapped; every high-impact function has an owner, legal basis and risk tier.</w:t>
            </w:r>
          </w:p>
        </w:tc>
        <w:tc>
          <w:tcPr>
            <w:tcW w:w="2726" w:type="dxa"/>
            <w:tcMar>
              <w:top w:w="90" w:type="dxa"/>
              <w:left w:w="100" w:type="dxa"/>
              <w:bottom w:w="90" w:type="dxa"/>
              <w:right w:w="100" w:type="dxa"/>
            </w:tcMar>
            <w:vAlign w:val="center"/>
          </w:tcPr>
          <w:p w14:paraId="65065CDF" w14:textId="77777777" w:rsidR="00AA23BB" w:rsidRPr="004E040B" w:rsidRDefault="00000000" w:rsidP="00931230">
            <w:pPr>
              <w:spacing w:after="0" w:line="240" w:lineRule="auto"/>
              <w:rPr>
                <w:rFonts w:ascii="Times New Roman" w:hAnsi="Times New Roman" w:cs="Times New Roman"/>
              </w:rPr>
            </w:pPr>
            <w:r w:rsidRPr="004E040B">
              <w:rPr>
                <w:rFonts w:ascii="Times New Roman" w:hAnsi="Times New Roman" w:cs="Times New Roman"/>
                <w:sz w:val="17"/>
              </w:rPr>
              <w:t>EUR 0.3–0.5m equivalent; depends on dealer/cloud access. Escalate missing supplier evidence by Day 45.</w:t>
            </w:r>
          </w:p>
        </w:tc>
      </w:tr>
      <w:tr w:rsidR="00AA23BB" w:rsidRPr="004E040B" w14:paraId="520AEB62" w14:textId="77777777">
        <w:trPr>
          <w:cantSplit/>
          <w:jc w:val="center"/>
        </w:trPr>
        <w:tc>
          <w:tcPr>
            <w:tcW w:w="1300" w:type="dxa"/>
            <w:tcMar>
              <w:top w:w="90" w:type="dxa"/>
              <w:left w:w="100" w:type="dxa"/>
              <w:bottom w:w="90" w:type="dxa"/>
              <w:right w:w="100" w:type="dxa"/>
            </w:tcMar>
            <w:vAlign w:val="center"/>
          </w:tcPr>
          <w:p w14:paraId="0653CF71" w14:textId="77777777" w:rsidR="00AA23BB" w:rsidRPr="004E040B" w:rsidRDefault="00000000" w:rsidP="00931230">
            <w:pPr>
              <w:spacing w:after="0" w:line="240" w:lineRule="auto"/>
              <w:rPr>
                <w:rFonts w:ascii="Times New Roman" w:hAnsi="Times New Roman" w:cs="Times New Roman"/>
              </w:rPr>
            </w:pPr>
            <w:r w:rsidRPr="004E040B">
              <w:rPr>
                <w:rFonts w:ascii="Times New Roman" w:hAnsi="Times New Roman" w:cs="Times New Roman"/>
                <w:sz w:val="17"/>
              </w:rPr>
              <w:lastRenderedPageBreak/>
              <w:t>3–6 months</w:t>
            </w:r>
          </w:p>
        </w:tc>
        <w:tc>
          <w:tcPr>
            <w:tcW w:w="2600" w:type="dxa"/>
            <w:tcMar>
              <w:top w:w="90" w:type="dxa"/>
              <w:left w:w="100" w:type="dxa"/>
              <w:bottom w:w="90" w:type="dxa"/>
              <w:right w:w="100" w:type="dxa"/>
            </w:tcMar>
            <w:vAlign w:val="center"/>
          </w:tcPr>
          <w:p w14:paraId="5849D41A" w14:textId="77777777" w:rsidR="00AA23BB" w:rsidRPr="004E040B" w:rsidRDefault="00000000" w:rsidP="00931230">
            <w:pPr>
              <w:spacing w:after="0" w:line="240" w:lineRule="auto"/>
              <w:rPr>
                <w:rFonts w:ascii="Times New Roman" w:hAnsi="Times New Roman" w:cs="Times New Roman"/>
              </w:rPr>
            </w:pPr>
            <w:r w:rsidRPr="004E040B">
              <w:rPr>
                <w:rFonts w:ascii="Times New Roman" w:hAnsi="Times New Roman" w:cs="Times New Roman"/>
                <w:sz w:val="17"/>
              </w:rPr>
              <w:t>Regional COO and AI-risk lead: establish unit and release rights.</w:t>
            </w:r>
          </w:p>
        </w:tc>
        <w:tc>
          <w:tcPr>
            <w:tcW w:w="2300" w:type="dxa"/>
            <w:tcMar>
              <w:top w:w="90" w:type="dxa"/>
              <w:left w:w="100" w:type="dxa"/>
              <w:bottom w:w="90" w:type="dxa"/>
              <w:right w:w="100" w:type="dxa"/>
            </w:tcMar>
            <w:vAlign w:val="center"/>
          </w:tcPr>
          <w:p w14:paraId="235AD02D" w14:textId="77777777" w:rsidR="00AA23BB" w:rsidRPr="004E040B" w:rsidRDefault="00000000" w:rsidP="00931230">
            <w:pPr>
              <w:spacing w:after="0" w:line="240" w:lineRule="auto"/>
              <w:rPr>
                <w:rFonts w:ascii="Times New Roman" w:hAnsi="Times New Roman" w:cs="Times New Roman"/>
              </w:rPr>
            </w:pPr>
            <w:r w:rsidRPr="004E040B">
              <w:rPr>
                <w:rFonts w:ascii="Times New Roman" w:hAnsi="Times New Roman" w:cs="Times New Roman"/>
                <w:sz w:val="17"/>
              </w:rPr>
              <w:t>8-12 roles appointed; policy board-approved; median high-risk review ≤20 working days; zero legal/safety overrides.</w:t>
            </w:r>
          </w:p>
        </w:tc>
        <w:tc>
          <w:tcPr>
            <w:tcW w:w="2726" w:type="dxa"/>
            <w:tcMar>
              <w:top w:w="90" w:type="dxa"/>
              <w:left w:w="100" w:type="dxa"/>
              <w:bottom w:w="90" w:type="dxa"/>
              <w:right w:w="100" w:type="dxa"/>
            </w:tcMar>
            <w:vAlign w:val="center"/>
          </w:tcPr>
          <w:p w14:paraId="6DF102F2" w14:textId="77777777" w:rsidR="00AA23BB" w:rsidRPr="004E040B" w:rsidRDefault="00000000" w:rsidP="00931230">
            <w:pPr>
              <w:spacing w:after="0" w:line="240" w:lineRule="auto"/>
              <w:rPr>
                <w:rFonts w:ascii="Times New Roman" w:hAnsi="Times New Roman" w:cs="Times New Roman"/>
              </w:rPr>
            </w:pPr>
            <w:r w:rsidRPr="004E040B">
              <w:rPr>
                <w:rFonts w:ascii="Times New Roman" w:hAnsi="Times New Roman" w:cs="Times New Roman"/>
                <w:sz w:val="17"/>
              </w:rPr>
              <w:t>EUR 1.2–2.0m equivalent; use an independent board-risk escalation route.</w:t>
            </w:r>
          </w:p>
        </w:tc>
      </w:tr>
      <w:tr w:rsidR="00AA23BB" w:rsidRPr="004E040B" w14:paraId="0D4EBF8A" w14:textId="77777777">
        <w:trPr>
          <w:cantSplit/>
          <w:jc w:val="center"/>
        </w:trPr>
        <w:tc>
          <w:tcPr>
            <w:tcW w:w="1300" w:type="dxa"/>
            <w:tcMar>
              <w:top w:w="90" w:type="dxa"/>
              <w:left w:w="100" w:type="dxa"/>
              <w:bottom w:w="90" w:type="dxa"/>
              <w:right w:w="100" w:type="dxa"/>
            </w:tcMar>
            <w:vAlign w:val="center"/>
          </w:tcPr>
          <w:p w14:paraId="07F4F6FB" w14:textId="77777777" w:rsidR="00AA23BB" w:rsidRPr="004E040B" w:rsidRDefault="00000000" w:rsidP="00931230">
            <w:pPr>
              <w:spacing w:after="0" w:line="240" w:lineRule="auto"/>
              <w:rPr>
                <w:rFonts w:ascii="Times New Roman" w:hAnsi="Times New Roman" w:cs="Times New Roman"/>
              </w:rPr>
            </w:pPr>
            <w:r w:rsidRPr="004E040B">
              <w:rPr>
                <w:rFonts w:ascii="Times New Roman" w:hAnsi="Times New Roman" w:cs="Times New Roman"/>
                <w:sz w:val="17"/>
              </w:rPr>
              <w:t>6–9 months</w:t>
            </w:r>
          </w:p>
        </w:tc>
        <w:tc>
          <w:tcPr>
            <w:tcW w:w="2600" w:type="dxa"/>
            <w:tcMar>
              <w:top w:w="90" w:type="dxa"/>
              <w:left w:w="100" w:type="dxa"/>
              <w:bottom w:w="90" w:type="dxa"/>
              <w:right w:w="100" w:type="dxa"/>
            </w:tcMar>
            <w:vAlign w:val="center"/>
          </w:tcPr>
          <w:p w14:paraId="5BB3AFA2" w14:textId="77777777" w:rsidR="00AA23BB" w:rsidRPr="004E040B" w:rsidRDefault="00000000" w:rsidP="00931230">
            <w:pPr>
              <w:spacing w:after="0" w:line="240" w:lineRule="auto"/>
              <w:rPr>
                <w:rFonts w:ascii="Times New Roman" w:hAnsi="Times New Roman" w:cs="Times New Roman"/>
              </w:rPr>
            </w:pPr>
            <w:r w:rsidRPr="004E040B">
              <w:rPr>
                <w:rFonts w:ascii="Times New Roman" w:hAnsi="Times New Roman" w:cs="Times New Roman"/>
                <w:sz w:val="17"/>
              </w:rPr>
              <w:t>Supplier-audit manager: amend critical contracts and run incident drills.</w:t>
            </w:r>
          </w:p>
        </w:tc>
        <w:tc>
          <w:tcPr>
            <w:tcW w:w="2300" w:type="dxa"/>
            <w:tcMar>
              <w:top w:w="90" w:type="dxa"/>
              <w:left w:w="100" w:type="dxa"/>
              <w:bottom w:w="90" w:type="dxa"/>
              <w:right w:w="100" w:type="dxa"/>
            </w:tcMar>
            <w:vAlign w:val="center"/>
          </w:tcPr>
          <w:p w14:paraId="1765B963" w14:textId="77777777" w:rsidR="00AA23BB" w:rsidRPr="004E040B" w:rsidRDefault="00000000" w:rsidP="00931230">
            <w:pPr>
              <w:spacing w:after="0" w:line="240" w:lineRule="auto"/>
              <w:rPr>
                <w:rFonts w:ascii="Times New Roman" w:hAnsi="Times New Roman" w:cs="Times New Roman"/>
              </w:rPr>
            </w:pPr>
            <w:r w:rsidRPr="004E040B">
              <w:rPr>
                <w:rFonts w:ascii="Times New Roman" w:hAnsi="Times New Roman" w:cs="Times New Roman"/>
                <w:sz w:val="17"/>
              </w:rPr>
              <w:t>100% of critical suppliers covered by audit, training-data, location, notice and exit clauses; ≥90% drill SLA compliance.</w:t>
            </w:r>
          </w:p>
        </w:tc>
        <w:tc>
          <w:tcPr>
            <w:tcW w:w="2726" w:type="dxa"/>
            <w:tcMar>
              <w:top w:w="90" w:type="dxa"/>
              <w:left w:w="100" w:type="dxa"/>
              <w:bottom w:w="90" w:type="dxa"/>
              <w:right w:w="100" w:type="dxa"/>
            </w:tcMar>
            <w:vAlign w:val="center"/>
          </w:tcPr>
          <w:p w14:paraId="3485D525" w14:textId="77777777" w:rsidR="00AA23BB" w:rsidRPr="004E040B" w:rsidRDefault="00000000" w:rsidP="00931230">
            <w:pPr>
              <w:spacing w:after="0" w:line="240" w:lineRule="auto"/>
              <w:rPr>
                <w:rFonts w:ascii="Times New Roman" w:hAnsi="Times New Roman" w:cs="Times New Roman"/>
              </w:rPr>
            </w:pPr>
            <w:r w:rsidRPr="004E040B">
              <w:rPr>
                <w:rFonts w:ascii="Times New Roman" w:hAnsi="Times New Roman" w:cs="Times New Roman"/>
                <w:sz w:val="17"/>
              </w:rPr>
              <w:t>EUR 0.4–0.8m equivalent; prioritise vendors handling location, camera, biometric or ADAS data.</w:t>
            </w:r>
          </w:p>
        </w:tc>
      </w:tr>
      <w:tr w:rsidR="00AA23BB" w:rsidRPr="004E040B" w14:paraId="21E2E015" w14:textId="77777777">
        <w:trPr>
          <w:cantSplit/>
          <w:jc w:val="center"/>
        </w:trPr>
        <w:tc>
          <w:tcPr>
            <w:tcW w:w="1300" w:type="dxa"/>
            <w:tcMar>
              <w:top w:w="90" w:type="dxa"/>
              <w:left w:w="100" w:type="dxa"/>
              <w:bottom w:w="90" w:type="dxa"/>
              <w:right w:w="100" w:type="dxa"/>
            </w:tcMar>
            <w:vAlign w:val="center"/>
          </w:tcPr>
          <w:p w14:paraId="2116D578" w14:textId="77777777" w:rsidR="00AA23BB" w:rsidRPr="004E040B" w:rsidRDefault="00000000" w:rsidP="00931230">
            <w:pPr>
              <w:spacing w:after="0" w:line="240" w:lineRule="auto"/>
              <w:rPr>
                <w:rFonts w:ascii="Times New Roman" w:hAnsi="Times New Roman" w:cs="Times New Roman"/>
              </w:rPr>
            </w:pPr>
            <w:r w:rsidRPr="004E040B">
              <w:rPr>
                <w:rFonts w:ascii="Times New Roman" w:hAnsi="Times New Roman" w:cs="Times New Roman"/>
                <w:sz w:val="17"/>
              </w:rPr>
              <w:t>9–12 months</w:t>
            </w:r>
          </w:p>
        </w:tc>
        <w:tc>
          <w:tcPr>
            <w:tcW w:w="2600" w:type="dxa"/>
            <w:tcMar>
              <w:top w:w="90" w:type="dxa"/>
              <w:left w:w="100" w:type="dxa"/>
              <w:bottom w:w="90" w:type="dxa"/>
              <w:right w:w="100" w:type="dxa"/>
            </w:tcMar>
            <w:vAlign w:val="center"/>
          </w:tcPr>
          <w:p w14:paraId="04082940" w14:textId="77777777" w:rsidR="00AA23BB" w:rsidRPr="004E040B" w:rsidRDefault="00000000" w:rsidP="00931230">
            <w:pPr>
              <w:spacing w:after="0" w:line="240" w:lineRule="auto"/>
              <w:rPr>
                <w:rFonts w:ascii="Times New Roman" w:hAnsi="Times New Roman" w:cs="Times New Roman"/>
              </w:rPr>
            </w:pPr>
            <w:r w:rsidRPr="004E040B">
              <w:rPr>
                <w:rFonts w:ascii="Times New Roman" w:hAnsi="Times New Roman" w:cs="Times New Roman"/>
                <w:sz w:val="17"/>
              </w:rPr>
              <w:t>Customer and dealer lead: launch model-level dashboard and ADAS explanations.</w:t>
            </w:r>
          </w:p>
        </w:tc>
        <w:tc>
          <w:tcPr>
            <w:tcW w:w="2300" w:type="dxa"/>
            <w:tcMar>
              <w:top w:w="90" w:type="dxa"/>
              <w:left w:w="100" w:type="dxa"/>
              <w:bottom w:w="90" w:type="dxa"/>
              <w:right w:w="100" w:type="dxa"/>
            </w:tcMar>
            <w:vAlign w:val="center"/>
          </w:tcPr>
          <w:p w14:paraId="482328C2" w14:textId="77777777" w:rsidR="00AA23BB" w:rsidRPr="004E040B" w:rsidRDefault="00000000" w:rsidP="00931230">
            <w:pPr>
              <w:spacing w:after="0" w:line="240" w:lineRule="auto"/>
              <w:rPr>
                <w:rFonts w:ascii="Times New Roman" w:hAnsi="Times New Roman" w:cs="Times New Roman"/>
              </w:rPr>
            </w:pPr>
            <w:r w:rsidRPr="004E040B">
              <w:rPr>
                <w:rFonts w:ascii="Times New Roman" w:hAnsi="Times New Roman" w:cs="Times New Roman"/>
                <w:sz w:val="17"/>
              </w:rPr>
              <w:t>All UK/EU connected models covered; 100% dealers trained; complaint baseline set and 10% reduction targeted by Month 18.</w:t>
            </w:r>
          </w:p>
        </w:tc>
        <w:tc>
          <w:tcPr>
            <w:tcW w:w="2726" w:type="dxa"/>
            <w:tcMar>
              <w:top w:w="90" w:type="dxa"/>
              <w:left w:w="100" w:type="dxa"/>
              <w:bottom w:w="90" w:type="dxa"/>
              <w:right w:w="100" w:type="dxa"/>
            </w:tcMar>
            <w:vAlign w:val="center"/>
          </w:tcPr>
          <w:p w14:paraId="07DF7046" w14:textId="77777777" w:rsidR="00AA23BB" w:rsidRPr="004E040B" w:rsidRDefault="00000000" w:rsidP="00931230">
            <w:pPr>
              <w:spacing w:after="0" w:line="240" w:lineRule="auto"/>
              <w:rPr>
                <w:rFonts w:ascii="Times New Roman" w:hAnsi="Times New Roman" w:cs="Times New Roman"/>
              </w:rPr>
            </w:pPr>
            <w:r w:rsidRPr="004E040B">
              <w:rPr>
                <w:rFonts w:ascii="Times New Roman" w:hAnsi="Times New Roman" w:cs="Times New Roman"/>
                <w:sz w:val="17"/>
              </w:rPr>
              <w:t>EUR 0.3–0.6m equivalent; validate wording with UK/EU user testing before launch.</w:t>
            </w:r>
          </w:p>
        </w:tc>
      </w:tr>
      <w:tr w:rsidR="00AA23BB" w:rsidRPr="004E040B" w14:paraId="02DBABD2" w14:textId="77777777">
        <w:trPr>
          <w:cantSplit/>
          <w:jc w:val="center"/>
        </w:trPr>
        <w:tc>
          <w:tcPr>
            <w:tcW w:w="1300" w:type="dxa"/>
            <w:tcMar>
              <w:top w:w="90" w:type="dxa"/>
              <w:left w:w="100" w:type="dxa"/>
              <w:bottom w:w="90" w:type="dxa"/>
              <w:right w:w="100" w:type="dxa"/>
            </w:tcMar>
            <w:vAlign w:val="center"/>
          </w:tcPr>
          <w:p w14:paraId="17BB5761" w14:textId="77777777" w:rsidR="00AA23BB" w:rsidRPr="004E040B" w:rsidRDefault="00000000" w:rsidP="00931230">
            <w:pPr>
              <w:spacing w:after="0" w:line="240" w:lineRule="auto"/>
              <w:rPr>
                <w:rFonts w:ascii="Times New Roman" w:hAnsi="Times New Roman" w:cs="Times New Roman"/>
              </w:rPr>
            </w:pPr>
            <w:r w:rsidRPr="004E040B">
              <w:rPr>
                <w:rFonts w:ascii="Times New Roman" w:hAnsi="Times New Roman" w:cs="Times New Roman"/>
                <w:sz w:val="17"/>
              </w:rPr>
              <w:t>12–18 months</w:t>
            </w:r>
          </w:p>
        </w:tc>
        <w:tc>
          <w:tcPr>
            <w:tcW w:w="2600" w:type="dxa"/>
            <w:tcMar>
              <w:top w:w="90" w:type="dxa"/>
              <w:left w:w="100" w:type="dxa"/>
              <w:bottom w:w="90" w:type="dxa"/>
              <w:right w:w="100" w:type="dxa"/>
            </w:tcMar>
            <w:vAlign w:val="center"/>
          </w:tcPr>
          <w:p w14:paraId="0913DE3D" w14:textId="77777777" w:rsidR="00AA23BB" w:rsidRPr="004E040B" w:rsidRDefault="00000000" w:rsidP="00931230">
            <w:pPr>
              <w:spacing w:after="0" w:line="240" w:lineRule="auto"/>
              <w:rPr>
                <w:rFonts w:ascii="Times New Roman" w:hAnsi="Times New Roman" w:cs="Times New Roman"/>
              </w:rPr>
            </w:pPr>
            <w:r w:rsidRPr="004E040B">
              <w:rPr>
                <w:rFonts w:ascii="Times New Roman" w:hAnsi="Times New Roman" w:cs="Times New Roman"/>
                <w:sz w:val="17"/>
              </w:rPr>
              <w:t>Board risk committee: institutionalise assurance, economics and horizon scanning.</w:t>
            </w:r>
          </w:p>
        </w:tc>
        <w:tc>
          <w:tcPr>
            <w:tcW w:w="2300" w:type="dxa"/>
            <w:tcMar>
              <w:top w:w="90" w:type="dxa"/>
              <w:left w:w="100" w:type="dxa"/>
              <w:bottom w:w="90" w:type="dxa"/>
              <w:right w:w="100" w:type="dxa"/>
            </w:tcMar>
            <w:vAlign w:val="center"/>
          </w:tcPr>
          <w:p w14:paraId="5A416DE6" w14:textId="77777777" w:rsidR="00AA23BB" w:rsidRPr="004E040B" w:rsidRDefault="00000000" w:rsidP="00931230">
            <w:pPr>
              <w:spacing w:after="0" w:line="240" w:lineRule="auto"/>
              <w:rPr>
                <w:rFonts w:ascii="Times New Roman" w:hAnsi="Times New Roman" w:cs="Times New Roman"/>
              </w:rPr>
            </w:pPr>
            <w:r w:rsidRPr="004E040B">
              <w:rPr>
                <w:rFonts w:ascii="Times New Roman" w:hAnsi="Times New Roman" w:cs="Times New Roman"/>
                <w:sz w:val="17"/>
              </w:rPr>
              <w:t>Quarterly stress tests; cost ≤EUR 40 per vehicle at 100,000 units; evidence packs updated within 30 days of a material rule change.</w:t>
            </w:r>
          </w:p>
        </w:tc>
        <w:tc>
          <w:tcPr>
            <w:tcW w:w="2726" w:type="dxa"/>
            <w:tcMar>
              <w:top w:w="90" w:type="dxa"/>
              <w:left w:w="100" w:type="dxa"/>
              <w:bottom w:w="90" w:type="dxa"/>
              <w:right w:w="100" w:type="dxa"/>
            </w:tcMar>
            <w:vAlign w:val="center"/>
          </w:tcPr>
          <w:p w14:paraId="1B22030C" w14:textId="77777777" w:rsidR="00AA23BB" w:rsidRPr="004E040B" w:rsidRDefault="00000000" w:rsidP="00931230">
            <w:pPr>
              <w:spacing w:after="0" w:line="240" w:lineRule="auto"/>
              <w:rPr>
                <w:rFonts w:ascii="Times New Roman" w:hAnsi="Times New Roman" w:cs="Times New Roman"/>
              </w:rPr>
            </w:pPr>
            <w:r w:rsidRPr="004E040B">
              <w:rPr>
                <w:rFonts w:ascii="Times New Roman" w:hAnsi="Times New Roman" w:cs="Times New Roman"/>
                <w:sz w:val="17"/>
              </w:rPr>
              <w:t>Release scale funding only where risk reduction, approval speed or trust benefit is evidenced.</w:t>
            </w:r>
          </w:p>
        </w:tc>
      </w:tr>
    </w:tbl>
    <w:p w14:paraId="405B3D34" w14:textId="77777777" w:rsidR="00AA23BB" w:rsidRPr="004E040B" w:rsidRDefault="00AA23BB" w:rsidP="00931230">
      <w:pPr>
        <w:jc w:val="both"/>
        <w:rPr>
          <w:rFonts w:ascii="Times New Roman" w:hAnsi="Times New Roman" w:cs="Times New Roman"/>
        </w:rPr>
      </w:pPr>
    </w:p>
    <w:p w14:paraId="0747CA4A" w14:textId="77777777" w:rsidR="00AA23BB" w:rsidRPr="004E040B" w:rsidRDefault="00000000" w:rsidP="00931230">
      <w:pPr>
        <w:pStyle w:val="1"/>
        <w:spacing w:after="120"/>
        <w:jc w:val="both"/>
        <w:rPr>
          <w:rFonts w:ascii="Times New Roman" w:hAnsi="Times New Roman" w:cs="Times New Roman"/>
          <w:sz w:val="32"/>
          <w:szCs w:val="32"/>
        </w:rPr>
      </w:pPr>
      <w:bookmarkStart w:id="13" w:name="_Toc235380105"/>
      <w:r w:rsidRPr="004E040B">
        <w:rPr>
          <w:rFonts w:ascii="Times New Roman" w:eastAsia="Arial" w:hAnsi="Times New Roman" w:cs="Times New Roman"/>
          <w:szCs w:val="32"/>
        </w:rPr>
        <w:t>5. Conclusion</w:t>
      </w:r>
      <w:bookmarkEnd w:id="13"/>
    </w:p>
    <w:p w14:paraId="68282D8E" w14:textId="77777777" w:rsidR="00AA23BB" w:rsidRPr="004E040B" w:rsidRDefault="00000000" w:rsidP="00931230">
      <w:pPr>
        <w:jc w:val="both"/>
        <w:rPr>
          <w:rFonts w:ascii="Times New Roman" w:hAnsi="Times New Roman" w:cs="Times New Roman"/>
        </w:rPr>
      </w:pPr>
      <w:r w:rsidRPr="004E040B">
        <w:rPr>
          <w:rFonts w:ascii="Times New Roman" w:hAnsi="Times New Roman" w:cs="Times New Roman"/>
        </w:rPr>
        <w:t>BYD's UK/EU AI challenge is to govern software, data and automated functions in markets where regulation, geopolitics, affordability and trust interact. The UK offers flexible but less codified accountability; the EU imposes more structured evidence requirements, although implementation remains staged. Current ADAS, future authorised self-driving systems and lower-risk customer analytics must be classified separately. A common assurance core can create economies, but release authority, macroeconomic assumptions and legal evidence require regional adaptation.</w:t>
      </w:r>
    </w:p>
    <w:p w14:paraId="68689506" w14:textId="77777777" w:rsidR="00AA23BB" w:rsidRPr="004E040B" w:rsidRDefault="00000000" w:rsidP="00931230">
      <w:pPr>
        <w:jc w:val="both"/>
        <w:rPr>
          <w:rFonts w:ascii="Times New Roman" w:hAnsi="Times New Roman" w:cs="Times New Roman"/>
        </w:rPr>
      </w:pPr>
      <w:r w:rsidRPr="004E040B">
        <w:rPr>
          <w:rFonts w:ascii="Times New Roman" w:hAnsi="Times New Roman" w:cs="Times New Roman"/>
        </w:rPr>
        <w:t>OLI and transaction cost logic support internal control of high-impact assurance while permitting tightly governed outsourcing of lower-risk infrastructure and services. Marginal analysis does not prove that governance always pays: it establishes the break-even conditions that BYD must test with internal probability, margin and risk-reduction data. Current UK financing conditions and EU tariff exposure also show why one price and currency assumption is insufficient.</w:t>
      </w:r>
    </w:p>
    <w:p w14:paraId="0F29EB5D" w14:textId="77777777" w:rsidR="00AA23BB" w:rsidRPr="004E040B" w:rsidRDefault="00000000" w:rsidP="00931230">
      <w:pPr>
        <w:jc w:val="both"/>
        <w:rPr>
          <w:rFonts w:ascii="Times New Roman" w:hAnsi="Times New Roman" w:cs="Times New Roman"/>
        </w:rPr>
      </w:pPr>
      <w:r w:rsidRPr="004E040B">
        <w:rPr>
          <w:rFonts w:ascii="Times New Roman" w:hAnsi="Times New Roman" w:cs="Times New Roman"/>
        </w:rPr>
        <w:lastRenderedPageBreak/>
        <w:t>The recommended path is proportionate and evidence-led: genuine regional stop-release authority, lifecycle supplier control, tested customer transparency, measurable implementation targets and quarterly regulatory and economic review. Legal compliance, substantiated safety and protection from material customer harm remain non-negotiable. If BYD embeds these disciplines in its vertically integrated development model, assurance can support market access and trust without imposing the same control burden on every software change.</w:t>
      </w:r>
    </w:p>
    <w:p w14:paraId="5636FCA4" w14:textId="77777777" w:rsidR="00AA23BB" w:rsidRPr="004E040B" w:rsidRDefault="00000000" w:rsidP="009E38D1">
      <w:pPr>
        <w:pStyle w:val="1"/>
        <w:pageBreakBefore/>
        <w:spacing w:after="120"/>
        <w:rPr>
          <w:rFonts w:ascii="Times New Roman" w:hAnsi="Times New Roman" w:cs="Times New Roman"/>
          <w:sz w:val="32"/>
          <w:szCs w:val="32"/>
        </w:rPr>
      </w:pPr>
      <w:bookmarkStart w:id="14" w:name="_Toc235380106"/>
      <w:r w:rsidRPr="004E040B">
        <w:rPr>
          <w:rFonts w:ascii="Times New Roman" w:eastAsia="Arial" w:hAnsi="Times New Roman" w:cs="Times New Roman"/>
          <w:szCs w:val="32"/>
        </w:rPr>
        <w:lastRenderedPageBreak/>
        <w:t>Bibliography</w:t>
      </w:r>
      <w:bookmarkEnd w:id="14"/>
    </w:p>
    <w:p w14:paraId="1686FFB7" w14:textId="77777777" w:rsidR="0062763A" w:rsidRPr="004E040B" w:rsidRDefault="00000000">
      <w:pPr>
        <w:keepLines/>
        <w:spacing w:after="60" w:line="240" w:lineRule="auto"/>
        <w:ind w:left="425" w:hanging="425"/>
        <w:rPr>
          <w:rFonts w:ascii="Times New Roman" w:hAnsi="Times New Roman" w:cs="Times New Roman"/>
        </w:rPr>
      </w:pPr>
      <w:r w:rsidRPr="004E040B">
        <w:rPr>
          <w:rFonts w:ascii="Times New Roman" w:hAnsi="Times New Roman" w:cs="Times New Roman"/>
          <w:sz w:val="21"/>
        </w:rPr>
        <w:t>ACEA (2026) New car registrations: +1.8% in 2025; battery-electric 17.4% market share. Available at: https://www.acea.auto/pc-registrations/new-car-registrations-1-8-in-2025-battery-electric-17-4-market-share/ (Accessed: 1 July 2026).</w:t>
      </w:r>
    </w:p>
    <w:p w14:paraId="540CC4AE" w14:textId="77777777" w:rsidR="0062763A" w:rsidRPr="004E040B" w:rsidRDefault="00000000">
      <w:pPr>
        <w:keepLines/>
        <w:spacing w:after="60" w:line="240" w:lineRule="auto"/>
        <w:ind w:left="425" w:hanging="425"/>
        <w:rPr>
          <w:rFonts w:ascii="Times New Roman" w:hAnsi="Times New Roman" w:cs="Times New Roman"/>
        </w:rPr>
      </w:pPr>
      <w:r w:rsidRPr="004E040B">
        <w:rPr>
          <w:rFonts w:ascii="Times New Roman" w:hAnsi="Times New Roman" w:cs="Times New Roman"/>
          <w:sz w:val="21"/>
        </w:rPr>
        <w:t>Autovista24 (2026) Which brand dominated the European EV market in 2025? Available at: https://autovista24.autovistagroup.com/news/which-brand-dominated-the-european-ev-market-in-2025/ (Accessed: 1 July 2026).</w:t>
      </w:r>
    </w:p>
    <w:p w14:paraId="08E21FB4" w14:textId="77777777" w:rsidR="0062763A" w:rsidRPr="004E040B" w:rsidRDefault="00000000">
      <w:pPr>
        <w:keepLines/>
        <w:spacing w:after="60" w:line="240" w:lineRule="auto"/>
        <w:ind w:left="425" w:hanging="425"/>
        <w:rPr>
          <w:rFonts w:ascii="Times New Roman" w:hAnsi="Times New Roman" w:cs="Times New Roman"/>
        </w:rPr>
      </w:pPr>
      <w:r w:rsidRPr="004E040B">
        <w:rPr>
          <w:rFonts w:ascii="Times New Roman" w:hAnsi="Times New Roman" w:cs="Times New Roman"/>
          <w:sz w:val="21"/>
        </w:rPr>
        <w:t>Bank of England (2026) June 2026 Monetary Policy Summary and Minutes. Available at: https://www.bankofengland.co.uk/monetary-policy-summary-and-minutes/2026/june-2026 (Accessed: 12 July 2026).</w:t>
      </w:r>
    </w:p>
    <w:p w14:paraId="65E703B8" w14:textId="77777777" w:rsidR="0062763A" w:rsidRPr="004E040B" w:rsidRDefault="00000000">
      <w:pPr>
        <w:keepLines/>
        <w:spacing w:after="60" w:line="240" w:lineRule="auto"/>
        <w:ind w:left="425" w:hanging="425"/>
        <w:rPr>
          <w:rFonts w:ascii="Times New Roman" w:hAnsi="Times New Roman" w:cs="Times New Roman"/>
        </w:rPr>
      </w:pPr>
      <w:r w:rsidRPr="004E040B">
        <w:rPr>
          <w:rFonts w:ascii="Times New Roman" w:hAnsi="Times New Roman" w:cs="Times New Roman"/>
          <w:sz w:val="21"/>
        </w:rPr>
        <w:t>BYD Europe (2024) How BYD protects your privacy and data. Available at: https://www.byd.com/eu/ownership/how-byd-protects-your-privacy-data (Accessed: 1 July 2026).</w:t>
      </w:r>
    </w:p>
    <w:p w14:paraId="6A86A70C" w14:textId="77777777" w:rsidR="0062763A" w:rsidRPr="004E040B" w:rsidRDefault="00000000">
      <w:pPr>
        <w:keepLines/>
        <w:spacing w:after="60" w:line="240" w:lineRule="auto"/>
        <w:ind w:left="425" w:hanging="425"/>
        <w:rPr>
          <w:rFonts w:ascii="Times New Roman" w:hAnsi="Times New Roman" w:cs="Times New Roman"/>
        </w:rPr>
      </w:pPr>
      <w:r w:rsidRPr="004E040B">
        <w:rPr>
          <w:rFonts w:ascii="Times New Roman" w:hAnsi="Times New Roman" w:cs="Times New Roman"/>
          <w:sz w:val="21"/>
        </w:rPr>
        <w:t>BYD Europe (2026) Data Act Notice. Available at: https://www.byd.com/eu/data-act-notice (Accessed: 1 July 2026).</w:t>
      </w:r>
    </w:p>
    <w:p w14:paraId="4AC36534" w14:textId="77777777" w:rsidR="0062763A" w:rsidRPr="004E040B" w:rsidRDefault="00000000">
      <w:pPr>
        <w:keepLines/>
        <w:spacing w:after="60" w:line="240" w:lineRule="auto"/>
        <w:ind w:left="425" w:hanging="425"/>
        <w:rPr>
          <w:rFonts w:ascii="Times New Roman" w:hAnsi="Times New Roman" w:cs="Times New Roman"/>
        </w:rPr>
      </w:pPr>
      <w:r w:rsidRPr="004E040B">
        <w:rPr>
          <w:rFonts w:ascii="Times New Roman" w:hAnsi="Times New Roman" w:cs="Times New Roman"/>
          <w:sz w:val="21"/>
        </w:rPr>
        <w:t>BYD UK (2024) Privacy &amp; Legal Policies. Available at: https://www.byd.com/uk/privacy (Accessed: 1 July 2026).</w:t>
      </w:r>
    </w:p>
    <w:p w14:paraId="450E60AB" w14:textId="77777777" w:rsidR="0062763A" w:rsidRPr="004E040B" w:rsidRDefault="00000000">
      <w:pPr>
        <w:keepLines/>
        <w:spacing w:after="60" w:line="240" w:lineRule="auto"/>
        <w:ind w:left="425" w:hanging="425"/>
        <w:rPr>
          <w:rFonts w:ascii="Times New Roman" w:hAnsi="Times New Roman" w:cs="Times New Roman"/>
        </w:rPr>
      </w:pPr>
      <w:r w:rsidRPr="004E040B">
        <w:rPr>
          <w:rFonts w:ascii="Times New Roman" w:hAnsi="Times New Roman" w:cs="Times New Roman"/>
          <w:sz w:val="21"/>
        </w:rPr>
        <w:t>BYD UK (2026a) BYD UK records record-breaking sales in 2025 and becomes sixth best-selling brand in the UK. Available at: https://bydukmedia.com/en/news-articles/byd-uk-records-record-breaking-sales-in-2025-and-becomes-sixth-best-selling-brand-in-the-uk.html (Accessed: 1 July 2026).</w:t>
      </w:r>
    </w:p>
    <w:p w14:paraId="539F65B9" w14:textId="77777777" w:rsidR="0062763A" w:rsidRPr="004E040B" w:rsidRDefault="00000000">
      <w:pPr>
        <w:keepLines/>
        <w:spacing w:after="60" w:line="240" w:lineRule="auto"/>
        <w:ind w:left="425" w:hanging="425"/>
        <w:rPr>
          <w:rFonts w:ascii="Times New Roman" w:hAnsi="Times New Roman" w:cs="Times New Roman"/>
        </w:rPr>
      </w:pPr>
      <w:r w:rsidRPr="004E040B">
        <w:rPr>
          <w:rFonts w:ascii="Times New Roman" w:hAnsi="Times New Roman" w:cs="Times New Roman"/>
          <w:sz w:val="21"/>
        </w:rPr>
        <w:t>BYD UK (2026b) BYD DOLPHIN Finance &amp; PCP Offers. Available at: https://www.byd.com/uk/purchase/dolphin-pcp (Accessed: 1 July 2026).</w:t>
      </w:r>
    </w:p>
    <w:p w14:paraId="250E4FBD" w14:textId="77777777" w:rsidR="0062763A" w:rsidRPr="004E040B" w:rsidRDefault="00000000">
      <w:pPr>
        <w:keepLines/>
        <w:spacing w:after="60" w:line="240" w:lineRule="auto"/>
        <w:ind w:left="425" w:hanging="425"/>
        <w:rPr>
          <w:rFonts w:ascii="Times New Roman" w:hAnsi="Times New Roman" w:cs="Times New Roman"/>
        </w:rPr>
      </w:pPr>
      <w:r w:rsidRPr="004E040B">
        <w:rPr>
          <w:rFonts w:ascii="Times New Roman" w:hAnsi="Times New Roman" w:cs="Times New Roman"/>
          <w:sz w:val="21"/>
        </w:rPr>
        <w:t xml:space="preserve">Coase, R.H. (1937) 'The nature of the firm', </w:t>
      </w:r>
      <w:r w:rsidRPr="004E040B">
        <w:rPr>
          <w:rFonts w:ascii="Times New Roman" w:hAnsi="Times New Roman" w:cs="Times New Roman"/>
          <w:i/>
          <w:sz w:val="21"/>
        </w:rPr>
        <w:t>Economica</w:t>
      </w:r>
      <w:r w:rsidRPr="004E040B">
        <w:rPr>
          <w:rFonts w:ascii="Times New Roman" w:hAnsi="Times New Roman" w:cs="Times New Roman"/>
          <w:sz w:val="21"/>
        </w:rPr>
        <w:t>, 4(16), pp. 386-405.</w:t>
      </w:r>
    </w:p>
    <w:p w14:paraId="3115BDDC" w14:textId="77777777" w:rsidR="0062763A" w:rsidRPr="004E040B" w:rsidRDefault="00000000">
      <w:pPr>
        <w:keepLines/>
        <w:spacing w:after="60" w:line="240" w:lineRule="auto"/>
        <w:ind w:left="425" w:hanging="425"/>
        <w:rPr>
          <w:rFonts w:ascii="Times New Roman" w:hAnsi="Times New Roman" w:cs="Times New Roman"/>
        </w:rPr>
      </w:pPr>
      <w:r w:rsidRPr="004E040B">
        <w:rPr>
          <w:rFonts w:ascii="Times New Roman" w:hAnsi="Times New Roman" w:cs="Times New Roman"/>
          <w:sz w:val="21"/>
        </w:rPr>
        <w:t>Department for Science, Innovation and Technology (DSIT) (2023) A pro-innovation approach to AI regulation. London: HM Government. Available at: https://www.gov.uk/government/publications/ai-regulation-a-pro-innovation-approach (Accessed: 1 July 2026).</w:t>
      </w:r>
    </w:p>
    <w:p w14:paraId="2A215D3E" w14:textId="77777777" w:rsidR="0062763A" w:rsidRPr="004E040B" w:rsidRDefault="00000000">
      <w:pPr>
        <w:keepLines/>
        <w:spacing w:after="60" w:line="240" w:lineRule="auto"/>
        <w:ind w:left="425" w:hanging="425"/>
        <w:rPr>
          <w:rFonts w:ascii="Times New Roman" w:hAnsi="Times New Roman" w:cs="Times New Roman"/>
        </w:rPr>
      </w:pPr>
      <w:r w:rsidRPr="004E040B">
        <w:rPr>
          <w:rFonts w:ascii="Times New Roman" w:hAnsi="Times New Roman" w:cs="Times New Roman"/>
          <w:sz w:val="21"/>
        </w:rPr>
        <w:t>Department for Transport (2026) The Vehicle Emissions Trading Schemes: How to Comply. Available at: https://assets.publishing.service.gov.uk/media/6a4233648cbc951a27d80d99/vets-how-to-comply.pdf (Accessed: 12 July 2026).</w:t>
      </w:r>
    </w:p>
    <w:p w14:paraId="5D02CF77" w14:textId="77777777" w:rsidR="0062763A" w:rsidRPr="004E040B" w:rsidRDefault="00000000">
      <w:pPr>
        <w:keepLines/>
        <w:spacing w:after="60" w:line="240" w:lineRule="auto"/>
        <w:ind w:left="425" w:hanging="425"/>
        <w:rPr>
          <w:rFonts w:ascii="Times New Roman" w:hAnsi="Times New Roman" w:cs="Times New Roman"/>
        </w:rPr>
      </w:pPr>
      <w:r w:rsidRPr="004E040B">
        <w:rPr>
          <w:rFonts w:ascii="Times New Roman" w:hAnsi="Times New Roman" w:cs="Times New Roman"/>
          <w:sz w:val="21"/>
        </w:rPr>
        <w:t xml:space="preserve">DiMaggio, P.J. and Powell, W.W. (1983) 'The iron cage revisited: institutional isomorphism and collective rationality in organisational fields', </w:t>
      </w:r>
      <w:r w:rsidRPr="004E040B">
        <w:rPr>
          <w:rFonts w:ascii="Times New Roman" w:hAnsi="Times New Roman" w:cs="Times New Roman"/>
          <w:i/>
          <w:sz w:val="21"/>
        </w:rPr>
        <w:t>American Sociological Review</w:t>
      </w:r>
      <w:r w:rsidRPr="004E040B">
        <w:rPr>
          <w:rFonts w:ascii="Times New Roman" w:hAnsi="Times New Roman" w:cs="Times New Roman"/>
          <w:sz w:val="21"/>
        </w:rPr>
        <w:t>, 48(2), pp. 147-160.</w:t>
      </w:r>
    </w:p>
    <w:p w14:paraId="4FDDEE0F" w14:textId="77777777" w:rsidR="0062763A" w:rsidRPr="004E040B" w:rsidRDefault="00000000">
      <w:pPr>
        <w:keepLines/>
        <w:spacing w:after="60" w:line="240" w:lineRule="auto"/>
        <w:ind w:left="425" w:hanging="425"/>
        <w:rPr>
          <w:rFonts w:ascii="Times New Roman" w:hAnsi="Times New Roman" w:cs="Times New Roman"/>
        </w:rPr>
      </w:pPr>
      <w:r w:rsidRPr="004E040B">
        <w:rPr>
          <w:rFonts w:ascii="Times New Roman" w:hAnsi="Times New Roman" w:cs="Times New Roman"/>
          <w:sz w:val="21"/>
        </w:rPr>
        <w:t xml:space="preserve">Dunphy, A. (2024) 'Is the regulation of connected and automated vehicles (CAVs) a wicked problem and why does it matter?', </w:t>
      </w:r>
      <w:r w:rsidRPr="004E040B">
        <w:rPr>
          <w:rFonts w:ascii="Times New Roman" w:hAnsi="Times New Roman" w:cs="Times New Roman"/>
          <w:i/>
          <w:sz w:val="21"/>
        </w:rPr>
        <w:t>Computer Law &amp; Security Review</w:t>
      </w:r>
      <w:r w:rsidRPr="004E040B">
        <w:rPr>
          <w:rFonts w:ascii="Times New Roman" w:hAnsi="Times New Roman" w:cs="Times New Roman"/>
          <w:sz w:val="21"/>
        </w:rPr>
        <w:t>, 52, 105944. https://doi.org/10.1016/j.clsr.2024.105944.</w:t>
      </w:r>
    </w:p>
    <w:p w14:paraId="10028986" w14:textId="77777777" w:rsidR="0062763A" w:rsidRPr="004E040B" w:rsidRDefault="00000000">
      <w:pPr>
        <w:keepLines/>
        <w:spacing w:after="60" w:line="240" w:lineRule="auto"/>
        <w:ind w:left="425" w:hanging="425"/>
        <w:rPr>
          <w:rFonts w:ascii="Times New Roman" w:hAnsi="Times New Roman" w:cs="Times New Roman"/>
        </w:rPr>
      </w:pPr>
      <w:r w:rsidRPr="004E040B">
        <w:rPr>
          <w:rFonts w:ascii="Times New Roman" w:hAnsi="Times New Roman" w:cs="Times New Roman"/>
          <w:sz w:val="21"/>
        </w:rPr>
        <w:t xml:space="preserve">Dunning, J.H. (1988) 'The eclectic paradigm of international production: a restatement and some possible extensions', </w:t>
      </w:r>
      <w:r w:rsidRPr="004E040B">
        <w:rPr>
          <w:rFonts w:ascii="Times New Roman" w:hAnsi="Times New Roman" w:cs="Times New Roman"/>
          <w:i/>
          <w:sz w:val="21"/>
        </w:rPr>
        <w:t>Journal of International Business Studies</w:t>
      </w:r>
      <w:r w:rsidRPr="004E040B">
        <w:rPr>
          <w:rFonts w:ascii="Times New Roman" w:hAnsi="Times New Roman" w:cs="Times New Roman"/>
          <w:sz w:val="21"/>
        </w:rPr>
        <w:t>, 19(1), pp. 1-31.</w:t>
      </w:r>
    </w:p>
    <w:p w14:paraId="4C628583" w14:textId="77777777" w:rsidR="0062763A" w:rsidRPr="004E040B" w:rsidRDefault="00000000">
      <w:pPr>
        <w:keepLines/>
        <w:spacing w:after="60" w:line="240" w:lineRule="auto"/>
        <w:ind w:left="425" w:hanging="425"/>
        <w:rPr>
          <w:rFonts w:ascii="Times New Roman" w:hAnsi="Times New Roman" w:cs="Times New Roman"/>
        </w:rPr>
      </w:pPr>
      <w:r w:rsidRPr="004E040B">
        <w:rPr>
          <w:rFonts w:ascii="Times New Roman" w:hAnsi="Times New Roman" w:cs="Times New Roman"/>
          <w:sz w:val="21"/>
        </w:rPr>
        <w:t>European Central Bank (ECB) (2026) Monetary policy decisions, 11 June 2026. Available at: https://www.ecb.europa.eu/press/pr/date/2026/html/ecb.mp260611~4d41bd5e83.en.html (Accessed: 12 July 2026).</w:t>
      </w:r>
    </w:p>
    <w:p w14:paraId="7AA8D664" w14:textId="77777777" w:rsidR="0062763A" w:rsidRPr="004E040B" w:rsidRDefault="00000000">
      <w:pPr>
        <w:keepLines/>
        <w:spacing w:after="60" w:line="240" w:lineRule="auto"/>
        <w:ind w:left="425" w:hanging="425"/>
        <w:rPr>
          <w:rFonts w:ascii="Times New Roman" w:hAnsi="Times New Roman" w:cs="Times New Roman"/>
        </w:rPr>
      </w:pPr>
      <w:r w:rsidRPr="004E040B">
        <w:rPr>
          <w:rFonts w:ascii="Times New Roman" w:hAnsi="Times New Roman" w:cs="Times New Roman"/>
          <w:sz w:val="21"/>
        </w:rPr>
        <w:t>European Commission (2024a) AI Act enters into force. Available at: https://commission.europa.eu/news-and-media/news/ai-act-enters-force-2024-08-01_en (Accessed: 1 July 2026).</w:t>
      </w:r>
    </w:p>
    <w:p w14:paraId="3A35B86F" w14:textId="77777777" w:rsidR="0062763A" w:rsidRPr="004E040B" w:rsidRDefault="00000000">
      <w:pPr>
        <w:keepLines/>
        <w:spacing w:after="60" w:line="240" w:lineRule="auto"/>
        <w:ind w:left="425" w:hanging="425"/>
        <w:rPr>
          <w:rFonts w:ascii="Times New Roman" w:hAnsi="Times New Roman" w:cs="Times New Roman"/>
        </w:rPr>
      </w:pPr>
      <w:r w:rsidRPr="004E040B">
        <w:rPr>
          <w:rFonts w:ascii="Times New Roman" w:hAnsi="Times New Roman" w:cs="Times New Roman"/>
          <w:sz w:val="21"/>
        </w:rPr>
        <w:t>European Commission (2024b) EU Commission imposes countervailing duties on imports of battery electric vehicles from China. Available at: https://trade.ec.europa.eu/access-to-markets/en/news/eu-commission-imposes-countervailing-duties-imports-battery-electric-vehicles-bevs-china (Accessed: 1 July 2026).</w:t>
      </w:r>
    </w:p>
    <w:p w14:paraId="39F148C6" w14:textId="77777777" w:rsidR="0062763A" w:rsidRPr="004E040B" w:rsidRDefault="00000000">
      <w:pPr>
        <w:keepLines/>
        <w:spacing w:after="60" w:line="240" w:lineRule="auto"/>
        <w:ind w:left="425" w:hanging="425"/>
        <w:rPr>
          <w:rFonts w:ascii="Times New Roman" w:hAnsi="Times New Roman" w:cs="Times New Roman"/>
        </w:rPr>
      </w:pPr>
      <w:r w:rsidRPr="004E040B">
        <w:rPr>
          <w:rFonts w:ascii="Times New Roman" w:hAnsi="Times New Roman" w:cs="Times New Roman"/>
          <w:sz w:val="21"/>
        </w:rPr>
        <w:t>European Commission (2025a) Data Act. Available at: https://digital-strategy.ec.europa.eu/en/policies/data-act (Accessed: 1 July 2026).</w:t>
      </w:r>
    </w:p>
    <w:p w14:paraId="7881B496" w14:textId="77777777" w:rsidR="0062763A" w:rsidRPr="004E040B" w:rsidRDefault="00000000">
      <w:pPr>
        <w:keepLines/>
        <w:spacing w:after="60" w:line="240" w:lineRule="auto"/>
        <w:ind w:left="425" w:hanging="425"/>
        <w:rPr>
          <w:rFonts w:ascii="Times New Roman" w:hAnsi="Times New Roman" w:cs="Times New Roman"/>
        </w:rPr>
      </w:pPr>
      <w:r w:rsidRPr="004E040B">
        <w:rPr>
          <w:rFonts w:ascii="Times New Roman" w:hAnsi="Times New Roman" w:cs="Times New Roman"/>
          <w:sz w:val="21"/>
        </w:rPr>
        <w:t>European Commission (2025b) Guidance on vehicle data, accompanying the Data Act. Available at: https://digital-strategy.ec.europa.eu/en/library/guidance-vehicle-data-accompanying-data-act (Accessed: 1 July 2026).</w:t>
      </w:r>
    </w:p>
    <w:p w14:paraId="22F9C479" w14:textId="77777777" w:rsidR="0062763A" w:rsidRPr="004E040B" w:rsidRDefault="00000000">
      <w:pPr>
        <w:keepLines/>
        <w:spacing w:after="60" w:line="240" w:lineRule="auto"/>
        <w:ind w:left="425" w:hanging="425"/>
        <w:rPr>
          <w:rFonts w:ascii="Times New Roman" w:hAnsi="Times New Roman" w:cs="Times New Roman"/>
        </w:rPr>
      </w:pPr>
      <w:r w:rsidRPr="004E040B">
        <w:rPr>
          <w:rFonts w:ascii="Times New Roman" w:hAnsi="Times New Roman" w:cs="Times New Roman"/>
          <w:sz w:val="21"/>
        </w:rPr>
        <w:lastRenderedPageBreak/>
        <w:t>European Commission (2026a) AI Act: regulatory framework for artificial intelligence. Available at: https://digital-strategy.ec.europa.eu/en/policies/regulatory-framework-ai (Accessed: 12 July 2026).</w:t>
      </w:r>
    </w:p>
    <w:p w14:paraId="62F311AC" w14:textId="77777777" w:rsidR="0062763A" w:rsidRPr="004E040B" w:rsidRDefault="00000000">
      <w:pPr>
        <w:keepLines/>
        <w:spacing w:after="60" w:line="240" w:lineRule="auto"/>
        <w:ind w:left="425" w:hanging="425"/>
        <w:rPr>
          <w:rFonts w:ascii="Times New Roman" w:hAnsi="Times New Roman" w:cs="Times New Roman"/>
        </w:rPr>
      </w:pPr>
      <w:r w:rsidRPr="004E040B">
        <w:rPr>
          <w:rFonts w:ascii="Times New Roman" w:hAnsi="Times New Roman" w:cs="Times New Roman"/>
          <w:sz w:val="21"/>
        </w:rPr>
        <w:t>European Commission (2026b) Calculation of customs duties. Available at: https://taxation-customs.ec.europa.eu/customs/common-customs-tariff-cct/calculation-customs-duties_en (Accessed: 12 July 2026).</w:t>
      </w:r>
    </w:p>
    <w:p w14:paraId="21F9EAC6" w14:textId="77777777" w:rsidR="0062763A" w:rsidRPr="004E040B" w:rsidRDefault="00000000">
      <w:pPr>
        <w:keepLines/>
        <w:spacing w:after="60" w:line="240" w:lineRule="auto"/>
        <w:ind w:left="425" w:hanging="425"/>
        <w:rPr>
          <w:rFonts w:ascii="Times New Roman" w:hAnsi="Times New Roman" w:cs="Times New Roman"/>
        </w:rPr>
      </w:pPr>
      <w:r w:rsidRPr="004E040B">
        <w:rPr>
          <w:rFonts w:ascii="Times New Roman" w:hAnsi="Times New Roman" w:cs="Times New Roman"/>
          <w:sz w:val="21"/>
        </w:rPr>
        <w:t>European Data Protection Board (EDPB) (2021) Guidelines 01/2020 on processing personal data in the context of connected vehicles and mobility related applications, version 2.0. Available at: https://www.edpb.europa.eu/system/files/2021-03/edpb_guidelines_202001_connected_vehicles_v2.0_adopted_en.pdf (Accessed: 12 July 2026).</w:t>
      </w:r>
    </w:p>
    <w:p w14:paraId="0BB06801" w14:textId="77777777" w:rsidR="0062763A" w:rsidRPr="004E040B" w:rsidRDefault="00000000">
      <w:pPr>
        <w:keepLines/>
        <w:spacing w:after="60" w:line="240" w:lineRule="auto"/>
        <w:ind w:left="425" w:hanging="425"/>
        <w:rPr>
          <w:rFonts w:ascii="Times New Roman" w:hAnsi="Times New Roman" w:cs="Times New Roman"/>
        </w:rPr>
      </w:pPr>
      <w:r w:rsidRPr="004E040B">
        <w:rPr>
          <w:rFonts w:ascii="Times New Roman" w:hAnsi="Times New Roman" w:cs="Times New Roman"/>
          <w:sz w:val="21"/>
        </w:rPr>
        <w:t>Eurostat (2026) Euro area annual inflation down to 2.8%. Available at: https://ec.europa.eu/eurostat/web/products-euro-indicators/w/2-01072026-ap (Accessed: 12 July 2026).</w:t>
      </w:r>
    </w:p>
    <w:p w14:paraId="09929913" w14:textId="77777777" w:rsidR="0062763A" w:rsidRPr="004E040B" w:rsidRDefault="00000000">
      <w:pPr>
        <w:keepLines/>
        <w:spacing w:after="60" w:line="240" w:lineRule="auto"/>
        <w:ind w:left="425" w:hanging="425"/>
        <w:rPr>
          <w:rFonts w:ascii="Times New Roman" w:hAnsi="Times New Roman" w:cs="Times New Roman"/>
        </w:rPr>
      </w:pPr>
      <w:r w:rsidRPr="004E040B">
        <w:rPr>
          <w:rFonts w:ascii="Times New Roman" w:hAnsi="Times New Roman" w:cs="Times New Roman"/>
          <w:sz w:val="21"/>
        </w:rPr>
        <w:t>Federal Trade Commission (FTC) (2025) FTC takes action against General Motors for sharing drivers' precise location and driving behavior data. Available at: https://www.ftc.gov/news-events/news/press-releases/2025/01/ftc-takes-action-against-general-motors-sharing-drivers-precise-location-driving-behavior-data (Accessed: 1 July 2026).</w:t>
      </w:r>
    </w:p>
    <w:p w14:paraId="580735E8" w14:textId="77777777" w:rsidR="0062763A" w:rsidRPr="004E040B" w:rsidRDefault="00000000">
      <w:pPr>
        <w:keepLines/>
        <w:spacing w:after="60" w:line="240" w:lineRule="auto"/>
        <w:ind w:left="425" w:hanging="425"/>
        <w:rPr>
          <w:rFonts w:ascii="Times New Roman" w:hAnsi="Times New Roman" w:cs="Times New Roman"/>
        </w:rPr>
      </w:pPr>
      <w:r w:rsidRPr="004E040B">
        <w:rPr>
          <w:rFonts w:ascii="Times New Roman" w:hAnsi="Times New Roman" w:cs="Times New Roman"/>
          <w:sz w:val="21"/>
        </w:rPr>
        <w:t xml:space="preserve">Floridi, L. and Cowls, J. (2019) 'A unified framework of five principles for AI in society', </w:t>
      </w:r>
      <w:r w:rsidRPr="004E040B">
        <w:rPr>
          <w:rFonts w:ascii="Times New Roman" w:hAnsi="Times New Roman" w:cs="Times New Roman"/>
          <w:i/>
          <w:sz w:val="21"/>
        </w:rPr>
        <w:t>Harvard Data Science Review</w:t>
      </w:r>
      <w:r w:rsidRPr="004E040B">
        <w:rPr>
          <w:rFonts w:ascii="Times New Roman" w:hAnsi="Times New Roman" w:cs="Times New Roman"/>
          <w:sz w:val="21"/>
        </w:rPr>
        <w:t>, 1(1).</w:t>
      </w:r>
    </w:p>
    <w:p w14:paraId="27ABF47A" w14:textId="77777777" w:rsidR="0062763A" w:rsidRPr="004E040B" w:rsidRDefault="00000000">
      <w:pPr>
        <w:keepLines/>
        <w:spacing w:after="60" w:line="240" w:lineRule="auto"/>
        <w:ind w:left="425" w:hanging="425"/>
        <w:rPr>
          <w:rFonts w:ascii="Times New Roman" w:hAnsi="Times New Roman" w:cs="Times New Roman"/>
        </w:rPr>
      </w:pPr>
      <w:r w:rsidRPr="004E040B">
        <w:rPr>
          <w:rFonts w:ascii="Times New Roman" w:hAnsi="Times New Roman" w:cs="Times New Roman"/>
          <w:sz w:val="21"/>
        </w:rPr>
        <w:t xml:space="preserve">Gros, C., Kester, L., Martens, M. and Werkhoven, P. (2025) 'Addressing ethical challenges in automated vehicles: bridging the gap with hybrid AI and augmented utilitarianism', </w:t>
      </w:r>
      <w:r w:rsidRPr="004E040B">
        <w:rPr>
          <w:rFonts w:ascii="Times New Roman" w:hAnsi="Times New Roman" w:cs="Times New Roman"/>
          <w:i/>
          <w:sz w:val="21"/>
        </w:rPr>
        <w:t>AI and Ethics</w:t>
      </w:r>
      <w:r w:rsidRPr="004E040B">
        <w:rPr>
          <w:rFonts w:ascii="Times New Roman" w:hAnsi="Times New Roman" w:cs="Times New Roman"/>
          <w:sz w:val="21"/>
        </w:rPr>
        <w:t>. https://doi.org/10.1007/s43681-024-00592-6.</w:t>
      </w:r>
    </w:p>
    <w:p w14:paraId="0ACEB514" w14:textId="77777777" w:rsidR="0062763A" w:rsidRPr="004E040B" w:rsidRDefault="00000000">
      <w:pPr>
        <w:keepLines/>
        <w:spacing w:after="60" w:line="240" w:lineRule="auto"/>
        <w:ind w:left="425" w:hanging="425"/>
        <w:rPr>
          <w:rFonts w:ascii="Times New Roman" w:hAnsi="Times New Roman" w:cs="Times New Roman"/>
        </w:rPr>
      </w:pPr>
      <w:r w:rsidRPr="004E040B">
        <w:rPr>
          <w:rFonts w:ascii="Times New Roman" w:hAnsi="Times New Roman" w:cs="Times New Roman"/>
          <w:sz w:val="21"/>
        </w:rPr>
        <w:t xml:space="preserve">Huang, Y. and Qian, L. (2025) 'Consumer preferences and willingness to pay for data privacy in automated vehicles', </w:t>
      </w:r>
      <w:r w:rsidRPr="004E040B">
        <w:rPr>
          <w:rFonts w:ascii="Times New Roman" w:hAnsi="Times New Roman" w:cs="Times New Roman"/>
          <w:i/>
          <w:sz w:val="21"/>
        </w:rPr>
        <w:t>Transportation Research Part A: Policy and Practice</w:t>
      </w:r>
      <w:r w:rsidRPr="004E040B">
        <w:rPr>
          <w:rFonts w:ascii="Times New Roman" w:hAnsi="Times New Roman" w:cs="Times New Roman"/>
          <w:sz w:val="21"/>
        </w:rPr>
        <w:t>, 199, 104585. https://doi.org/10.1016/j.tra.2025.104585.</w:t>
      </w:r>
    </w:p>
    <w:p w14:paraId="3705820E" w14:textId="77777777" w:rsidR="0062763A" w:rsidRPr="004E040B" w:rsidRDefault="00000000">
      <w:pPr>
        <w:keepLines/>
        <w:spacing w:after="60" w:line="240" w:lineRule="auto"/>
        <w:ind w:left="425" w:hanging="425"/>
        <w:rPr>
          <w:rFonts w:ascii="Times New Roman" w:hAnsi="Times New Roman" w:cs="Times New Roman"/>
        </w:rPr>
      </w:pPr>
      <w:r w:rsidRPr="004E040B">
        <w:rPr>
          <w:rFonts w:ascii="Times New Roman" w:hAnsi="Times New Roman" w:cs="Times New Roman"/>
          <w:sz w:val="21"/>
        </w:rPr>
        <w:t>Information Commissioner's Office (ICO) (2023) Guidance on AI and data protection. Available at: https://ico.org.uk/for-organisations/uk-gdpr-guidance-and-resources/artificial-intelligence/guidance-on-ai-and-data-protection/ (Accessed: 1 July 2026).</w:t>
      </w:r>
    </w:p>
    <w:p w14:paraId="695B18FE" w14:textId="77777777" w:rsidR="0062763A" w:rsidRPr="004E040B" w:rsidRDefault="00000000">
      <w:pPr>
        <w:keepLines/>
        <w:spacing w:after="60" w:line="240" w:lineRule="auto"/>
        <w:ind w:left="425" w:hanging="425"/>
        <w:rPr>
          <w:rFonts w:ascii="Times New Roman" w:hAnsi="Times New Roman" w:cs="Times New Roman"/>
        </w:rPr>
      </w:pPr>
      <w:r w:rsidRPr="004E040B">
        <w:rPr>
          <w:rFonts w:ascii="Times New Roman" w:hAnsi="Times New Roman" w:cs="Times New Roman"/>
          <w:sz w:val="21"/>
        </w:rPr>
        <w:t xml:space="preserve">Jensen, M.C. and Meckling, W.H. (1976) 'Theory of the firm: managerial behavior, agency costs and ownership structure', </w:t>
      </w:r>
      <w:r w:rsidRPr="004E040B">
        <w:rPr>
          <w:rFonts w:ascii="Times New Roman" w:hAnsi="Times New Roman" w:cs="Times New Roman"/>
          <w:i/>
          <w:sz w:val="21"/>
        </w:rPr>
        <w:t>Journal of Financial Economics</w:t>
      </w:r>
      <w:r w:rsidRPr="004E040B">
        <w:rPr>
          <w:rFonts w:ascii="Times New Roman" w:hAnsi="Times New Roman" w:cs="Times New Roman"/>
          <w:sz w:val="21"/>
        </w:rPr>
        <w:t>, 3(4), pp. 305-360.</w:t>
      </w:r>
    </w:p>
    <w:p w14:paraId="66DAB42B" w14:textId="77777777" w:rsidR="0062763A" w:rsidRPr="004E040B" w:rsidRDefault="00000000">
      <w:pPr>
        <w:keepLines/>
        <w:spacing w:after="60" w:line="240" w:lineRule="auto"/>
        <w:ind w:left="425" w:hanging="425"/>
        <w:rPr>
          <w:rFonts w:ascii="Times New Roman" w:hAnsi="Times New Roman" w:cs="Times New Roman"/>
        </w:rPr>
      </w:pPr>
      <w:r w:rsidRPr="004E040B">
        <w:rPr>
          <w:rFonts w:ascii="Times New Roman" w:hAnsi="Times New Roman" w:cs="Times New Roman"/>
          <w:sz w:val="21"/>
        </w:rPr>
        <w:t xml:space="preserve">Kenesei, Z., Ásványi, K., Kökény, L., Jászberényi, M., Miskolczi, M., Gyulavári, T. and Syahrivar, J. (2022) 'Trust and perceived risk: how different manifestations affect the adoption of autonomous vehicles', </w:t>
      </w:r>
      <w:r w:rsidRPr="004E040B">
        <w:rPr>
          <w:rFonts w:ascii="Times New Roman" w:hAnsi="Times New Roman" w:cs="Times New Roman"/>
          <w:i/>
          <w:sz w:val="21"/>
        </w:rPr>
        <w:t>Transportation Research Part A: Policy and Practice</w:t>
      </w:r>
      <w:r w:rsidRPr="004E040B">
        <w:rPr>
          <w:rFonts w:ascii="Times New Roman" w:hAnsi="Times New Roman" w:cs="Times New Roman"/>
          <w:sz w:val="21"/>
        </w:rPr>
        <w:t>, 164, pp. 379-393. https://doi.org/10.1016/j.tra.2022.08.022.</w:t>
      </w:r>
    </w:p>
    <w:p w14:paraId="6F3EC509" w14:textId="77777777" w:rsidR="0062763A" w:rsidRPr="004E040B" w:rsidRDefault="00000000">
      <w:pPr>
        <w:keepLines/>
        <w:spacing w:after="60" w:line="240" w:lineRule="auto"/>
        <w:ind w:left="425" w:hanging="425"/>
        <w:rPr>
          <w:rFonts w:ascii="Times New Roman" w:hAnsi="Times New Roman" w:cs="Times New Roman"/>
        </w:rPr>
      </w:pPr>
      <w:r w:rsidRPr="004E040B">
        <w:rPr>
          <w:rFonts w:ascii="Times New Roman" w:hAnsi="Times New Roman" w:cs="Times New Roman"/>
          <w:sz w:val="21"/>
        </w:rPr>
        <w:t xml:space="preserve">Khan, S.K., Shiwakoti, N., Stasinopoulos, P. and Warren, M. (2023) 'Cybersecurity regulatory challenges for connected and automated vehicles: state-of-the-art and future directions', </w:t>
      </w:r>
      <w:r w:rsidRPr="004E040B">
        <w:rPr>
          <w:rFonts w:ascii="Times New Roman" w:hAnsi="Times New Roman" w:cs="Times New Roman"/>
          <w:i/>
          <w:sz w:val="21"/>
        </w:rPr>
        <w:t>Transport Policy</w:t>
      </w:r>
      <w:r w:rsidRPr="004E040B">
        <w:rPr>
          <w:rFonts w:ascii="Times New Roman" w:hAnsi="Times New Roman" w:cs="Times New Roman"/>
          <w:sz w:val="21"/>
        </w:rPr>
        <w:t>, 143, pp. 58-71. https://doi.org/10.1016/j.tranpol.2023.09.001.</w:t>
      </w:r>
    </w:p>
    <w:p w14:paraId="5619EE4B" w14:textId="77777777" w:rsidR="0062763A" w:rsidRPr="004E040B" w:rsidRDefault="00000000">
      <w:pPr>
        <w:keepLines/>
        <w:spacing w:after="60" w:line="240" w:lineRule="auto"/>
        <w:ind w:left="425" w:hanging="425"/>
        <w:rPr>
          <w:rFonts w:ascii="Times New Roman" w:hAnsi="Times New Roman" w:cs="Times New Roman"/>
        </w:rPr>
      </w:pPr>
      <w:r w:rsidRPr="004E040B">
        <w:rPr>
          <w:rFonts w:ascii="Times New Roman" w:hAnsi="Times New Roman" w:cs="Times New Roman"/>
          <w:sz w:val="21"/>
        </w:rPr>
        <w:t xml:space="preserve">Kroll, J.A., Huey, J., Barocas, S., Felten, E.W., Reidenberg, J.R., Robinson, D.G. and Yu, H. (2017) 'Accountable algorithms', </w:t>
      </w:r>
      <w:r w:rsidRPr="004E040B">
        <w:rPr>
          <w:rFonts w:ascii="Times New Roman" w:hAnsi="Times New Roman" w:cs="Times New Roman"/>
          <w:i/>
          <w:sz w:val="21"/>
        </w:rPr>
        <w:t>University of Pennsylvania Law Review</w:t>
      </w:r>
      <w:r w:rsidRPr="004E040B">
        <w:rPr>
          <w:rFonts w:ascii="Times New Roman" w:hAnsi="Times New Roman" w:cs="Times New Roman"/>
          <w:sz w:val="21"/>
        </w:rPr>
        <w:t>, 165(3), pp. 633-705.</w:t>
      </w:r>
    </w:p>
    <w:p w14:paraId="3BD78F2F" w14:textId="77777777" w:rsidR="0062763A" w:rsidRPr="004E040B" w:rsidRDefault="00000000">
      <w:pPr>
        <w:keepLines/>
        <w:spacing w:after="60" w:line="240" w:lineRule="auto"/>
        <w:ind w:left="425" w:hanging="425"/>
        <w:rPr>
          <w:rFonts w:ascii="Times New Roman" w:hAnsi="Times New Roman" w:cs="Times New Roman"/>
        </w:rPr>
      </w:pPr>
      <w:r w:rsidRPr="004E040B">
        <w:rPr>
          <w:rFonts w:ascii="Times New Roman" w:hAnsi="Times New Roman" w:cs="Times New Roman"/>
          <w:sz w:val="21"/>
        </w:rPr>
        <w:t xml:space="preserve">Mayer, R.C., Davis, J.H. and Schoorman, F.D. (1995) 'An integrative model of organizational trust', </w:t>
      </w:r>
      <w:r w:rsidRPr="004E040B">
        <w:rPr>
          <w:rFonts w:ascii="Times New Roman" w:hAnsi="Times New Roman" w:cs="Times New Roman"/>
          <w:i/>
          <w:sz w:val="21"/>
        </w:rPr>
        <w:t>Academy of Management Review</w:t>
      </w:r>
      <w:r w:rsidRPr="004E040B">
        <w:rPr>
          <w:rFonts w:ascii="Times New Roman" w:hAnsi="Times New Roman" w:cs="Times New Roman"/>
          <w:sz w:val="21"/>
        </w:rPr>
        <w:t>, 20(3), pp. 709–734.</w:t>
      </w:r>
    </w:p>
    <w:p w14:paraId="579CD30B" w14:textId="77777777" w:rsidR="0062763A" w:rsidRPr="004E040B" w:rsidRDefault="00000000">
      <w:pPr>
        <w:keepLines/>
        <w:spacing w:after="60" w:line="240" w:lineRule="auto"/>
        <w:ind w:left="425" w:hanging="425"/>
        <w:rPr>
          <w:rFonts w:ascii="Times New Roman" w:hAnsi="Times New Roman" w:cs="Times New Roman"/>
        </w:rPr>
      </w:pPr>
      <w:r w:rsidRPr="004E040B">
        <w:rPr>
          <w:rFonts w:ascii="Times New Roman" w:hAnsi="Times New Roman" w:cs="Times New Roman"/>
          <w:sz w:val="21"/>
        </w:rPr>
        <w:t>MG Motor UK (2026a) Privacy Policy. Available at: https://www.mg.co.uk/privacy-policy (Accessed: 1 July 2026).</w:t>
      </w:r>
    </w:p>
    <w:p w14:paraId="36592616" w14:textId="77777777" w:rsidR="0062763A" w:rsidRPr="004E040B" w:rsidRDefault="00000000">
      <w:pPr>
        <w:keepLines/>
        <w:spacing w:after="60" w:line="240" w:lineRule="auto"/>
        <w:ind w:left="425" w:hanging="425"/>
        <w:rPr>
          <w:rFonts w:ascii="Times New Roman" w:hAnsi="Times New Roman" w:cs="Times New Roman"/>
        </w:rPr>
      </w:pPr>
      <w:r w:rsidRPr="004E040B">
        <w:rPr>
          <w:rFonts w:ascii="Times New Roman" w:hAnsi="Times New Roman" w:cs="Times New Roman"/>
          <w:sz w:val="21"/>
        </w:rPr>
        <w:t>MG Motor UK (2026b) MG Pilot Advanced Driver Assistance Systems Quick Guide. Available at: https://www.mg.co.uk/sites/default/files/2025-04/MG_ZS_Hybrid%2B_%20MG_Pilot_Quick_Guide_UK.pdf (Accessed: 1 July 2026).</w:t>
      </w:r>
    </w:p>
    <w:p w14:paraId="1516F2B6" w14:textId="77777777" w:rsidR="0062763A" w:rsidRPr="004E040B" w:rsidRDefault="00000000">
      <w:pPr>
        <w:keepLines/>
        <w:spacing w:after="60" w:line="240" w:lineRule="auto"/>
        <w:ind w:left="425" w:hanging="425"/>
        <w:rPr>
          <w:rFonts w:ascii="Times New Roman" w:hAnsi="Times New Roman" w:cs="Times New Roman"/>
        </w:rPr>
      </w:pPr>
      <w:r w:rsidRPr="004E040B">
        <w:rPr>
          <w:rFonts w:ascii="Times New Roman" w:hAnsi="Times New Roman" w:cs="Times New Roman"/>
          <w:sz w:val="21"/>
        </w:rPr>
        <w:t>National Highway Traffic Safety Administration (NHTSA) (2023a) Part 573 Safety Recall Report 23V-838: Tesla Autosteer. Available at: https://static.nhtsa.gov/odi/rcl/2023/RCLRPT-23V838-8276.PDF (Accessed: 1 July 2026).</w:t>
      </w:r>
    </w:p>
    <w:p w14:paraId="2C69E5FE" w14:textId="77777777" w:rsidR="0062763A" w:rsidRPr="004E040B" w:rsidRDefault="00000000">
      <w:pPr>
        <w:keepLines/>
        <w:spacing w:after="60" w:line="240" w:lineRule="auto"/>
        <w:ind w:left="425" w:hanging="425"/>
        <w:rPr>
          <w:rFonts w:ascii="Times New Roman" w:hAnsi="Times New Roman" w:cs="Times New Roman"/>
        </w:rPr>
      </w:pPr>
      <w:r w:rsidRPr="004E040B">
        <w:rPr>
          <w:rFonts w:ascii="Times New Roman" w:hAnsi="Times New Roman" w:cs="Times New Roman"/>
          <w:sz w:val="21"/>
        </w:rPr>
        <w:t>National Highway Traffic Safety Administration (NHTSA) (2023b) Part 573 Safety Recall Report 23V-085: Tesla Full Self-Driving Beta. Available at: https://static.nhtsa.gov/odi/rcl/2023/RCLRPT-23V085-3451.PDF (Accessed: 1 July 2026).</w:t>
      </w:r>
    </w:p>
    <w:p w14:paraId="75A90BC0" w14:textId="77777777" w:rsidR="0062763A" w:rsidRPr="004E040B" w:rsidRDefault="00000000">
      <w:pPr>
        <w:keepLines/>
        <w:spacing w:after="60" w:line="240" w:lineRule="auto"/>
        <w:ind w:left="425" w:hanging="425"/>
        <w:rPr>
          <w:rFonts w:ascii="Times New Roman" w:hAnsi="Times New Roman" w:cs="Times New Roman"/>
        </w:rPr>
      </w:pPr>
      <w:r w:rsidRPr="004E040B">
        <w:rPr>
          <w:rFonts w:ascii="Times New Roman" w:hAnsi="Times New Roman" w:cs="Times New Roman"/>
          <w:sz w:val="21"/>
        </w:rPr>
        <w:lastRenderedPageBreak/>
        <w:t>Office for National Statistics (ONS) (2026) Consumer price inflation, UK: May 2026. Available at: https://www.ons.gov.uk/economy/inflationandpriceindices/bulletins/consumerpriceinflation/may2026 (Accessed: 12 July 2026).</w:t>
      </w:r>
    </w:p>
    <w:p w14:paraId="7134B3B7" w14:textId="77777777" w:rsidR="0062763A" w:rsidRPr="004E040B" w:rsidRDefault="00000000">
      <w:pPr>
        <w:keepLines/>
        <w:spacing w:after="60" w:line="240" w:lineRule="auto"/>
        <w:ind w:left="425" w:hanging="425"/>
        <w:rPr>
          <w:rFonts w:ascii="Times New Roman" w:hAnsi="Times New Roman" w:cs="Times New Roman"/>
        </w:rPr>
      </w:pPr>
      <w:r w:rsidRPr="004E040B">
        <w:rPr>
          <w:rFonts w:ascii="Times New Roman" w:hAnsi="Times New Roman" w:cs="Times New Roman"/>
          <w:sz w:val="21"/>
        </w:rPr>
        <w:t xml:space="preserve">Raji, I.D., Smart, A., White, R.N., Mitchell, M., Gebru, T., Hutchinson, B., Smith-Loud, J., Theron, D. and Barnes, P. (2020) 'Closing the AI accountability gap: defining an end-to-end framework for internal algorithmic auditing', </w:t>
      </w:r>
      <w:r w:rsidRPr="004E040B">
        <w:rPr>
          <w:rFonts w:ascii="Times New Roman" w:hAnsi="Times New Roman" w:cs="Times New Roman"/>
          <w:i/>
          <w:sz w:val="21"/>
        </w:rPr>
        <w:t>Proceedings of the 2020 Conference on Fairness, Accountability, and Transparency</w:t>
      </w:r>
      <w:r w:rsidRPr="004E040B">
        <w:rPr>
          <w:rFonts w:ascii="Times New Roman" w:hAnsi="Times New Roman" w:cs="Times New Roman"/>
          <w:sz w:val="21"/>
        </w:rPr>
        <w:t>, pp. 33-44.</w:t>
      </w:r>
    </w:p>
    <w:p w14:paraId="0DDF7423" w14:textId="77777777" w:rsidR="0062763A" w:rsidRPr="004E040B" w:rsidRDefault="00000000">
      <w:pPr>
        <w:keepLines/>
        <w:spacing w:after="60" w:line="240" w:lineRule="auto"/>
        <w:ind w:left="425" w:hanging="425"/>
        <w:rPr>
          <w:rFonts w:ascii="Times New Roman" w:hAnsi="Times New Roman" w:cs="Times New Roman"/>
        </w:rPr>
      </w:pPr>
      <w:r w:rsidRPr="004E040B">
        <w:rPr>
          <w:rFonts w:ascii="Times New Roman" w:hAnsi="Times New Roman" w:cs="Times New Roman"/>
          <w:sz w:val="21"/>
        </w:rPr>
        <w:t xml:space="preserve">Schepis, D., Purchase, S., Olaru, D., Smith, B. and Ellis, N. (2023) 'How governments influence autonomous vehicle (AV) innovation', </w:t>
      </w:r>
      <w:r w:rsidRPr="004E040B">
        <w:rPr>
          <w:rFonts w:ascii="Times New Roman" w:hAnsi="Times New Roman" w:cs="Times New Roman"/>
          <w:i/>
          <w:sz w:val="21"/>
        </w:rPr>
        <w:t>Transportation Research Part A: Policy and Practice</w:t>
      </w:r>
      <w:r w:rsidRPr="004E040B">
        <w:rPr>
          <w:rFonts w:ascii="Times New Roman" w:hAnsi="Times New Roman" w:cs="Times New Roman"/>
          <w:sz w:val="21"/>
        </w:rPr>
        <w:t>, 178, 103874. https://doi.org/10.1016/j.tra.2023.103874.</w:t>
      </w:r>
    </w:p>
    <w:p w14:paraId="5077118B" w14:textId="77777777" w:rsidR="0062763A" w:rsidRPr="004E040B" w:rsidRDefault="00000000">
      <w:pPr>
        <w:keepLines/>
        <w:spacing w:after="60" w:line="240" w:lineRule="auto"/>
        <w:ind w:left="425" w:hanging="425"/>
        <w:rPr>
          <w:rFonts w:ascii="Times New Roman" w:hAnsi="Times New Roman" w:cs="Times New Roman"/>
        </w:rPr>
      </w:pPr>
      <w:r w:rsidRPr="004E040B">
        <w:rPr>
          <w:rFonts w:ascii="Times New Roman" w:hAnsi="Times New Roman" w:cs="Times New Roman"/>
          <w:sz w:val="21"/>
        </w:rPr>
        <w:t xml:space="preserve">Teece, D.J. (2007) 'Explicating dynamic capabilities: the nature and microfoundations of enterprise performance', </w:t>
      </w:r>
      <w:r w:rsidRPr="004E040B">
        <w:rPr>
          <w:rFonts w:ascii="Times New Roman" w:hAnsi="Times New Roman" w:cs="Times New Roman"/>
          <w:i/>
          <w:sz w:val="21"/>
        </w:rPr>
        <w:t>Strategic Management Journal</w:t>
      </w:r>
      <w:r w:rsidRPr="004E040B">
        <w:rPr>
          <w:rFonts w:ascii="Times New Roman" w:hAnsi="Times New Roman" w:cs="Times New Roman"/>
          <w:sz w:val="21"/>
        </w:rPr>
        <w:t>, 28(13), pp. 1319-1350.</w:t>
      </w:r>
    </w:p>
    <w:p w14:paraId="02E8EF7F" w14:textId="77777777" w:rsidR="0062763A" w:rsidRPr="004E040B" w:rsidRDefault="00000000">
      <w:pPr>
        <w:keepLines/>
        <w:spacing w:after="60" w:line="240" w:lineRule="auto"/>
        <w:ind w:left="425" w:hanging="425"/>
        <w:rPr>
          <w:rFonts w:ascii="Times New Roman" w:hAnsi="Times New Roman" w:cs="Times New Roman"/>
        </w:rPr>
      </w:pPr>
      <w:r w:rsidRPr="004E040B">
        <w:rPr>
          <w:rFonts w:ascii="Times New Roman" w:hAnsi="Times New Roman" w:cs="Times New Roman"/>
          <w:sz w:val="21"/>
        </w:rPr>
        <w:t>Tesla (2026a) Customer Privacy Notice. Available at: https://www.tesla.com/legal/privacy (Accessed: 1 July 2026).</w:t>
      </w:r>
    </w:p>
    <w:p w14:paraId="3D388120" w14:textId="77777777" w:rsidR="0062763A" w:rsidRPr="004E040B" w:rsidRDefault="00000000">
      <w:pPr>
        <w:keepLines/>
        <w:spacing w:after="60" w:line="240" w:lineRule="auto"/>
        <w:ind w:left="425" w:hanging="425"/>
        <w:rPr>
          <w:rFonts w:ascii="Times New Roman" w:hAnsi="Times New Roman" w:cs="Times New Roman"/>
        </w:rPr>
      </w:pPr>
      <w:r w:rsidRPr="004E040B">
        <w:rPr>
          <w:rFonts w:ascii="Times New Roman" w:hAnsi="Times New Roman" w:cs="Times New Roman"/>
          <w:sz w:val="21"/>
        </w:rPr>
        <w:t>Tesla (2026b) Autopilot and Full Self-Driving Capability. Available at: https://www.tesla.com/en_gb/support/autopilot (Accessed: 1 July 2026).</w:t>
      </w:r>
    </w:p>
    <w:p w14:paraId="3BBE85FD" w14:textId="77777777" w:rsidR="0062763A" w:rsidRPr="004E040B" w:rsidRDefault="00000000">
      <w:pPr>
        <w:keepLines/>
        <w:spacing w:after="60" w:line="240" w:lineRule="auto"/>
        <w:ind w:left="425" w:hanging="425"/>
        <w:rPr>
          <w:rFonts w:ascii="Times New Roman" w:hAnsi="Times New Roman" w:cs="Times New Roman"/>
        </w:rPr>
      </w:pPr>
      <w:r w:rsidRPr="004E040B">
        <w:rPr>
          <w:rFonts w:ascii="Times New Roman" w:hAnsi="Times New Roman" w:cs="Times New Roman"/>
          <w:sz w:val="21"/>
        </w:rPr>
        <w:t>UK Government (2025) Automated Vehicles Act implementation programme. Available at: https://www.gov.uk/guidance/automated-vehicles-act-implementation-programme (Accessed: 12 July 2026).</w:t>
      </w:r>
    </w:p>
    <w:p w14:paraId="172711D4" w14:textId="77777777" w:rsidR="0062763A" w:rsidRPr="004E040B" w:rsidRDefault="00000000">
      <w:pPr>
        <w:keepLines/>
        <w:spacing w:after="60" w:line="240" w:lineRule="auto"/>
        <w:ind w:left="425" w:hanging="425"/>
        <w:rPr>
          <w:rFonts w:ascii="Times New Roman" w:hAnsi="Times New Roman" w:cs="Times New Roman"/>
        </w:rPr>
      </w:pPr>
      <w:r w:rsidRPr="004E040B">
        <w:rPr>
          <w:rFonts w:ascii="Times New Roman" w:hAnsi="Times New Roman" w:cs="Times New Roman"/>
          <w:sz w:val="21"/>
        </w:rPr>
        <w:t>UK Parliament (2024) Automated Vehicles Act 2024. Available at: https://www.legislation.gov.uk/ukpga/2024/10/contents (Accessed: 1 July 2026).</w:t>
      </w:r>
    </w:p>
    <w:p w14:paraId="50E3C077" w14:textId="77777777" w:rsidR="0062763A" w:rsidRPr="004E040B" w:rsidRDefault="00000000">
      <w:pPr>
        <w:keepLines/>
        <w:spacing w:after="60" w:line="240" w:lineRule="auto"/>
        <w:ind w:left="425" w:hanging="425"/>
        <w:rPr>
          <w:rFonts w:ascii="Times New Roman" w:hAnsi="Times New Roman" w:cs="Times New Roman"/>
        </w:rPr>
      </w:pPr>
      <w:r w:rsidRPr="004E040B">
        <w:rPr>
          <w:rFonts w:ascii="Times New Roman" w:hAnsi="Times New Roman" w:cs="Times New Roman"/>
          <w:sz w:val="21"/>
        </w:rPr>
        <w:t>Volkswagen AG (2026) Privacy Policy for VW Connect Mobile Online Services. Available at: https://consent.vwgroup.io/consent/v1/texts/weconnect/gb/en/dataprivacy/latest/pdf (Accessed: 1 July 2026).</w:t>
      </w:r>
    </w:p>
    <w:p w14:paraId="4C5B75E3" w14:textId="77777777" w:rsidR="0062763A" w:rsidRPr="004E040B" w:rsidRDefault="00000000">
      <w:pPr>
        <w:keepLines/>
        <w:spacing w:after="60" w:line="240" w:lineRule="auto"/>
        <w:ind w:left="425" w:hanging="425"/>
        <w:rPr>
          <w:rFonts w:ascii="Times New Roman" w:hAnsi="Times New Roman" w:cs="Times New Roman"/>
        </w:rPr>
      </w:pPr>
      <w:r w:rsidRPr="004E040B">
        <w:rPr>
          <w:rFonts w:ascii="Times New Roman" w:hAnsi="Times New Roman" w:cs="Times New Roman"/>
          <w:sz w:val="21"/>
        </w:rPr>
        <w:t xml:space="preserve">Williamson, O.E. (1985) </w:t>
      </w:r>
      <w:r w:rsidRPr="004E040B">
        <w:rPr>
          <w:rFonts w:ascii="Times New Roman" w:hAnsi="Times New Roman" w:cs="Times New Roman"/>
          <w:i/>
          <w:sz w:val="21"/>
        </w:rPr>
        <w:t>The Economic Institutions of Capitalism</w:t>
      </w:r>
      <w:r w:rsidRPr="004E040B">
        <w:rPr>
          <w:rFonts w:ascii="Times New Roman" w:hAnsi="Times New Roman" w:cs="Times New Roman"/>
          <w:sz w:val="21"/>
        </w:rPr>
        <w:t>. New York: Free Press.</w:t>
      </w:r>
    </w:p>
    <w:sectPr w:rsidR="0062763A" w:rsidRPr="004E040B" w:rsidSect="00034616">
      <w:footerReference w:type="default" r:id="rId8"/>
      <w:footerReference w:type="first" r:id="rId9"/>
      <w:pgSz w:w="11906" w:h="16838"/>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3682B6" w14:textId="77777777" w:rsidR="00F33B29" w:rsidRDefault="00F33B29">
      <w:pPr>
        <w:spacing w:after="0" w:line="240" w:lineRule="auto"/>
      </w:pPr>
      <w:r>
        <w:separator/>
      </w:r>
    </w:p>
  </w:endnote>
  <w:endnote w:type="continuationSeparator" w:id="0">
    <w:p w14:paraId="4A7A9744" w14:textId="77777777" w:rsidR="00F33B29" w:rsidRDefault="00F33B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宋体">
    <w:altName w:val="SimSun"/>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57BD86" w14:textId="77777777" w:rsidR="00AA23BB" w:rsidRDefault="00000000">
    <w:pPr>
      <w:pStyle w:val="a7"/>
      <w:jc w:val="center"/>
    </w:pPr>
    <w:r>
      <w:fldChar w:fldCharType="begin"/>
    </w:r>
    <w:r>
      <w:instrText>PAGE</w:instrText>
    </w:r>
    <w:r>
      <w:fldChar w:fldCharType="separate"/>
    </w:r>
    <w:r w:rsidR="00931230">
      <w:rPr>
        <w:noProof/>
      </w:rP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F0A05A" w14:textId="77777777" w:rsidR="00AA23BB" w:rsidRDefault="00AA23BB">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BE0702" w14:textId="77777777" w:rsidR="00F33B29" w:rsidRDefault="00F33B29">
      <w:pPr>
        <w:spacing w:after="0" w:line="240" w:lineRule="auto"/>
      </w:pPr>
      <w:r>
        <w:separator/>
      </w:r>
    </w:p>
  </w:footnote>
  <w:footnote w:type="continuationSeparator" w:id="0">
    <w:p w14:paraId="3B703EE9" w14:textId="77777777" w:rsidR="00F33B29" w:rsidRDefault="00F33B2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30"/>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20"/>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a"/>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a0"/>
      <w:lvlText w:val=""/>
      <w:lvlJc w:val="left"/>
      <w:pPr>
        <w:tabs>
          <w:tab w:val="num" w:pos="360"/>
        </w:tabs>
        <w:ind w:left="360" w:hanging="360"/>
      </w:pPr>
      <w:rPr>
        <w:rFonts w:ascii="Symbol" w:hAnsi="Symbol" w:hint="default"/>
      </w:rPr>
    </w:lvl>
  </w:abstractNum>
  <w:num w:numId="1" w16cid:durableId="1146312360">
    <w:abstractNumId w:val="8"/>
  </w:num>
  <w:num w:numId="2" w16cid:durableId="557860403">
    <w:abstractNumId w:val="6"/>
  </w:num>
  <w:num w:numId="3" w16cid:durableId="479346014">
    <w:abstractNumId w:val="5"/>
  </w:num>
  <w:num w:numId="4" w16cid:durableId="706568425">
    <w:abstractNumId w:val="4"/>
  </w:num>
  <w:num w:numId="5" w16cid:durableId="1085885564">
    <w:abstractNumId w:val="7"/>
  </w:num>
  <w:num w:numId="6" w16cid:durableId="1113793649">
    <w:abstractNumId w:val="3"/>
  </w:num>
  <w:num w:numId="7" w16cid:durableId="1438333244">
    <w:abstractNumId w:val="2"/>
  </w:num>
  <w:num w:numId="8" w16cid:durableId="156966834">
    <w:abstractNumId w:val="1"/>
  </w:num>
  <w:num w:numId="9" w16cid:durableId="6372247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0E37E4"/>
    <w:rsid w:val="0015074B"/>
    <w:rsid w:val="0020126F"/>
    <w:rsid w:val="00214C04"/>
    <w:rsid w:val="00223456"/>
    <w:rsid w:val="0029639D"/>
    <w:rsid w:val="00326F90"/>
    <w:rsid w:val="004E040B"/>
    <w:rsid w:val="00560AF3"/>
    <w:rsid w:val="0062763A"/>
    <w:rsid w:val="00780FD2"/>
    <w:rsid w:val="00931230"/>
    <w:rsid w:val="009E38D1"/>
    <w:rsid w:val="00A871A6"/>
    <w:rsid w:val="00AA1D8D"/>
    <w:rsid w:val="00AA23BB"/>
    <w:rsid w:val="00B47730"/>
    <w:rsid w:val="00CB0664"/>
    <w:rsid w:val="00CD1B9C"/>
    <w:rsid w:val="00E908F7"/>
    <w:rsid w:val="00F33B2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4F78250"/>
  <w14:defaultImageDpi w14:val="300"/>
  <w15:docId w15:val="{0DB9481B-9A83-416A-BAA8-C68FA93E59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en-GB"/>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FC693F"/>
    <w:pPr>
      <w:spacing w:after="120" w:line="480" w:lineRule="auto"/>
    </w:pPr>
    <w:rPr>
      <w:rFonts w:ascii="Arial" w:eastAsia="Arial" w:hAnsi="Arial"/>
      <w:sz w:val="24"/>
    </w:rPr>
  </w:style>
  <w:style w:type="paragraph" w:styleId="1">
    <w:name w:val="heading 1"/>
    <w:basedOn w:val="a1"/>
    <w:next w:val="a1"/>
    <w:link w:val="10"/>
    <w:uiPriority w:val="9"/>
    <w:qFormat/>
    <w:rsid w:val="00FC693F"/>
    <w:pPr>
      <w:keepNext/>
      <w:keepLines/>
      <w:spacing w:before="480" w:after="0" w:line="360" w:lineRule="auto"/>
      <w:outlineLvl w:val="0"/>
    </w:pPr>
    <w:rPr>
      <w:rFonts w:asciiTheme="majorHAnsi" w:eastAsiaTheme="majorEastAsia" w:hAnsiTheme="majorHAnsi" w:cstheme="majorBidi"/>
      <w:b/>
      <w:bCs/>
      <w:color w:val="000000"/>
      <w:sz w:val="28"/>
      <w:szCs w:val="28"/>
    </w:rPr>
  </w:style>
  <w:style w:type="paragraph" w:styleId="21">
    <w:name w:val="heading 2"/>
    <w:basedOn w:val="a1"/>
    <w:next w:val="a1"/>
    <w:link w:val="22"/>
    <w:uiPriority w:val="9"/>
    <w:unhideWhenUsed/>
    <w:qFormat/>
    <w:rsid w:val="00FC693F"/>
    <w:pPr>
      <w:keepNext/>
      <w:keepLines/>
      <w:spacing w:before="200" w:after="0" w:line="360" w:lineRule="auto"/>
      <w:outlineLvl w:val="1"/>
    </w:pPr>
    <w:rPr>
      <w:rFonts w:asciiTheme="majorHAnsi" w:eastAsiaTheme="majorEastAsia" w:hAnsiTheme="majorHAnsi" w:cstheme="majorBidi"/>
      <w:b/>
      <w:bCs/>
      <w:color w:val="000000"/>
      <w:szCs w:val="26"/>
    </w:rPr>
  </w:style>
  <w:style w:type="paragraph" w:styleId="31">
    <w:name w:val="heading 3"/>
    <w:basedOn w:val="a1"/>
    <w:next w:val="a1"/>
    <w:link w:val="32"/>
    <w:uiPriority w:val="9"/>
    <w:unhideWhenUsed/>
    <w:qFormat/>
    <w:rsid w:val="00FC693F"/>
    <w:pPr>
      <w:keepNext/>
      <w:keepLines/>
      <w:spacing w:before="200" w:after="0" w:line="360" w:lineRule="auto"/>
      <w:outlineLvl w:val="2"/>
    </w:pPr>
    <w:rPr>
      <w:rFonts w:asciiTheme="majorHAnsi" w:eastAsiaTheme="majorEastAsia" w:hAnsiTheme="majorHAnsi" w:cstheme="majorBidi"/>
      <w:b/>
      <w:bCs/>
      <w:color w:val="000000"/>
    </w:rPr>
  </w:style>
  <w:style w:type="paragraph" w:styleId="4">
    <w:name w:val="heading 4"/>
    <w:basedOn w:val="a1"/>
    <w:next w:val="a1"/>
    <w:link w:val="40"/>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0"/>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0"/>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1"/>
    <w:next w:val="a1"/>
    <w:link w:val="90"/>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a6"/>
    <w:uiPriority w:val="99"/>
    <w:unhideWhenUsed/>
    <w:rsid w:val="00E618BF"/>
    <w:pPr>
      <w:tabs>
        <w:tab w:val="center" w:pos="4680"/>
        <w:tab w:val="right" w:pos="9360"/>
      </w:tabs>
      <w:spacing w:after="0" w:line="240" w:lineRule="auto"/>
    </w:pPr>
  </w:style>
  <w:style w:type="character" w:customStyle="1" w:styleId="a6">
    <w:name w:val="页眉 字符"/>
    <w:basedOn w:val="a2"/>
    <w:link w:val="a5"/>
    <w:uiPriority w:val="99"/>
    <w:rsid w:val="00E618BF"/>
  </w:style>
  <w:style w:type="paragraph" w:styleId="a7">
    <w:name w:val="footer"/>
    <w:basedOn w:val="a1"/>
    <w:link w:val="a8"/>
    <w:uiPriority w:val="99"/>
    <w:unhideWhenUsed/>
    <w:rsid w:val="00E618BF"/>
    <w:pPr>
      <w:tabs>
        <w:tab w:val="center" w:pos="4680"/>
        <w:tab w:val="right" w:pos="9360"/>
      </w:tabs>
      <w:spacing w:after="0" w:line="240" w:lineRule="auto"/>
    </w:pPr>
  </w:style>
  <w:style w:type="character" w:customStyle="1" w:styleId="a8">
    <w:name w:val="页脚 字符"/>
    <w:basedOn w:val="a2"/>
    <w:link w:val="a7"/>
    <w:uiPriority w:val="99"/>
    <w:rsid w:val="00E618BF"/>
  </w:style>
  <w:style w:type="paragraph" w:styleId="a9">
    <w:name w:val="No Spacing"/>
    <w:uiPriority w:val="1"/>
    <w:qFormat/>
    <w:rsid w:val="00FC693F"/>
    <w:pPr>
      <w:spacing w:after="0" w:line="240" w:lineRule="auto"/>
    </w:pPr>
  </w:style>
  <w:style w:type="character" w:customStyle="1" w:styleId="10">
    <w:name w:val="标题 1 字符"/>
    <w:basedOn w:val="a2"/>
    <w:link w:val="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22">
    <w:name w:val="标题 2 字符"/>
    <w:basedOn w:val="a2"/>
    <w:link w:val="21"/>
    <w:uiPriority w:val="9"/>
    <w:rsid w:val="00FC693F"/>
    <w:rPr>
      <w:rFonts w:asciiTheme="majorHAnsi" w:eastAsiaTheme="majorEastAsia" w:hAnsiTheme="majorHAnsi" w:cstheme="majorBidi"/>
      <w:b/>
      <w:bCs/>
      <w:color w:val="4F81BD" w:themeColor="accent1"/>
      <w:sz w:val="26"/>
      <w:szCs w:val="26"/>
    </w:rPr>
  </w:style>
  <w:style w:type="character" w:customStyle="1" w:styleId="32">
    <w:name w:val="标题 3 字符"/>
    <w:basedOn w:val="a2"/>
    <w:link w:val="31"/>
    <w:uiPriority w:val="9"/>
    <w:rsid w:val="00FC693F"/>
    <w:rPr>
      <w:rFonts w:asciiTheme="majorHAnsi" w:eastAsiaTheme="majorEastAsia" w:hAnsiTheme="majorHAnsi" w:cstheme="majorBidi"/>
      <w:b/>
      <w:bCs/>
      <w:color w:val="4F81BD" w:themeColor="accent1"/>
    </w:rPr>
  </w:style>
  <w:style w:type="paragraph" w:styleId="aa">
    <w:name w:val="Title"/>
    <w:basedOn w:val="a1"/>
    <w:next w:val="a1"/>
    <w:link w:val="ab"/>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b">
    <w:name w:val="标题 字符"/>
    <w:basedOn w:val="a2"/>
    <w:link w:val="aa"/>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c">
    <w:name w:val="Subtitle"/>
    <w:basedOn w:val="a1"/>
    <w:next w:val="a1"/>
    <w:link w:val="ad"/>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ad">
    <w:name w:val="副标题 字符"/>
    <w:basedOn w:val="a2"/>
    <w:link w:val="ac"/>
    <w:uiPriority w:val="11"/>
    <w:rsid w:val="00FC693F"/>
    <w:rPr>
      <w:rFonts w:asciiTheme="majorHAnsi" w:eastAsiaTheme="majorEastAsia" w:hAnsiTheme="majorHAnsi" w:cstheme="majorBidi"/>
      <w:i/>
      <w:iCs/>
      <w:color w:val="4F81BD" w:themeColor="accent1"/>
      <w:spacing w:val="15"/>
      <w:sz w:val="24"/>
      <w:szCs w:val="24"/>
    </w:rPr>
  </w:style>
  <w:style w:type="paragraph" w:styleId="ae">
    <w:name w:val="List Paragraph"/>
    <w:basedOn w:val="a1"/>
    <w:uiPriority w:val="34"/>
    <w:qFormat/>
    <w:rsid w:val="00FC693F"/>
    <w:pPr>
      <w:ind w:left="720"/>
      <w:contextualSpacing/>
    </w:pPr>
  </w:style>
  <w:style w:type="paragraph" w:styleId="af">
    <w:name w:val="Body Text"/>
    <w:basedOn w:val="a1"/>
    <w:link w:val="af0"/>
    <w:uiPriority w:val="99"/>
    <w:unhideWhenUsed/>
    <w:rsid w:val="00AA1D8D"/>
  </w:style>
  <w:style w:type="character" w:customStyle="1" w:styleId="af0">
    <w:name w:val="正文文本 字符"/>
    <w:basedOn w:val="a2"/>
    <w:link w:val="af"/>
    <w:uiPriority w:val="99"/>
    <w:rsid w:val="00AA1D8D"/>
  </w:style>
  <w:style w:type="paragraph" w:styleId="23">
    <w:name w:val="Body Text 2"/>
    <w:basedOn w:val="a1"/>
    <w:link w:val="24"/>
    <w:uiPriority w:val="99"/>
    <w:unhideWhenUsed/>
    <w:rsid w:val="00AA1D8D"/>
  </w:style>
  <w:style w:type="character" w:customStyle="1" w:styleId="24">
    <w:name w:val="正文文本 2 字符"/>
    <w:basedOn w:val="a2"/>
    <w:link w:val="23"/>
    <w:uiPriority w:val="99"/>
    <w:rsid w:val="00AA1D8D"/>
  </w:style>
  <w:style w:type="paragraph" w:styleId="33">
    <w:name w:val="Body Text 3"/>
    <w:basedOn w:val="a1"/>
    <w:link w:val="34"/>
    <w:uiPriority w:val="99"/>
    <w:unhideWhenUsed/>
    <w:rsid w:val="00AA1D8D"/>
    <w:rPr>
      <w:sz w:val="16"/>
      <w:szCs w:val="16"/>
    </w:rPr>
  </w:style>
  <w:style w:type="character" w:customStyle="1" w:styleId="34">
    <w:name w:val="正文文本 3 字符"/>
    <w:basedOn w:val="a2"/>
    <w:link w:val="33"/>
    <w:uiPriority w:val="99"/>
    <w:rsid w:val="00AA1D8D"/>
    <w:rPr>
      <w:sz w:val="16"/>
      <w:szCs w:val="16"/>
    </w:rPr>
  </w:style>
  <w:style w:type="paragraph" w:styleId="af1">
    <w:name w:val="List"/>
    <w:basedOn w:val="a1"/>
    <w:uiPriority w:val="99"/>
    <w:unhideWhenUsed/>
    <w:rsid w:val="00AA1D8D"/>
    <w:pPr>
      <w:ind w:left="360" w:hanging="360"/>
      <w:contextualSpacing/>
    </w:pPr>
  </w:style>
  <w:style w:type="paragraph" w:styleId="25">
    <w:name w:val="List 2"/>
    <w:basedOn w:val="a1"/>
    <w:uiPriority w:val="99"/>
    <w:unhideWhenUsed/>
    <w:rsid w:val="00326F90"/>
    <w:pPr>
      <w:ind w:left="720" w:hanging="360"/>
      <w:contextualSpacing/>
    </w:pPr>
  </w:style>
  <w:style w:type="paragraph" w:styleId="35">
    <w:name w:val="List 3"/>
    <w:basedOn w:val="a1"/>
    <w:uiPriority w:val="99"/>
    <w:unhideWhenUsed/>
    <w:rsid w:val="00326F90"/>
    <w:pPr>
      <w:ind w:left="1080" w:hanging="360"/>
      <w:contextualSpacing/>
    </w:pPr>
  </w:style>
  <w:style w:type="paragraph" w:styleId="a0">
    <w:name w:val="List Bullet"/>
    <w:basedOn w:val="a1"/>
    <w:uiPriority w:val="99"/>
    <w:unhideWhenUsed/>
    <w:rsid w:val="00326F90"/>
    <w:pPr>
      <w:numPr>
        <w:numId w:val="1"/>
      </w:numPr>
      <w:contextualSpacing/>
    </w:pPr>
  </w:style>
  <w:style w:type="paragraph" w:styleId="20">
    <w:name w:val="List Bullet 2"/>
    <w:basedOn w:val="a1"/>
    <w:uiPriority w:val="99"/>
    <w:unhideWhenUsed/>
    <w:rsid w:val="00326F90"/>
    <w:pPr>
      <w:numPr>
        <w:numId w:val="2"/>
      </w:numPr>
      <w:contextualSpacing/>
    </w:pPr>
  </w:style>
  <w:style w:type="paragraph" w:styleId="30">
    <w:name w:val="List Bullet 3"/>
    <w:basedOn w:val="a1"/>
    <w:uiPriority w:val="99"/>
    <w:unhideWhenUsed/>
    <w:rsid w:val="00326F90"/>
    <w:pPr>
      <w:numPr>
        <w:numId w:val="3"/>
      </w:numPr>
      <w:contextualSpacing/>
    </w:pPr>
  </w:style>
  <w:style w:type="paragraph" w:styleId="a">
    <w:name w:val="List Number"/>
    <w:basedOn w:val="a1"/>
    <w:uiPriority w:val="99"/>
    <w:unhideWhenUsed/>
    <w:rsid w:val="00326F90"/>
    <w:pPr>
      <w:numPr>
        <w:numId w:val="5"/>
      </w:numPr>
      <w:contextualSpacing/>
    </w:pPr>
  </w:style>
  <w:style w:type="paragraph" w:styleId="2">
    <w:name w:val="List Number 2"/>
    <w:basedOn w:val="a1"/>
    <w:uiPriority w:val="99"/>
    <w:unhideWhenUsed/>
    <w:rsid w:val="0029639D"/>
    <w:pPr>
      <w:numPr>
        <w:numId w:val="6"/>
      </w:numPr>
      <w:contextualSpacing/>
    </w:pPr>
  </w:style>
  <w:style w:type="paragraph" w:styleId="3">
    <w:name w:val="List Number 3"/>
    <w:basedOn w:val="a1"/>
    <w:uiPriority w:val="99"/>
    <w:unhideWhenUsed/>
    <w:rsid w:val="0029639D"/>
    <w:pPr>
      <w:numPr>
        <w:numId w:val="7"/>
      </w:numPr>
      <w:contextualSpacing/>
    </w:pPr>
  </w:style>
  <w:style w:type="paragraph" w:styleId="af2">
    <w:name w:val="List Continue"/>
    <w:basedOn w:val="a1"/>
    <w:uiPriority w:val="99"/>
    <w:unhideWhenUsed/>
    <w:rsid w:val="0029639D"/>
    <w:pPr>
      <w:ind w:left="360"/>
      <w:contextualSpacing/>
    </w:pPr>
  </w:style>
  <w:style w:type="paragraph" w:styleId="26">
    <w:name w:val="List Continue 2"/>
    <w:basedOn w:val="a1"/>
    <w:uiPriority w:val="99"/>
    <w:unhideWhenUsed/>
    <w:rsid w:val="0029639D"/>
    <w:pPr>
      <w:ind w:left="720"/>
      <w:contextualSpacing/>
    </w:pPr>
  </w:style>
  <w:style w:type="paragraph" w:styleId="36">
    <w:name w:val="List Continue 3"/>
    <w:basedOn w:val="a1"/>
    <w:uiPriority w:val="99"/>
    <w:unhideWhenUsed/>
    <w:rsid w:val="0029639D"/>
    <w:pPr>
      <w:ind w:left="1080"/>
      <w:contextualSpacing/>
    </w:pPr>
  </w:style>
  <w:style w:type="paragraph" w:styleId="af3">
    <w:name w:val="macro"/>
    <w:link w:val="af4"/>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af4">
    <w:name w:val="宏文本 字符"/>
    <w:basedOn w:val="a2"/>
    <w:link w:val="af3"/>
    <w:uiPriority w:val="99"/>
    <w:rsid w:val="0029639D"/>
    <w:rPr>
      <w:rFonts w:ascii="Courier" w:hAnsi="Courier"/>
      <w:sz w:val="20"/>
      <w:szCs w:val="20"/>
    </w:rPr>
  </w:style>
  <w:style w:type="paragraph" w:styleId="af5">
    <w:name w:val="Quote"/>
    <w:basedOn w:val="a1"/>
    <w:next w:val="a1"/>
    <w:link w:val="af6"/>
    <w:uiPriority w:val="29"/>
    <w:qFormat/>
    <w:rsid w:val="00FC693F"/>
    <w:rPr>
      <w:i/>
      <w:iCs/>
      <w:color w:val="000000" w:themeColor="text1"/>
    </w:rPr>
  </w:style>
  <w:style w:type="character" w:customStyle="1" w:styleId="af6">
    <w:name w:val="引用 字符"/>
    <w:basedOn w:val="a2"/>
    <w:link w:val="af5"/>
    <w:uiPriority w:val="29"/>
    <w:rsid w:val="00FC693F"/>
    <w:rPr>
      <w:i/>
      <w:iCs/>
      <w:color w:val="000000" w:themeColor="text1"/>
    </w:rPr>
  </w:style>
  <w:style w:type="character" w:customStyle="1" w:styleId="40">
    <w:name w:val="标题 4 字符"/>
    <w:basedOn w:val="a2"/>
    <w:link w:val="4"/>
    <w:uiPriority w:val="9"/>
    <w:semiHidden/>
    <w:rsid w:val="00FC693F"/>
    <w:rPr>
      <w:rFonts w:asciiTheme="majorHAnsi" w:eastAsiaTheme="majorEastAsia" w:hAnsiTheme="majorHAnsi" w:cstheme="majorBidi"/>
      <w:b/>
      <w:bCs/>
      <w:i/>
      <w:iCs/>
      <w:color w:val="4F81BD" w:themeColor="accent1"/>
    </w:rPr>
  </w:style>
  <w:style w:type="character" w:customStyle="1" w:styleId="50">
    <w:name w:val="标题 5 字符"/>
    <w:basedOn w:val="a2"/>
    <w:link w:val="5"/>
    <w:uiPriority w:val="9"/>
    <w:semiHidden/>
    <w:rsid w:val="00FC693F"/>
    <w:rPr>
      <w:rFonts w:asciiTheme="majorHAnsi" w:eastAsiaTheme="majorEastAsia" w:hAnsiTheme="majorHAnsi" w:cstheme="majorBidi"/>
      <w:color w:val="243F60" w:themeColor="accent1" w:themeShade="7F"/>
    </w:rPr>
  </w:style>
  <w:style w:type="character" w:customStyle="1" w:styleId="60">
    <w:name w:val="标题 6 字符"/>
    <w:basedOn w:val="a2"/>
    <w:link w:val="6"/>
    <w:uiPriority w:val="9"/>
    <w:semiHidden/>
    <w:rsid w:val="00FC693F"/>
    <w:rPr>
      <w:rFonts w:asciiTheme="majorHAnsi" w:eastAsiaTheme="majorEastAsia" w:hAnsiTheme="majorHAnsi" w:cstheme="majorBidi"/>
      <w:i/>
      <w:iCs/>
      <w:color w:val="243F60" w:themeColor="accent1" w:themeShade="7F"/>
    </w:rPr>
  </w:style>
  <w:style w:type="character" w:customStyle="1" w:styleId="70">
    <w:name w:val="标题 7 字符"/>
    <w:basedOn w:val="a2"/>
    <w:link w:val="7"/>
    <w:uiPriority w:val="9"/>
    <w:semiHidden/>
    <w:rsid w:val="00FC693F"/>
    <w:rPr>
      <w:rFonts w:asciiTheme="majorHAnsi" w:eastAsiaTheme="majorEastAsia" w:hAnsiTheme="majorHAnsi" w:cstheme="majorBidi"/>
      <w:i/>
      <w:iCs/>
      <w:color w:val="404040" w:themeColor="text1" w:themeTint="BF"/>
    </w:rPr>
  </w:style>
  <w:style w:type="character" w:customStyle="1" w:styleId="80">
    <w:name w:val="标题 8 字符"/>
    <w:basedOn w:val="a2"/>
    <w:link w:val="8"/>
    <w:uiPriority w:val="9"/>
    <w:semiHidden/>
    <w:rsid w:val="00FC693F"/>
    <w:rPr>
      <w:rFonts w:asciiTheme="majorHAnsi" w:eastAsiaTheme="majorEastAsia" w:hAnsiTheme="majorHAnsi" w:cstheme="majorBidi"/>
      <w:color w:val="4F81BD" w:themeColor="accent1"/>
      <w:sz w:val="20"/>
      <w:szCs w:val="20"/>
    </w:rPr>
  </w:style>
  <w:style w:type="character" w:customStyle="1" w:styleId="90">
    <w:name w:val="标题 9 字符"/>
    <w:basedOn w:val="a2"/>
    <w:link w:val="9"/>
    <w:uiPriority w:val="9"/>
    <w:semiHidden/>
    <w:rsid w:val="00FC693F"/>
    <w:rPr>
      <w:rFonts w:asciiTheme="majorHAnsi" w:eastAsiaTheme="majorEastAsia" w:hAnsiTheme="majorHAnsi" w:cstheme="majorBidi"/>
      <w:i/>
      <w:iCs/>
      <w:color w:val="404040" w:themeColor="text1" w:themeTint="BF"/>
      <w:sz w:val="20"/>
      <w:szCs w:val="20"/>
    </w:rPr>
  </w:style>
  <w:style w:type="paragraph" w:styleId="af7">
    <w:name w:val="caption"/>
    <w:basedOn w:val="a1"/>
    <w:next w:val="a1"/>
    <w:uiPriority w:val="35"/>
    <w:semiHidden/>
    <w:unhideWhenUsed/>
    <w:qFormat/>
    <w:rsid w:val="00FC693F"/>
    <w:pPr>
      <w:spacing w:line="240" w:lineRule="auto"/>
    </w:pPr>
    <w:rPr>
      <w:b/>
      <w:bCs/>
      <w:color w:val="4F81BD" w:themeColor="accent1"/>
      <w:sz w:val="18"/>
      <w:szCs w:val="18"/>
    </w:rPr>
  </w:style>
  <w:style w:type="character" w:styleId="af8">
    <w:name w:val="Strong"/>
    <w:basedOn w:val="a2"/>
    <w:uiPriority w:val="22"/>
    <w:qFormat/>
    <w:rsid w:val="00FC693F"/>
    <w:rPr>
      <w:b/>
      <w:bCs/>
    </w:rPr>
  </w:style>
  <w:style w:type="character" w:styleId="af9">
    <w:name w:val="Emphasis"/>
    <w:basedOn w:val="a2"/>
    <w:uiPriority w:val="20"/>
    <w:qFormat/>
    <w:rsid w:val="00FC693F"/>
    <w:rPr>
      <w:i/>
      <w:iCs/>
    </w:rPr>
  </w:style>
  <w:style w:type="paragraph" w:styleId="afa">
    <w:name w:val="Intense Quote"/>
    <w:basedOn w:val="a1"/>
    <w:next w:val="a1"/>
    <w:link w:val="afb"/>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afb">
    <w:name w:val="明显引用 字符"/>
    <w:basedOn w:val="a2"/>
    <w:link w:val="afa"/>
    <w:uiPriority w:val="30"/>
    <w:rsid w:val="00FC693F"/>
    <w:rPr>
      <w:b/>
      <w:bCs/>
      <w:i/>
      <w:iCs/>
      <w:color w:val="4F81BD" w:themeColor="accent1"/>
    </w:rPr>
  </w:style>
  <w:style w:type="character" w:styleId="afc">
    <w:name w:val="Subtle Emphasis"/>
    <w:basedOn w:val="a2"/>
    <w:uiPriority w:val="19"/>
    <w:qFormat/>
    <w:rsid w:val="00FC693F"/>
    <w:rPr>
      <w:i/>
      <w:iCs/>
      <w:color w:val="808080" w:themeColor="text1" w:themeTint="7F"/>
    </w:rPr>
  </w:style>
  <w:style w:type="character" w:styleId="afd">
    <w:name w:val="Intense Emphasis"/>
    <w:basedOn w:val="a2"/>
    <w:uiPriority w:val="21"/>
    <w:qFormat/>
    <w:rsid w:val="00FC693F"/>
    <w:rPr>
      <w:b/>
      <w:bCs/>
      <w:i/>
      <w:iCs/>
      <w:color w:val="4F81BD" w:themeColor="accent1"/>
    </w:rPr>
  </w:style>
  <w:style w:type="character" w:styleId="afe">
    <w:name w:val="Subtle Reference"/>
    <w:basedOn w:val="a2"/>
    <w:uiPriority w:val="31"/>
    <w:qFormat/>
    <w:rsid w:val="00FC693F"/>
    <w:rPr>
      <w:smallCaps/>
      <w:color w:val="C0504D" w:themeColor="accent2"/>
      <w:u w:val="single"/>
    </w:rPr>
  </w:style>
  <w:style w:type="character" w:styleId="aff">
    <w:name w:val="Intense Reference"/>
    <w:basedOn w:val="a2"/>
    <w:uiPriority w:val="32"/>
    <w:qFormat/>
    <w:rsid w:val="00FC693F"/>
    <w:rPr>
      <w:b/>
      <w:bCs/>
      <w:smallCaps/>
      <w:color w:val="C0504D" w:themeColor="accent2"/>
      <w:spacing w:val="5"/>
      <w:u w:val="single"/>
    </w:rPr>
  </w:style>
  <w:style w:type="character" w:styleId="aff0">
    <w:name w:val="Book Title"/>
    <w:basedOn w:val="a2"/>
    <w:uiPriority w:val="33"/>
    <w:qFormat/>
    <w:rsid w:val="00FC693F"/>
    <w:rPr>
      <w:b/>
      <w:bCs/>
      <w:smallCaps/>
      <w:spacing w:val="5"/>
    </w:rPr>
  </w:style>
  <w:style w:type="paragraph" w:styleId="TOC">
    <w:name w:val="TOC Heading"/>
    <w:basedOn w:val="1"/>
    <w:next w:val="a1"/>
    <w:uiPriority w:val="39"/>
    <w:unhideWhenUsed/>
    <w:qFormat/>
    <w:rsid w:val="00FC693F"/>
    <w:pPr>
      <w:outlineLvl w:val="9"/>
    </w:pPr>
  </w:style>
  <w:style w:type="table" w:styleId="aff1">
    <w:name w:val="Table Grid"/>
    <w:basedOn w:val="a3"/>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2">
    <w:name w:val="Light Shading"/>
    <w:basedOn w:val="a3"/>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3"/>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3"/>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3"/>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3"/>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3"/>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3"/>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f3">
    <w:name w:val="Light List"/>
    <w:basedOn w:val="a3"/>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3"/>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3"/>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3"/>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3"/>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3"/>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3"/>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f4">
    <w:name w:val="Light Grid"/>
    <w:basedOn w:val="a3"/>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3"/>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1">
    <w:name w:val="Light Grid Accent 2"/>
    <w:basedOn w:val="a3"/>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1">
    <w:name w:val="Light Grid Accent 3"/>
    <w:basedOn w:val="a3"/>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1">
    <w:name w:val="Light Grid Accent 4"/>
    <w:basedOn w:val="a3"/>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1">
    <w:name w:val="Light Grid Accent 5"/>
    <w:basedOn w:val="a3"/>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1">
    <w:name w:val="Light Grid Accent 6"/>
    <w:basedOn w:val="a3"/>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1">
    <w:name w:val="Medium Shading 1"/>
    <w:basedOn w:val="a3"/>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3"/>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3"/>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3"/>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3"/>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3"/>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3"/>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7">
    <w:name w:val="Medium Shading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2">
    <w:name w:val="Medium List 1"/>
    <w:basedOn w:val="a3"/>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3"/>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3"/>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3"/>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3"/>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3"/>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3"/>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8">
    <w:name w:val="Medium Lis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3">
    <w:name w:val="Medium Grid 1"/>
    <w:basedOn w:val="a3"/>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3"/>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3"/>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3"/>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3"/>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3"/>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3"/>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9">
    <w:name w:val="Medium Grid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7">
    <w:name w:val="Medium Grid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
    <w:name w:val="Medium Grid 3 Accent 2"/>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
    <w:name w:val="Medium Grid 3 Accent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
    <w:name w:val="Medium Grid 3 Accent 4"/>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
    <w:name w:val="Medium Grid 3 Accent 5"/>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
    <w:name w:val="Medium Grid 3 Accent 6"/>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f5">
    <w:name w:val="Dark List"/>
    <w:basedOn w:val="a3"/>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3"/>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3"/>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3"/>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3"/>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3"/>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3"/>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f6">
    <w:name w:val="Colorful Shading"/>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3"/>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3"/>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3"/>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3"/>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7">
    <w:name w:val="Colorful List"/>
    <w:basedOn w:val="a3"/>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3"/>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3"/>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3"/>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3"/>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3"/>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3"/>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8">
    <w:name w:val="Colorful Grid"/>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TOC1">
    <w:name w:val="toc 1"/>
    <w:basedOn w:val="a1"/>
    <w:next w:val="a1"/>
    <w:autoRedefine/>
    <w:uiPriority w:val="39"/>
    <w:unhideWhenUsed/>
    <w:rsid w:val="009E38D1"/>
  </w:style>
  <w:style w:type="paragraph" w:styleId="TOC2">
    <w:name w:val="toc 2"/>
    <w:basedOn w:val="a1"/>
    <w:next w:val="a1"/>
    <w:autoRedefine/>
    <w:uiPriority w:val="39"/>
    <w:unhideWhenUsed/>
    <w:rsid w:val="009E38D1"/>
    <w:pPr>
      <w:ind w:leftChars="200" w:left="420"/>
    </w:pPr>
  </w:style>
  <w:style w:type="character" w:styleId="aff9">
    <w:name w:val="Hyperlink"/>
    <w:basedOn w:val="a2"/>
    <w:uiPriority w:val="99"/>
    <w:unhideWhenUsed/>
    <w:rsid w:val="009E38D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24</Pages>
  <Words>7457</Words>
  <Characters>42508</Characters>
  <Application>Microsoft Office Word</Application>
  <DocSecurity>0</DocSecurity>
  <Lines>354</Lines>
  <Paragraphs>99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49866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Managing AI-Driven Risk at BYD in the UK and European Union</dc:title>
  <dc:subject>BMMB7006 Global Business Challenges report</dc:subject>
  <dc:creator>python-docx</dc:creator>
  <cp:keywords>BYD, AI risk, data governance, UK, European Union</cp:keywords>
  <dc:description>generated by python-docx</dc:description>
  <cp:lastModifiedBy>V66884</cp:lastModifiedBy>
  <cp:revision>5</cp:revision>
  <dcterms:created xsi:type="dcterms:W3CDTF">2013-12-23T23:15:00Z</dcterms:created>
  <dcterms:modified xsi:type="dcterms:W3CDTF">2026-07-19T11:01:00Z</dcterms:modified>
  <cp:category/>
</cp:coreProperties>
</file>