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987" w:rsidRPr="00DF0987" w:rsidRDefault="00DF0987" w:rsidP="00DF0987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sz w:val="44"/>
          <w:szCs w:val="44"/>
          <w:lang w:eastAsia="en-GB"/>
        </w:rPr>
      </w:pPr>
      <w:r w:rsidRPr="00DF0987">
        <w:rPr>
          <w:rFonts w:ascii="Verdana" w:eastAsia="Times New Roman" w:hAnsi="Verdana" w:cs="Times New Roman"/>
          <w:color w:val="1F497D" w:themeColor="text2"/>
          <w:sz w:val="44"/>
          <w:szCs w:val="44"/>
          <w:lang w:eastAsia="en-GB"/>
        </w:rPr>
        <w:t>The Prophets</w:t>
      </w:r>
      <w:r w:rsidRPr="00DF0987">
        <w:rPr>
          <w:rFonts w:ascii="Verdana" w:eastAsia="Times New Roman" w:hAnsi="Verdana" w:cs="Times New Roman"/>
          <w:sz w:val="44"/>
          <w:szCs w:val="44"/>
          <w:lang w:eastAsia="en-GB"/>
        </w:rPr>
        <w:t xml:space="preserve"> (</w:t>
      </w:r>
      <w:proofErr w:type="spellStart"/>
      <w:r w:rsidRPr="00DF0987">
        <w:rPr>
          <w:rFonts w:ascii="Verdana" w:eastAsia="Times New Roman" w:hAnsi="Verdana" w:cs="Times New Roman"/>
          <w:sz w:val="44"/>
          <w:szCs w:val="44"/>
          <w:lang w:eastAsia="en-GB"/>
        </w:rPr>
        <w:t>Neviim</w:t>
      </w:r>
      <w:proofErr w:type="spellEnd"/>
      <w:r w:rsidRPr="00DF0987">
        <w:rPr>
          <w:rFonts w:ascii="Verdana" w:eastAsia="Times New Roman" w:hAnsi="Verdana" w:cs="Times New Roman"/>
          <w:sz w:val="44"/>
          <w:szCs w:val="44"/>
          <w:lang w:eastAsia="en-GB"/>
        </w:rPr>
        <w:t>)</w:t>
      </w:r>
    </w:p>
    <w:p w:rsidR="00DF0987" w:rsidRPr="00DF0987" w:rsidRDefault="00DF0987" w:rsidP="00DF098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8"/>
          <w:szCs w:val="28"/>
          <w:lang w:eastAsia="en-GB"/>
        </w:rPr>
      </w:pPr>
    </w:p>
    <w:p w:rsidR="00DF0987" w:rsidRPr="00DF0987" w:rsidRDefault="00DF0987" w:rsidP="00DF098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8"/>
          <w:szCs w:val="28"/>
          <w:lang w:eastAsia="en-GB"/>
        </w:rPr>
      </w:pPr>
      <w:r w:rsidRPr="00DF0987">
        <w:rPr>
          <w:rFonts w:ascii="Verdana" w:eastAsia="Times New Roman" w:hAnsi="Verdana" w:cs="Times New Roman"/>
          <w:sz w:val="28"/>
          <w:szCs w:val="28"/>
          <w:lang w:eastAsia="en-GB"/>
        </w:rPr>
        <w:t xml:space="preserve">The seventeen books considered in this section were classified in the Hebrew Bible as the </w:t>
      </w:r>
      <w:r w:rsidRPr="00DF0987">
        <w:rPr>
          <w:rFonts w:ascii="Verdana" w:eastAsia="Times New Roman" w:hAnsi="Verdana" w:cs="Times New Roman"/>
          <w:b/>
          <w:color w:val="C0504D" w:themeColor="accent2"/>
          <w:sz w:val="28"/>
          <w:szCs w:val="28"/>
          <w:lang w:eastAsia="en-GB"/>
        </w:rPr>
        <w:t>Latter Prophets</w:t>
      </w:r>
      <w:r w:rsidRPr="00DF0987">
        <w:rPr>
          <w:rFonts w:ascii="Verdana" w:eastAsia="Times New Roman" w:hAnsi="Verdana" w:cs="Times New Roman"/>
          <w:b/>
          <w:sz w:val="28"/>
          <w:szCs w:val="28"/>
          <w:lang w:eastAsia="en-GB"/>
        </w:rPr>
        <w:t>.</w:t>
      </w:r>
      <w:r w:rsidRPr="00DF0987">
        <w:rPr>
          <w:rFonts w:ascii="Verdana" w:eastAsia="Times New Roman" w:hAnsi="Verdana" w:cs="Times New Roman"/>
          <w:sz w:val="28"/>
          <w:szCs w:val="28"/>
          <w:lang w:eastAsia="en-GB"/>
        </w:rPr>
        <w:t xml:space="preserve"> The term ‘latter’ speaks primarily of their place in the canon rather than of their chronological position. These prophets are sometimes called </w:t>
      </w:r>
      <w:r w:rsidRPr="00DF0987">
        <w:rPr>
          <w:rFonts w:ascii="Verdana" w:eastAsia="Times New Roman" w:hAnsi="Verdana" w:cs="Times New Roman"/>
          <w:i/>
          <w:iCs/>
          <w:color w:val="1F497D" w:themeColor="text2"/>
          <w:sz w:val="28"/>
          <w:szCs w:val="28"/>
          <w:lang w:eastAsia="en-GB"/>
        </w:rPr>
        <w:t>the writing prophets</w:t>
      </w:r>
      <w:r w:rsidRPr="00DF0987">
        <w:rPr>
          <w:rFonts w:ascii="Verdana" w:eastAsia="Times New Roman" w:hAnsi="Verdana" w:cs="Times New Roman"/>
          <w:sz w:val="28"/>
          <w:szCs w:val="28"/>
          <w:lang w:eastAsia="en-GB"/>
        </w:rPr>
        <w:t xml:space="preserve"> because their authors wrote or recorded their utterances. There were other </w:t>
      </w:r>
      <w:r w:rsidRPr="00DF0987">
        <w:rPr>
          <w:rFonts w:ascii="Verdana" w:eastAsia="Times New Roman" w:hAnsi="Verdana" w:cs="Times New Roman"/>
          <w:i/>
          <w:iCs/>
          <w:color w:val="1F497D" w:themeColor="text2"/>
          <w:sz w:val="28"/>
          <w:szCs w:val="28"/>
          <w:lang w:eastAsia="en-GB"/>
        </w:rPr>
        <w:t>oral prophets</w:t>
      </w:r>
      <w:r w:rsidRPr="00DF0987">
        <w:rPr>
          <w:rFonts w:ascii="Verdana" w:eastAsia="Times New Roman" w:hAnsi="Verdana" w:cs="Times New Roman"/>
          <w:sz w:val="28"/>
          <w:szCs w:val="28"/>
          <w:lang w:eastAsia="en-GB"/>
        </w:rPr>
        <w:t xml:space="preserve"> like Nathan, </w:t>
      </w:r>
      <w:proofErr w:type="spellStart"/>
      <w:r w:rsidRPr="00DF0987">
        <w:rPr>
          <w:rFonts w:ascii="Verdana" w:eastAsia="Times New Roman" w:hAnsi="Verdana" w:cs="Times New Roman"/>
          <w:sz w:val="28"/>
          <w:szCs w:val="28"/>
          <w:lang w:eastAsia="en-GB"/>
        </w:rPr>
        <w:t>Ahijah</w:t>
      </w:r>
      <w:proofErr w:type="spellEnd"/>
      <w:r w:rsidRPr="00DF0987">
        <w:rPr>
          <w:rFonts w:ascii="Verdana" w:eastAsia="Times New Roman" w:hAnsi="Verdana" w:cs="Times New Roman"/>
          <w:sz w:val="28"/>
          <w:szCs w:val="28"/>
          <w:lang w:eastAsia="en-GB"/>
        </w:rPr>
        <w:t xml:space="preserve">, </w:t>
      </w:r>
      <w:proofErr w:type="spellStart"/>
      <w:r w:rsidRPr="00DF0987">
        <w:rPr>
          <w:rFonts w:ascii="Verdana" w:eastAsia="Times New Roman" w:hAnsi="Verdana" w:cs="Times New Roman"/>
          <w:sz w:val="28"/>
          <w:szCs w:val="28"/>
          <w:lang w:eastAsia="en-GB"/>
        </w:rPr>
        <w:t>Iddo</w:t>
      </w:r>
      <w:proofErr w:type="spellEnd"/>
      <w:r w:rsidRPr="00DF0987">
        <w:rPr>
          <w:rFonts w:ascii="Verdana" w:eastAsia="Times New Roman" w:hAnsi="Verdana" w:cs="Times New Roman"/>
          <w:sz w:val="28"/>
          <w:szCs w:val="28"/>
          <w:lang w:eastAsia="en-GB"/>
        </w:rPr>
        <w:t xml:space="preserve">, Jehu, Elijah, Elisha, </w:t>
      </w:r>
      <w:proofErr w:type="spellStart"/>
      <w:r w:rsidRPr="00DF0987">
        <w:rPr>
          <w:rFonts w:ascii="Verdana" w:eastAsia="Times New Roman" w:hAnsi="Verdana" w:cs="Times New Roman"/>
          <w:sz w:val="28"/>
          <w:szCs w:val="28"/>
          <w:lang w:eastAsia="en-GB"/>
        </w:rPr>
        <w:t>Oded</w:t>
      </w:r>
      <w:proofErr w:type="spellEnd"/>
      <w:r w:rsidRPr="00DF0987">
        <w:rPr>
          <w:rFonts w:ascii="Verdana" w:eastAsia="Times New Roman" w:hAnsi="Verdana" w:cs="Times New Roman"/>
          <w:sz w:val="28"/>
          <w:szCs w:val="28"/>
          <w:lang w:eastAsia="en-GB"/>
        </w:rPr>
        <w:t xml:space="preserve">, </w:t>
      </w:r>
      <w:proofErr w:type="spellStart"/>
      <w:r w:rsidRPr="00DF0987">
        <w:rPr>
          <w:rFonts w:ascii="Verdana" w:eastAsia="Times New Roman" w:hAnsi="Verdana" w:cs="Times New Roman"/>
          <w:sz w:val="28"/>
          <w:szCs w:val="28"/>
          <w:lang w:eastAsia="en-GB"/>
        </w:rPr>
        <w:t>Shemaiah</w:t>
      </w:r>
      <w:proofErr w:type="spellEnd"/>
      <w:r w:rsidRPr="00DF0987">
        <w:rPr>
          <w:rFonts w:ascii="Verdana" w:eastAsia="Times New Roman" w:hAnsi="Verdana" w:cs="Times New Roman"/>
          <w:sz w:val="28"/>
          <w:szCs w:val="28"/>
          <w:lang w:eastAsia="en-GB"/>
        </w:rPr>
        <w:t xml:space="preserve">, </w:t>
      </w:r>
      <w:proofErr w:type="spellStart"/>
      <w:r w:rsidRPr="00DF0987">
        <w:rPr>
          <w:rFonts w:ascii="Verdana" w:eastAsia="Times New Roman" w:hAnsi="Verdana" w:cs="Times New Roman"/>
          <w:sz w:val="28"/>
          <w:szCs w:val="28"/>
          <w:lang w:eastAsia="en-GB"/>
        </w:rPr>
        <w:t>Azariah</w:t>
      </w:r>
      <w:proofErr w:type="spellEnd"/>
      <w:r w:rsidRPr="00DF0987">
        <w:rPr>
          <w:rFonts w:ascii="Verdana" w:eastAsia="Times New Roman" w:hAnsi="Verdana" w:cs="Times New Roman"/>
          <w:sz w:val="28"/>
          <w:szCs w:val="28"/>
          <w:lang w:eastAsia="en-GB"/>
        </w:rPr>
        <w:t xml:space="preserve">, </w:t>
      </w:r>
      <w:proofErr w:type="spellStart"/>
      <w:r w:rsidRPr="00DF0987">
        <w:rPr>
          <w:rFonts w:ascii="Verdana" w:eastAsia="Times New Roman" w:hAnsi="Verdana" w:cs="Times New Roman"/>
          <w:sz w:val="28"/>
          <w:szCs w:val="28"/>
          <w:lang w:eastAsia="en-GB"/>
        </w:rPr>
        <w:t>Hanani</w:t>
      </w:r>
      <w:proofErr w:type="spellEnd"/>
      <w:r w:rsidRPr="00DF0987">
        <w:rPr>
          <w:rFonts w:ascii="Verdana" w:eastAsia="Times New Roman" w:hAnsi="Verdana" w:cs="Times New Roman"/>
          <w:sz w:val="28"/>
          <w:szCs w:val="28"/>
          <w:lang w:eastAsia="en-GB"/>
        </w:rPr>
        <w:t xml:space="preserve">, </w:t>
      </w:r>
      <w:proofErr w:type="spellStart"/>
      <w:r w:rsidRPr="00DF0987">
        <w:rPr>
          <w:rFonts w:ascii="Verdana" w:eastAsia="Times New Roman" w:hAnsi="Verdana" w:cs="Times New Roman"/>
          <w:sz w:val="28"/>
          <w:szCs w:val="28"/>
          <w:lang w:eastAsia="en-GB"/>
        </w:rPr>
        <w:t>Jahaziel</w:t>
      </w:r>
      <w:proofErr w:type="spellEnd"/>
      <w:r w:rsidRPr="00DF0987">
        <w:rPr>
          <w:rFonts w:ascii="Verdana" w:eastAsia="Times New Roman" w:hAnsi="Verdana" w:cs="Times New Roman"/>
          <w:sz w:val="28"/>
          <w:szCs w:val="28"/>
          <w:lang w:eastAsia="en-GB"/>
        </w:rPr>
        <w:t xml:space="preserve">, and </w:t>
      </w:r>
      <w:proofErr w:type="spellStart"/>
      <w:r w:rsidRPr="00DF0987">
        <w:rPr>
          <w:rFonts w:ascii="Verdana" w:eastAsia="Times New Roman" w:hAnsi="Verdana" w:cs="Times New Roman"/>
          <w:sz w:val="28"/>
          <w:szCs w:val="28"/>
          <w:lang w:eastAsia="en-GB"/>
        </w:rPr>
        <w:t>Huldah</w:t>
      </w:r>
      <w:proofErr w:type="spellEnd"/>
      <w:r w:rsidRPr="00DF0987">
        <w:rPr>
          <w:rFonts w:ascii="Verdana" w:eastAsia="Times New Roman" w:hAnsi="Verdana" w:cs="Times New Roman"/>
          <w:sz w:val="28"/>
          <w:szCs w:val="28"/>
          <w:lang w:eastAsia="en-GB"/>
        </w:rPr>
        <w:t xml:space="preserve"> who left no records of their utterances. </w:t>
      </w:r>
    </w:p>
    <w:p w:rsidR="00DF0987" w:rsidRPr="00DF0987" w:rsidRDefault="00DF0987" w:rsidP="00DF098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8"/>
          <w:szCs w:val="28"/>
          <w:lang w:eastAsia="en-GB"/>
        </w:rPr>
      </w:pPr>
      <w:r w:rsidRPr="00DF0987">
        <w:rPr>
          <w:rFonts w:ascii="Verdana" w:eastAsia="Times New Roman" w:hAnsi="Verdana" w:cs="Times New Roman"/>
          <w:sz w:val="28"/>
          <w:szCs w:val="28"/>
          <w:lang w:eastAsia="en-GB"/>
        </w:rPr>
        <w:t xml:space="preserve">Mostly because of their size, the Latter Prophets are subdivided into the </w:t>
      </w:r>
      <w:r w:rsidRPr="00DF0987">
        <w:rPr>
          <w:rFonts w:ascii="Verdana" w:eastAsia="Times New Roman" w:hAnsi="Verdana" w:cs="Times New Roman"/>
          <w:color w:val="FF0000"/>
          <w:sz w:val="28"/>
          <w:szCs w:val="28"/>
          <w:lang w:eastAsia="en-GB"/>
        </w:rPr>
        <w:t>Major Prophets</w:t>
      </w:r>
      <w:r w:rsidRPr="00DF0987">
        <w:rPr>
          <w:rFonts w:ascii="Verdana" w:eastAsia="Times New Roman" w:hAnsi="Verdana" w:cs="Times New Roman"/>
          <w:sz w:val="28"/>
          <w:szCs w:val="28"/>
          <w:lang w:eastAsia="en-GB"/>
        </w:rPr>
        <w:t xml:space="preserve"> (Isaiah, Jeremiah, and Ezekiel), and the twelve </w:t>
      </w:r>
      <w:r w:rsidRPr="00DF0987">
        <w:rPr>
          <w:rFonts w:ascii="Verdana" w:eastAsia="Times New Roman" w:hAnsi="Verdana" w:cs="Times New Roman"/>
          <w:color w:val="FF0000"/>
          <w:sz w:val="28"/>
          <w:szCs w:val="28"/>
          <w:lang w:eastAsia="en-GB"/>
        </w:rPr>
        <w:t>Minor Prophets,</w:t>
      </w:r>
      <w:r w:rsidRPr="00DF0987">
        <w:rPr>
          <w:rFonts w:ascii="Verdana" w:eastAsia="Times New Roman" w:hAnsi="Verdana" w:cs="Times New Roman"/>
          <w:sz w:val="28"/>
          <w:szCs w:val="28"/>
          <w:lang w:eastAsia="en-GB"/>
        </w:rPr>
        <w:t xml:space="preserve"> whose writings could all be included in one large scroll.</w:t>
      </w:r>
    </w:p>
    <w:p w:rsidR="00DF0987" w:rsidRPr="00DF0987" w:rsidRDefault="00DF0987" w:rsidP="00DF098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FF0000"/>
          <w:sz w:val="28"/>
          <w:szCs w:val="28"/>
          <w:lang w:eastAsia="en-GB"/>
        </w:rPr>
      </w:pPr>
      <w:r w:rsidRPr="00DF0987">
        <w:rPr>
          <w:rFonts w:ascii="Verdana" w:eastAsia="Times New Roman" w:hAnsi="Verdana" w:cs="Times New Roman"/>
          <w:color w:val="FF0000"/>
          <w:sz w:val="28"/>
          <w:szCs w:val="28"/>
          <w:lang w:eastAsia="en-GB"/>
        </w:rPr>
        <w:t>Daniel</w:t>
      </w:r>
      <w:r w:rsidRPr="00DF0987">
        <w:rPr>
          <w:rFonts w:ascii="Verdana" w:eastAsia="Times New Roman" w:hAnsi="Verdana" w:cs="Times New Roman"/>
          <w:sz w:val="28"/>
          <w:szCs w:val="28"/>
          <w:lang w:eastAsia="en-GB"/>
        </w:rPr>
        <w:t xml:space="preserve">, usually viewed as one of the Major Prophets in the English Bible, actually appears in </w:t>
      </w:r>
      <w:r w:rsidRPr="00DF0987">
        <w:rPr>
          <w:rFonts w:ascii="Verdana" w:eastAsia="Times New Roman" w:hAnsi="Verdana" w:cs="Times New Roman"/>
          <w:color w:val="000000" w:themeColor="text1"/>
          <w:sz w:val="28"/>
          <w:szCs w:val="28"/>
          <w:lang w:eastAsia="en-GB"/>
        </w:rPr>
        <w:t xml:space="preserve">the third division of the Hebrew Canon called “the Writings.” </w:t>
      </w:r>
      <w:r w:rsidRPr="00DF0987">
        <w:rPr>
          <w:rFonts w:ascii="Verdana" w:eastAsia="Times New Roman" w:hAnsi="Verdana" w:cs="Times New Roman"/>
          <w:color w:val="FF0000"/>
          <w:sz w:val="28"/>
          <w:szCs w:val="28"/>
          <w:lang w:eastAsia="en-GB"/>
        </w:rPr>
        <w:t>(</w:t>
      </w:r>
      <w:proofErr w:type="spellStart"/>
      <w:proofErr w:type="gramStart"/>
      <w:r w:rsidRPr="00DF0987">
        <w:rPr>
          <w:rFonts w:ascii="Verdana" w:eastAsia="Times New Roman" w:hAnsi="Verdana" w:cs="Times New Roman"/>
          <w:color w:val="FF0000"/>
          <w:sz w:val="28"/>
          <w:szCs w:val="28"/>
          <w:lang w:eastAsia="en-GB"/>
        </w:rPr>
        <w:t>ketuvim</w:t>
      </w:r>
      <w:proofErr w:type="spellEnd"/>
      <w:proofErr w:type="gramEnd"/>
      <w:r w:rsidRPr="00DF0987">
        <w:rPr>
          <w:rFonts w:ascii="Verdana" w:eastAsia="Times New Roman" w:hAnsi="Verdana" w:cs="Times New Roman"/>
          <w:color w:val="FF0000"/>
          <w:sz w:val="28"/>
          <w:szCs w:val="28"/>
          <w:lang w:eastAsia="en-GB"/>
        </w:rPr>
        <w:t>).</w:t>
      </w:r>
    </w:p>
    <w:p w:rsidR="00DF0987" w:rsidRPr="00DF0987" w:rsidRDefault="00DF0987" w:rsidP="00DF098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FF0000"/>
          <w:sz w:val="28"/>
          <w:szCs w:val="28"/>
          <w:lang w:eastAsia="en-GB"/>
        </w:rPr>
      </w:pPr>
      <w:r w:rsidRPr="00DF0987">
        <w:rPr>
          <w:rFonts w:ascii="Verdana" w:eastAsia="Times New Roman" w:hAnsi="Verdana" w:cs="Times New Roman"/>
          <w:color w:val="FF0000"/>
          <w:sz w:val="28"/>
          <w:szCs w:val="28"/>
          <w:lang w:eastAsia="en-GB"/>
        </w:rPr>
        <w:t xml:space="preserve">Lamentations </w:t>
      </w:r>
      <w:r w:rsidRPr="00DF0987">
        <w:rPr>
          <w:rFonts w:ascii="Verdana" w:eastAsia="Times New Roman" w:hAnsi="Verdana" w:cs="Times New Roman"/>
          <w:color w:val="000000" w:themeColor="text1"/>
          <w:sz w:val="28"/>
          <w:szCs w:val="28"/>
          <w:lang w:eastAsia="en-GB"/>
        </w:rPr>
        <w:t>usually occurs after Jeremiah since its author is taken to be Jeremiah.</w:t>
      </w:r>
    </w:p>
    <w:p w:rsidR="00813C41" w:rsidRDefault="00813C41"/>
    <w:sectPr w:rsidR="00813C41" w:rsidSect="00813C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revisionView w:inkAnnotations="0"/>
  <w:defaultTabStop w:val="720"/>
  <w:characterSpacingControl w:val="doNotCompress"/>
  <w:compat/>
  <w:rsids>
    <w:rsidRoot w:val="00DF0987"/>
    <w:rsid w:val="00813C41"/>
    <w:rsid w:val="00DF0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C41"/>
  </w:style>
  <w:style w:type="paragraph" w:styleId="Heading4">
    <w:name w:val="heading 4"/>
    <w:basedOn w:val="Normal"/>
    <w:link w:val="Heading4Char"/>
    <w:uiPriority w:val="9"/>
    <w:qFormat/>
    <w:rsid w:val="00DF09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F0987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DF0987"/>
    <w:rPr>
      <w:color w:val="0000FF"/>
      <w:u w:val="single"/>
    </w:rPr>
  </w:style>
  <w:style w:type="paragraph" w:customStyle="1" w:styleId="bodytext">
    <w:name w:val="bodytext"/>
    <w:basedOn w:val="Normal"/>
    <w:rsid w:val="00DF09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4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26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3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2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672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034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666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148</Words>
  <Characters>845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sa002</dc:creator>
  <cp:keywords/>
  <dc:description/>
  <cp:lastModifiedBy>sa002</cp:lastModifiedBy>
  <cp:revision>1</cp:revision>
  <dcterms:created xsi:type="dcterms:W3CDTF">2013-12-03T08:26:00Z</dcterms:created>
  <dcterms:modified xsi:type="dcterms:W3CDTF">2013-12-03T08:37:00Z</dcterms:modified>
</cp:coreProperties>
</file>