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D35BD26" wp14:paraId="5E5787A5" wp14:textId="0ECCE7EC">
      <w:pPr>
        <w:rPr>
          <w:b w:val="1"/>
          <w:bCs w:val="1"/>
          <w:sz w:val="24"/>
          <w:szCs w:val="24"/>
        </w:rPr>
      </w:pPr>
      <w:r w:rsidR="3FD8FB22">
        <w:rPr/>
        <w:t xml:space="preserve">                       </w:t>
      </w:r>
      <w:r w:rsidRPr="0D35BD26" w:rsidR="3FD8FB22">
        <w:rPr>
          <w:b w:val="1"/>
          <w:bCs w:val="1"/>
          <w:sz w:val="24"/>
          <w:szCs w:val="24"/>
        </w:rPr>
        <w:t xml:space="preserve">          </w:t>
      </w:r>
      <w:r w:rsidRPr="0D35BD26" w:rsidR="6769930E">
        <w:rPr>
          <w:b w:val="1"/>
          <w:bCs w:val="1"/>
          <w:sz w:val="24"/>
          <w:szCs w:val="24"/>
        </w:rPr>
        <w:t xml:space="preserve"> </w:t>
      </w:r>
      <w:r w:rsidRPr="0D35BD26" w:rsidR="3FD8FB22">
        <w:rPr>
          <w:b w:val="1"/>
          <w:bCs w:val="1"/>
          <w:sz w:val="24"/>
          <w:szCs w:val="24"/>
        </w:rPr>
        <w:t xml:space="preserve"> </w:t>
      </w:r>
      <w:r w:rsidRPr="0D35BD26" w:rsidR="6E02083F">
        <w:rPr>
          <w:b w:val="1"/>
          <w:bCs w:val="1"/>
          <w:sz w:val="24"/>
          <w:szCs w:val="24"/>
        </w:rPr>
        <w:t xml:space="preserve">   </w:t>
      </w:r>
      <w:r w:rsidRPr="0D35BD26" w:rsidR="3FD8FB22">
        <w:rPr>
          <w:b w:val="1"/>
          <w:bCs w:val="1"/>
          <w:sz w:val="24"/>
          <w:szCs w:val="24"/>
        </w:rPr>
        <w:t xml:space="preserve">        </w:t>
      </w:r>
      <w:r w:rsidRPr="0D35BD26" w:rsidR="3FD8FB22">
        <w:rPr>
          <w:b w:val="1"/>
          <w:bCs w:val="1"/>
          <w:sz w:val="24"/>
          <w:szCs w:val="24"/>
        </w:rPr>
        <w:t xml:space="preserve">  Naziea Younis</w:t>
      </w:r>
      <w:r w:rsidRPr="0D35BD26" w:rsidR="5B679753">
        <w:rPr>
          <w:b w:val="1"/>
          <w:bCs w:val="1"/>
          <w:sz w:val="24"/>
          <w:szCs w:val="24"/>
        </w:rPr>
        <w:t xml:space="preserve"> </w:t>
      </w:r>
      <w:r w:rsidRPr="0D35BD26" w:rsidR="5B679753">
        <w:rPr>
          <w:b w:val="1"/>
          <w:bCs w:val="1"/>
          <w:sz w:val="24"/>
          <w:szCs w:val="24"/>
        </w:rPr>
        <w:t xml:space="preserve"> </w:t>
      </w:r>
    </w:p>
    <w:p w:rsidR="3A186DA4" w:rsidP="0D35BD26" w:rsidRDefault="3A186DA4" w14:paraId="3F0143C4" w14:textId="072533AA">
      <w:pPr>
        <w:rPr>
          <w:b w:val="1"/>
          <w:bCs w:val="1"/>
          <w:sz w:val="24"/>
          <w:szCs w:val="24"/>
        </w:rPr>
      </w:pPr>
      <w:r w:rsidRPr="0D35BD26" w:rsidR="3A186DA4">
        <w:rPr>
          <w:b w:val="1"/>
          <w:bCs w:val="1"/>
          <w:sz w:val="24"/>
          <w:szCs w:val="24"/>
        </w:rPr>
        <w:t xml:space="preserve">                                </w:t>
      </w:r>
      <w:r w:rsidRPr="0D35BD26" w:rsidR="3800E78C">
        <w:rPr>
          <w:b w:val="1"/>
          <w:bCs w:val="1"/>
          <w:sz w:val="24"/>
          <w:szCs w:val="24"/>
        </w:rPr>
        <w:t xml:space="preserve">  </w:t>
      </w:r>
      <w:r w:rsidRPr="0D35BD26" w:rsidR="3A186DA4">
        <w:rPr>
          <w:b w:val="1"/>
          <w:bCs w:val="1"/>
          <w:sz w:val="24"/>
          <w:szCs w:val="24"/>
        </w:rPr>
        <w:t xml:space="preserve">        </w:t>
      </w:r>
      <w:r w:rsidRPr="0D35BD26" w:rsidR="6A9B0EE3">
        <w:rPr>
          <w:b w:val="1"/>
          <w:bCs w:val="1"/>
          <w:sz w:val="24"/>
          <w:szCs w:val="24"/>
        </w:rPr>
        <w:t xml:space="preserve">  </w:t>
      </w:r>
      <w:r w:rsidRPr="0D35BD26" w:rsidR="3A186DA4">
        <w:rPr>
          <w:b w:val="1"/>
          <w:bCs w:val="1"/>
          <w:sz w:val="24"/>
          <w:szCs w:val="24"/>
        </w:rPr>
        <w:t xml:space="preserve">         2410916 </w:t>
      </w:r>
    </w:p>
    <w:p w:rsidR="3A186DA4" w:rsidP="0D35BD26" w:rsidRDefault="3A186DA4" w14:paraId="13FD5F43" w14:textId="4D0A6E7A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0D35BD26" w:rsidR="3A186DA4">
        <w:rPr>
          <w:b w:val="1"/>
          <w:bCs w:val="1"/>
          <w:sz w:val="24"/>
          <w:szCs w:val="24"/>
        </w:rPr>
        <w:t xml:space="preserve">                    </w:t>
      </w:r>
      <w:r w:rsidRPr="0D35BD26" w:rsidR="1A7DAD28">
        <w:rPr>
          <w:b w:val="1"/>
          <w:bCs w:val="1"/>
          <w:sz w:val="24"/>
          <w:szCs w:val="24"/>
        </w:rPr>
        <w:t xml:space="preserve">  </w:t>
      </w:r>
      <w:r w:rsidRPr="0D35BD26" w:rsidR="3A186DA4">
        <w:rPr>
          <w:b w:val="1"/>
          <w:bCs w:val="1"/>
          <w:sz w:val="24"/>
          <w:szCs w:val="24"/>
        </w:rPr>
        <w:t xml:space="preserve">       </w:t>
      </w:r>
      <w:r w:rsidRPr="0D35BD26" w:rsidR="573FB0D7">
        <w:rPr>
          <w:b w:val="1"/>
          <w:bCs w:val="1"/>
          <w:sz w:val="24"/>
          <w:szCs w:val="24"/>
        </w:rPr>
        <w:t xml:space="preserve"> </w:t>
      </w:r>
      <w:r w:rsidRPr="0D35BD26" w:rsidR="3A186DA4">
        <w:rPr>
          <w:b w:val="1"/>
          <w:bCs w:val="1"/>
          <w:sz w:val="24"/>
          <w:szCs w:val="24"/>
        </w:rPr>
        <w:t xml:space="preserve">         </w:t>
      </w:r>
      <w:r w:rsidRPr="0D35BD26" w:rsidR="3A186DA4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BSc Health and Social Care </w:t>
      </w:r>
    </w:p>
    <w:p w:rsidR="6C2E4F5B" w:rsidP="0D35BD26" w:rsidRDefault="6C2E4F5B" w14:paraId="6BD550FC" w14:textId="2ADC9578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0D35BD26" w:rsidR="6C2E4F5B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  </w:t>
      </w:r>
      <w:r w:rsidRPr="0D35BD26" w:rsidR="3A186DA4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                 </w:t>
      </w:r>
      <w:r w:rsidRPr="0D35BD26" w:rsidR="32E5426C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Protecting and Supporting Families in Health and Care </w:t>
      </w:r>
    </w:p>
    <w:p w:rsidR="32E5426C" w:rsidP="0D35BD26" w:rsidRDefault="32E5426C" w14:paraId="774E6569" w14:textId="5C549014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0D35BD26" w:rsidR="32E5426C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                                               </w:t>
      </w:r>
      <w:r w:rsidRPr="0D35BD26" w:rsidR="32E5426C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BMHP5021 </w:t>
      </w:r>
    </w:p>
    <w:p w:rsidR="788669DF" w:rsidP="0D35BD26" w:rsidRDefault="788669DF" w14:paraId="4138ECE1" w14:textId="5E584AB0">
      <w:pPr>
        <w:pStyle w:val="Normal"/>
      </w:pPr>
      <w:r w:rsidRPr="0D35BD26" w:rsidR="788669DF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             </w:t>
      </w:r>
      <w:r w:rsidRPr="0D35BD26" w:rsidR="788669DF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Component</w:t>
      </w:r>
      <w:r w:rsidRPr="0D35BD26" w:rsidR="788669DF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1: Presentation (Round-The-Table Group Discussion) </w:t>
      </w:r>
      <w:r w:rsidRPr="0D35BD26" w:rsidR="682F5A68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  </w:t>
      </w:r>
    </w:p>
    <w:p w:rsidR="0D35BD26" w:rsidP="0D35BD26" w:rsidRDefault="0D35BD26" w14:paraId="0BD7F0BC" w14:textId="6B15046A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0D35BD26" w:rsidP="0D35BD26" w:rsidRDefault="0D35BD26" w14:paraId="607C8E46" w14:textId="68EDB04E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0D35BD26" w:rsidP="0D35BD26" w:rsidRDefault="0D35BD26" w14:paraId="7B47D946" w14:textId="5FB432D9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0D35BD26" w:rsidP="0D35BD26" w:rsidRDefault="0D35BD26" w14:paraId="42E36A85" w14:textId="2A3493DE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0D35BD26" w:rsidP="0D35BD26" w:rsidRDefault="0D35BD26" w14:paraId="16EBA53F" w14:textId="2CED7C3C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0D35BD26" w:rsidP="0D35BD26" w:rsidRDefault="0D35BD26" w14:paraId="3AC582E6" w14:textId="2C3625EB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0D35BD26" w:rsidP="0D35BD26" w:rsidRDefault="0D35BD26" w14:paraId="0B92A064" w14:textId="09C43AA8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0D35BD26" w:rsidP="0D35BD26" w:rsidRDefault="0D35BD26" w14:paraId="4DBC35F7" w14:textId="42470FC2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0D35BD26" w:rsidP="0D35BD26" w:rsidRDefault="0D35BD26" w14:paraId="635C0396" w14:textId="51E78629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0D35BD26" w:rsidP="0D35BD26" w:rsidRDefault="0D35BD26" w14:paraId="77C78B77" w14:textId="19245D9C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0D35BD26" w:rsidP="0D35BD26" w:rsidRDefault="0D35BD26" w14:paraId="10F453CC" w14:textId="572DD41B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0D35BD26" w:rsidP="0D35BD26" w:rsidRDefault="0D35BD26" w14:paraId="4EF20C54" w14:textId="6B6274A5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0D35BD26" w:rsidP="0D35BD26" w:rsidRDefault="0D35BD26" w14:paraId="3A8F09E6" w14:textId="74F21819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0D35BD26" w:rsidP="0D35BD26" w:rsidRDefault="0D35BD26" w14:paraId="0A8B477E" w14:textId="1D2985EB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0D35BD26" w:rsidP="0D35BD26" w:rsidRDefault="0D35BD26" w14:paraId="5B86DCF7" w14:textId="3B660C12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0D35BD26" w:rsidP="0D35BD26" w:rsidRDefault="0D35BD26" w14:paraId="23D88EC9" w14:textId="12A61EA4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0D35BD26" w:rsidP="0D35BD26" w:rsidRDefault="0D35BD26" w14:paraId="5E770E1D" w14:textId="2143D151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0D35BD26" w:rsidP="0D35BD26" w:rsidRDefault="0D35BD26" w14:paraId="4508C608" w14:textId="3F318D8B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0D35BD26" w:rsidP="0D35BD26" w:rsidRDefault="0D35BD26" w14:paraId="22B2A391" w14:textId="061F58B3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0D35BD26" w:rsidP="0D35BD26" w:rsidRDefault="0D35BD26" w14:paraId="4B28119B" w14:textId="5EDC5EB3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0D35BD26" w:rsidP="0D35BD26" w:rsidRDefault="0D35BD26" w14:paraId="1CF1FA0E" w14:textId="3358357C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0D35BD26" w:rsidP="0D35BD26" w:rsidRDefault="0D35BD26" w14:paraId="3391CA64" w14:textId="48BC806D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0D35BD26" w:rsidP="0D35BD26" w:rsidRDefault="0D35BD26" w14:paraId="1F6FDC67" w14:textId="427AA01C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682F5A68" w:rsidP="0D35BD26" w:rsidRDefault="682F5A68" w14:paraId="65416A22" w14:textId="15989252">
      <w:pPr>
        <w:pStyle w:val="Normal"/>
      </w:pPr>
      <w:r w:rsidRPr="0D35BD26" w:rsidR="682F5A68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Reference List </w:t>
      </w:r>
    </w:p>
    <w:p w:rsidR="0D35BD26" w:rsidP="0D35BD26" w:rsidRDefault="0D35BD26" w14:paraId="16DF811D" w14:textId="693968E4">
      <w:pPr>
        <w:pStyle w:val="Normal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</w:p>
    <w:p w:rsidR="682F5A68" w:rsidRDefault="682F5A68" w14:paraId="5A4C2793" w14:textId="0896F5C0">
      <w:r w:rsidRPr="0D35BD26" w:rsidR="682F5A68">
        <w:rPr>
          <w:rFonts w:ascii="Arial" w:hAnsi="Arial" w:eastAsia="Arial" w:cs="Arial"/>
          <w:noProof w:val="0"/>
          <w:sz w:val="22"/>
          <w:szCs w:val="22"/>
          <w:lang w:val="en-GB"/>
        </w:rPr>
        <w:t>Anda, R.F., Felitti, V.J., Bremner, J.D., Walker, J.D., Whitfield, C., Perry, B.D., Dube, S.R. and Giles, W.H. (2006) ‘The enduring effects of abuse and related adverse experiences in childhood’, European Archives of Psychiatry and Clinical Neuroscience, 256(3), pp. 174–186.</w:t>
      </w:r>
    </w:p>
    <w:p w:rsidR="682F5A68" w:rsidRDefault="682F5A68" w14:paraId="1D89C092" w14:textId="68B3F9B0">
      <w:r w:rsidRPr="0D35BD26" w:rsidR="682F5A68">
        <w:rPr>
          <w:rFonts w:ascii="Arial" w:hAnsi="Arial" w:eastAsia="Arial" w:cs="Arial"/>
          <w:noProof w:val="0"/>
          <w:sz w:val="22"/>
          <w:szCs w:val="22"/>
          <w:lang w:val="en-GB"/>
        </w:rPr>
        <w:t>Bath, H. (2008) ‘The three pillars of trauma-informed care’, Reclaiming Children and Youth, 17(3), pp. 17–21.</w:t>
      </w:r>
    </w:p>
    <w:p w:rsidR="682F5A68" w:rsidRDefault="682F5A68" w14:paraId="648067ED" w14:textId="044EBCB8">
      <w:r w:rsidRPr="0D35BD26" w:rsidR="682F5A68">
        <w:rPr>
          <w:rFonts w:ascii="Arial" w:hAnsi="Arial" w:eastAsia="Arial" w:cs="Arial"/>
          <w:noProof w:val="0"/>
          <w:sz w:val="22"/>
          <w:szCs w:val="22"/>
          <w:lang w:val="en-GB"/>
        </w:rPr>
        <w:t>Birmingham Safeguarding Children Partnership (BSCP) (2023) Child Safeguarding Practice Review into the Death of Adult A. Birmingham: BSCP.</w:t>
      </w:r>
    </w:p>
    <w:p w:rsidR="682F5A68" w:rsidRDefault="682F5A68" w14:paraId="57273175" w14:textId="2FE13F7A">
      <w:r w:rsidRPr="0D35BD26" w:rsidR="682F5A68">
        <w:rPr>
          <w:rFonts w:ascii="Arial" w:hAnsi="Arial" w:eastAsia="Arial" w:cs="Arial"/>
          <w:noProof w:val="0"/>
          <w:sz w:val="22"/>
          <w:szCs w:val="22"/>
          <w:lang w:val="en-GB"/>
        </w:rPr>
        <w:t>Bowlby, J. (1969) Attachment and Loss: Volume 1. Attachment. London: Hogarth Press.</w:t>
      </w:r>
    </w:p>
    <w:p w:rsidR="682F5A68" w:rsidRDefault="682F5A68" w14:paraId="6BBC5F7C" w14:textId="43048917">
      <w:r w:rsidRPr="0D35BD26" w:rsidR="682F5A68">
        <w:rPr>
          <w:rFonts w:ascii="Arial" w:hAnsi="Arial" w:eastAsia="Arial" w:cs="Arial"/>
          <w:noProof w:val="0"/>
          <w:sz w:val="22"/>
          <w:szCs w:val="22"/>
          <w:lang w:val="en-GB"/>
        </w:rPr>
        <w:t>Children Act 1989 (c.41). London: The Stationery Office.</w:t>
      </w:r>
    </w:p>
    <w:p w:rsidR="682F5A68" w:rsidRDefault="682F5A68" w14:paraId="5F6C51E5" w14:textId="4D38E06A">
      <w:r w:rsidRPr="0D35BD26" w:rsidR="682F5A68">
        <w:rPr>
          <w:rFonts w:ascii="Arial" w:hAnsi="Arial" w:eastAsia="Arial" w:cs="Arial"/>
          <w:noProof w:val="0"/>
          <w:sz w:val="22"/>
          <w:szCs w:val="22"/>
          <w:lang w:val="en-GB"/>
        </w:rPr>
        <w:t>Children Act 2004 (c.31). London: The Stationery Office.</w:t>
      </w:r>
    </w:p>
    <w:p w:rsidR="682F5A68" w:rsidRDefault="682F5A68" w14:paraId="28846FC2" w14:textId="0E32CBE5">
      <w:r w:rsidRPr="0D35BD26" w:rsidR="682F5A68">
        <w:rPr>
          <w:rFonts w:ascii="Arial" w:hAnsi="Arial" w:eastAsia="Arial" w:cs="Arial"/>
          <w:noProof w:val="0"/>
          <w:sz w:val="22"/>
          <w:szCs w:val="22"/>
          <w:lang w:val="en-GB"/>
        </w:rPr>
        <w:t>Daniel, B. (2015) Child Development for Child Care and Protection Workers. 2nd edn. London: Jessica Kingsley Publishers.</w:t>
      </w:r>
    </w:p>
    <w:p w:rsidR="682F5A68" w:rsidRDefault="682F5A68" w14:paraId="11505CA0" w14:textId="580A331C">
      <w:r w:rsidRPr="0D35BD26" w:rsidR="682F5A68">
        <w:rPr>
          <w:rFonts w:ascii="Arial" w:hAnsi="Arial" w:eastAsia="Arial" w:cs="Arial"/>
          <w:noProof w:val="0"/>
          <w:sz w:val="22"/>
          <w:szCs w:val="22"/>
          <w:lang w:val="en-GB"/>
        </w:rPr>
        <w:t>Davis, J. and Marsh, N. (2020) Boys to Men: The Cost of Adultification Bias in Black Boys. London: Centre for Justice Innovation.</w:t>
      </w:r>
    </w:p>
    <w:p w:rsidR="682F5A68" w:rsidRDefault="682F5A68" w14:paraId="5C1D245F" w14:textId="528AC1AB">
      <w:r w:rsidRPr="0D35BD26" w:rsidR="682F5A68">
        <w:rPr>
          <w:rFonts w:ascii="Arial" w:hAnsi="Arial" w:eastAsia="Arial" w:cs="Arial"/>
          <w:noProof w:val="0"/>
          <w:sz w:val="22"/>
          <w:szCs w:val="22"/>
          <w:lang w:val="en-GB"/>
        </w:rPr>
        <w:t>Department for Education (2018) Working Together to Safeguard Children. London: HM Government.</w:t>
      </w:r>
    </w:p>
    <w:p w:rsidR="682F5A68" w:rsidRDefault="682F5A68" w14:paraId="1C16DD59" w14:textId="0EA9CF6B">
      <w:r w:rsidRPr="0D35BD26" w:rsidR="682F5A68">
        <w:rPr>
          <w:rFonts w:ascii="Arial" w:hAnsi="Arial" w:eastAsia="Arial" w:cs="Arial"/>
          <w:noProof w:val="0"/>
          <w:sz w:val="22"/>
          <w:szCs w:val="22"/>
          <w:lang w:val="en-GB"/>
        </w:rPr>
        <w:t>Domestic Abuse Act 2021 (c.17). London: The Stationery Office.</w:t>
      </w:r>
    </w:p>
    <w:p w:rsidR="682F5A68" w:rsidRDefault="682F5A68" w14:paraId="76482242" w14:textId="0881AF62">
      <w:r w:rsidRPr="0D35BD26" w:rsidR="682F5A68">
        <w:rPr>
          <w:rFonts w:ascii="Arial" w:hAnsi="Arial" w:eastAsia="Arial" w:cs="Arial"/>
          <w:noProof w:val="0"/>
          <w:sz w:val="22"/>
          <w:szCs w:val="22"/>
          <w:lang w:val="en-GB"/>
        </w:rPr>
        <w:t>Felitti, V.J., Anda, R.F., Nordenberg, D., Williamson, D.F., Spitz, A.M., Edwards, V., Koss, M.P. and Marks, J.S. (1998) ‘Relationship of childhood abuse and household dysfunction to many of the leading causes of death in adults’, American Journal of Preventive Medicine, 14(4), pp. 245–258.</w:t>
      </w:r>
    </w:p>
    <w:p w:rsidR="682F5A68" w:rsidRDefault="682F5A68" w14:paraId="054DC213" w14:textId="56A3FC3C">
      <w:r w:rsidRPr="0D35BD26" w:rsidR="682F5A68">
        <w:rPr>
          <w:rFonts w:ascii="Arial" w:hAnsi="Arial" w:eastAsia="Arial" w:cs="Arial"/>
          <w:noProof w:val="0"/>
          <w:sz w:val="22"/>
          <w:szCs w:val="22"/>
          <w:lang w:val="en-GB"/>
        </w:rPr>
        <w:t>Firmin, C. (2020) Contextual Safeguarding and Child Protection: Rewriting the Rules. London: Routledge.</w:t>
      </w:r>
    </w:p>
    <w:p w:rsidR="682F5A68" w:rsidRDefault="682F5A68" w14:paraId="78B89BC8" w14:textId="202D0D5E">
      <w:r w:rsidRPr="0D35BD26" w:rsidR="682F5A68">
        <w:rPr>
          <w:rFonts w:ascii="Arial" w:hAnsi="Arial" w:eastAsia="Arial" w:cs="Arial"/>
          <w:noProof w:val="0"/>
          <w:sz w:val="22"/>
          <w:szCs w:val="22"/>
          <w:lang w:val="en-GB"/>
        </w:rPr>
        <w:t>Hughes, K., Bellis, M.A., Hardcastle, K.A., Sethi, D., Butchart, A., Mikton, C., Jones, L. and Dunne, M.P. (2017) ‘The effect of multiple adverse childhood experiences on health: A systematic review and meta-analysis’, The Lancet Public Health, 2(8), pp. e356–e366.</w:t>
      </w:r>
    </w:p>
    <w:p w:rsidR="682F5A68" w:rsidRDefault="682F5A68" w14:paraId="637D601E" w14:textId="54CC0613">
      <w:r w:rsidRPr="0D35BD26" w:rsidR="682F5A68">
        <w:rPr>
          <w:rFonts w:ascii="Arial" w:hAnsi="Arial" w:eastAsia="Arial" w:cs="Arial"/>
          <w:noProof w:val="0"/>
          <w:sz w:val="22"/>
          <w:szCs w:val="22"/>
          <w:lang w:val="en-GB"/>
        </w:rPr>
        <w:t>Munro, E. (2011) The Munro Review of Child Protection: Final Report – A Child-Centred System. London: Department for Education.</w:t>
      </w:r>
    </w:p>
    <w:p w:rsidR="682F5A68" w:rsidRDefault="682F5A68" w14:paraId="4BA6CD01" w14:textId="272697C1">
      <w:r w:rsidRPr="0D35BD26" w:rsidR="682F5A68">
        <w:rPr>
          <w:rFonts w:ascii="Arial" w:hAnsi="Arial" w:eastAsia="Arial" w:cs="Arial"/>
          <w:noProof w:val="0"/>
          <w:sz w:val="22"/>
          <w:szCs w:val="22"/>
          <w:lang w:val="en-GB"/>
        </w:rPr>
        <w:t>National Institute for Health and Care Excellence (NICE) (2018) Post-traumatic Stress Disorder (NG116). London: NICE.</w:t>
      </w:r>
    </w:p>
    <w:p w:rsidR="682F5A68" w:rsidRDefault="682F5A68" w14:paraId="360EE6EE" w14:textId="1666D8A6">
      <w:r w:rsidRPr="0D35BD26" w:rsidR="682F5A68">
        <w:rPr>
          <w:rFonts w:ascii="Arial" w:hAnsi="Arial" w:eastAsia="Arial" w:cs="Arial"/>
          <w:noProof w:val="0"/>
          <w:sz w:val="22"/>
          <w:szCs w:val="22"/>
          <w:lang w:val="en-GB"/>
        </w:rPr>
        <w:t>Perry, B.D. and Szalavitz, M. (2017) The Boy Who Was Raised as a Dog: What Traumatized Children Can Teach Us About Loss, Love and Healing. 3rd edn. New York: Basic Books.</w:t>
      </w:r>
    </w:p>
    <w:p w:rsidR="682F5A68" w:rsidRDefault="682F5A68" w14:paraId="5715FF6C" w14:textId="2F6CB6BF">
      <w:r w:rsidRPr="0D35BD26" w:rsidR="682F5A68">
        <w:rPr>
          <w:rFonts w:ascii="Arial" w:hAnsi="Arial" w:eastAsia="Arial" w:cs="Arial"/>
          <w:noProof w:val="0"/>
          <w:sz w:val="22"/>
          <w:szCs w:val="22"/>
          <w:lang w:val="en-GB"/>
        </w:rPr>
        <w:t>Public Health Wales (2015) Adverse Childhood Experiences and their Impact on Health-Harming Behaviours in the Welsh Adult Population. Cardiff: Public Health Wales.</w:t>
      </w:r>
    </w:p>
    <w:p w:rsidR="682F5A68" w:rsidRDefault="682F5A68" w14:paraId="3ED15871" w14:textId="348E34DB">
      <w:r w:rsidRPr="0D35BD26" w:rsidR="682F5A68">
        <w:rPr>
          <w:rFonts w:ascii="Arial" w:hAnsi="Arial" w:eastAsia="Arial" w:cs="Arial"/>
          <w:noProof w:val="0"/>
          <w:sz w:val="22"/>
          <w:szCs w:val="22"/>
          <w:lang w:val="en-GB"/>
        </w:rPr>
        <w:t>United Nations (1989) United Nations Convention on the Rights of the Child. New York: United Nations.</w:t>
      </w:r>
    </w:p>
    <w:p w:rsidR="682F5A68" w:rsidP="0D35BD26" w:rsidRDefault="682F5A68" w14:paraId="0E774977" w14:textId="25CE4A8E">
      <w:pPr>
        <w:pStyle w:val="Normal"/>
      </w:pPr>
      <w:r w:rsidRPr="0D35BD26" w:rsidR="682F5A6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C67353E"/>
    <w:rsid w:val="0C289CA5"/>
    <w:rsid w:val="0D35BD26"/>
    <w:rsid w:val="16AF021E"/>
    <w:rsid w:val="1A7DAD28"/>
    <w:rsid w:val="3172B4E1"/>
    <w:rsid w:val="32E5426C"/>
    <w:rsid w:val="3800E78C"/>
    <w:rsid w:val="38E1C0D6"/>
    <w:rsid w:val="39CF7BBC"/>
    <w:rsid w:val="3A186DA4"/>
    <w:rsid w:val="3C67353E"/>
    <w:rsid w:val="3FD8FB22"/>
    <w:rsid w:val="40B0575E"/>
    <w:rsid w:val="4A217392"/>
    <w:rsid w:val="573FB0D7"/>
    <w:rsid w:val="5B679753"/>
    <w:rsid w:val="5E6ECC8A"/>
    <w:rsid w:val="6769930E"/>
    <w:rsid w:val="682F5A68"/>
    <w:rsid w:val="6A9B0EE3"/>
    <w:rsid w:val="6C2E4F5B"/>
    <w:rsid w:val="6E02083F"/>
    <w:rsid w:val="6E3E6F00"/>
    <w:rsid w:val="73A5F44C"/>
    <w:rsid w:val="7598312F"/>
    <w:rsid w:val="770B0219"/>
    <w:rsid w:val="788669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BD8813"/>
  <w15:chartTrackingRefBased/>
  <w15:docId w15:val="{63A3825F-CD80-4431-9239-151A0D76299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 Nov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Naziea Yasmin Younis (2410916)</dc:creator>
  <keywords/>
  <dc:description/>
  <lastModifiedBy>Naziea Yasmin Younis (2410916)</lastModifiedBy>
  <revision>2</revision>
  <dcterms:created xsi:type="dcterms:W3CDTF">2026-06-20T20:42:14.1234898Z</dcterms:created>
  <dcterms:modified xsi:type="dcterms:W3CDTF">2026-06-20T20:50:54.4403341Z</dcterms:modified>
</coreProperties>
</file>