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0F7E3" w14:textId="66F904D0" w:rsidR="00286C72" w:rsidRDefault="00286C72" w:rsidP="00C81EBA"/>
    <w:p w14:paraId="4F330A05" w14:textId="2BD6DE0B" w:rsidR="00BC713C" w:rsidRDefault="00732FD5" w:rsidP="00595F42">
      <w:pPr>
        <w:pStyle w:val="Heading1"/>
      </w:pPr>
      <w:r w:rsidRPr="00595F42">
        <w:t xml:space="preserve">Chapter 2: Literature Review </w:t>
      </w:r>
    </w:p>
    <w:p w14:paraId="690E00DE" w14:textId="77777777" w:rsidR="00595F42" w:rsidRPr="00595F42" w:rsidRDefault="00595F42" w:rsidP="00595F42"/>
    <w:p w14:paraId="3D35E1DD" w14:textId="40BF1809" w:rsidR="00117301" w:rsidRDefault="00117301" w:rsidP="00117301">
      <w:r>
        <w:t>Word count: 2,500</w:t>
      </w:r>
    </w:p>
    <w:p w14:paraId="549B3A21" w14:textId="295AE68E" w:rsidR="00CC2847" w:rsidRPr="00117301" w:rsidRDefault="00697A0C" w:rsidP="00117301">
      <w:r>
        <w:t xml:space="preserve">Current word count: </w:t>
      </w:r>
      <w:r w:rsidR="002208B7">
        <w:t xml:space="preserve">2, </w:t>
      </w:r>
      <w:r w:rsidR="002366E0">
        <w:t>388</w:t>
      </w:r>
    </w:p>
    <w:p w14:paraId="015106A5" w14:textId="77777777" w:rsidR="004F1B34" w:rsidRPr="00B4488D" w:rsidRDefault="004F1B34" w:rsidP="00C81EBA">
      <w:pPr>
        <w:spacing w:line="360" w:lineRule="auto"/>
        <w:rPr>
          <w:b/>
          <w:bCs/>
        </w:rPr>
      </w:pPr>
    </w:p>
    <w:p w14:paraId="737C6542" w14:textId="40333858" w:rsidR="00887E42" w:rsidRDefault="00FA36E7" w:rsidP="00284D6E">
      <w:pPr>
        <w:spacing w:line="360" w:lineRule="auto"/>
      </w:pPr>
      <w:r w:rsidRPr="00FA36E7">
        <w:t>The purpose of this literature review is to examine whether crime is a social construct by analysing factors that influence criminality within communities. This topic was chosen to demonstrate the importance of understanding how these factors shape the social perceptions of crime. The review will explore how social disparities contribute to the prevalence and nature of crime committed within specific socioeconomic groups.  In addition, the review will assess the impact of institutional practices such as policing and judicial processes in reinforcing or challenging the perceptions of crime. By evaluating the role of social and cultural narratives in defining crime, this review aims to deconstruct the narrative that criminal behaviour originates from deprived areas and is committed by specific socioeconomic groups.  It will also identify gaps in the literature proposing directions for future research and practices. The study will examine how these factors collectively contribute to the social construction of crime and its influence on criminality within communities. An analysis of current research demonstrates an insufficient knowledge of the relationship between poverty, discrimination, and systematic bias and their combined influence on shaping criminal behaviour.  This review will further assess how these factors influence or reinforce one another.</w:t>
      </w:r>
    </w:p>
    <w:p w14:paraId="0E33B9BA" w14:textId="77777777" w:rsidR="00FA36E7" w:rsidRPr="00FA36E7" w:rsidRDefault="00FA36E7" w:rsidP="00284D6E">
      <w:pPr>
        <w:spacing w:line="360" w:lineRule="auto"/>
      </w:pPr>
    </w:p>
    <w:p w14:paraId="161F61D3" w14:textId="63360F0E" w:rsidR="00096242" w:rsidRDefault="006D1290" w:rsidP="00595F42">
      <w:pPr>
        <w:pStyle w:val="Subtitle"/>
      </w:pPr>
      <w:r w:rsidRPr="00284D6E">
        <w:t xml:space="preserve">Objective 1: </w:t>
      </w:r>
    </w:p>
    <w:p w14:paraId="5F0CB7EF" w14:textId="77777777" w:rsidR="00923C35" w:rsidRDefault="00923C35" w:rsidP="00284D6E">
      <w:pPr>
        <w:spacing w:line="360" w:lineRule="auto"/>
        <w:rPr>
          <w:sz w:val="28"/>
          <w:szCs w:val="28"/>
        </w:rPr>
      </w:pPr>
    </w:p>
    <w:p w14:paraId="1E28C3E6" w14:textId="77777777" w:rsidR="00923C35" w:rsidRDefault="00923C35" w:rsidP="00923C35">
      <w:pPr>
        <w:spacing w:line="360" w:lineRule="auto"/>
      </w:pPr>
      <w:r>
        <w:t xml:space="preserve">Socioeconomic disparities can influence criminal behaviour within communities. This includes factors such as poverty, education, employment opportunities, and housing inequalities. Socioeconomic resources play a crucial role in addressing poverty and inequality. The research of De Courson and Nettle (2021) suggests that crime and reduced social cohesion are associated with increased levels of inequalities or limited accessibility to socioeconomic recourses. An increase in the number of individuals experiencing poverty may further contribute to the prevalence and nature of crimes committed within specific socioeconomic groups. Newburn (2016) implies that income inequality significantly influences violent and property crime, more specifically in deprived areas. This can be further supported by the research of the Trust for London (2025), which recorded forty percent more crime in low-income areas in 2023. It is thought that violent crimes occur in disadvantaged communities due to an increased level of exploitation with individuals presenting deviant behaviour to assert dominance and avoid being victimised (De Courson et al., 2023). </w:t>
      </w:r>
    </w:p>
    <w:p w14:paraId="1CF01331" w14:textId="77777777" w:rsidR="00923C35" w:rsidRDefault="00923C35" w:rsidP="00923C35">
      <w:pPr>
        <w:spacing w:line="360" w:lineRule="auto"/>
      </w:pPr>
    </w:p>
    <w:p w14:paraId="411D00F6" w14:textId="77777777" w:rsidR="00923C35" w:rsidRDefault="00923C35" w:rsidP="00923C35">
      <w:pPr>
        <w:spacing w:line="360" w:lineRule="auto"/>
      </w:pPr>
      <w:r>
        <w:t xml:space="preserve">Materialism also plays a crucial role in influencing criminality, where the desire to possess luxurious items entices individuals to resort to crime (Shek et al., 2022). Merton’s theories of anomie and strain provide context for this, explaining that crime is committed by those who cannot achieve means legitimately (Murphy and Robinson, 2008). Theories of such propose that specific groups and individuals are more likely to engage in antisocial or criminal behaviour. Despite this, Savolainen et al. (2013) reinforce the principle that socioeconomic disparities should not account for crime in modern-day society. The article suggests that the association between criminality and socioeconomic disparities is a result of heritable and acquired characteristics and competencies. Therefore, demonstrates the importance of studying the influence of socioeconomic disparities alongside other factors such as social and cultural narratives. </w:t>
      </w:r>
    </w:p>
    <w:p w14:paraId="601D4A2E" w14:textId="77777777" w:rsidR="006E3FBB" w:rsidRDefault="006E3FBB" w:rsidP="00923C35">
      <w:pPr>
        <w:spacing w:line="360" w:lineRule="auto"/>
      </w:pPr>
    </w:p>
    <w:p w14:paraId="7FA67479" w14:textId="1F3F72A1" w:rsidR="00923C35" w:rsidRDefault="00923C35" w:rsidP="00923C35">
      <w:pPr>
        <w:spacing w:line="360" w:lineRule="auto"/>
      </w:pPr>
      <w:r>
        <w:t>Limited research into the relationship between socioeconomic factors and crime does not provide context to explain why crime occurs in thriving communities. However, the House of Commons (2014) implies that institutional attitudes are influencing how police officers approach crime resulting in some offences being overlooked. This further emphasises the research of the Police Foundation (2017) which suggests that neighbourhood policing teams are compromising a high volume of data by over-policing certain offences. In addition to this, the complexity of organised crime may affect the ability to effectively investigate these offences. The Police Foundation (2017) suggests that this is further impacting offending rates, which contributes to disparities among figures. This will then further contribute to the narrative that specific socioeconomic groups commit more offences.</w:t>
      </w:r>
    </w:p>
    <w:p w14:paraId="58D1821C" w14:textId="77777777" w:rsidR="00923C35" w:rsidRPr="00923C35" w:rsidRDefault="00923C35" w:rsidP="00923C35">
      <w:pPr>
        <w:spacing w:line="360" w:lineRule="auto"/>
      </w:pPr>
    </w:p>
    <w:p w14:paraId="7812E05A" w14:textId="02238D78" w:rsidR="00AD7D0B" w:rsidRDefault="0047442B" w:rsidP="00595F42">
      <w:pPr>
        <w:pStyle w:val="Subtitle"/>
      </w:pPr>
      <w:r w:rsidRPr="00284D6E">
        <w:t xml:space="preserve">Objective </w:t>
      </w:r>
      <w:r w:rsidR="006D1290" w:rsidRPr="00284D6E">
        <w:t xml:space="preserve">2: </w:t>
      </w:r>
    </w:p>
    <w:p w14:paraId="1A5DCDC2" w14:textId="5B26D880" w:rsidR="00B303BE" w:rsidRPr="00B303BE" w:rsidRDefault="00B303BE" w:rsidP="00B303BE">
      <w:pPr>
        <w:spacing w:after="200" w:line="360" w:lineRule="auto"/>
        <w:rPr>
          <w:rFonts w:cs="Calibri"/>
        </w:rPr>
      </w:pPr>
      <w:r w:rsidRPr="00B303BE">
        <w:rPr>
          <w:rFonts w:cs="Calibri"/>
        </w:rPr>
        <w:t>Institutional practices such as judicial systems and law enforcement influence the development of criminality. It is believed that an individual’s behaviour is influenced by their environment. This can be demonstrated by the research of Schubert et al. (2011) which discovered that young offenders’ behaviour is significantly influenced by their experience of the criminal justice system and this will impact their behaviour as adults. Ineffective rehabilitation strategies and early deterrence strategies are impacting offending rates with an estimated 29% of offenders re-offending (Taylor, 2022). In addition to this, it is estimated that young offenders typically re-offend and commit around four offences each (Youth Justice Board, 2024).</w:t>
      </w:r>
    </w:p>
    <w:p w14:paraId="15559466" w14:textId="44A453C2" w:rsidR="00B303BE" w:rsidRPr="00B303BE" w:rsidRDefault="00B303BE" w:rsidP="00B303BE">
      <w:pPr>
        <w:spacing w:after="200" w:line="360" w:lineRule="auto"/>
        <w:rPr>
          <w:rFonts w:cs="Calibri"/>
        </w:rPr>
      </w:pPr>
      <w:r w:rsidRPr="00B303BE">
        <w:rPr>
          <w:rFonts w:cs="Calibri"/>
        </w:rPr>
        <w:t xml:space="preserve"> Implementing more effective strategies and developing different approaches to rehabilitate offenders may significantly contribute to reducing re-offending rates. The Ministry of Justice (2022) proposed that they will introduce new measures to improve rehabilitation in prisons, these include addressing </w:t>
      </w:r>
      <w:r w:rsidRPr="00B303BE">
        <w:rPr>
          <w:rFonts w:cs="Calibri"/>
        </w:rPr>
        <w:lastRenderedPageBreak/>
        <w:t xml:space="preserve">the requirements of different cultures, providing access to recourses, and creating safer modern rehabilitation facilities. However, Bullock and Bunce (2020) criticise both existing and proposed rehabilitation strategies for their limited effectiveness following release from prison and probation services. Their research highlights the need for additional support and early-stage preparation to guide individuals in transitioning back into the community. </w:t>
      </w:r>
      <w:r w:rsidR="002366E0" w:rsidRPr="002366E0">
        <w:rPr>
          <w:rFonts w:cs="Calibri"/>
          <w:highlight w:val="yellow"/>
        </w:rPr>
        <w:t>Add more</w:t>
      </w:r>
      <w:r w:rsidR="002366E0">
        <w:rPr>
          <w:rFonts w:cs="Calibri"/>
        </w:rPr>
        <w:t xml:space="preserve"> </w:t>
      </w:r>
    </w:p>
    <w:p w14:paraId="78B85597" w14:textId="639BEE9A" w:rsidR="00B303BE" w:rsidRPr="00B303BE" w:rsidRDefault="00B303BE" w:rsidP="00B303BE">
      <w:pPr>
        <w:spacing w:after="200" w:line="360" w:lineRule="auto"/>
        <w:rPr>
          <w:rFonts w:cs="Calibri"/>
        </w:rPr>
      </w:pPr>
      <w:r w:rsidRPr="00B303BE">
        <w:rPr>
          <w:rFonts w:cs="Calibri"/>
        </w:rPr>
        <w:t xml:space="preserve">Criminological research has informed the criminal justice system of preventative measures to challenge criminality within communities. An example of this includes the Rational Choice Theory (1979) which implies that a likely offender, a suitable target, and the absence of a capable guardian constitute criminality. Therefore, effective deterrence strategies have been implemented to reduce offending. An approach that has been utilised by police services to challenge criminality is problem-oriented policing, more specifically hot spot policing. This concept focuses on increasing the number of police and deterrence methods within a specific area and has been proven effective at reducing violent crime and disorder (College of Policing, 2021). </w:t>
      </w:r>
    </w:p>
    <w:p w14:paraId="087CAC91" w14:textId="04972D31" w:rsidR="00B303BE" w:rsidRPr="00B303BE" w:rsidRDefault="00B303BE" w:rsidP="00B303BE">
      <w:pPr>
        <w:spacing w:after="200" w:line="360" w:lineRule="auto"/>
        <w:rPr>
          <w:rFonts w:cs="Calibri"/>
        </w:rPr>
      </w:pPr>
      <w:r w:rsidRPr="00B303BE">
        <w:rPr>
          <w:rFonts w:cs="Calibri"/>
        </w:rPr>
        <w:t xml:space="preserve">A limitation of this approach is spatial crime displacement, which occurs when a significant focus on reducing crime in a specific area results in the relocation of criminal activity (Weisburd, 2016). In addition, increasing police presence in specific areas may result in non-conformity and distrust amongst specific communities. This is especially evident in disadvantaged communities, where existing perceptions of police legitimacy are insufficient (Bolaji and Metcalfe, 2024). </w:t>
      </w:r>
      <w:r w:rsidR="002366E0" w:rsidRPr="002366E0">
        <w:rPr>
          <w:rFonts w:cs="Calibri"/>
          <w:highlight w:val="yellow"/>
        </w:rPr>
        <w:t>Add more</w:t>
      </w:r>
      <w:r w:rsidR="002366E0">
        <w:rPr>
          <w:rFonts w:cs="Calibri"/>
        </w:rPr>
        <w:t xml:space="preserve"> </w:t>
      </w:r>
    </w:p>
    <w:p w14:paraId="1B1E1379" w14:textId="3BCBE04C" w:rsidR="00B303BE" w:rsidRPr="00B303BE" w:rsidRDefault="00B303BE" w:rsidP="00B303BE">
      <w:pPr>
        <w:spacing w:after="200" w:line="360" w:lineRule="auto"/>
        <w:rPr>
          <w:rFonts w:cs="Calibri"/>
        </w:rPr>
      </w:pPr>
      <w:r w:rsidRPr="00B303BE">
        <w:rPr>
          <w:rFonts w:cs="Calibri"/>
        </w:rPr>
        <w:t xml:space="preserve">Expanding on this, systematic bias can reinforce criminality within some communities. The most prominent bias that appears within institutional practices is racial bias. Institutionalised racism can be defined as the failure of an establishment to offer suitable and professional behaviour or service to individuals based on their race, culture, or ethnicity (Macpherson, 1999). This can be reflected through practices such as stop-search procedures and a delayed response to racially aggravated assaults. Recent data demonstrates the disparities in stop-search procedures as black individuals were detained four times more than those who are white (Home Office, 2024). This can be attributed to high volumes of crime within specific areas and other crime characteristics. </w:t>
      </w:r>
    </w:p>
    <w:p w14:paraId="069770C1" w14:textId="4252385C" w:rsidR="00B303BE" w:rsidRPr="00284D6E" w:rsidRDefault="00B303BE" w:rsidP="00B303BE">
      <w:pPr>
        <w:spacing w:after="200" w:line="360" w:lineRule="auto"/>
        <w:rPr>
          <w:rFonts w:cs="Calibri"/>
        </w:rPr>
      </w:pPr>
      <w:r w:rsidRPr="00B303BE">
        <w:rPr>
          <w:rFonts w:cs="Calibri"/>
        </w:rPr>
        <w:t xml:space="preserve"> Focusing on specific events such as the Brixton Riots, illustrates the effect institutional racism has on reinforcing crime within communities. The existing socioeconomic disparities and prejudiced conduct led to extreme violence, arson, and looting (Letizia, 2007).  Alongside the riots themselves, the relationship between minority communities and the police worsened. To improve this, several suggestions were made to implement community policing modules to reduce conduct between the criminal justice system and the public (Bhushan, 1982). These methods promote collaborative </w:t>
      </w:r>
      <w:r w:rsidRPr="00B303BE">
        <w:rPr>
          <w:rFonts w:cs="Calibri"/>
        </w:rPr>
        <w:lastRenderedPageBreak/>
        <w:t xml:space="preserve">relationships between the police and the public to address the catalyst of the crime rather than focus on punitive policies. </w:t>
      </w:r>
    </w:p>
    <w:p w14:paraId="618AF384" w14:textId="258CA9A3" w:rsidR="00C74C44" w:rsidRDefault="0047442B" w:rsidP="00595F42">
      <w:pPr>
        <w:pStyle w:val="Subtitle"/>
      </w:pPr>
      <w:r w:rsidRPr="00284D6E">
        <w:t>Objective 3</w:t>
      </w:r>
      <w:r w:rsidR="002A0EDA" w:rsidRPr="00284D6E">
        <w:t xml:space="preserve">: </w:t>
      </w:r>
    </w:p>
    <w:p w14:paraId="686B2882" w14:textId="77777777" w:rsidR="00595F42" w:rsidRPr="00595F42" w:rsidRDefault="00595F42" w:rsidP="00595F42"/>
    <w:p w14:paraId="2AAD075D" w14:textId="77777777" w:rsidR="00C74C44" w:rsidRDefault="00C74C44" w:rsidP="00C74C44">
      <w:pPr>
        <w:spacing w:line="360" w:lineRule="auto"/>
      </w:pPr>
      <w:r>
        <w:t xml:space="preserve">Social and cultural narratives are an essential aspect of defining crime within communities by influencing how societies identify crime, label individuals as criminals, and the perception and punishment of crime. These refer to a system of beliefs and values that shape the behaviour and perceptions of a community (National Academies of Sciences, Engineering, and Medicine, 2018). These narratives are influenced by social norms, media portrayals, and cultural values which contribute to the social perception of crime. Although similar, they influence the perception of criminality differently. This can be attributed to the different types of norms, values, and historical influences within different communities. </w:t>
      </w:r>
    </w:p>
    <w:p w14:paraId="4B0050A7" w14:textId="77777777" w:rsidR="00C74C44" w:rsidRDefault="00C74C44" w:rsidP="00C74C44">
      <w:pPr>
        <w:spacing w:line="360" w:lineRule="auto"/>
      </w:pPr>
    </w:p>
    <w:p w14:paraId="6622F6A6" w14:textId="77777777" w:rsidR="00C74C44" w:rsidRDefault="00C74C44" w:rsidP="00C74C44">
      <w:pPr>
        <w:spacing w:line="360" w:lineRule="auto"/>
      </w:pPr>
      <w:r>
        <w:t xml:space="preserve">The social disorganisation theory further highlights how these narratives influence a community’s ability to regulate crime. It explains that factors such as poverty, frequent relocation, and family instability diminish a community’s ability to establish relationships and enforce social norms (Schroder et al., 2014). When social sanctions are not able to be enforced, the community’s ability to collectively cooperate and implement social norms to deter crime is compromised. Social sanctions are an essential aspect of regulating and maintaining order within a community by enforcing social norms through reactions of approval or disapproval (Claridge, 2020). Therefore, communities with disrupted social structures are more likely to present criminal or deviant behaviour. </w:t>
      </w:r>
    </w:p>
    <w:p w14:paraId="665D324B" w14:textId="77777777" w:rsidR="00C74C44" w:rsidRDefault="00C74C44" w:rsidP="00C74C44">
      <w:pPr>
        <w:spacing w:line="360" w:lineRule="auto"/>
      </w:pPr>
    </w:p>
    <w:p w14:paraId="205F47FB" w14:textId="77777777" w:rsidR="00C74C44" w:rsidRDefault="00C74C44" w:rsidP="00C74C44">
      <w:pPr>
        <w:spacing w:line="360" w:lineRule="auto"/>
      </w:pPr>
      <w:r>
        <w:t xml:space="preserve">The Cycle of Violence provides context for the influence of cultural and social narratives on crime within communities. This theory suggests that the repetitive nature of abusive relationships can significantly impact the victim, potentially influencing them to either become violent perpetrators or remain in abusive situations as victims (Widom, 1989). It has three main elements that explain the cycle including escalation, incident, and reconciliation. This is especially relevant when examining patterns in domestic abuse relationships, child abuse, and community violence. Intimate partner violence has become an epidemic that is affecting approximately thirty percent of women globally (World Health Organization, 2024). </w:t>
      </w:r>
    </w:p>
    <w:p w14:paraId="02592EC5" w14:textId="77777777" w:rsidR="00C74C44" w:rsidRDefault="00C74C44" w:rsidP="00C74C44">
      <w:pPr>
        <w:spacing w:line="360" w:lineRule="auto"/>
      </w:pPr>
    </w:p>
    <w:p w14:paraId="503ECF61" w14:textId="3263F317" w:rsidR="00EF4C6A" w:rsidRDefault="00C74C44" w:rsidP="00C74C44">
      <w:pPr>
        <w:spacing w:line="360" w:lineRule="auto"/>
      </w:pPr>
      <w:r>
        <w:t xml:space="preserve">The research of Sangeetha et al. (2022) has explored the effect of intimate partner violence and its effect on victims. Their research defines intimate partner violence as a critical social issue that violates women’s rights and represents a global health concern, affecting the well-being of women across diverse countries and cultures. Walker (1977) expands on this, suggesting that traditional </w:t>
      </w:r>
      <w:r>
        <w:lastRenderedPageBreak/>
        <w:t>social narratives have conditioned individuals, predominantly women to remain in violent relationships. Traditional social norms reinforce gender stereotyping, preventing women from attaining equal status and portraying them as the property of men. This issue is particularly evident across cultures where violence against women is condoned (Yonfa et al., 2021). Thus, emphasising the influence of social structure and its effectiveness in enforcing control amongst a community.</w:t>
      </w:r>
    </w:p>
    <w:p w14:paraId="45B29FB7" w14:textId="77777777" w:rsidR="00930EFE" w:rsidRDefault="00930EFE" w:rsidP="00C74C44">
      <w:pPr>
        <w:spacing w:line="360" w:lineRule="auto"/>
      </w:pPr>
    </w:p>
    <w:p w14:paraId="794D52C8" w14:textId="77777777" w:rsidR="00930EFE" w:rsidRDefault="00930EFE" w:rsidP="00930EFE">
      <w:pPr>
        <w:spacing w:line="360" w:lineRule="auto"/>
      </w:pPr>
      <w:r>
        <w:t xml:space="preserve">Furthermore, Sangeetha et al. (2022) review of When I Hit You demonstrates how cultural narratives shape the cycle of violence. Their research summarises how social and cultural narratives like preserving reputation and traditional gender roles contribute to abuse.  Despite this, a limitation of their research is that it exclusively focuses on intimate partner violence in heterosexual relationships. </w:t>
      </w:r>
      <w:proofErr w:type="spellStart"/>
      <w:r>
        <w:t>Rollé</w:t>
      </w:r>
      <w:proofErr w:type="spellEnd"/>
      <w:r>
        <w:t xml:space="preserve"> et al. (2018) imply that researchers have not explored the correlation between LGBTQI+ relationships and intimate partner violence due to existing fears and misconceptions. However, it is apparent that all methods of abuse are more common in homosexual or bisexual relationships (Messinger, 2011). Another limitation of their research is its narrative-based methodology, which generally can be criticised for its reliability. As this method relies on the researcher’s interpretation of the participant's experience, the personal biases involved can affect the accuracy and consistency of the findings (Bell, 2002). </w:t>
      </w:r>
    </w:p>
    <w:p w14:paraId="266DCCFA" w14:textId="77777777" w:rsidR="00930EFE" w:rsidRDefault="00930EFE" w:rsidP="00930EFE">
      <w:pPr>
        <w:spacing w:line="360" w:lineRule="auto"/>
      </w:pPr>
    </w:p>
    <w:p w14:paraId="5D5D5222" w14:textId="77777777" w:rsidR="00930EFE" w:rsidRDefault="00930EFE" w:rsidP="00930EFE">
      <w:pPr>
        <w:spacing w:line="360" w:lineRule="auto"/>
      </w:pPr>
      <w:r>
        <w:t xml:space="preserve">Additionally, the effect of social and cultural narratives can be reflected through media portrayals.  Baranauskas and Drakulich (2018) explored the construction of crime within the media and its influence on the perception of crime. Their research emphasises that crime is not reported but constructed through framing techniques that influence how audiences perceive criminal behaviour, justice, and punishment. For example, media outlets will often focus on sensationalising violent offences and high-profile cases which results in a false representation of crime.  This can misinform the public of accurate crime rates and create an exaggerated fear of crime. By focusing on particular crimes, media representations can distort the public perception of crime, reinforcing cultural and social narratives that may not accurately reflect reality. </w:t>
      </w:r>
    </w:p>
    <w:p w14:paraId="6024CED9" w14:textId="77777777" w:rsidR="00930EFE" w:rsidRDefault="00930EFE" w:rsidP="00930EFE">
      <w:pPr>
        <w:spacing w:line="360" w:lineRule="auto"/>
      </w:pPr>
    </w:p>
    <w:p w14:paraId="40FD072F" w14:textId="7F203544" w:rsidR="00427880" w:rsidRDefault="00930EFE" w:rsidP="00930EFE">
      <w:pPr>
        <w:spacing w:line="360" w:lineRule="auto"/>
      </w:pPr>
      <w:r>
        <w:t xml:space="preserve">These misrepresentations are particularly noticeable in the portrayal of certain social groups. According to Leverntz (2012), media outlets often portray young male ethnic minorities from deprived areas as offenders. This research endorses the idea that media portrayals influence the public perception of crime and implies that it further contributes to the development of punitive policies. It is estimated that 71% of the British population believe that the criminal justice system is too lenient when it comes to punishment (House of Commons Justice Committee, 2023). These ideologies are reinforced through political campaigns and informal interactions between the public and law </w:t>
      </w:r>
      <w:r>
        <w:lastRenderedPageBreak/>
        <w:t>enforcement agencies (Leverntz, 2018).  These campaigns also foster racial stereotypes portrayed by the media to support their narrative and implement stricter deterrence measures.</w:t>
      </w:r>
    </w:p>
    <w:p w14:paraId="5EAF5289" w14:textId="77777777" w:rsidR="00CF3480" w:rsidRPr="00284D6E" w:rsidRDefault="00CF3480" w:rsidP="00930EFE">
      <w:pPr>
        <w:spacing w:line="360" w:lineRule="auto"/>
      </w:pPr>
    </w:p>
    <w:p w14:paraId="3317C7DB" w14:textId="77777777" w:rsidR="002366E0" w:rsidRDefault="002366E0" w:rsidP="002366E0">
      <w:pPr>
        <w:spacing w:line="360" w:lineRule="auto"/>
      </w:pPr>
    </w:p>
    <w:p w14:paraId="325AEB4F" w14:textId="33231677" w:rsidR="002366E0" w:rsidRDefault="002366E0" w:rsidP="002366E0">
      <w:pPr>
        <w:spacing w:line="360" w:lineRule="auto"/>
      </w:pPr>
      <w:r>
        <w:t xml:space="preserve">Szczepan (2024) examined the effect of sensationalising crime and its impact on public fear and perceptions of victimisation. The study proposes that consistent representation of crime through the use of accessible outlets such as documentaries and television shows contribute to the desensitisation of crime. It further predicts that this may result in indifference towards both direct and indirect victims portrayed and their experience of victimization. Despite this, Di Tella et al. (2019) revealed that existing victims of crime are more likely to become desensitised to crime. Thus, emphasising the effect that extended exposure to crime has on individuals, especially those who reside in areas with high crime or weak social cohesion. </w:t>
      </w:r>
    </w:p>
    <w:p w14:paraId="65020BDD" w14:textId="77777777" w:rsidR="002366E0" w:rsidRDefault="002366E0" w:rsidP="002366E0">
      <w:pPr>
        <w:spacing w:line="360" w:lineRule="auto"/>
      </w:pPr>
    </w:p>
    <w:p w14:paraId="1A8E1925" w14:textId="77777777" w:rsidR="002366E0" w:rsidRDefault="002366E0" w:rsidP="002366E0">
      <w:pPr>
        <w:spacing w:line="360" w:lineRule="auto"/>
      </w:pPr>
      <w:r>
        <w:t xml:space="preserve">Although media portrayals can significantly influence the public perception of crime, they often support policing strategies and raise awareness about crime-related issues. Walsh et al. (2022) address the concern of framing techniques used by media outlets and acknowledge the impact this has on social and cultural narratives. However, their research also emphasises its relevance in modern-day society suggesting that media sources are an essential aspect of policing. The article highlights multiple benefits of combining policing practice and the media, including improved engagement, transparency, and knowledge. Further focusing on the disparities among representations of black and ethnic minorities, Bjornstrom et al. (2010) suggest that crime characteristics and regional demographics may account for this. This includes the severity of a crime, victim demographics, and the amount of victims. </w:t>
      </w:r>
    </w:p>
    <w:p w14:paraId="58675D95" w14:textId="77777777" w:rsidR="002366E0" w:rsidRDefault="002366E0" w:rsidP="002366E0">
      <w:pPr>
        <w:spacing w:line="360" w:lineRule="auto"/>
      </w:pPr>
      <w:r>
        <w:t xml:space="preserve"> </w:t>
      </w:r>
    </w:p>
    <w:p w14:paraId="47EA3627" w14:textId="107DFF5D" w:rsidR="002208B7" w:rsidRPr="00284D6E" w:rsidRDefault="002366E0" w:rsidP="002366E0">
      <w:pPr>
        <w:spacing w:line="360" w:lineRule="auto"/>
      </w:pPr>
      <w:r>
        <w:t xml:space="preserve">In conclusion, this literature review has explored the concept of crime as a social construct by examining factors that contribute to the perception of criminality within communities. Through analysing social disparities, institutional practices, and cultural narratives the influence of structural and societal narratives can be demonstrated. The review demonstrates how the correlation between socioeconomic inequalities, systematic bias, and media portrayals reinforces stereotypes of specific communities. Furthermore, institutional practices often reflect and sustain these narratives rather than challenge them. Despite the proposed suggestions to improve this, there is limited research that provides perspective on the collective influence of poverty, discrimination, and systematic bias on criminal behaviour. Addressing how these disparities inform each other will provide further insight. Ultimately, acknowledging the social construction of crime can further inform criminal justice policies </w:t>
      </w:r>
      <w:r>
        <w:lastRenderedPageBreak/>
        <w:t>and promotes strategies that support marginalised communities and those disproportionally affected by crime.</w:t>
      </w:r>
    </w:p>
    <w:p w14:paraId="7F2C4404" w14:textId="77777777" w:rsidR="002208B7" w:rsidRPr="00284D6E" w:rsidRDefault="002208B7" w:rsidP="00284D6E">
      <w:pPr>
        <w:spacing w:line="360" w:lineRule="auto"/>
      </w:pPr>
    </w:p>
    <w:p w14:paraId="603A4317" w14:textId="77777777" w:rsidR="002208B7" w:rsidRPr="00284D6E" w:rsidRDefault="002208B7" w:rsidP="00284D6E">
      <w:pPr>
        <w:spacing w:line="360" w:lineRule="auto"/>
      </w:pPr>
    </w:p>
    <w:p w14:paraId="362CA9F0" w14:textId="77777777" w:rsidR="002208B7" w:rsidRPr="00284D6E" w:rsidRDefault="002208B7" w:rsidP="00284D6E">
      <w:pPr>
        <w:spacing w:line="360" w:lineRule="auto"/>
      </w:pPr>
    </w:p>
    <w:p w14:paraId="6A803B32" w14:textId="77777777" w:rsidR="002208B7" w:rsidRPr="00284D6E" w:rsidRDefault="002208B7" w:rsidP="00284D6E">
      <w:pPr>
        <w:spacing w:line="360" w:lineRule="auto"/>
      </w:pPr>
    </w:p>
    <w:p w14:paraId="546BD34A" w14:textId="77777777" w:rsidR="002208B7" w:rsidRPr="00284D6E" w:rsidRDefault="002208B7" w:rsidP="00284D6E">
      <w:pPr>
        <w:spacing w:line="360" w:lineRule="auto"/>
      </w:pPr>
    </w:p>
    <w:p w14:paraId="4795ADD3" w14:textId="77777777" w:rsidR="002208B7" w:rsidRPr="00284D6E" w:rsidRDefault="002208B7" w:rsidP="00284D6E">
      <w:pPr>
        <w:spacing w:line="360" w:lineRule="auto"/>
      </w:pPr>
    </w:p>
    <w:p w14:paraId="543A5FBA" w14:textId="77777777" w:rsidR="002208B7" w:rsidRPr="00284D6E" w:rsidRDefault="002208B7" w:rsidP="00284D6E">
      <w:pPr>
        <w:spacing w:line="360" w:lineRule="auto"/>
      </w:pPr>
    </w:p>
    <w:p w14:paraId="5E7747DF" w14:textId="77777777" w:rsidR="002208B7" w:rsidRPr="00284D6E" w:rsidRDefault="002208B7" w:rsidP="00284D6E">
      <w:pPr>
        <w:spacing w:line="360" w:lineRule="auto"/>
      </w:pPr>
    </w:p>
    <w:p w14:paraId="210D2608" w14:textId="77777777" w:rsidR="002208B7" w:rsidRPr="00284D6E" w:rsidRDefault="002208B7" w:rsidP="00284D6E">
      <w:pPr>
        <w:spacing w:line="360" w:lineRule="auto"/>
      </w:pPr>
    </w:p>
    <w:p w14:paraId="1078C997" w14:textId="77777777" w:rsidR="002208B7" w:rsidRPr="00284D6E" w:rsidRDefault="002208B7" w:rsidP="00284D6E">
      <w:pPr>
        <w:spacing w:line="360" w:lineRule="auto"/>
      </w:pPr>
    </w:p>
    <w:p w14:paraId="04DA60AE" w14:textId="77777777" w:rsidR="002208B7" w:rsidRPr="00284D6E" w:rsidRDefault="002208B7" w:rsidP="00284D6E">
      <w:pPr>
        <w:spacing w:line="360" w:lineRule="auto"/>
      </w:pPr>
    </w:p>
    <w:p w14:paraId="48BB96E0" w14:textId="77777777" w:rsidR="002208B7" w:rsidRPr="00284D6E" w:rsidRDefault="002208B7" w:rsidP="00284D6E">
      <w:pPr>
        <w:spacing w:line="360" w:lineRule="auto"/>
      </w:pPr>
    </w:p>
    <w:p w14:paraId="5F97FAE5" w14:textId="77777777" w:rsidR="002208B7" w:rsidRPr="00284D6E" w:rsidRDefault="002208B7" w:rsidP="00284D6E">
      <w:pPr>
        <w:spacing w:line="360" w:lineRule="auto"/>
      </w:pPr>
    </w:p>
    <w:p w14:paraId="64811621" w14:textId="77777777" w:rsidR="002208B7" w:rsidRPr="00284D6E" w:rsidRDefault="002208B7" w:rsidP="00284D6E">
      <w:pPr>
        <w:spacing w:line="360" w:lineRule="auto"/>
      </w:pPr>
    </w:p>
    <w:p w14:paraId="473AE241" w14:textId="77777777" w:rsidR="002208B7" w:rsidRPr="00284D6E" w:rsidRDefault="002208B7" w:rsidP="00284D6E">
      <w:pPr>
        <w:spacing w:line="360" w:lineRule="auto"/>
      </w:pPr>
    </w:p>
    <w:p w14:paraId="3906B187" w14:textId="77777777" w:rsidR="002208B7" w:rsidRPr="00284D6E" w:rsidRDefault="002208B7" w:rsidP="00284D6E">
      <w:pPr>
        <w:spacing w:line="360" w:lineRule="auto"/>
      </w:pPr>
    </w:p>
    <w:p w14:paraId="50D560AF" w14:textId="77777777" w:rsidR="002208B7" w:rsidRPr="00284D6E" w:rsidRDefault="002208B7" w:rsidP="00284D6E">
      <w:pPr>
        <w:spacing w:line="360" w:lineRule="auto"/>
      </w:pPr>
    </w:p>
    <w:p w14:paraId="24EAEED8" w14:textId="77777777" w:rsidR="002208B7" w:rsidRPr="00284D6E" w:rsidRDefault="002208B7" w:rsidP="00284D6E">
      <w:pPr>
        <w:spacing w:line="360" w:lineRule="auto"/>
      </w:pPr>
    </w:p>
    <w:p w14:paraId="63D9A311" w14:textId="77777777" w:rsidR="002208B7" w:rsidRPr="00284D6E" w:rsidRDefault="002208B7" w:rsidP="00284D6E">
      <w:pPr>
        <w:spacing w:line="360" w:lineRule="auto"/>
      </w:pPr>
    </w:p>
    <w:p w14:paraId="2F51B1C5" w14:textId="77777777" w:rsidR="002208B7" w:rsidRPr="00284D6E" w:rsidRDefault="002208B7" w:rsidP="00284D6E">
      <w:pPr>
        <w:spacing w:line="360" w:lineRule="auto"/>
      </w:pPr>
    </w:p>
    <w:p w14:paraId="6C1DB04D" w14:textId="77777777" w:rsidR="002208B7" w:rsidRPr="00284D6E" w:rsidRDefault="002208B7" w:rsidP="00284D6E">
      <w:pPr>
        <w:spacing w:line="360" w:lineRule="auto"/>
      </w:pPr>
    </w:p>
    <w:p w14:paraId="4A015CBA" w14:textId="77777777" w:rsidR="002208B7" w:rsidRPr="00284D6E" w:rsidRDefault="002208B7" w:rsidP="00284D6E">
      <w:pPr>
        <w:spacing w:line="360" w:lineRule="auto"/>
      </w:pPr>
    </w:p>
    <w:p w14:paraId="314F34D9" w14:textId="77777777" w:rsidR="002208B7" w:rsidRPr="00284D6E" w:rsidRDefault="002208B7" w:rsidP="00284D6E">
      <w:pPr>
        <w:spacing w:line="360" w:lineRule="auto"/>
      </w:pPr>
    </w:p>
    <w:p w14:paraId="46AB242D" w14:textId="77777777" w:rsidR="002208B7" w:rsidRPr="00284D6E" w:rsidRDefault="002208B7" w:rsidP="00284D6E">
      <w:pPr>
        <w:spacing w:line="360" w:lineRule="auto"/>
      </w:pPr>
    </w:p>
    <w:p w14:paraId="2E97A6CB" w14:textId="77777777" w:rsidR="002208B7" w:rsidRPr="00284D6E" w:rsidRDefault="002208B7" w:rsidP="00284D6E">
      <w:pPr>
        <w:spacing w:line="360" w:lineRule="auto"/>
      </w:pPr>
    </w:p>
    <w:p w14:paraId="0AE6886D" w14:textId="77777777" w:rsidR="002208B7" w:rsidRPr="00284D6E" w:rsidRDefault="002208B7" w:rsidP="00284D6E">
      <w:pPr>
        <w:spacing w:line="360" w:lineRule="auto"/>
      </w:pPr>
    </w:p>
    <w:p w14:paraId="490C666F" w14:textId="77777777" w:rsidR="002208B7" w:rsidRPr="00284D6E" w:rsidRDefault="002208B7" w:rsidP="00284D6E">
      <w:pPr>
        <w:pStyle w:val="ListParagraph"/>
        <w:spacing w:line="360" w:lineRule="auto"/>
      </w:pPr>
    </w:p>
    <w:p w14:paraId="7BC289EF" w14:textId="77777777" w:rsidR="002208B7" w:rsidRPr="00284D6E" w:rsidRDefault="002208B7" w:rsidP="00284D6E">
      <w:pPr>
        <w:spacing w:after="200" w:line="360" w:lineRule="auto"/>
        <w:rPr>
          <w:rFonts w:cs="Calibri"/>
        </w:rPr>
      </w:pPr>
    </w:p>
    <w:p w14:paraId="71329F51" w14:textId="77777777" w:rsidR="002208B7" w:rsidRPr="00284D6E" w:rsidRDefault="002208B7" w:rsidP="00284D6E">
      <w:pPr>
        <w:spacing w:after="200" w:line="360" w:lineRule="auto"/>
        <w:rPr>
          <w:rFonts w:cs="Calibri"/>
        </w:rPr>
      </w:pPr>
    </w:p>
    <w:p w14:paraId="0140D857" w14:textId="77777777" w:rsidR="002208B7" w:rsidRPr="00284D6E" w:rsidRDefault="002208B7" w:rsidP="00284D6E">
      <w:pPr>
        <w:spacing w:line="360" w:lineRule="auto"/>
        <w:rPr>
          <w:i/>
          <w:iCs/>
        </w:rPr>
      </w:pPr>
    </w:p>
    <w:p w14:paraId="2FB820DA" w14:textId="77777777" w:rsidR="002208B7" w:rsidRPr="00284D6E" w:rsidRDefault="002208B7" w:rsidP="00284D6E">
      <w:pPr>
        <w:spacing w:line="360" w:lineRule="auto"/>
      </w:pPr>
    </w:p>
    <w:p w14:paraId="45D11B38" w14:textId="77777777" w:rsidR="002208B7" w:rsidRPr="00284D6E" w:rsidRDefault="002208B7" w:rsidP="00284D6E">
      <w:pPr>
        <w:spacing w:line="360" w:lineRule="auto"/>
      </w:pPr>
    </w:p>
    <w:p w14:paraId="020E1863" w14:textId="77777777" w:rsidR="002208B7" w:rsidRPr="00284D6E" w:rsidRDefault="002208B7" w:rsidP="00284D6E">
      <w:pPr>
        <w:spacing w:line="360" w:lineRule="auto"/>
      </w:pPr>
    </w:p>
    <w:p w14:paraId="71CA5272" w14:textId="77777777" w:rsidR="002208B7" w:rsidRPr="00284D6E" w:rsidRDefault="002208B7" w:rsidP="00284D6E">
      <w:pPr>
        <w:spacing w:line="360" w:lineRule="auto"/>
      </w:pPr>
    </w:p>
    <w:p w14:paraId="50B157C8" w14:textId="77777777" w:rsidR="002208B7" w:rsidRPr="00284D6E" w:rsidRDefault="002208B7" w:rsidP="00284D6E">
      <w:pPr>
        <w:spacing w:line="360" w:lineRule="auto"/>
      </w:pPr>
      <w:r w:rsidRPr="00284D6E">
        <w:t xml:space="preserve">Baranauskas, A.J and Drakulich, K.M. (2018) ‘Media constructions of crime revisited: Media types, consumer contexts, and frames of crime and justice’, </w:t>
      </w:r>
      <w:r w:rsidRPr="00284D6E">
        <w:rPr>
          <w:i/>
          <w:iCs/>
        </w:rPr>
        <w:t xml:space="preserve">Criminology, </w:t>
      </w:r>
      <w:r w:rsidRPr="00284D6E">
        <w:t xml:space="preserve">56(4), pp. 679-714. Available at: </w:t>
      </w:r>
      <w:hyperlink r:id="rId5" w:history="1">
        <w:r w:rsidRPr="00284D6E">
          <w:rPr>
            <w:rStyle w:val="Hyperlink"/>
          </w:rPr>
          <w:t>https://onlinelibrary-wiley-com.ezproxy.uwtsd.ac.uk/doi/epdf/10.1111/1745-9125.12189</w:t>
        </w:r>
      </w:hyperlink>
      <w:r w:rsidRPr="00284D6E">
        <w:t xml:space="preserve"> (Accessed: 10 April 2025). </w:t>
      </w:r>
    </w:p>
    <w:p w14:paraId="4E840242" w14:textId="77777777" w:rsidR="002208B7" w:rsidRPr="00284D6E" w:rsidRDefault="002208B7" w:rsidP="00284D6E">
      <w:pPr>
        <w:spacing w:line="360" w:lineRule="auto"/>
      </w:pPr>
    </w:p>
    <w:p w14:paraId="3E816135" w14:textId="77777777" w:rsidR="002208B7" w:rsidRPr="00284D6E" w:rsidRDefault="002208B7" w:rsidP="00284D6E">
      <w:pPr>
        <w:spacing w:line="360" w:lineRule="auto"/>
      </w:pPr>
      <w:r w:rsidRPr="00284D6E">
        <w:t xml:space="preserve">Bell, J.S. (2002) ‘Narrative inquiry: More than just telling stories’, </w:t>
      </w:r>
      <w:r w:rsidRPr="00284D6E">
        <w:rPr>
          <w:i/>
          <w:iCs/>
        </w:rPr>
        <w:t xml:space="preserve">TESOL Quarterly, </w:t>
      </w:r>
      <w:r w:rsidRPr="00284D6E">
        <w:t xml:space="preserve">36(2), pp. 207-213. Available at: </w:t>
      </w:r>
      <w:hyperlink r:id="rId6" w:history="1">
        <w:r w:rsidRPr="00284D6E">
          <w:rPr>
            <w:rStyle w:val="Hyperlink"/>
          </w:rPr>
          <w:t>https://www-jstor-org.ezproxy.uwtsd.ac.uk/stable/3588331?seq=1</w:t>
        </w:r>
      </w:hyperlink>
      <w:r w:rsidRPr="00284D6E">
        <w:t xml:space="preserve"> (Accessed: 8 April 2025). </w:t>
      </w:r>
    </w:p>
    <w:p w14:paraId="7065BDC8" w14:textId="77777777" w:rsidR="00284D6E" w:rsidRPr="00284D6E" w:rsidRDefault="00284D6E" w:rsidP="00284D6E">
      <w:pPr>
        <w:spacing w:line="360" w:lineRule="auto"/>
      </w:pPr>
    </w:p>
    <w:p w14:paraId="047B0806" w14:textId="77777777" w:rsidR="002208B7" w:rsidRPr="00284D6E" w:rsidRDefault="002208B7" w:rsidP="00284D6E">
      <w:pPr>
        <w:spacing w:line="360" w:lineRule="auto"/>
      </w:pPr>
      <w:r w:rsidRPr="00284D6E">
        <w:t xml:space="preserve">Bhushan, B. (1982) ‘Lord Scarman Reports’, </w:t>
      </w:r>
      <w:r w:rsidRPr="00284D6E">
        <w:rPr>
          <w:i/>
          <w:iCs/>
        </w:rPr>
        <w:t xml:space="preserve">Economic and Political Weekly, </w:t>
      </w:r>
      <w:r w:rsidRPr="00284D6E">
        <w:t xml:space="preserve">17(1), pp. 19. Available at: </w:t>
      </w:r>
      <w:hyperlink r:id="rId7" w:history="1">
        <w:r w:rsidRPr="00284D6E">
          <w:rPr>
            <w:rStyle w:val="Hyperlink"/>
          </w:rPr>
          <w:t>https://www-jstor-org.ezproxy.uwtsd.ac.uk/stable/4370549?searchText=&amp;searchUri=&amp;ab_segments=&amp;searchKey=&amp;refreqid=fastly-default%3A0369a2ba0c974eafa11f148e92e6a0ca&amp;initiator=recommender&amp;seq=1</w:t>
        </w:r>
      </w:hyperlink>
      <w:r w:rsidRPr="00284D6E">
        <w:t xml:space="preserve"> (Accessed: 27 February 2025). </w:t>
      </w:r>
    </w:p>
    <w:p w14:paraId="38049DB1" w14:textId="77777777" w:rsidR="00284D6E" w:rsidRPr="00284D6E" w:rsidRDefault="00284D6E" w:rsidP="00284D6E">
      <w:pPr>
        <w:spacing w:line="360" w:lineRule="auto"/>
      </w:pPr>
    </w:p>
    <w:p w14:paraId="7EEF7284" w14:textId="77777777" w:rsidR="002208B7" w:rsidRPr="00284D6E" w:rsidRDefault="002208B7" w:rsidP="00284D6E">
      <w:pPr>
        <w:spacing w:line="360" w:lineRule="auto"/>
      </w:pPr>
      <w:proofErr w:type="spellStart"/>
      <w:r w:rsidRPr="00284D6E">
        <w:t>Bjornstorm</w:t>
      </w:r>
      <w:proofErr w:type="spellEnd"/>
      <w:r w:rsidRPr="00284D6E">
        <w:t xml:space="preserve">, E., Kaufman, R., Peterson, R.D. and Slater, M.D. (2010) ‘Race and ethnic representations of lawbreakers and victims in crime news: A national study of television coverage’, </w:t>
      </w:r>
      <w:r w:rsidRPr="00284D6E">
        <w:rPr>
          <w:i/>
          <w:iCs/>
        </w:rPr>
        <w:t xml:space="preserve">Social Problems, </w:t>
      </w:r>
      <w:r w:rsidRPr="00284D6E">
        <w:t xml:space="preserve">57(2), pp. 269-293. Available at: </w:t>
      </w:r>
      <w:hyperlink r:id="rId8" w:history="1">
        <w:r w:rsidRPr="00284D6E">
          <w:rPr>
            <w:rStyle w:val="Hyperlink"/>
          </w:rPr>
          <w:t>https://academic.oup.com/socpro/article-abstract/57/2/269/1655566?redirectedFrom=fulltext</w:t>
        </w:r>
      </w:hyperlink>
      <w:r w:rsidRPr="00284D6E">
        <w:t xml:space="preserve"> (Accessed: 11 April 2025). </w:t>
      </w:r>
    </w:p>
    <w:p w14:paraId="5314EAB2" w14:textId="77777777" w:rsidR="00284D6E" w:rsidRPr="00284D6E" w:rsidRDefault="00284D6E" w:rsidP="00284D6E">
      <w:pPr>
        <w:spacing w:line="360" w:lineRule="auto"/>
      </w:pPr>
    </w:p>
    <w:p w14:paraId="430935D4" w14:textId="77777777" w:rsidR="002208B7" w:rsidRPr="00284D6E" w:rsidRDefault="002208B7" w:rsidP="00284D6E">
      <w:pPr>
        <w:spacing w:line="360" w:lineRule="auto"/>
      </w:pPr>
      <w:r w:rsidRPr="00284D6E">
        <w:t xml:space="preserve">Bolaji, Q. and Metcalfe, C. (2024) ‘Exploring the Association between Levels of Police Presence, Contact, and Perceptions of Police Legitimacy’, </w:t>
      </w:r>
      <w:r w:rsidRPr="00284D6E">
        <w:rPr>
          <w:i/>
          <w:iCs/>
        </w:rPr>
        <w:t xml:space="preserve">Crime &amp; Delinquency, </w:t>
      </w:r>
      <w:r w:rsidRPr="00284D6E">
        <w:t xml:space="preserve">70(12). pp. 3308-3342. Available at: </w:t>
      </w:r>
      <w:hyperlink r:id="rId9" w:history="1">
        <w:r w:rsidRPr="00284D6E">
          <w:rPr>
            <w:rStyle w:val="Hyperlink"/>
          </w:rPr>
          <w:t>https://journals.sagepub.com/doi/10.1177/00111287231226188</w:t>
        </w:r>
      </w:hyperlink>
      <w:r w:rsidRPr="00284D6E">
        <w:t xml:space="preserve"> (Accessed: 25 February 2025). </w:t>
      </w:r>
    </w:p>
    <w:p w14:paraId="1873AFB4" w14:textId="77777777" w:rsidR="00284D6E" w:rsidRPr="00284D6E" w:rsidRDefault="00284D6E" w:rsidP="00284D6E">
      <w:pPr>
        <w:spacing w:line="360" w:lineRule="auto"/>
      </w:pPr>
    </w:p>
    <w:p w14:paraId="5362D3DE" w14:textId="77777777" w:rsidR="002208B7" w:rsidRPr="00284D6E" w:rsidRDefault="002208B7" w:rsidP="00284D6E">
      <w:pPr>
        <w:spacing w:line="360" w:lineRule="auto"/>
      </w:pPr>
      <w:r w:rsidRPr="00284D6E">
        <w:t xml:space="preserve">Bullock, K. and Bunce, A. (2020) ‘The prison don’t talk to you about getting out of prison’: On why prisons in England and Wales fail to rehabilitate prisoners’, </w:t>
      </w:r>
      <w:r w:rsidRPr="00284D6E">
        <w:rPr>
          <w:i/>
          <w:iCs/>
        </w:rPr>
        <w:t xml:space="preserve">Criminology and Criminal Justice, </w:t>
      </w:r>
      <w:r w:rsidRPr="00284D6E">
        <w:t xml:space="preserve">20(1), pp. 111-127. Available at: </w:t>
      </w:r>
      <w:hyperlink r:id="rId10" w:history="1">
        <w:r w:rsidRPr="00284D6E">
          <w:rPr>
            <w:rStyle w:val="Hyperlink"/>
          </w:rPr>
          <w:t>https://journals.sagepub.com/doi/10.1177/1748895818800743</w:t>
        </w:r>
      </w:hyperlink>
      <w:r w:rsidRPr="00284D6E">
        <w:t xml:space="preserve"> (Accessed: 11 April 2025). </w:t>
      </w:r>
    </w:p>
    <w:p w14:paraId="07E4DC4C" w14:textId="77777777" w:rsidR="00284D6E" w:rsidRPr="00284D6E" w:rsidRDefault="00284D6E" w:rsidP="00284D6E">
      <w:pPr>
        <w:spacing w:line="360" w:lineRule="auto"/>
      </w:pPr>
    </w:p>
    <w:p w14:paraId="1166BAED" w14:textId="77777777" w:rsidR="002208B7" w:rsidRPr="00284D6E" w:rsidRDefault="002208B7" w:rsidP="00284D6E">
      <w:pPr>
        <w:spacing w:line="360" w:lineRule="auto"/>
      </w:pPr>
      <w:r w:rsidRPr="00284D6E">
        <w:t xml:space="preserve">Claridge, T. (2020) ‘Social sanctions – Overview, meaning, examples, types and importance’, </w:t>
      </w:r>
      <w:r w:rsidRPr="00284D6E">
        <w:rPr>
          <w:i/>
          <w:iCs/>
        </w:rPr>
        <w:t xml:space="preserve">Institute for Social Capital, </w:t>
      </w:r>
      <w:r w:rsidRPr="00284D6E">
        <w:t xml:space="preserve">12 February. Available at: </w:t>
      </w:r>
      <w:hyperlink r:id="rId11" w:history="1">
        <w:r w:rsidRPr="00284D6E">
          <w:rPr>
            <w:rStyle w:val="Hyperlink"/>
          </w:rPr>
          <w:t>https://www.socialcapitalresearch.com/social-sanctions/</w:t>
        </w:r>
      </w:hyperlink>
      <w:r w:rsidRPr="00284D6E">
        <w:t xml:space="preserve"> (Accessed: 8 April 2025). </w:t>
      </w:r>
    </w:p>
    <w:p w14:paraId="55FAB645" w14:textId="77777777" w:rsidR="00284D6E" w:rsidRPr="00284D6E" w:rsidRDefault="00284D6E" w:rsidP="00284D6E">
      <w:pPr>
        <w:spacing w:line="360" w:lineRule="auto"/>
      </w:pPr>
    </w:p>
    <w:p w14:paraId="2D1DD052" w14:textId="77777777" w:rsidR="002208B7" w:rsidRPr="00284D6E" w:rsidRDefault="002208B7" w:rsidP="00284D6E">
      <w:pPr>
        <w:spacing w:line="360" w:lineRule="auto"/>
      </w:pPr>
      <w:r w:rsidRPr="00284D6E">
        <w:t xml:space="preserve">Cohen, L.E. and Felson, M. (1979) ‘Social change and crime trend rates: A routine activity approach’, </w:t>
      </w:r>
      <w:r w:rsidRPr="00284D6E">
        <w:rPr>
          <w:i/>
          <w:iCs/>
        </w:rPr>
        <w:t xml:space="preserve">American Sociological Review, </w:t>
      </w:r>
      <w:r w:rsidRPr="00284D6E">
        <w:t xml:space="preserve">44, pp. 558-608. Available at: </w:t>
      </w:r>
      <w:hyperlink r:id="rId12" w:history="1">
        <w:r w:rsidRPr="00284D6E">
          <w:rPr>
            <w:rStyle w:val="Hyperlink"/>
          </w:rPr>
          <w:t>https://www.researchgate.net/figure/Proportion-of-Households-Unattended-by-Anyone-14-Years-Old-or-Over-by-Time-of-Day-during_tbl2_238322365</w:t>
        </w:r>
      </w:hyperlink>
      <w:r w:rsidRPr="00284D6E">
        <w:t xml:space="preserve"> (Accessed: 24 February 2025). </w:t>
      </w:r>
    </w:p>
    <w:p w14:paraId="4C3CFA8D" w14:textId="77777777" w:rsidR="00284D6E" w:rsidRPr="00284D6E" w:rsidRDefault="00284D6E" w:rsidP="00284D6E">
      <w:pPr>
        <w:spacing w:line="360" w:lineRule="auto"/>
      </w:pPr>
    </w:p>
    <w:p w14:paraId="6BCD926F" w14:textId="77777777" w:rsidR="002208B7" w:rsidRPr="00284D6E" w:rsidRDefault="002208B7" w:rsidP="00284D6E">
      <w:pPr>
        <w:spacing w:line="360" w:lineRule="auto"/>
      </w:pPr>
      <w:r w:rsidRPr="00284D6E">
        <w:t xml:space="preserve">College of Policing (2021) </w:t>
      </w:r>
      <w:r w:rsidRPr="00284D6E">
        <w:rPr>
          <w:i/>
          <w:iCs/>
        </w:rPr>
        <w:t xml:space="preserve">Targeted approaches to crime and disorder reduction. </w:t>
      </w:r>
      <w:r w:rsidRPr="00284D6E">
        <w:t xml:space="preserve">Available at: </w:t>
      </w:r>
      <w:hyperlink r:id="rId13" w:history="1">
        <w:r w:rsidRPr="00284D6E">
          <w:rPr>
            <w:rStyle w:val="Hyperlink"/>
          </w:rPr>
          <w:t>https://www.college.police.uk/research/what-works-policing-reduce-crime/targeted-approaches</w:t>
        </w:r>
      </w:hyperlink>
      <w:r w:rsidRPr="00284D6E">
        <w:t xml:space="preserve"> (Accessed: 24 February 2025). </w:t>
      </w:r>
    </w:p>
    <w:p w14:paraId="67D6B396" w14:textId="77777777" w:rsidR="00284D6E" w:rsidRPr="00284D6E" w:rsidRDefault="00284D6E" w:rsidP="00284D6E">
      <w:pPr>
        <w:spacing w:line="360" w:lineRule="auto"/>
      </w:pPr>
    </w:p>
    <w:p w14:paraId="48779274" w14:textId="77777777" w:rsidR="002208B7" w:rsidRPr="00284D6E" w:rsidRDefault="002208B7" w:rsidP="00284D6E">
      <w:pPr>
        <w:spacing w:after="200" w:line="360" w:lineRule="auto"/>
        <w:rPr>
          <w:rFonts w:cs="Calibri"/>
        </w:rPr>
      </w:pPr>
      <w:r w:rsidRPr="00284D6E">
        <w:rPr>
          <w:rFonts w:cs="Calibri"/>
        </w:rPr>
        <w:t xml:space="preserve">De Courson, B. and Nettle, D. (2021) ‘Why do inequality and deprivation produce high crime and low trust?’, </w:t>
      </w:r>
      <w:r w:rsidRPr="00284D6E">
        <w:rPr>
          <w:rFonts w:cs="Calibri"/>
          <w:i/>
          <w:iCs/>
        </w:rPr>
        <w:t xml:space="preserve">Scientific Reports, </w:t>
      </w:r>
      <w:r w:rsidRPr="00284D6E">
        <w:rPr>
          <w:rFonts w:cs="Calibri"/>
        </w:rPr>
        <w:t xml:space="preserve">11. Available at: </w:t>
      </w:r>
      <w:hyperlink r:id="rId14" w:anchor="citeas" w:history="1">
        <w:r w:rsidRPr="00284D6E">
          <w:rPr>
            <w:rStyle w:val="Hyperlink"/>
            <w:rFonts w:cs="Calibri"/>
          </w:rPr>
          <w:t>https://www.nature.com/articles/s41598-020-80897-8#citeas</w:t>
        </w:r>
      </w:hyperlink>
      <w:r w:rsidRPr="00284D6E">
        <w:rPr>
          <w:rFonts w:cs="Calibri"/>
        </w:rPr>
        <w:t xml:space="preserve"> (Accessed: 12 February 2025). </w:t>
      </w:r>
    </w:p>
    <w:p w14:paraId="2E3A35CC" w14:textId="77777777" w:rsidR="002208B7" w:rsidRPr="00284D6E" w:rsidRDefault="002208B7" w:rsidP="00284D6E">
      <w:pPr>
        <w:spacing w:after="200" w:line="360" w:lineRule="auto"/>
        <w:rPr>
          <w:rFonts w:cs="Calibri"/>
        </w:rPr>
      </w:pPr>
      <w:r w:rsidRPr="00284D6E">
        <w:rPr>
          <w:rFonts w:cs="Calibri"/>
        </w:rPr>
        <w:t xml:space="preserve">De Courson, B., Frankenhuis, W. and Nettle, D. (2023) ‘Why is violence high and persistent in deprived communities? A formal model’, </w:t>
      </w:r>
      <w:r w:rsidRPr="00284D6E">
        <w:rPr>
          <w:rFonts w:cs="Calibri"/>
          <w:i/>
          <w:iCs/>
        </w:rPr>
        <w:t xml:space="preserve">Proceedings of the Royal Society Biological Studies, </w:t>
      </w:r>
      <w:r w:rsidRPr="00284D6E">
        <w:rPr>
          <w:rFonts w:cs="Calibri"/>
        </w:rPr>
        <w:t xml:space="preserve">290. Available at: </w:t>
      </w:r>
      <w:hyperlink r:id="rId15" w:history="1">
        <w:r w:rsidRPr="00284D6E">
          <w:rPr>
            <w:rStyle w:val="Hyperlink"/>
            <w:rFonts w:cs="Calibri"/>
          </w:rPr>
          <w:t>https://royalsocietypublishing.org/doi/10.1098/rspb.2022.2095</w:t>
        </w:r>
      </w:hyperlink>
      <w:r w:rsidRPr="00284D6E">
        <w:rPr>
          <w:rFonts w:cs="Calibri"/>
        </w:rPr>
        <w:t xml:space="preserve"> (Accessed: 19 February 2025). </w:t>
      </w:r>
    </w:p>
    <w:p w14:paraId="0A2E9BCB" w14:textId="77777777" w:rsidR="002208B7" w:rsidRPr="00284D6E" w:rsidRDefault="002208B7" w:rsidP="00284D6E">
      <w:pPr>
        <w:spacing w:line="360" w:lineRule="auto"/>
      </w:pPr>
      <w:r w:rsidRPr="00284D6E">
        <w:t xml:space="preserve">Di Tella, R. et al. (2019) ‘Crime and violence: Desensitization in victims watching criminal events’, </w:t>
      </w:r>
      <w:r w:rsidRPr="00284D6E">
        <w:rPr>
          <w:i/>
          <w:iCs/>
        </w:rPr>
        <w:t>Journal of</w:t>
      </w:r>
      <w:r w:rsidRPr="00284D6E">
        <w:t xml:space="preserve"> </w:t>
      </w:r>
      <w:r w:rsidRPr="00284D6E">
        <w:rPr>
          <w:i/>
          <w:iCs/>
        </w:rPr>
        <w:t xml:space="preserve">Economic Behaviour &amp; Organization, </w:t>
      </w:r>
      <w:r w:rsidRPr="00284D6E">
        <w:t xml:space="preserve">159, pp. 613-625. Available at: </w:t>
      </w:r>
      <w:hyperlink r:id="rId16" w:history="1">
        <w:r w:rsidRPr="00284D6E">
          <w:rPr>
            <w:rStyle w:val="Hyperlink"/>
          </w:rPr>
          <w:t>https://www.sciencedirect.com/science/article/pii/S0167268117302792?via%3Dihub</w:t>
        </w:r>
      </w:hyperlink>
      <w:r w:rsidRPr="00284D6E">
        <w:t xml:space="preserve"> (Accessed: 10 April 2025). </w:t>
      </w:r>
    </w:p>
    <w:p w14:paraId="4F62380C" w14:textId="77777777" w:rsidR="00284D6E" w:rsidRPr="00284D6E" w:rsidRDefault="00284D6E" w:rsidP="00284D6E">
      <w:pPr>
        <w:spacing w:line="360" w:lineRule="auto"/>
      </w:pPr>
    </w:p>
    <w:p w14:paraId="391B7591" w14:textId="77777777" w:rsidR="002208B7" w:rsidRPr="00284D6E" w:rsidRDefault="002208B7" w:rsidP="00284D6E">
      <w:pPr>
        <w:spacing w:line="360" w:lineRule="auto"/>
      </w:pPr>
      <w:r w:rsidRPr="00284D6E">
        <w:t xml:space="preserve">Home Office (2024) </w:t>
      </w:r>
      <w:r w:rsidRPr="00284D6E">
        <w:rPr>
          <w:i/>
          <w:iCs/>
        </w:rPr>
        <w:t xml:space="preserve">Stop and search. </w:t>
      </w:r>
      <w:r w:rsidRPr="00284D6E">
        <w:t xml:space="preserve">Available at: </w:t>
      </w:r>
      <w:hyperlink r:id="rId17" w:history="1">
        <w:r w:rsidRPr="00284D6E">
          <w:rPr>
            <w:rStyle w:val="Hyperlink"/>
          </w:rPr>
          <w:t>https://www.ethnicity-facts-figures.service.gov.uk/crime-justice-and-the-law/policing/stop-and-search/latest/</w:t>
        </w:r>
      </w:hyperlink>
      <w:r w:rsidRPr="00284D6E">
        <w:t xml:space="preserve"> (Accessed: 25 February 2025). </w:t>
      </w:r>
    </w:p>
    <w:p w14:paraId="3A8F4710" w14:textId="77777777" w:rsidR="00284D6E" w:rsidRPr="00284D6E" w:rsidRDefault="00284D6E" w:rsidP="00284D6E">
      <w:pPr>
        <w:spacing w:line="360" w:lineRule="auto"/>
      </w:pPr>
    </w:p>
    <w:p w14:paraId="6D7A05B4" w14:textId="77777777" w:rsidR="002208B7" w:rsidRPr="00284D6E" w:rsidRDefault="002208B7" w:rsidP="00284D6E">
      <w:pPr>
        <w:spacing w:after="200" w:line="360" w:lineRule="auto"/>
        <w:rPr>
          <w:rFonts w:cs="Calibri"/>
        </w:rPr>
      </w:pPr>
      <w:r w:rsidRPr="00284D6E">
        <w:rPr>
          <w:rFonts w:cs="Calibri"/>
        </w:rPr>
        <w:t xml:space="preserve">House of Commons (2014) </w:t>
      </w:r>
      <w:r w:rsidRPr="00284D6E">
        <w:rPr>
          <w:rFonts w:cs="Calibri"/>
          <w:i/>
          <w:iCs/>
        </w:rPr>
        <w:t xml:space="preserve">Caught red-handed: Why we can’t count on Police Recorded Crime Statistics. </w:t>
      </w:r>
      <w:r w:rsidRPr="00284D6E">
        <w:rPr>
          <w:rFonts w:cs="Calibri"/>
        </w:rPr>
        <w:t xml:space="preserve">HC 760, London: The Stationary Office Limited. </w:t>
      </w:r>
      <w:hyperlink r:id="rId18" w:history="1">
        <w:r w:rsidRPr="00284D6E">
          <w:rPr>
            <w:rStyle w:val="Hyperlink"/>
            <w:rFonts w:cs="Calibri"/>
          </w:rPr>
          <w:t>https://publications.parliament.uk/pa/cm201314/cmselect/cmpubadm/760/760.pdf</w:t>
        </w:r>
      </w:hyperlink>
    </w:p>
    <w:p w14:paraId="7D39B5E9" w14:textId="77777777" w:rsidR="002208B7" w:rsidRPr="00284D6E" w:rsidRDefault="002208B7" w:rsidP="00284D6E">
      <w:pPr>
        <w:spacing w:line="360" w:lineRule="auto"/>
      </w:pPr>
      <w:r w:rsidRPr="00284D6E">
        <w:t xml:space="preserve">House of Commons Justice Committee (2023) </w:t>
      </w:r>
      <w:r w:rsidRPr="00284D6E">
        <w:rPr>
          <w:i/>
          <w:iCs/>
        </w:rPr>
        <w:t xml:space="preserve">Justice Committee Survey, </w:t>
      </w:r>
      <w:r w:rsidRPr="00284D6E">
        <w:t xml:space="preserve">March 2023. Available at: </w:t>
      </w:r>
      <w:hyperlink r:id="rId19" w:history="1">
        <w:r w:rsidRPr="00284D6E">
          <w:rPr>
            <w:rStyle w:val="Hyperlink"/>
          </w:rPr>
          <w:t>https://committees.parliament.uk/writtenevidence/119614/default/</w:t>
        </w:r>
      </w:hyperlink>
      <w:r w:rsidRPr="00284D6E">
        <w:t xml:space="preserve"> (Accessed: 10 April 2025). </w:t>
      </w:r>
    </w:p>
    <w:p w14:paraId="2A049EA9" w14:textId="77777777" w:rsidR="002208B7" w:rsidRPr="00284D6E" w:rsidRDefault="002208B7" w:rsidP="00284D6E">
      <w:pPr>
        <w:spacing w:after="200" w:line="360" w:lineRule="auto"/>
        <w:rPr>
          <w:rFonts w:cs="Calibri"/>
        </w:rPr>
      </w:pPr>
      <w:hyperlink r:id="rId20" w:history="1">
        <w:r w:rsidRPr="00284D6E">
          <w:rPr>
            <w:rStyle w:val="Hyperlink"/>
            <w:rFonts w:cs="Calibri"/>
          </w:rPr>
          <w:t>https://eprints.lse.ac.uk/68133/1/Newburn_Social%20Disadvantage%20and%20Crime.pdf</w:t>
        </w:r>
      </w:hyperlink>
      <w:r w:rsidRPr="00284D6E">
        <w:rPr>
          <w:rFonts w:cs="Calibri"/>
        </w:rPr>
        <w:t xml:space="preserve"> </w:t>
      </w:r>
    </w:p>
    <w:p w14:paraId="0E478C58" w14:textId="77777777" w:rsidR="002208B7" w:rsidRPr="00284D6E" w:rsidRDefault="002208B7" w:rsidP="00284D6E">
      <w:pPr>
        <w:spacing w:line="360" w:lineRule="auto"/>
      </w:pPr>
      <w:r w:rsidRPr="00284D6E">
        <w:t xml:space="preserve">Letizia, G. (2007) ‘Scarman Report’, </w:t>
      </w:r>
      <w:r w:rsidRPr="00284D6E">
        <w:rPr>
          <w:i/>
          <w:iCs/>
        </w:rPr>
        <w:t xml:space="preserve">The Oxford Companion to Black History, </w:t>
      </w:r>
      <w:r w:rsidRPr="00284D6E">
        <w:t xml:space="preserve">1st edn, Oxford University Press. </w:t>
      </w:r>
    </w:p>
    <w:p w14:paraId="6E04B990" w14:textId="77777777" w:rsidR="00284D6E" w:rsidRPr="00284D6E" w:rsidRDefault="00284D6E" w:rsidP="00284D6E">
      <w:pPr>
        <w:spacing w:line="360" w:lineRule="auto"/>
      </w:pPr>
    </w:p>
    <w:p w14:paraId="69DFC25D" w14:textId="77777777" w:rsidR="002208B7" w:rsidRPr="00284D6E" w:rsidRDefault="002208B7" w:rsidP="00284D6E">
      <w:pPr>
        <w:spacing w:line="360" w:lineRule="auto"/>
      </w:pPr>
      <w:r w:rsidRPr="00284D6E">
        <w:t xml:space="preserve">Leverentz, A. (2012) ‘Narratives of Crime and Criminals: </w:t>
      </w:r>
      <w:r w:rsidRPr="00284D6E">
        <w:tab/>
        <w:t xml:space="preserve">How Places Socially Construct the Crime Problem’, </w:t>
      </w:r>
      <w:r w:rsidRPr="00284D6E">
        <w:rPr>
          <w:i/>
          <w:iCs/>
        </w:rPr>
        <w:t xml:space="preserve">Sociological Forum, </w:t>
      </w:r>
      <w:r w:rsidRPr="00284D6E">
        <w:t xml:space="preserve">27(2), pp. 1-24. Available at: </w:t>
      </w:r>
      <w:hyperlink r:id="rId21" w:history="1">
        <w:r w:rsidRPr="00284D6E">
          <w:rPr>
            <w:rStyle w:val="Hyperlink"/>
          </w:rPr>
          <w:t>https://onlinelibrary-wiley-com.ezproxy.uwtsd.ac.uk/doi/epdf/10.1111/j.1573-7861.2012.01321.x</w:t>
        </w:r>
      </w:hyperlink>
      <w:r w:rsidRPr="00284D6E">
        <w:t xml:space="preserve"> (Accessed: 7 February 2025). </w:t>
      </w:r>
    </w:p>
    <w:p w14:paraId="7A2CCA26" w14:textId="77777777" w:rsidR="00284D6E" w:rsidRPr="00284D6E" w:rsidRDefault="00284D6E" w:rsidP="00284D6E">
      <w:pPr>
        <w:spacing w:line="360" w:lineRule="auto"/>
      </w:pPr>
    </w:p>
    <w:p w14:paraId="4830650B" w14:textId="77777777" w:rsidR="002208B7" w:rsidRPr="00284D6E" w:rsidRDefault="002208B7" w:rsidP="00284D6E">
      <w:pPr>
        <w:spacing w:line="360" w:lineRule="auto"/>
      </w:pPr>
      <w:proofErr w:type="spellStart"/>
      <w:r w:rsidRPr="00284D6E">
        <w:t>Machpherson</w:t>
      </w:r>
      <w:proofErr w:type="spellEnd"/>
      <w:r w:rsidRPr="00284D6E">
        <w:t xml:space="preserve">, W. (1999) </w:t>
      </w:r>
      <w:r w:rsidRPr="00284D6E">
        <w:rPr>
          <w:i/>
          <w:iCs/>
        </w:rPr>
        <w:t xml:space="preserve">The Stephen Lawrence Inquiry </w:t>
      </w:r>
      <w:r w:rsidRPr="00284D6E">
        <w:t xml:space="preserve">(Cm 4262-I). Available at: </w:t>
      </w:r>
      <w:hyperlink r:id="rId22" w:history="1">
        <w:r w:rsidRPr="00284D6E">
          <w:rPr>
            <w:rStyle w:val="Hyperlink"/>
          </w:rPr>
          <w:t>https://assets.publishing.service.gov.uk/media/5a7c2af540f0b645ba3c7202/4262.pdf</w:t>
        </w:r>
      </w:hyperlink>
      <w:r w:rsidRPr="00284D6E">
        <w:t xml:space="preserve"> (Accessed: 25 February 2025). </w:t>
      </w:r>
    </w:p>
    <w:p w14:paraId="6D1470F0" w14:textId="77777777" w:rsidR="00284D6E" w:rsidRPr="00284D6E" w:rsidRDefault="00284D6E" w:rsidP="00284D6E">
      <w:pPr>
        <w:spacing w:line="360" w:lineRule="auto"/>
      </w:pPr>
    </w:p>
    <w:p w14:paraId="03A1291F" w14:textId="77777777" w:rsidR="002208B7" w:rsidRPr="00284D6E" w:rsidRDefault="002208B7" w:rsidP="00284D6E">
      <w:pPr>
        <w:spacing w:line="360" w:lineRule="auto"/>
      </w:pPr>
      <w:r w:rsidRPr="00284D6E">
        <w:t>Messinger, A.M. (2011) ‘Invisible victims: Same-sex IPV in the National Violence against Women Survey’,</w:t>
      </w:r>
      <w:r w:rsidRPr="00284D6E">
        <w:rPr>
          <w:i/>
          <w:iCs/>
        </w:rPr>
        <w:t xml:space="preserve"> Journal of Interpersonal Violence, </w:t>
      </w:r>
      <w:r w:rsidRPr="00284D6E">
        <w:t xml:space="preserve">26(11), pp. 2228-2243.; Available at: </w:t>
      </w:r>
      <w:hyperlink r:id="rId23" w:history="1">
        <w:r w:rsidRPr="00284D6E">
          <w:rPr>
            <w:rStyle w:val="Hyperlink"/>
          </w:rPr>
          <w:t>https://journals.sagepub.com/doi/epdf/10.1177/0886260510383023</w:t>
        </w:r>
      </w:hyperlink>
      <w:r w:rsidRPr="00284D6E">
        <w:t xml:space="preserve"> (Accessed: 7 April 2025). </w:t>
      </w:r>
    </w:p>
    <w:p w14:paraId="09577B04" w14:textId="77777777" w:rsidR="00284D6E" w:rsidRPr="00284D6E" w:rsidRDefault="00284D6E" w:rsidP="00284D6E">
      <w:pPr>
        <w:spacing w:line="360" w:lineRule="auto"/>
      </w:pPr>
    </w:p>
    <w:p w14:paraId="58B340BC" w14:textId="77777777" w:rsidR="002208B7" w:rsidRPr="00284D6E" w:rsidRDefault="002208B7" w:rsidP="00284D6E">
      <w:pPr>
        <w:spacing w:line="360" w:lineRule="auto"/>
      </w:pPr>
      <w:r w:rsidRPr="00284D6E">
        <w:t xml:space="preserve">Ministry of Justice (2022) </w:t>
      </w:r>
      <w:r w:rsidRPr="00284D6E">
        <w:rPr>
          <w:i/>
          <w:iCs/>
        </w:rPr>
        <w:t xml:space="preserve">Prisons Strategy White Paper – Response to Consultation Paper (CP 686). </w:t>
      </w:r>
      <w:r w:rsidRPr="00284D6E">
        <w:t xml:space="preserve">Available at: </w:t>
      </w:r>
      <w:hyperlink r:id="rId24" w:history="1">
        <w:r w:rsidRPr="00284D6E">
          <w:rPr>
            <w:rStyle w:val="Hyperlink"/>
          </w:rPr>
          <w:t>https://assets.publishing.service.gov.uk/media/62a71a37d3bf7f03744c7c4a/prisons-strategy-white-paper-govt-response.pdf</w:t>
        </w:r>
      </w:hyperlink>
      <w:r w:rsidRPr="00284D6E">
        <w:t xml:space="preserve"> (Accessed: 24 February 2025). </w:t>
      </w:r>
    </w:p>
    <w:p w14:paraId="1A2D3B3A" w14:textId="77777777" w:rsidR="00284D6E" w:rsidRPr="00284D6E" w:rsidRDefault="00284D6E" w:rsidP="00284D6E">
      <w:pPr>
        <w:spacing w:line="360" w:lineRule="auto"/>
      </w:pPr>
    </w:p>
    <w:p w14:paraId="6FC74828" w14:textId="77777777" w:rsidR="002208B7" w:rsidRPr="00284D6E" w:rsidRDefault="002208B7" w:rsidP="00284D6E">
      <w:pPr>
        <w:spacing w:after="200" w:line="360" w:lineRule="auto"/>
        <w:rPr>
          <w:rFonts w:cs="Calibri"/>
        </w:rPr>
      </w:pPr>
      <w:r w:rsidRPr="00284D6E">
        <w:rPr>
          <w:rFonts w:cs="Calibri"/>
        </w:rPr>
        <w:t xml:space="preserve">Murphy, D. and Robinson, M. (2008) ‘The Maximizer: clarifying Merton’s theories of anomie and strain’, </w:t>
      </w:r>
      <w:r w:rsidRPr="00284D6E">
        <w:rPr>
          <w:rFonts w:cs="Calibri"/>
          <w:i/>
          <w:iCs/>
        </w:rPr>
        <w:t xml:space="preserve">Theoretical Criminology, </w:t>
      </w:r>
      <w:r w:rsidRPr="00284D6E">
        <w:rPr>
          <w:rFonts w:cs="Calibri"/>
        </w:rPr>
        <w:t xml:space="preserve">12(4). Available at: </w:t>
      </w:r>
      <w:hyperlink r:id="rId25" w:history="1">
        <w:r w:rsidRPr="00284D6E">
          <w:rPr>
            <w:rStyle w:val="Hyperlink"/>
            <w:rFonts w:cs="Calibri"/>
          </w:rPr>
          <w:t>https://libres.uncg.edu/ir/asu/f/Murphy_Robinson_2008_The_Maximizer.pdf</w:t>
        </w:r>
      </w:hyperlink>
      <w:r w:rsidRPr="00284D6E">
        <w:rPr>
          <w:rFonts w:cs="Calibri"/>
        </w:rPr>
        <w:t xml:space="preserve"> (</w:t>
      </w:r>
      <w:r w:rsidRPr="00284D6E">
        <w:rPr>
          <w:rFonts w:cs="Calibri"/>
        </w:rPr>
        <w:tab/>
        <w:t xml:space="preserve">Accessed: 17 February 2025). </w:t>
      </w:r>
    </w:p>
    <w:p w14:paraId="4B281AE5" w14:textId="77777777" w:rsidR="002208B7" w:rsidRPr="00284D6E" w:rsidRDefault="002208B7" w:rsidP="00284D6E">
      <w:pPr>
        <w:spacing w:line="360" w:lineRule="auto"/>
      </w:pPr>
      <w:r w:rsidRPr="00284D6E">
        <w:t xml:space="preserve">National Academies of Sciences, Engineering and Medicine (2018) </w:t>
      </w:r>
      <w:r w:rsidRPr="00284D6E">
        <w:rPr>
          <w:i/>
          <w:iCs/>
        </w:rPr>
        <w:t xml:space="preserve">Addressing the social and cultural norms that underlie the acceptance of violence: proceedings of a workshop – in brief. </w:t>
      </w:r>
      <w:r w:rsidRPr="00284D6E">
        <w:t>Washington, DC:</w:t>
      </w:r>
      <w:r w:rsidRPr="00284D6E">
        <w:rPr>
          <w:i/>
          <w:iCs/>
        </w:rPr>
        <w:t xml:space="preserve"> </w:t>
      </w:r>
      <w:r w:rsidRPr="00284D6E">
        <w:t xml:space="preserve">The National Academies Press. Available at: </w:t>
      </w:r>
      <w:hyperlink r:id="rId26" w:history="1">
        <w:r w:rsidRPr="00284D6E">
          <w:rPr>
            <w:rStyle w:val="Hyperlink"/>
          </w:rPr>
          <w:t>https://nap.nationalacademies.org/download/25075</w:t>
        </w:r>
      </w:hyperlink>
      <w:r w:rsidRPr="00284D6E">
        <w:t xml:space="preserve"> (Accessed: 11 March 2025).  </w:t>
      </w:r>
    </w:p>
    <w:p w14:paraId="1A498010" w14:textId="77777777" w:rsidR="00284D6E" w:rsidRPr="00284D6E" w:rsidRDefault="00284D6E" w:rsidP="00284D6E">
      <w:pPr>
        <w:spacing w:line="360" w:lineRule="auto"/>
      </w:pPr>
    </w:p>
    <w:p w14:paraId="5C9CA07A" w14:textId="77777777" w:rsidR="002208B7" w:rsidRPr="00284D6E" w:rsidRDefault="002208B7" w:rsidP="00284D6E">
      <w:pPr>
        <w:spacing w:after="200" w:line="360" w:lineRule="auto"/>
        <w:rPr>
          <w:rFonts w:cs="Calibri"/>
        </w:rPr>
      </w:pPr>
      <w:r w:rsidRPr="00284D6E">
        <w:rPr>
          <w:rFonts w:cs="Calibri"/>
        </w:rPr>
        <w:t xml:space="preserve">Newburn, T. (2016) ‘Social disadvantage, crime, and punishment’ in H. Dean and L. Platt (ed) </w:t>
      </w:r>
      <w:r w:rsidRPr="00284D6E">
        <w:rPr>
          <w:rFonts w:cs="Calibri"/>
          <w:i/>
          <w:iCs/>
        </w:rPr>
        <w:t xml:space="preserve">Social Advantage and Disadvantage. </w:t>
      </w:r>
      <w:r w:rsidRPr="00284D6E">
        <w:rPr>
          <w:rFonts w:cs="Calibri"/>
        </w:rPr>
        <w:t xml:space="preserve">Oxford University Press: Oxford, PP. 322-340. </w:t>
      </w:r>
    </w:p>
    <w:p w14:paraId="15D86E0A" w14:textId="77777777" w:rsidR="00284D6E" w:rsidRPr="00284D6E" w:rsidRDefault="002208B7" w:rsidP="00284D6E">
      <w:pPr>
        <w:spacing w:line="360" w:lineRule="auto"/>
      </w:pPr>
      <w:r w:rsidRPr="00284D6E">
        <w:t xml:space="preserve">Oakley, R. (1999) ‘Institutional Racism and the Police Service’, </w:t>
      </w:r>
      <w:r w:rsidRPr="00284D6E">
        <w:rPr>
          <w:i/>
          <w:iCs/>
        </w:rPr>
        <w:t>The Police Journal: Theory, Practice and Principles</w:t>
      </w:r>
      <w:r w:rsidRPr="00284D6E">
        <w:t xml:space="preserve">, 72(4), pp. 285-295. Available at: </w:t>
      </w:r>
      <w:hyperlink r:id="rId27" w:history="1">
        <w:r w:rsidRPr="00284D6E">
          <w:rPr>
            <w:rStyle w:val="Hyperlink"/>
          </w:rPr>
          <w:t>https://journals.sagepub.com/doi/abs/10.1177/0032258X9907200402</w:t>
        </w:r>
      </w:hyperlink>
      <w:r w:rsidRPr="00284D6E">
        <w:t xml:space="preserve"> (Accessed: 26 February 2025).</w:t>
      </w:r>
    </w:p>
    <w:p w14:paraId="7FC547A0" w14:textId="10C2A248" w:rsidR="002208B7" w:rsidRPr="00284D6E" w:rsidRDefault="002208B7" w:rsidP="00284D6E">
      <w:pPr>
        <w:spacing w:line="360" w:lineRule="auto"/>
      </w:pPr>
      <w:r w:rsidRPr="00284D6E">
        <w:t xml:space="preserve">  </w:t>
      </w:r>
    </w:p>
    <w:p w14:paraId="46AF496E" w14:textId="77777777" w:rsidR="00284D6E" w:rsidRPr="00284D6E" w:rsidRDefault="002208B7" w:rsidP="00284D6E">
      <w:pPr>
        <w:spacing w:line="360" w:lineRule="auto"/>
      </w:pPr>
      <w:r w:rsidRPr="00284D6E">
        <w:t xml:space="preserve">Rollé, L., Giardina, G., Caldarera, A.M., Gerino, E. and Brusita, P. (2018) ‘When intimate partner violence meets same sex couples: A review of same sex intimate partner violence’, </w:t>
      </w:r>
      <w:r w:rsidRPr="00284D6E">
        <w:rPr>
          <w:i/>
          <w:iCs/>
        </w:rPr>
        <w:t xml:space="preserve">Front </w:t>
      </w:r>
      <w:proofErr w:type="spellStart"/>
      <w:r w:rsidRPr="00284D6E">
        <w:rPr>
          <w:i/>
          <w:iCs/>
        </w:rPr>
        <w:t>Psychol</w:t>
      </w:r>
      <w:proofErr w:type="spellEnd"/>
      <w:r w:rsidRPr="00284D6E">
        <w:rPr>
          <w:i/>
          <w:iCs/>
        </w:rPr>
        <w:t xml:space="preserve">, </w:t>
      </w:r>
      <w:r w:rsidRPr="00284D6E">
        <w:t xml:space="preserve">9, </w:t>
      </w:r>
      <w:r w:rsidRPr="00284D6E">
        <w:lastRenderedPageBreak/>
        <w:t xml:space="preserve">article number 1506, Available at: </w:t>
      </w:r>
      <w:hyperlink r:id="rId28" w:history="1">
        <w:r w:rsidRPr="00284D6E">
          <w:rPr>
            <w:rStyle w:val="Hyperlink"/>
          </w:rPr>
          <w:t>https://www.frontiersin.org/journals/psychology/articles/10.3389/fpsyg.2018.01506/full</w:t>
        </w:r>
      </w:hyperlink>
      <w:r w:rsidR="00284D6E" w:rsidRPr="00284D6E">
        <w:t xml:space="preserve"> (Accessed: 7 April 2025). </w:t>
      </w:r>
    </w:p>
    <w:p w14:paraId="0D7FA261" w14:textId="77777777" w:rsidR="00284D6E" w:rsidRPr="00284D6E" w:rsidRDefault="00284D6E" w:rsidP="00284D6E">
      <w:pPr>
        <w:spacing w:line="360" w:lineRule="auto"/>
      </w:pPr>
    </w:p>
    <w:p w14:paraId="6538F628" w14:textId="77777777" w:rsidR="002208B7" w:rsidRPr="00284D6E" w:rsidRDefault="002208B7" w:rsidP="00284D6E">
      <w:pPr>
        <w:spacing w:line="360" w:lineRule="auto"/>
      </w:pPr>
      <w:r w:rsidRPr="00284D6E">
        <w:t xml:space="preserve">Sangeetha, J., Mohan, S., Hariharasudan, A. and Nawaz, N. (2022) ‘Strategic analysis of intimate partner violence (IPV) and the cycle of violence in the autobiographical text – </w:t>
      </w:r>
      <w:r w:rsidRPr="00284D6E">
        <w:rPr>
          <w:i/>
          <w:iCs/>
        </w:rPr>
        <w:t>When I Hit You’</w:t>
      </w:r>
      <w:r w:rsidRPr="00284D6E">
        <w:t xml:space="preserve">, </w:t>
      </w:r>
      <w:r w:rsidRPr="00284D6E">
        <w:rPr>
          <w:i/>
          <w:iCs/>
        </w:rPr>
        <w:t xml:space="preserve">Heylion, </w:t>
      </w:r>
      <w:r w:rsidRPr="00284D6E">
        <w:t xml:space="preserve">8(6). Available at: </w:t>
      </w:r>
      <w:hyperlink r:id="rId29" w:history="1">
        <w:r w:rsidRPr="00284D6E">
          <w:rPr>
            <w:rStyle w:val="Hyperlink"/>
          </w:rPr>
          <w:t>https://www.cell.com/heliyon/fulltext/S2405-8440(22)01022-2?_returnURL=https%3A%2F%2Flinkinghub.elsevier.com%2Fretrieve%2Fpii%2FS2405844022010222%3Fshowall%3Dtrue</w:t>
        </w:r>
      </w:hyperlink>
      <w:r w:rsidRPr="00284D6E">
        <w:t xml:space="preserve"> (Accessed: 7 April 2025). </w:t>
      </w:r>
    </w:p>
    <w:p w14:paraId="34519349" w14:textId="77777777" w:rsidR="00284D6E" w:rsidRPr="00284D6E" w:rsidRDefault="00284D6E" w:rsidP="00284D6E">
      <w:pPr>
        <w:spacing w:line="360" w:lineRule="auto"/>
      </w:pPr>
    </w:p>
    <w:p w14:paraId="55484D13" w14:textId="77777777" w:rsidR="002208B7" w:rsidRPr="00284D6E" w:rsidRDefault="002208B7" w:rsidP="00284D6E">
      <w:pPr>
        <w:spacing w:after="200" w:line="360" w:lineRule="auto"/>
        <w:rPr>
          <w:rFonts w:cs="Calibri"/>
        </w:rPr>
      </w:pPr>
      <w:r w:rsidRPr="00284D6E">
        <w:rPr>
          <w:rFonts w:cs="Calibri"/>
        </w:rPr>
        <w:t xml:space="preserve">Savolainen, J. et al (2013) ‘Material deprivation or minimal education? Social class and crime in an egalitarian welfare state’, </w:t>
      </w:r>
      <w:r w:rsidRPr="00284D6E">
        <w:rPr>
          <w:rFonts w:cs="Calibri"/>
          <w:i/>
          <w:iCs/>
        </w:rPr>
        <w:t xml:space="preserve">Advances in Life Course Research, </w:t>
      </w:r>
      <w:r w:rsidRPr="00284D6E">
        <w:rPr>
          <w:rFonts w:cs="Calibri"/>
        </w:rPr>
        <w:t xml:space="preserve">18(3), pp. 175-184. Available at: </w:t>
      </w:r>
      <w:hyperlink r:id="rId30" w:history="1">
        <w:r w:rsidRPr="00284D6E">
          <w:rPr>
            <w:rStyle w:val="Hyperlink"/>
            <w:rFonts w:cs="Calibri"/>
          </w:rPr>
          <w:t>https://www.sciencedirect.com/science/article/pii/S1040260813000130</w:t>
        </w:r>
      </w:hyperlink>
      <w:r w:rsidRPr="00284D6E">
        <w:rPr>
          <w:rFonts w:cs="Calibri"/>
        </w:rPr>
        <w:t xml:space="preserve"> (Accessed: 19 February 2025). </w:t>
      </w:r>
    </w:p>
    <w:p w14:paraId="758DA53F" w14:textId="77777777" w:rsidR="00284D6E" w:rsidRPr="00284D6E" w:rsidRDefault="00284D6E" w:rsidP="00284D6E">
      <w:pPr>
        <w:spacing w:after="200" w:line="360" w:lineRule="auto"/>
        <w:rPr>
          <w:rFonts w:cs="Calibri"/>
        </w:rPr>
      </w:pPr>
    </w:p>
    <w:p w14:paraId="51C1A4FF" w14:textId="77777777" w:rsidR="002208B7" w:rsidRPr="00284D6E" w:rsidRDefault="002208B7" w:rsidP="00284D6E">
      <w:pPr>
        <w:spacing w:line="360" w:lineRule="auto"/>
      </w:pPr>
      <w:r w:rsidRPr="00284D6E">
        <w:t xml:space="preserve">Schroeder, K.B., Pepper, G.V. and Nettle, D. (2014) ‘Local norms of cheating and the cultural evolution of crime and punishment: a study of two urban neighbourhoods’, </w:t>
      </w:r>
      <w:r w:rsidRPr="00284D6E">
        <w:rPr>
          <w:i/>
          <w:iCs/>
        </w:rPr>
        <w:t xml:space="preserve">PeerJ, </w:t>
      </w:r>
      <w:r w:rsidRPr="00284D6E">
        <w:t xml:space="preserve">2, pp. 1-23. Available at: </w:t>
      </w:r>
      <w:hyperlink r:id="rId31" w:history="1">
        <w:r w:rsidRPr="00284D6E">
          <w:rPr>
            <w:rStyle w:val="Hyperlink"/>
          </w:rPr>
          <w:t>https://peerj.com/articles/450.pdf</w:t>
        </w:r>
      </w:hyperlink>
      <w:r w:rsidRPr="00284D6E">
        <w:t xml:space="preserve"> (Accessed: 11 March 2025). </w:t>
      </w:r>
    </w:p>
    <w:p w14:paraId="3EDCF6EF" w14:textId="77777777" w:rsidR="00284D6E" w:rsidRPr="00284D6E" w:rsidRDefault="00284D6E" w:rsidP="00284D6E">
      <w:pPr>
        <w:spacing w:line="360" w:lineRule="auto"/>
      </w:pPr>
    </w:p>
    <w:p w14:paraId="0CE3B557" w14:textId="77777777" w:rsidR="002208B7" w:rsidRPr="00284D6E" w:rsidRDefault="002208B7" w:rsidP="00284D6E">
      <w:pPr>
        <w:spacing w:after="200" w:line="360" w:lineRule="auto"/>
        <w:rPr>
          <w:rFonts w:cs="Calibri"/>
        </w:rPr>
      </w:pPr>
      <w:r w:rsidRPr="00284D6E">
        <w:rPr>
          <w:rFonts w:cs="Calibri"/>
        </w:rPr>
        <w:t xml:space="preserve">Shek, D. T. L, Diya, D., Xiaoqin, Z and Lindan, T. (2022) ‘Materialism, Egocentrism and Delinquent </w:t>
      </w:r>
      <w:proofErr w:type="spellStart"/>
      <w:r w:rsidRPr="00284D6E">
        <w:rPr>
          <w:rFonts w:cs="Calibri"/>
        </w:rPr>
        <w:t>Behavior</w:t>
      </w:r>
      <w:proofErr w:type="spellEnd"/>
      <w:r w:rsidRPr="00284D6E">
        <w:rPr>
          <w:rFonts w:cs="Calibri"/>
        </w:rPr>
        <w:t xml:space="preserve"> in Chinese Adolescents in Mainland China: A Shor-Term Longitudinal Study’, </w:t>
      </w:r>
      <w:r w:rsidRPr="00284D6E">
        <w:rPr>
          <w:rFonts w:cs="Calibri"/>
          <w:i/>
          <w:iCs/>
        </w:rPr>
        <w:t xml:space="preserve">International Journal of Environmental Research and Public Health, </w:t>
      </w:r>
      <w:r w:rsidRPr="00284D6E">
        <w:rPr>
          <w:rFonts w:cs="Calibri"/>
        </w:rPr>
        <w:t xml:space="preserve">19(8). Available at: </w:t>
      </w:r>
      <w:hyperlink r:id="rId32" w:history="1">
        <w:r w:rsidRPr="00284D6E">
          <w:rPr>
            <w:rStyle w:val="Hyperlink"/>
            <w:rFonts w:cs="Calibri"/>
          </w:rPr>
          <w:t>https://pmc.ncbi.nlm.nih.gov/articles/PMC9026470/</w:t>
        </w:r>
      </w:hyperlink>
      <w:r w:rsidRPr="00284D6E">
        <w:rPr>
          <w:rFonts w:cs="Calibri"/>
        </w:rPr>
        <w:t xml:space="preserve"> (Accessed: 19 February 2025). </w:t>
      </w:r>
    </w:p>
    <w:p w14:paraId="16B070E6" w14:textId="77777777" w:rsidR="002208B7" w:rsidRPr="00284D6E" w:rsidRDefault="002208B7" w:rsidP="00284D6E">
      <w:pPr>
        <w:spacing w:line="360" w:lineRule="auto"/>
      </w:pPr>
      <w:r w:rsidRPr="00284D6E">
        <w:t xml:space="preserve">Shubert, C. A., Mulvey, E.P., Loughran, T.A. and Losoya, S.H. (2011) ‘Perceptions of Institutional Experience and Community Outcomes for Serious Adolescent Offenders’, </w:t>
      </w:r>
      <w:r w:rsidRPr="00284D6E">
        <w:rPr>
          <w:i/>
          <w:iCs/>
        </w:rPr>
        <w:t xml:space="preserve">Criminal Justice and Behaviour, </w:t>
      </w:r>
      <w:r w:rsidRPr="00284D6E">
        <w:t xml:space="preserve">39(1), pp. 71-93. Available at: </w:t>
      </w:r>
      <w:hyperlink r:id="rId33" w:history="1">
        <w:r w:rsidRPr="00284D6E">
          <w:rPr>
            <w:rStyle w:val="Hyperlink"/>
          </w:rPr>
          <w:t>https://journals.sagepub.com/doi/full/10.1177/0093854811426710</w:t>
        </w:r>
      </w:hyperlink>
      <w:r w:rsidRPr="00284D6E">
        <w:t xml:space="preserve"> (Accessed: 20 February 2025). </w:t>
      </w:r>
    </w:p>
    <w:p w14:paraId="3AFD6102" w14:textId="77777777" w:rsidR="00284D6E" w:rsidRPr="00284D6E" w:rsidRDefault="00284D6E" w:rsidP="00284D6E">
      <w:pPr>
        <w:spacing w:line="360" w:lineRule="auto"/>
      </w:pPr>
    </w:p>
    <w:p w14:paraId="09E7D411" w14:textId="77777777" w:rsidR="002208B7" w:rsidRPr="00284D6E" w:rsidRDefault="002208B7" w:rsidP="00284D6E">
      <w:pPr>
        <w:spacing w:line="360" w:lineRule="auto"/>
      </w:pPr>
      <w:r w:rsidRPr="00284D6E">
        <w:t xml:space="preserve">Szczepan, B. (2024) </w:t>
      </w:r>
      <w:r w:rsidRPr="00284D6E">
        <w:rPr>
          <w:i/>
          <w:iCs/>
        </w:rPr>
        <w:t xml:space="preserve">The impact of crime media on people’s perceptions of crime, perpetrators and victims. </w:t>
      </w:r>
      <w:r w:rsidRPr="00284D6E">
        <w:t xml:space="preserve">MA thesis. Maynooth University. Available at: </w:t>
      </w:r>
      <w:hyperlink r:id="rId34" w:history="1">
        <w:r w:rsidRPr="00284D6E">
          <w:rPr>
            <w:rStyle w:val="Hyperlink"/>
          </w:rPr>
          <w:t>https://mural.maynoothuniversity.ie/id/eprint/19044/1/Barbara%20Szczepan.pdf</w:t>
        </w:r>
      </w:hyperlink>
      <w:r w:rsidRPr="00284D6E">
        <w:t xml:space="preserve"> (Accessed: 10 April 2025).  </w:t>
      </w:r>
    </w:p>
    <w:p w14:paraId="24A551A2" w14:textId="77777777" w:rsidR="00284D6E" w:rsidRPr="00284D6E" w:rsidRDefault="00284D6E" w:rsidP="00284D6E">
      <w:pPr>
        <w:spacing w:line="360" w:lineRule="auto"/>
      </w:pPr>
    </w:p>
    <w:p w14:paraId="1DBF3F9C" w14:textId="77777777" w:rsidR="002208B7" w:rsidRPr="00284D6E" w:rsidRDefault="002208B7" w:rsidP="00284D6E">
      <w:pPr>
        <w:spacing w:line="360" w:lineRule="auto"/>
      </w:pPr>
      <w:r w:rsidRPr="00284D6E">
        <w:lastRenderedPageBreak/>
        <w:t xml:space="preserve">Taylor, R. (2022) </w:t>
      </w:r>
      <w:r w:rsidRPr="00284D6E">
        <w:rPr>
          <w:i/>
          <w:iCs/>
        </w:rPr>
        <w:t xml:space="preserve">Crime and rehabilitation: An overview. </w:t>
      </w:r>
      <w:r w:rsidRPr="00284D6E">
        <w:t xml:space="preserve">Available at: </w:t>
      </w:r>
      <w:hyperlink r:id="rId35" w:history="1">
        <w:r w:rsidRPr="00284D6E">
          <w:rPr>
            <w:rStyle w:val="Hyperlink"/>
          </w:rPr>
          <w:t>https://lordslibrary.parliament.uk/crime-and-rehabilitation-an-overview/</w:t>
        </w:r>
      </w:hyperlink>
      <w:r w:rsidRPr="00284D6E">
        <w:t xml:space="preserve"> (Accessed: 21 February 2025). </w:t>
      </w:r>
    </w:p>
    <w:p w14:paraId="37CD6136" w14:textId="77777777" w:rsidR="00284D6E" w:rsidRPr="00284D6E" w:rsidRDefault="00284D6E" w:rsidP="00284D6E">
      <w:pPr>
        <w:spacing w:line="360" w:lineRule="auto"/>
      </w:pPr>
    </w:p>
    <w:p w14:paraId="4CF7F653" w14:textId="77777777" w:rsidR="002208B7" w:rsidRPr="00284D6E" w:rsidRDefault="002208B7" w:rsidP="00284D6E">
      <w:pPr>
        <w:spacing w:after="200" w:line="360" w:lineRule="auto"/>
        <w:rPr>
          <w:rFonts w:cs="Calibri"/>
        </w:rPr>
      </w:pPr>
      <w:r w:rsidRPr="00284D6E">
        <w:rPr>
          <w:rFonts w:cs="Calibri"/>
        </w:rPr>
        <w:t xml:space="preserve">The Police Foundation (2017) </w:t>
      </w:r>
      <w:r w:rsidRPr="00284D6E">
        <w:rPr>
          <w:rFonts w:cs="Calibri"/>
          <w:i/>
          <w:iCs/>
        </w:rPr>
        <w:t xml:space="preserve">The impact of organised crime in local communities. </w:t>
      </w:r>
      <w:r w:rsidRPr="00284D6E">
        <w:rPr>
          <w:rFonts w:cs="Calibri"/>
        </w:rPr>
        <w:t xml:space="preserve">Available at: </w:t>
      </w:r>
      <w:hyperlink r:id="rId36" w:history="1">
        <w:r w:rsidRPr="00284D6E">
          <w:rPr>
            <w:rStyle w:val="Hyperlink"/>
            <w:rFonts w:cs="Calibri"/>
          </w:rPr>
          <w:t>https://www.police-foundation.org.uk/wp-content/uploads/2017/10/oc_in_local_communities_final.pdf</w:t>
        </w:r>
      </w:hyperlink>
      <w:r w:rsidRPr="00284D6E">
        <w:rPr>
          <w:rFonts w:cs="Calibri"/>
        </w:rPr>
        <w:t xml:space="preserve"> (Accessed: 20 February 2025). </w:t>
      </w:r>
    </w:p>
    <w:p w14:paraId="5FB19FE6" w14:textId="77777777" w:rsidR="002208B7" w:rsidRPr="00284D6E" w:rsidRDefault="002208B7" w:rsidP="00284D6E">
      <w:pPr>
        <w:spacing w:line="360" w:lineRule="auto"/>
      </w:pPr>
      <w:r w:rsidRPr="00284D6E">
        <w:t xml:space="preserve">The Police Foundation (2017) </w:t>
      </w:r>
      <w:r w:rsidRPr="00284D6E">
        <w:rPr>
          <w:i/>
          <w:iCs/>
        </w:rPr>
        <w:t xml:space="preserve">The impact of organised crimes in local communities. </w:t>
      </w:r>
      <w:r w:rsidRPr="00284D6E">
        <w:t xml:space="preserve">Available at: </w:t>
      </w:r>
      <w:hyperlink r:id="rId37" w:history="1">
        <w:r w:rsidRPr="00284D6E">
          <w:rPr>
            <w:rStyle w:val="Hyperlink"/>
          </w:rPr>
          <w:t>https://www.police-foundation.org.uk/wp-content/uploads/2017/10/oc_in_local_communities_final.pdf</w:t>
        </w:r>
      </w:hyperlink>
      <w:r w:rsidRPr="00284D6E">
        <w:t xml:space="preserve"> (Accessed: 11 </w:t>
      </w:r>
      <w:r w:rsidRPr="00284D6E">
        <w:tab/>
        <w:t xml:space="preserve">April 2025). </w:t>
      </w:r>
    </w:p>
    <w:p w14:paraId="5DB44C4B" w14:textId="77777777" w:rsidR="00284D6E" w:rsidRPr="00284D6E" w:rsidRDefault="00284D6E" w:rsidP="00284D6E">
      <w:pPr>
        <w:spacing w:line="360" w:lineRule="auto"/>
      </w:pPr>
    </w:p>
    <w:p w14:paraId="3C501AEA" w14:textId="77777777" w:rsidR="002208B7" w:rsidRPr="00284D6E" w:rsidRDefault="002208B7" w:rsidP="00284D6E">
      <w:pPr>
        <w:spacing w:line="360" w:lineRule="auto"/>
        <w:rPr>
          <w:rFonts w:cs="Calibri"/>
        </w:rPr>
      </w:pPr>
      <w:r w:rsidRPr="00284D6E">
        <w:rPr>
          <w:rFonts w:cs="Calibri"/>
        </w:rPr>
        <w:t xml:space="preserve">Trust for London (2025) </w:t>
      </w:r>
      <w:r w:rsidRPr="00284D6E">
        <w:rPr>
          <w:rFonts w:cs="Calibri"/>
          <w:i/>
          <w:iCs/>
        </w:rPr>
        <w:t xml:space="preserve">Crime and income deprivation. </w:t>
      </w:r>
      <w:r w:rsidRPr="00284D6E">
        <w:rPr>
          <w:rFonts w:cs="Calibri"/>
        </w:rPr>
        <w:t xml:space="preserve">Available at: </w:t>
      </w:r>
      <w:hyperlink r:id="rId38" w:history="1">
        <w:r w:rsidRPr="00284D6E">
          <w:rPr>
            <w:rStyle w:val="Hyperlink"/>
            <w:rFonts w:cs="Calibri"/>
          </w:rPr>
          <w:t>https://trustforlondon.org.uk/data/crime-and-income-deprivation/</w:t>
        </w:r>
      </w:hyperlink>
      <w:r w:rsidRPr="00284D6E">
        <w:rPr>
          <w:rFonts w:cs="Calibri"/>
        </w:rPr>
        <w:t xml:space="preserve"> (Accessed: 12 February 2025).</w:t>
      </w:r>
    </w:p>
    <w:p w14:paraId="6D4CF1F7" w14:textId="77777777" w:rsidR="00284D6E" w:rsidRPr="00284D6E" w:rsidRDefault="00284D6E" w:rsidP="00284D6E">
      <w:pPr>
        <w:spacing w:line="360" w:lineRule="auto"/>
        <w:rPr>
          <w:rFonts w:cs="Calibri"/>
        </w:rPr>
      </w:pPr>
    </w:p>
    <w:p w14:paraId="68254D1C" w14:textId="77777777" w:rsidR="002208B7" w:rsidRPr="00284D6E" w:rsidRDefault="002208B7" w:rsidP="00284D6E">
      <w:pPr>
        <w:spacing w:line="360" w:lineRule="auto"/>
      </w:pPr>
      <w:r w:rsidRPr="00284D6E">
        <w:t xml:space="preserve">Walker, L.E. (1977) ‘Who are the battered women?’, </w:t>
      </w:r>
      <w:r w:rsidRPr="00284D6E">
        <w:rPr>
          <w:i/>
          <w:iCs/>
        </w:rPr>
        <w:t xml:space="preserve">A Journal of Women Studies, </w:t>
      </w:r>
      <w:r w:rsidRPr="00284D6E">
        <w:t xml:space="preserve">2(1), pp. 52-57. Available at: </w:t>
      </w:r>
      <w:hyperlink r:id="rId39" w:history="1">
        <w:r w:rsidRPr="00284D6E">
          <w:rPr>
            <w:rStyle w:val="Hyperlink"/>
          </w:rPr>
          <w:t>https://www-jstor-org.ezproxy.uwtsd.ac.uk/stable/pdf/3346107</w:t>
        </w:r>
      </w:hyperlink>
      <w:r w:rsidRPr="00284D6E">
        <w:t xml:space="preserve"> (Accessed: 18 March 2025). </w:t>
      </w:r>
    </w:p>
    <w:p w14:paraId="5671BA97" w14:textId="77777777" w:rsidR="00284D6E" w:rsidRPr="00284D6E" w:rsidRDefault="00284D6E" w:rsidP="00284D6E">
      <w:pPr>
        <w:spacing w:line="360" w:lineRule="auto"/>
      </w:pPr>
    </w:p>
    <w:p w14:paraId="7A0C1DA9" w14:textId="77777777" w:rsidR="002208B7" w:rsidRPr="00284D6E" w:rsidRDefault="002208B7" w:rsidP="00284D6E">
      <w:pPr>
        <w:spacing w:line="360" w:lineRule="auto"/>
      </w:pPr>
      <w:r w:rsidRPr="00284D6E">
        <w:t xml:space="preserve">Walsh, J.P., Baker, V. and Frade, B. (2022) ‘Policing and social media: The framing of technological use by Canadian newspapers (2005-2020)’, </w:t>
      </w:r>
      <w:r w:rsidRPr="00284D6E">
        <w:rPr>
          <w:i/>
          <w:iCs/>
        </w:rPr>
        <w:t xml:space="preserve">Criminology &amp; Criminal Justice, </w:t>
      </w:r>
      <w:r w:rsidRPr="00284D6E">
        <w:t xml:space="preserve">24(4), pp. 819-840. Available at: </w:t>
      </w:r>
      <w:hyperlink r:id="rId40" w:history="1">
        <w:r w:rsidRPr="00284D6E">
          <w:rPr>
            <w:rStyle w:val="Hyperlink"/>
          </w:rPr>
          <w:t>https://journals.sagepub.com/doi/epub/10.1177/17488958221114254</w:t>
        </w:r>
      </w:hyperlink>
      <w:r w:rsidRPr="00284D6E">
        <w:t xml:space="preserve"> (Accessed: 11 April 2025). </w:t>
      </w:r>
    </w:p>
    <w:p w14:paraId="55C9C596" w14:textId="77777777" w:rsidR="00284D6E" w:rsidRPr="00284D6E" w:rsidRDefault="00284D6E" w:rsidP="00284D6E">
      <w:pPr>
        <w:spacing w:line="360" w:lineRule="auto"/>
      </w:pPr>
    </w:p>
    <w:p w14:paraId="3DDACB37" w14:textId="77777777" w:rsidR="002208B7" w:rsidRPr="00284D6E" w:rsidRDefault="002208B7" w:rsidP="00284D6E">
      <w:pPr>
        <w:spacing w:line="360" w:lineRule="auto"/>
      </w:pPr>
      <w:r w:rsidRPr="00284D6E">
        <w:t xml:space="preserve">Weisburd, D. (2016) ‘Does Hot Spot Policing Inevitably Lead to Unfair and Abusive Police Practices, or Can We Maximize Both Fairness and Effectiveness in the New Proactive Policing?’, </w:t>
      </w:r>
      <w:r w:rsidRPr="00284D6E">
        <w:rPr>
          <w:i/>
          <w:iCs/>
        </w:rPr>
        <w:t xml:space="preserve">University of Chicago Legal Forum, </w:t>
      </w:r>
      <w:r w:rsidRPr="00284D6E">
        <w:t xml:space="preserve">2016, article number 16. Available at: </w:t>
      </w:r>
      <w:hyperlink r:id="rId41" w:history="1">
        <w:r w:rsidRPr="00284D6E">
          <w:rPr>
            <w:rStyle w:val="Hyperlink"/>
          </w:rPr>
          <w:t>https://chicagounbound.uchicago.edu/cgi/viewcontent.cgi?referer=&amp;httpsredir=1&amp;article=1578&amp;context=uclf</w:t>
        </w:r>
      </w:hyperlink>
      <w:r w:rsidRPr="00284D6E">
        <w:t xml:space="preserve"> (Accessed: 24 February 2025). </w:t>
      </w:r>
    </w:p>
    <w:p w14:paraId="042F4971" w14:textId="77777777" w:rsidR="00284D6E" w:rsidRPr="00284D6E" w:rsidRDefault="00284D6E" w:rsidP="00284D6E">
      <w:pPr>
        <w:spacing w:line="360" w:lineRule="auto"/>
      </w:pPr>
    </w:p>
    <w:p w14:paraId="0DB2C956" w14:textId="77777777" w:rsidR="002208B7" w:rsidRPr="00284D6E" w:rsidRDefault="002208B7" w:rsidP="00284D6E">
      <w:pPr>
        <w:spacing w:line="360" w:lineRule="auto"/>
      </w:pPr>
      <w:r w:rsidRPr="00284D6E">
        <w:t xml:space="preserve">Widom, C.S. (1989) ‘The Cycle of Violence’, </w:t>
      </w:r>
      <w:r w:rsidRPr="00284D6E">
        <w:rPr>
          <w:i/>
          <w:iCs/>
        </w:rPr>
        <w:t xml:space="preserve">Science (American Association for the Advancement of Science), </w:t>
      </w:r>
      <w:r w:rsidRPr="00284D6E">
        <w:t xml:space="preserve">244(4901), pp. 160-166. Available at: </w:t>
      </w:r>
      <w:hyperlink r:id="rId42" w:history="1">
        <w:r w:rsidRPr="00284D6E">
          <w:rPr>
            <w:rStyle w:val="Hyperlink"/>
          </w:rPr>
          <w:t>https://www.proquest.com/docview/213547614?accountid=130472&amp;sourcetype=Scholarly%20Journals</w:t>
        </w:r>
      </w:hyperlink>
      <w:r w:rsidRPr="00284D6E">
        <w:t xml:space="preserve"> (Accessed: 31 March 2025). </w:t>
      </w:r>
    </w:p>
    <w:p w14:paraId="01C5B0F0" w14:textId="77777777" w:rsidR="00284D6E" w:rsidRPr="00284D6E" w:rsidRDefault="00284D6E" w:rsidP="00284D6E">
      <w:pPr>
        <w:spacing w:line="360" w:lineRule="auto"/>
      </w:pPr>
    </w:p>
    <w:p w14:paraId="1EE29F3E" w14:textId="77777777" w:rsidR="002208B7" w:rsidRPr="00284D6E" w:rsidRDefault="002208B7" w:rsidP="00284D6E">
      <w:pPr>
        <w:spacing w:line="360" w:lineRule="auto"/>
      </w:pPr>
      <w:r w:rsidRPr="00284D6E">
        <w:lastRenderedPageBreak/>
        <w:t xml:space="preserve">World Health Organization (2022) </w:t>
      </w:r>
      <w:r w:rsidRPr="00284D6E">
        <w:rPr>
          <w:i/>
          <w:iCs/>
        </w:rPr>
        <w:t>Violence against women</w:t>
      </w:r>
      <w:r w:rsidRPr="00284D6E">
        <w:t xml:space="preserve">. Available at: </w:t>
      </w:r>
      <w:hyperlink r:id="rId43" w:history="1">
        <w:r w:rsidRPr="00284D6E">
          <w:rPr>
            <w:rStyle w:val="Hyperlink"/>
          </w:rPr>
          <w:t>https://www.who.int/news-room/fact-sheets/detail/violence-against-women</w:t>
        </w:r>
      </w:hyperlink>
      <w:r w:rsidRPr="00284D6E">
        <w:t xml:space="preserve"> (Accessed: 7 April 2025). </w:t>
      </w:r>
    </w:p>
    <w:p w14:paraId="5BD861B3" w14:textId="77777777" w:rsidR="00284D6E" w:rsidRPr="00284D6E" w:rsidRDefault="00284D6E" w:rsidP="00284D6E">
      <w:pPr>
        <w:spacing w:line="360" w:lineRule="auto"/>
      </w:pPr>
    </w:p>
    <w:p w14:paraId="7703CD6F" w14:textId="77777777" w:rsidR="002208B7" w:rsidRPr="00284D6E" w:rsidRDefault="002208B7" w:rsidP="00284D6E">
      <w:pPr>
        <w:spacing w:line="360" w:lineRule="auto"/>
      </w:pPr>
      <w:r w:rsidRPr="00284D6E">
        <w:t xml:space="preserve">Yonfa, E., Fasol, M., Cueva, C. and Zavgorodniaya, A. (2021) ‘Intimate partner violence: A literature review’, </w:t>
      </w:r>
      <w:r w:rsidRPr="00284D6E">
        <w:rPr>
          <w:i/>
          <w:iCs/>
        </w:rPr>
        <w:t xml:space="preserve">The Open Psychology Journal, </w:t>
      </w:r>
      <w:r w:rsidRPr="00284D6E">
        <w:t xml:space="preserve">14, pp. 11-16. Available at: </w:t>
      </w:r>
      <w:hyperlink r:id="rId44" w:history="1">
        <w:r w:rsidRPr="00284D6E">
          <w:rPr>
            <w:rStyle w:val="Hyperlink"/>
          </w:rPr>
          <w:t>https://www.sciencedirect.com/org/science/article/pii/S1874350121000298</w:t>
        </w:r>
      </w:hyperlink>
      <w:r w:rsidRPr="00284D6E">
        <w:t xml:space="preserve"> (Accessed: 7 April 2025). </w:t>
      </w:r>
    </w:p>
    <w:p w14:paraId="18643287" w14:textId="77777777" w:rsidR="00284D6E" w:rsidRPr="00284D6E" w:rsidRDefault="00284D6E" w:rsidP="00284D6E">
      <w:pPr>
        <w:spacing w:line="360" w:lineRule="auto"/>
      </w:pPr>
    </w:p>
    <w:p w14:paraId="67ED1934" w14:textId="77777777" w:rsidR="002208B7" w:rsidRPr="00284D6E" w:rsidRDefault="002208B7" w:rsidP="00284D6E">
      <w:pPr>
        <w:spacing w:line="360" w:lineRule="auto"/>
      </w:pPr>
      <w:r w:rsidRPr="00284D6E">
        <w:t xml:space="preserve"> Youth Justice Board (2024) </w:t>
      </w:r>
      <w:r w:rsidRPr="00284D6E">
        <w:rPr>
          <w:i/>
          <w:iCs/>
        </w:rPr>
        <w:t xml:space="preserve">Youth Justice Statistics: 2022 to 2023 (accessible version). </w:t>
      </w:r>
      <w:r w:rsidRPr="00284D6E">
        <w:t xml:space="preserve">Available at: </w:t>
      </w:r>
      <w:hyperlink r:id="rId45" w:history="1">
        <w:r w:rsidRPr="00284D6E">
          <w:rPr>
            <w:rStyle w:val="Hyperlink"/>
          </w:rPr>
          <w:t>https://www.gov.uk/government/statistics/youth-justice-statistics-2022-to-2023/youth-justice-statistics-2022-to-2023-accessible-version</w:t>
        </w:r>
      </w:hyperlink>
      <w:r w:rsidRPr="00284D6E">
        <w:t xml:space="preserve"> (Accessed: 11 April 2025). </w:t>
      </w:r>
    </w:p>
    <w:p w14:paraId="5803E945" w14:textId="77777777" w:rsidR="00037791" w:rsidRPr="00732FD5" w:rsidRDefault="00037791" w:rsidP="005F7B17">
      <w:pPr>
        <w:spacing w:line="360" w:lineRule="auto"/>
      </w:pPr>
    </w:p>
    <w:sectPr w:rsidR="00037791" w:rsidRPr="00732FD5" w:rsidSect="001266C1">
      <w:pgSz w:w="11894" w:h="16834"/>
      <w:pgMar w:top="720" w:right="720" w:bottom="720" w:left="720" w:header="709" w:footer="454"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D5729"/>
    <w:multiLevelType w:val="hybridMultilevel"/>
    <w:tmpl w:val="17D47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917903"/>
    <w:multiLevelType w:val="hybridMultilevel"/>
    <w:tmpl w:val="BD0294F6"/>
    <w:lvl w:ilvl="0" w:tplc="392A6A26">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6825006">
    <w:abstractNumId w:val="1"/>
  </w:num>
  <w:num w:numId="2" w16cid:durableId="1421945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ED7"/>
    <w:rsid w:val="00001BC8"/>
    <w:rsid w:val="00001FFD"/>
    <w:rsid w:val="000035FD"/>
    <w:rsid w:val="000037A8"/>
    <w:rsid w:val="00003F66"/>
    <w:rsid w:val="000053DA"/>
    <w:rsid w:val="0000616C"/>
    <w:rsid w:val="00007D2B"/>
    <w:rsid w:val="000103CD"/>
    <w:rsid w:val="00013D6F"/>
    <w:rsid w:val="0001408C"/>
    <w:rsid w:val="00016871"/>
    <w:rsid w:val="000170C3"/>
    <w:rsid w:val="0002123B"/>
    <w:rsid w:val="000226E7"/>
    <w:rsid w:val="000245B4"/>
    <w:rsid w:val="000273BF"/>
    <w:rsid w:val="000278CF"/>
    <w:rsid w:val="00030D79"/>
    <w:rsid w:val="0003459E"/>
    <w:rsid w:val="000345F3"/>
    <w:rsid w:val="0003493C"/>
    <w:rsid w:val="00035F16"/>
    <w:rsid w:val="00036CC8"/>
    <w:rsid w:val="00037201"/>
    <w:rsid w:val="00037791"/>
    <w:rsid w:val="000401A1"/>
    <w:rsid w:val="000409E7"/>
    <w:rsid w:val="00045FFA"/>
    <w:rsid w:val="00046A6F"/>
    <w:rsid w:val="00050CB5"/>
    <w:rsid w:val="0005151C"/>
    <w:rsid w:val="00053837"/>
    <w:rsid w:val="00055DF0"/>
    <w:rsid w:val="00056DC7"/>
    <w:rsid w:val="00057523"/>
    <w:rsid w:val="00057FC5"/>
    <w:rsid w:val="00060276"/>
    <w:rsid w:val="000613A1"/>
    <w:rsid w:val="00063B16"/>
    <w:rsid w:val="00066B18"/>
    <w:rsid w:val="000713F1"/>
    <w:rsid w:val="000728B5"/>
    <w:rsid w:val="00072BC9"/>
    <w:rsid w:val="00073485"/>
    <w:rsid w:val="000759F1"/>
    <w:rsid w:val="000768D1"/>
    <w:rsid w:val="00077495"/>
    <w:rsid w:val="000816B0"/>
    <w:rsid w:val="00082B99"/>
    <w:rsid w:val="000848E0"/>
    <w:rsid w:val="00085375"/>
    <w:rsid w:val="00090F39"/>
    <w:rsid w:val="00091691"/>
    <w:rsid w:val="00091CF6"/>
    <w:rsid w:val="00094E7C"/>
    <w:rsid w:val="00096242"/>
    <w:rsid w:val="000A16CF"/>
    <w:rsid w:val="000A1A39"/>
    <w:rsid w:val="000A2D75"/>
    <w:rsid w:val="000A2F2D"/>
    <w:rsid w:val="000A4DE9"/>
    <w:rsid w:val="000A4E17"/>
    <w:rsid w:val="000A72EC"/>
    <w:rsid w:val="000B0936"/>
    <w:rsid w:val="000B0BD6"/>
    <w:rsid w:val="000C007B"/>
    <w:rsid w:val="000C26F5"/>
    <w:rsid w:val="000C33FD"/>
    <w:rsid w:val="000C3411"/>
    <w:rsid w:val="000C3663"/>
    <w:rsid w:val="000C3E15"/>
    <w:rsid w:val="000C5985"/>
    <w:rsid w:val="000C6E45"/>
    <w:rsid w:val="000D204B"/>
    <w:rsid w:val="000D2B8A"/>
    <w:rsid w:val="000D4482"/>
    <w:rsid w:val="000D55C3"/>
    <w:rsid w:val="000D726D"/>
    <w:rsid w:val="000E00D8"/>
    <w:rsid w:val="000E05D8"/>
    <w:rsid w:val="000E171D"/>
    <w:rsid w:val="000E2C72"/>
    <w:rsid w:val="000E3096"/>
    <w:rsid w:val="000E39FC"/>
    <w:rsid w:val="000E3A25"/>
    <w:rsid w:val="000E3B7E"/>
    <w:rsid w:val="000E5356"/>
    <w:rsid w:val="000F027A"/>
    <w:rsid w:val="000F05CC"/>
    <w:rsid w:val="000F23E7"/>
    <w:rsid w:val="000F4670"/>
    <w:rsid w:val="000F51FF"/>
    <w:rsid w:val="001018C5"/>
    <w:rsid w:val="00103690"/>
    <w:rsid w:val="00103972"/>
    <w:rsid w:val="00105F32"/>
    <w:rsid w:val="001062B2"/>
    <w:rsid w:val="00110284"/>
    <w:rsid w:val="00110805"/>
    <w:rsid w:val="00112B61"/>
    <w:rsid w:val="00112EBE"/>
    <w:rsid w:val="00113954"/>
    <w:rsid w:val="00113DDF"/>
    <w:rsid w:val="00114F7C"/>
    <w:rsid w:val="00115A88"/>
    <w:rsid w:val="00115E91"/>
    <w:rsid w:val="001165D0"/>
    <w:rsid w:val="00117301"/>
    <w:rsid w:val="00117FD6"/>
    <w:rsid w:val="00120122"/>
    <w:rsid w:val="0012303A"/>
    <w:rsid w:val="00123D83"/>
    <w:rsid w:val="001266C1"/>
    <w:rsid w:val="0012672A"/>
    <w:rsid w:val="00126949"/>
    <w:rsid w:val="00132D94"/>
    <w:rsid w:val="0013304F"/>
    <w:rsid w:val="00133F33"/>
    <w:rsid w:val="001350A0"/>
    <w:rsid w:val="00136174"/>
    <w:rsid w:val="0013736A"/>
    <w:rsid w:val="001373F9"/>
    <w:rsid w:val="00141021"/>
    <w:rsid w:val="00141B22"/>
    <w:rsid w:val="00150B92"/>
    <w:rsid w:val="00151105"/>
    <w:rsid w:val="00151E54"/>
    <w:rsid w:val="0015205F"/>
    <w:rsid w:val="00152640"/>
    <w:rsid w:val="00155073"/>
    <w:rsid w:val="001554EC"/>
    <w:rsid w:val="00157B6F"/>
    <w:rsid w:val="00161B9E"/>
    <w:rsid w:val="001661D8"/>
    <w:rsid w:val="00166CF4"/>
    <w:rsid w:val="001714BA"/>
    <w:rsid w:val="0017167F"/>
    <w:rsid w:val="00172877"/>
    <w:rsid w:val="00172DB2"/>
    <w:rsid w:val="00173512"/>
    <w:rsid w:val="001745EC"/>
    <w:rsid w:val="00174696"/>
    <w:rsid w:val="0017478A"/>
    <w:rsid w:val="00174886"/>
    <w:rsid w:val="001748A3"/>
    <w:rsid w:val="00180027"/>
    <w:rsid w:val="001800B1"/>
    <w:rsid w:val="00180746"/>
    <w:rsid w:val="00180BEA"/>
    <w:rsid w:val="001814A7"/>
    <w:rsid w:val="00181A9C"/>
    <w:rsid w:val="001828FF"/>
    <w:rsid w:val="00183625"/>
    <w:rsid w:val="00185A87"/>
    <w:rsid w:val="00187AB1"/>
    <w:rsid w:val="00190DB7"/>
    <w:rsid w:val="0019566A"/>
    <w:rsid w:val="00195917"/>
    <w:rsid w:val="001966A7"/>
    <w:rsid w:val="00197045"/>
    <w:rsid w:val="0019721D"/>
    <w:rsid w:val="001A3382"/>
    <w:rsid w:val="001A71FC"/>
    <w:rsid w:val="001A78F0"/>
    <w:rsid w:val="001B0E31"/>
    <w:rsid w:val="001B3196"/>
    <w:rsid w:val="001B4F65"/>
    <w:rsid w:val="001B5A46"/>
    <w:rsid w:val="001B5FB2"/>
    <w:rsid w:val="001C0EBF"/>
    <w:rsid w:val="001C471A"/>
    <w:rsid w:val="001C4A1D"/>
    <w:rsid w:val="001C646B"/>
    <w:rsid w:val="001C7F62"/>
    <w:rsid w:val="001D1B53"/>
    <w:rsid w:val="001D1D5B"/>
    <w:rsid w:val="001D1F92"/>
    <w:rsid w:val="001D24D8"/>
    <w:rsid w:val="001D3AAC"/>
    <w:rsid w:val="001D3EEF"/>
    <w:rsid w:val="001D4122"/>
    <w:rsid w:val="001D4826"/>
    <w:rsid w:val="001D5383"/>
    <w:rsid w:val="001D6E1D"/>
    <w:rsid w:val="001D709C"/>
    <w:rsid w:val="001D72EC"/>
    <w:rsid w:val="001D7561"/>
    <w:rsid w:val="001E114C"/>
    <w:rsid w:val="001E1338"/>
    <w:rsid w:val="001E1640"/>
    <w:rsid w:val="001E1C20"/>
    <w:rsid w:val="001E292E"/>
    <w:rsid w:val="001E2B7B"/>
    <w:rsid w:val="001E37F1"/>
    <w:rsid w:val="001E3BCA"/>
    <w:rsid w:val="001E5C9D"/>
    <w:rsid w:val="001F0532"/>
    <w:rsid w:val="001F0A91"/>
    <w:rsid w:val="001F2E96"/>
    <w:rsid w:val="001F2FE2"/>
    <w:rsid w:val="001F375F"/>
    <w:rsid w:val="001F3D9C"/>
    <w:rsid w:val="001F57B2"/>
    <w:rsid w:val="001F6DC6"/>
    <w:rsid w:val="00203137"/>
    <w:rsid w:val="00203278"/>
    <w:rsid w:val="002036F4"/>
    <w:rsid w:val="00205CFE"/>
    <w:rsid w:val="002071A0"/>
    <w:rsid w:val="00210852"/>
    <w:rsid w:val="00212D07"/>
    <w:rsid w:val="002132F5"/>
    <w:rsid w:val="0021439B"/>
    <w:rsid w:val="0021570E"/>
    <w:rsid w:val="00215D3F"/>
    <w:rsid w:val="002208B7"/>
    <w:rsid w:val="00221C36"/>
    <w:rsid w:val="00223573"/>
    <w:rsid w:val="002238AE"/>
    <w:rsid w:val="00225F85"/>
    <w:rsid w:val="00226979"/>
    <w:rsid w:val="00227B26"/>
    <w:rsid w:val="002306A7"/>
    <w:rsid w:val="0023097D"/>
    <w:rsid w:val="00230F1C"/>
    <w:rsid w:val="002317BD"/>
    <w:rsid w:val="00234FD9"/>
    <w:rsid w:val="00236642"/>
    <w:rsid w:val="002366E0"/>
    <w:rsid w:val="00236978"/>
    <w:rsid w:val="002369C5"/>
    <w:rsid w:val="00243C6C"/>
    <w:rsid w:val="0024419E"/>
    <w:rsid w:val="00245B6A"/>
    <w:rsid w:val="00247109"/>
    <w:rsid w:val="00247381"/>
    <w:rsid w:val="0024793A"/>
    <w:rsid w:val="00250182"/>
    <w:rsid w:val="002519B9"/>
    <w:rsid w:val="00251DC5"/>
    <w:rsid w:val="0025460B"/>
    <w:rsid w:val="00261233"/>
    <w:rsid w:val="00262F48"/>
    <w:rsid w:val="00262F56"/>
    <w:rsid w:val="002641F3"/>
    <w:rsid w:val="002648D6"/>
    <w:rsid w:val="00266957"/>
    <w:rsid w:val="00267739"/>
    <w:rsid w:val="00270279"/>
    <w:rsid w:val="0027100B"/>
    <w:rsid w:val="0027141F"/>
    <w:rsid w:val="0027178B"/>
    <w:rsid w:val="0027264B"/>
    <w:rsid w:val="0027547F"/>
    <w:rsid w:val="002764AD"/>
    <w:rsid w:val="00282196"/>
    <w:rsid w:val="00283921"/>
    <w:rsid w:val="00284D6E"/>
    <w:rsid w:val="002860BC"/>
    <w:rsid w:val="002868C9"/>
    <w:rsid w:val="00286C72"/>
    <w:rsid w:val="00286DB4"/>
    <w:rsid w:val="00290EC6"/>
    <w:rsid w:val="00290FD6"/>
    <w:rsid w:val="00295880"/>
    <w:rsid w:val="0029626C"/>
    <w:rsid w:val="002A0EDA"/>
    <w:rsid w:val="002A1CFC"/>
    <w:rsid w:val="002A23EC"/>
    <w:rsid w:val="002A3F1D"/>
    <w:rsid w:val="002A410F"/>
    <w:rsid w:val="002A430A"/>
    <w:rsid w:val="002A4ACF"/>
    <w:rsid w:val="002A4B16"/>
    <w:rsid w:val="002A60EA"/>
    <w:rsid w:val="002A6262"/>
    <w:rsid w:val="002A6ABB"/>
    <w:rsid w:val="002B1EBE"/>
    <w:rsid w:val="002B512F"/>
    <w:rsid w:val="002C224B"/>
    <w:rsid w:val="002C2853"/>
    <w:rsid w:val="002C2857"/>
    <w:rsid w:val="002C2A60"/>
    <w:rsid w:val="002C2B89"/>
    <w:rsid w:val="002C2ECF"/>
    <w:rsid w:val="002C2EEB"/>
    <w:rsid w:val="002C3434"/>
    <w:rsid w:val="002C7CC0"/>
    <w:rsid w:val="002D03F4"/>
    <w:rsid w:val="002D1694"/>
    <w:rsid w:val="002D2191"/>
    <w:rsid w:val="002D266A"/>
    <w:rsid w:val="002D6E65"/>
    <w:rsid w:val="002D7D8C"/>
    <w:rsid w:val="002E0AFE"/>
    <w:rsid w:val="002E24FD"/>
    <w:rsid w:val="002E4E30"/>
    <w:rsid w:val="002E5397"/>
    <w:rsid w:val="002E712B"/>
    <w:rsid w:val="002E7606"/>
    <w:rsid w:val="002F0B79"/>
    <w:rsid w:val="002F39BA"/>
    <w:rsid w:val="002F54B2"/>
    <w:rsid w:val="002F68D4"/>
    <w:rsid w:val="003032F0"/>
    <w:rsid w:val="00303D91"/>
    <w:rsid w:val="003078A8"/>
    <w:rsid w:val="00307943"/>
    <w:rsid w:val="00311482"/>
    <w:rsid w:val="00312891"/>
    <w:rsid w:val="00312C2E"/>
    <w:rsid w:val="003138C8"/>
    <w:rsid w:val="00314968"/>
    <w:rsid w:val="00315C3F"/>
    <w:rsid w:val="00315CB8"/>
    <w:rsid w:val="00315D5F"/>
    <w:rsid w:val="00316A67"/>
    <w:rsid w:val="00316D11"/>
    <w:rsid w:val="0031722A"/>
    <w:rsid w:val="003234D6"/>
    <w:rsid w:val="0032506B"/>
    <w:rsid w:val="00330445"/>
    <w:rsid w:val="00330724"/>
    <w:rsid w:val="00331F0F"/>
    <w:rsid w:val="00332B28"/>
    <w:rsid w:val="00334E21"/>
    <w:rsid w:val="00335D4F"/>
    <w:rsid w:val="00340CC0"/>
    <w:rsid w:val="00342D19"/>
    <w:rsid w:val="00344043"/>
    <w:rsid w:val="0034491B"/>
    <w:rsid w:val="00347944"/>
    <w:rsid w:val="00347EFA"/>
    <w:rsid w:val="00351B23"/>
    <w:rsid w:val="003530CD"/>
    <w:rsid w:val="00354EB3"/>
    <w:rsid w:val="003564CA"/>
    <w:rsid w:val="00356ADC"/>
    <w:rsid w:val="0035736D"/>
    <w:rsid w:val="00361DC9"/>
    <w:rsid w:val="00361F49"/>
    <w:rsid w:val="00361FCC"/>
    <w:rsid w:val="0036277D"/>
    <w:rsid w:val="00362CA7"/>
    <w:rsid w:val="00362EFB"/>
    <w:rsid w:val="003758C6"/>
    <w:rsid w:val="003766FC"/>
    <w:rsid w:val="00377F79"/>
    <w:rsid w:val="00382640"/>
    <w:rsid w:val="00383690"/>
    <w:rsid w:val="003843D8"/>
    <w:rsid w:val="0038514B"/>
    <w:rsid w:val="00385CD8"/>
    <w:rsid w:val="00390106"/>
    <w:rsid w:val="003913CF"/>
    <w:rsid w:val="003917BC"/>
    <w:rsid w:val="00391D38"/>
    <w:rsid w:val="0039678C"/>
    <w:rsid w:val="003A1920"/>
    <w:rsid w:val="003A1A11"/>
    <w:rsid w:val="003A217B"/>
    <w:rsid w:val="003A5A3A"/>
    <w:rsid w:val="003A62D3"/>
    <w:rsid w:val="003A7FC5"/>
    <w:rsid w:val="003B0DF4"/>
    <w:rsid w:val="003B2507"/>
    <w:rsid w:val="003B3006"/>
    <w:rsid w:val="003B310F"/>
    <w:rsid w:val="003B3A41"/>
    <w:rsid w:val="003B4E12"/>
    <w:rsid w:val="003B56C5"/>
    <w:rsid w:val="003B57D8"/>
    <w:rsid w:val="003B5818"/>
    <w:rsid w:val="003B622D"/>
    <w:rsid w:val="003B6F7B"/>
    <w:rsid w:val="003C0062"/>
    <w:rsid w:val="003C011A"/>
    <w:rsid w:val="003C084E"/>
    <w:rsid w:val="003C16F7"/>
    <w:rsid w:val="003C1EF5"/>
    <w:rsid w:val="003C43DC"/>
    <w:rsid w:val="003C48C2"/>
    <w:rsid w:val="003C4ACA"/>
    <w:rsid w:val="003D23D0"/>
    <w:rsid w:val="003D59B2"/>
    <w:rsid w:val="003D5B44"/>
    <w:rsid w:val="003D7240"/>
    <w:rsid w:val="003D73D4"/>
    <w:rsid w:val="003E03E9"/>
    <w:rsid w:val="003E040B"/>
    <w:rsid w:val="003E098A"/>
    <w:rsid w:val="003E32C9"/>
    <w:rsid w:val="003E39AF"/>
    <w:rsid w:val="003E41EA"/>
    <w:rsid w:val="003E691E"/>
    <w:rsid w:val="003E776D"/>
    <w:rsid w:val="003F1D57"/>
    <w:rsid w:val="003F2BD4"/>
    <w:rsid w:val="003F4065"/>
    <w:rsid w:val="003F5ED8"/>
    <w:rsid w:val="003F7743"/>
    <w:rsid w:val="004002E3"/>
    <w:rsid w:val="004022E4"/>
    <w:rsid w:val="00402D26"/>
    <w:rsid w:val="0040325A"/>
    <w:rsid w:val="00403327"/>
    <w:rsid w:val="004041D0"/>
    <w:rsid w:val="004042F1"/>
    <w:rsid w:val="004103B1"/>
    <w:rsid w:val="0041121D"/>
    <w:rsid w:val="004115D8"/>
    <w:rsid w:val="00411E73"/>
    <w:rsid w:val="00412976"/>
    <w:rsid w:val="00412DB0"/>
    <w:rsid w:val="0041314D"/>
    <w:rsid w:val="00414393"/>
    <w:rsid w:val="00420920"/>
    <w:rsid w:val="00420DEF"/>
    <w:rsid w:val="004212A9"/>
    <w:rsid w:val="00423096"/>
    <w:rsid w:val="00423F5F"/>
    <w:rsid w:val="00424088"/>
    <w:rsid w:val="004242BA"/>
    <w:rsid w:val="0042599E"/>
    <w:rsid w:val="00425AEB"/>
    <w:rsid w:val="0042602B"/>
    <w:rsid w:val="00427880"/>
    <w:rsid w:val="00427AB1"/>
    <w:rsid w:val="00430281"/>
    <w:rsid w:val="00430479"/>
    <w:rsid w:val="004348C8"/>
    <w:rsid w:val="00436610"/>
    <w:rsid w:val="00436F19"/>
    <w:rsid w:val="004377E5"/>
    <w:rsid w:val="00442C82"/>
    <w:rsid w:val="00450828"/>
    <w:rsid w:val="00450907"/>
    <w:rsid w:val="004548B7"/>
    <w:rsid w:val="004559FF"/>
    <w:rsid w:val="004561D1"/>
    <w:rsid w:val="004576BB"/>
    <w:rsid w:val="00460A7D"/>
    <w:rsid w:val="00463D28"/>
    <w:rsid w:val="0046699F"/>
    <w:rsid w:val="00467B6A"/>
    <w:rsid w:val="00467F90"/>
    <w:rsid w:val="00470042"/>
    <w:rsid w:val="0047442B"/>
    <w:rsid w:val="004748A4"/>
    <w:rsid w:val="00475457"/>
    <w:rsid w:val="0048034D"/>
    <w:rsid w:val="004826B8"/>
    <w:rsid w:val="00485495"/>
    <w:rsid w:val="00486270"/>
    <w:rsid w:val="00490930"/>
    <w:rsid w:val="00492DFB"/>
    <w:rsid w:val="00494B57"/>
    <w:rsid w:val="0049600F"/>
    <w:rsid w:val="004A1580"/>
    <w:rsid w:val="004A2A1F"/>
    <w:rsid w:val="004A2FB6"/>
    <w:rsid w:val="004B0C43"/>
    <w:rsid w:val="004B7416"/>
    <w:rsid w:val="004C03C6"/>
    <w:rsid w:val="004C15BA"/>
    <w:rsid w:val="004C1AF2"/>
    <w:rsid w:val="004C1F67"/>
    <w:rsid w:val="004C33B9"/>
    <w:rsid w:val="004C627F"/>
    <w:rsid w:val="004C6DC3"/>
    <w:rsid w:val="004C73A0"/>
    <w:rsid w:val="004D0CE7"/>
    <w:rsid w:val="004D4738"/>
    <w:rsid w:val="004D4C86"/>
    <w:rsid w:val="004D6932"/>
    <w:rsid w:val="004D6BEC"/>
    <w:rsid w:val="004E151B"/>
    <w:rsid w:val="004E15DC"/>
    <w:rsid w:val="004E1E4A"/>
    <w:rsid w:val="004E220B"/>
    <w:rsid w:val="004E2A80"/>
    <w:rsid w:val="004E4765"/>
    <w:rsid w:val="004E4F94"/>
    <w:rsid w:val="004E61B4"/>
    <w:rsid w:val="004E7CA2"/>
    <w:rsid w:val="004E7DFA"/>
    <w:rsid w:val="004F08AD"/>
    <w:rsid w:val="004F0CDD"/>
    <w:rsid w:val="004F1B34"/>
    <w:rsid w:val="004F2BEC"/>
    <w:rsid w:val="004F3093"/>
    <w:rsid w:val="004F6057"/>
    <w:rsid w:val="004F68E3"/>
    <w:rsid w:val="004F6A7C"/>
    <w:rsid w:val="004F6B71"/>
    <w:rsid w:val="004F7097"/>
    <w:rsid w:val="005015B1"/>
    <w:rsid w:val="005016B7"/>
    <w:rsid w:val="00501986"/>
    <w:rsid w:val="00503677"/>
    <w:rsid w:val="00506D46"/>
    <w:rsid w:val="005101DB"/>
    <w:rsid w:val="0051160F"/>
    <w:rsid w:val="00511944"/>
    <w:rsid w:val="00511BCC"/>
    <w:rsid w:val="005130F6"/>
    <w:rsid w:val="0051454E"/>
    <w:rsid w:val="00515079"/>
    <w:rsid w:val="00515E2B"/>
    <w:rsid w:val="00516210"/>
    <w:rsid w:val="00520EE4"/>
    <w:rsid w:val="00521C86"/>
    <w:rsid w:val="00522257"/>
    <w:rsid w:val="00523D3D"/>
    <w:rsid w:val="00525977"/>
    <w:rsid w:val="005263F6"/>
    <w:rsid w:val="005301EF"/>
    <w:rsid w:val="005302D7"/>
    <w:rsid w:val="0053048B"/>
    <w:rsid w:val="0053207D"/>
    <w:rsid w:val="005327D4"/>
    <w:rsid w:val="00532E8B"/>
    <w:rsid w:val="005338CC"/>
    <w:rsid w:val="0053639C"/>
    <w:rsid w:val="00536AB2"/>
    <w:rsid w:val="00536F13"/>
    <w:rsid w:val="005377B8"/>
    <w:rsid w:val="005413E8"/>
    <w:rsid w:val="00541557"/>
    <w:rsid w:val="0054204F"/>
    <w:rsid w:val="00543CB5"/>
    <w:rsid w:val="00546053"/>
    <w:rsid w:val="00546B26"/>
    <w:rsid w:val="00551C77"/>
    <w:rsid w:val="00551DD1"/>
    <w:rsid w:val="00554FBB"/>
    <w:rsid w:val="00555C4C"/>
    <w:rsid w:val="0056218B"/>
    <w:rsid w:val="00563FB7"/>
    <w:rsid w:val="005645F8"/>
    <w:rsid w:val="00564D70"/>
    <w:rsid w:val="00564F0C"/>
    <w:rsid w:val="005651AE"/>
    <w:rsid w:val="005658F2"/>
    <w:rsid w:val="00567C87"/>
    <w:rsid w:val="00571D63"/>
    <w:rsid w:val="00571FBD"/>
    <w:rsid w:val="005733AB"/>
    <w:rsid w:val="00577940"/>
    <w:rsid w:val="005807F3"/>
    <w:rsid w:val="00581EBA"/>
    <w:rsid w:val="00582183"/>
    <w:rsid w:val="00583CD5"/>
    <w:rsid w:val="00583E2D"/>
    <w:rsid w:val="00584161"/>
    <w:rsid w:val="005851DC"/>
    <w:rsid w:val="00590685"/>
    <w:rsid w:val="00593FE2"/>
    <w:rsid w:val="00595F42"/>
    <w:rsid w:val="005A003F"/>
    <w:rsid w:val="005A05CB"/>
    <w:rsid w:val="005A091B"/>
    <w:rsid w:val="005A1ED2"/>
    <w:rsid w:val="005A393F"/>
    <w:rsid w:val="005A4923"/>
    <w:rsid w:val="005A5CB7"/>
    <w:rsid w:val="005B13D5"/>
    <w:rsid w:val="005B1F14"/>
    <w:rsid w:val="005B2715"/>
    <w:rsid w:val="005B275E"/>
    <w:rsid w:val="005B47BB"/>
    <w:rsid w:val="005B5D67"/>
    <w:rsid w:val="005C1884"/>
    <w:rsid w:val="005C3EBE"/>
    <w:rsid w:val="005C444B"/>
    <w:rsid w:val="005C5014"/>
    <w:rsid w:val="005C576D"/>
    <w:rsid w:val="005C7BB8"/>
    <w:rsid w:val="005D0D30"/>
    <w:rsid w:val="005D2C48"/>
    <w:rsid w:val="005D32E6"/>
    <w:rsid w:val="005D3890"/>
    <w:rsid w:val="005D4DB0"/>
    <w:rsid w:val="005D6AF0"/>
    <w:rsid w:val="005E0954"/>
    <w:rsid w:val="005E25EC"/>
    <w:rsid w:val="005E3CBC"/>
    <w:rsid w:val="005E4296"/>
    <w:rsid w:val="005E440D"/>
    <w:rsid w:val="005F1AAC"/>
    <w:rsid w:val="005F2CFB"/>
    <w:rsid w:val="005F387D"/>
    <w:rsid w:val="005F699F"/>
    <w:rsid w:val="005F7B17"/>
    <w:rsid w:val="0060105B"/>
    <w:rsid w:val="0060156A"/>
    <w:rsid w:val="006032C9"/>
    <w:rsid w:val="006039B8"/>
    <w:rsid w:val="00603CA3"/>
    <w:rsid w:val="006044B6"/>
    <w:rsid w:val="0060747F"/>
    <w:rsid w:val="00607995"/>
    <w:rsid w:val="006110E8"/>
    <w:rsid w:val="00611554"/>
    <w:rsid w:val="00612846"/>
    <w:rsid w:val="006139A8"/>
    <w:rsid w:val="006140C0"/>
    <w:rsid w:val="006141C3"/>
    <w:rsid w:val="00615047"/>
    <w:rsid w:val="00621932"/>
    <w:rsid w:val="00624EAC"/>
    <w:rsid w:val="00631AF3"/>
    <w:rsid w:val="00634DA3"/>
    <w:rsid w:val="00640F8D"/>
    <w:rsid w:val="006414E3"/>
    <w:rsid w:val="00641AE2"/>
    <w:rsid w:val="006424C5"/>
    <w:rsid w:val="0064401E"/>
    <w:rsid w:val="006440A8"/>
    <w:rsid w:val="006461B6"/>
    <w:rsid w:val="00646CB4"/>
    <w:rsid w:val="00646D15"/>
    <w:rsid w:val="00651969"/>
    <w:rsid w:val="00652C3D"/>
    <w:rsid w:val="006531EA"/>
    <w:rsid w:val="00654C49"/>
    <w:rsid w:val="006625D0"/>
    <w:rsid w:val="006639A2"/>
    <w:rsid w:val="00664BB4"/>
    <w:rsid w:val="00670E5E"/>
    <w:rsid w:val="00671AE8"/>
    <w:rsid w:val="00672088"/>
    <w:rsid w:val="00672762"/>
    <w:rsid w:val="00672F0B"/>
    <w:rsid w:val="00672F5F"/>
    <w:rsid w:val="006732C5"/>
    <w:rsid w:val="00673664"/>
    <w:rsid w:val="00677D0C"/>
    <w:rsid w:val="0068271A"/>
    <w:rsid w:val="00682F0F"/>
    <w:rsid w:val="0068522C"/>
    <w:rsid w:val="006853AF"/>
    <w:rsid w:val="00687396"/>
    <w:rsid w:val="006874C7"/>
    <w:rsid w:val="0068786E"/>
    <w:rsid w:val="00690296"/>
    <w:rsid w:val="00692827"/>
    <w:rsid w:val="00697730"/>
    <w:rsid w:val="00697A0C"/>
    <w:rsid w:val="006A0419"/>
    <w:rsid w:val="006A08EF"/>
    <w:rsid w:val="006A2BD2"/>
    <w:rsid w:val="006A5ABE"/>
    <w:rsid w:val="006A5D8F"/>
    <w:rsid w:val="006A6AD3"/>
    <w:rsid w:val="006A7832"/>
    <w:rsid w:val="006B07B8"/>
    <w:rsid w:val="006B080D"/>
    <w:rsid w:val="006B2391"/>
    <w:rsid w:val="006B3809"/>
    <w:rsid w:val="006B53ED"/>
    <w:rsid w:val="006C11F5"/>
    <w:rsid w:val="006C2244"/>
    <w:rsid w:val="006C347E"/>
    <w:rsid w:val="006C42DA"/>
    <w:rsid w:val="006C436C"/>
    <w:rsid w:val="006C7B22"/>
    <w:rsid w:val="006D0106"/>
    <w:rsid w:val="006D1290"/>
    <w:rsid w:val="006D3253"/>
    <w:rsid w:val="006D3713"/>
    <w:rsid w:val="006D4616"/>
    <w:rsid w:val="006D7BC8"/>
    <w:rsid w:val="006D7D15"/>
    <w:rsid w:val="006E2163"/>
    <w:rsid w:val="006E3FBB"/>
    <w:rsid w:val="006E58B9"/>
    <w:rsid w:val="006E76E0"/>
    <w:rsid w:val="006E7998"/>
    <w:rsid w:val="006F005F"/>
    <w:rsid w:val="006F1E6D"/>
    <w:rsid w:val="006F7A20"/>
    <w:rsid w:val="0070239D"/>
    <w:rsid w:val="0070473E"/>
    <w:rsid w:val="00704CB2"/>
    <w:rsid w:val="0071147F"/>
    <w:rsid w:val="00713250"/>
    <w:rsid w:val="00713460"/>
    <w:rsid w:val="007153BA"/>
    <w:rsid w:val="007179E8"/>
    <w:rsid w:val="00720717"/>
    <w:rsid w:val="00722828"/>
    <w:rsid w:val="00722BE1"/>
    <w:rsid w:val="00725CBB"/>
    <w:rsid w:val="007279B3"/>
    <w:rsid w:val="00730E78"/>
    <w:rsid w:val="00730EA8"/>
    <w:rsid w:val="00732FD5"/>
    <w:rsid w:val="00733217"/>
    <w:rsid w:val="007335FF"/>
    <w:rsid w:val="00735752"/>
    <w:rsid w:val="00735754"/>
    <w:rsid w:val="00737231"/>
    <w:rsid w:val="00737FDA"/>
    <w:rsid w:val="007400F4"/>
    <w:rsid w:val="00740B52"/>
    <w:rsid w:val="00740E89"/>
    <w:rsid w:val="00741ECF"/>
    <w:rsid w:val="0074318A"/>
    <w:rsid w:val="0074372C"/>
    <w:rsid w:val="007445A8"/>
    <w:rsid w:val="007450BC"/>
    <w:rsid w:val="00745882"/>
    <w:rsid w:val="00746617"/>
    <w:rsid w:val="00750152"/>
    <w:rsid w:val="0075112D"/>
    <w:rsid w:val="00752BCE"/>
    <w:rsid w:val="00755D7E"/>
    <w:rsid w:val="00755EAE"/>
    <w:rsid w:val="00755FF2"/>
    <w:rsid w:val="007614A4"/>
    <w:rsid w:val="00762B04"/>
    <w:rsid w:val="007631C1"/>
    <w:rsid w:val="007642F0"/>
    <w:rsid w:val="00765716"/>
    <w:rsid w:val="007674EB"/>
    <w:rsid w:val="00770ABE"/>
    <w:rsid w:val="00770C4B"/>
    <w:rsid w:val="007711D3"/>
    <w:rsid w:val="007761E0"/>
    <w:rsid w:val="007777F7"/>
    <w:rsid w:val="00777F20"/>
    <w:rsid w:val="0078020A"/>
    <w:rsid w:val="007819F5"/>
    <w:rsid w:val="00781BB0"/>
    <w:rsid w:val="00784729"/>
    <w:rsid w:val="00785F0F"/>
    <w:rsid w:val="00786DB3"/>
    <w:rsid w:val="00790AFD"/>
    <w:rsid w:val="007935DE"/>
    <w:rsid w:val="007957AC"/>
    <w:rsid w:val="007969DB"/>
    <w:rsid w:val="00796D85"/>
    <w:rsid w:val="007A00DA"/>
    <w:rsid w:val="007A02F9"/>
    <w:rsid w:val="007A178D"/>
    <w:rsid w:val="007A2258"/>
    <w:rsid w:val="007A2D79"/>
    <w:rsid w:val="007A5AB2"/>
    <w:rsid w:val="007A7756"/>
    <w:rsid w:val="007A7BB1"/>
    <w:rsid w:val="007B11A3"/>
    <w:rsid w:val="007B351F"/>
    <w:rsid w:val="007B55CA"/>
    <w:rsid w:val="007B67AD"/>
    <w:rsid w:val="007B7F2C"/>
    <w:rsid w:val="007C0FBA"/>
    <w:rsid w:val="007C233C"/>
    <w:rsid w:val="007C4954"/>
    <w:rsid w:val="007C4E27"/>
    <w:rsid w:val="007C514B"/>
    <w:rsid w:val="007D1D8D"/>
    <w:rsid w:val="007D3A0A"/>
    <w:rsid w:val="007D3E4A"/>
    <w:rsid w:val="007D7788"/>
    <w:rsid w:val="007F64BD"/>
    <w:rsid w:val="007F6AEC"/>
    <w:rsid w:val="007F7591"/>
    <w:rsid w:val="008006BA"/>
    <w:rsid w:val="00800E09"/>
    <w:rsid w:val="008014D8"/>
    <w:rsid w:val="008032E8"/>
    <w:rsid w:val="00807C3C"/>
    <w:rsid w:val="008125C0"/>
    <w:rsid w:val="00812D4D"/>
    <w:rsid w:val="0081329D"/>
    <w:rsid w:val="008154D8"/>
    <w:rsid w:val="0081565D"/>
    <w:rsid w:val="008167EB"/>
    <w:rsid w:val="008175AA"/>
    <w:rsid w:val="008203FE"/>
    <w:rsid w:val="0082285D"/>
    <w:rsid w:val="00824F3E"/>
    <w:rsid w:val="00826832"/>
    <w:rsid w:val="00830BFB"/>
    <w:rsid w:val="0083496E"/>
    <w:rsid w:val="00834B2E"/>
    <w:rsid w:val="008377C7"/>
    <w:rsid w:val="0084043B"/>
    <w:rsid w:val="00841EF0"/>
    <w:rsid w:val="00842F66"/>
    <w:rsid w:val="00844275"/>
    <w:rsid w:val="00845EEE"/>
    <w:rsid w:val="008463E3"/>
    <w:rsid w:val="00850A7C"/>
    <w:rsid w:val="00850E21"/>
    <w:rsid w:val="00853CCB"/>
    <w:rsid w:val="008558B7"/>
    <w:rsid w:val="00856C70"/>
    <w:rsid w:val="00860855"/>
    <w:rsid w:val="00861243"/>
    <w:rsid w:val="0086654C"/>
    <w:rsid w:val="00870A90"/>
    <w:rsid w:val="00871A1A"/>
    <w:rsid w:val="00871B93"/>
    <w:rsid w:val="0087293F"/>
    <w:rsid w:val="008737DC"/>
    <w:rsid w:val="00873885"/>
    <w:rsid w:val="00873978"/>
    <w:rsid w:val="00874C31"/>
    <w:rsid w:val="008751E8"/>
    <w:rsid w:val="0087710C"/>
    <w:rsid w:val="008817DB"/>
    <w:rsid w:val="008818FA"/>
    <w:rsid w:val="00882CE6"/>
    <w:rsid w:val="00882D3E"/>
    <w:rsid w:val="00883ABE"/>
    <w:rsid w:val="00884579"/>
    <w:rsid w:val="00886622"/>
    <w:rsid w:val="0088683F"/>
    <w:rsid w:val="00887E42"/>
    <w:rsid w:val="00891C32"/>
    <w:rsid w:val="00891F3E"/>
    <w:rsid w:val="00892B77"/>
    <w:rsid w:val="00896C15"/>
    <w:rsid w:val="008A23F1"/>
    <w:rsid w:val="008A42A4"/>
    <w:rsid w:val="008A589E"/>
    <w:rsid w:val="008B0C10"/>
    <w:rsid w:val="008B31D3"/>
    <w:rsid w:val="008B53C7"/>
    <w:rsid w:val="008B7A17"/>
    <w:rsid w:val="008C00A3"/>
    <w:rsid w:val="008C2620"/>
    <w:rsid w:val="008C4C71"/>
    <w:rsid w:val="008C5864"/>
    <w:rsid w:val="008C7DBA"/>
    <w:rsid w:val="008D0A8C"/>
    <w:rsid w:val="008D1ED7"/>
    <w:rsid w:val="008D5D4B"/>
    <w:rsid w:val="008D7B79"/>
    <w:rsid w:val="008E05F6"/>
    <w:rsid w:val="008E285B"/>
    <w:rsid w:val="008E290B"/>
    <w:rsid w:val="008E2CBE"/>
    <w:rsid w:val="008E4599"/>
    <w:rsid w:val="008E46D3"/>
    <w:rsid w:val="008E5A3F"/>
    <w:rsid w:val="008E665A"/>
    <w:rsid w:val="008E6D6B"/>
    <w:rsid w:val="008F08D4"/>
    <w:rsid w:val="008F2634"/>
    <w:rsid w:val="008F4554"/>
    <w:rsid w:val="008F5AAF"/>
    <w:rsid w:val="008F5D42"/>
    <w:rsid w:val="008F635B"/>
    <w:rsid w:val="008F6387"/>
    <w:rsid w:val="009018AE"/>
    <w:rsid w:val="00901F54"/>
    <w:rsid w:val="00902869"/>
    <w:rsid w:val="009113AD"/>
    <w:rsid w:val="00912F5B"/>
    <w:rsid w:val="00914281"/>
    <w:rsid w:val="00914B2F"/>
    <w:rsid w:val="00915EF4"/>
    <w:rsid w:val="0091656F"/>
    <w:rsid w:val="009175D4"/>
    <w:rsid w:val="00921A7C"/>
    <w:rsid w:val="0092266F"/>
    <w:rsid w:val="009227D0"/>
    <w:rsid w:val="00923C35"/>
    <w:rsid w:val="00924C3C"/>
    <w:rsid w:val="00927C74"/>
    <w:rsid w:val="009301F0"/>
    <w:rsid w:val="0093055A"/>
    <w:rsid w:val="00930EFE"/>
    <w:rsid w:val="00934FD8"/>
    <w:rsid w:val="00935C15"/>
    <w:rsid w:val="00937683"/>
    <w:rsid w:val="00937AA2"/>
    <w:rsid w:val="00940172"/>
    <w:rsid w:val="00942A3C"/>
    <w:rsid w:val="00943378"/>
    <w:rsid w:val="00945140"/>
    <w:rsid w:val="00945F56"/>
    <w:rsid w:val="00950D37"/>
    <w:rsid w:val="00954261"/>
    <w:rsid w:val="0095431B"/>
    <w:rsid w:val="0095664E"/>
    <w:rsid w:val="0095696E"/>
    <w:rsid w:val="00957FC4"/>
    <w:rsid w:val="00960768"/>
    <w:rsid w:val="00962B7F"/>
    <w:rsid w:val="009630BA"/>
    <w:rsid w:val="0096334F"/>
    <w:rsid w:val="00964E68"/>
    <w:rsid w:val="0097285C"/>
    <w:rsid w:val="00973172"/>
    <w:rsid w:val="00975BAA"/>
    <w:rsid w:val="009833B1"/>
    <w:rsid w:val="0098427B"/>
    <w:rsid w:val="009865D7"/>
    <w:rsid w:val="009866CE"/>
    <w:rsid w:val="00987C7F"/>
    <w:rsid w:val="009920A7"/>
    <w:rsid w:val="009920DE"/>
    <w:rsid w:val="00994197"/>
    <w:rsid w:val="0099779E"/>
    <w:rsid w:val="009A1323"/>
    <w:rsid w:val="009A1A28"/>
    <w:rsid w:val="009A2071"/>
    <w:rsid w:val="009A26A1"/>
    <w:rsid w:val="009A2C82"/>
    <w:rsid w:val="009A50AE"/>
    <w:rsid w:val="009A5A69"/>
    <w:rsid w:val="009A5CC3"/>
    <w:rsid w:val="009B0255"/>
    <w:rsid w:val="009B4C33"/>
    <w:rsid w:val="009B5DA7"/>
    <w:rsid w:val="009B789B"/>
    <w:rsid w:val="009C0961"/>
    <w:rsid w:val="009C1FA9"/>
    <w:rsid w:val="009C238B"/>
    <w:rsid w:val="009C3176"/>
    <w:rsid w:val="009C3B9C"/>
    <w:rsid w:val="009C3E2A"/>
    <w:rsid w:val="009C53F8"/>
    <w:rsid w:val="009C5CB2"/>
    <w:rsid w:val="009D05C5"/>
    <w:rsid w:val="009D101C"/>
    <w:rsid w:val="009D1BFE"/>
    <w:rsid w:val="009D2E26"/>
    <w:rsid w:val="009D391B"/>
    <w:rsid w:val="009D4196"/>
    <w:rsid w:val="009D46BC"/>
    <w:rsid w:val="009D7F04"/>
    <w:rsid w:val="009E0307"/>
    <w:rsid w:val="009E151A"/>
    <w:rsid w:val="009E1C0D"/>
    <w:rsid w:val="009E2B06"/>
    <w:rsid w:val="009E3CAA"/>
    <w:rsid w:val="009F1000"/>
    <w:rsid w:val="009F19BA"/>
    <w:rsid w:val="009F1CF3"/>
    <w:rsid w:val="009F2EBC"/>
    <w:rsid w:val="009F30A5"/>
    <w:rsid w:val="009F4029"/>
    <w:rsid w:val="009F4A73"/>
    <w:rsid w:val="009F4B22"/>
    <w:rsid w:val="00A0139F"/>
    <w:rsid w:val="00A0182C"/>
    <w:rsid w:val="00A03C46"/>
    <w:rsid w:val="00A049B7"/>
    <w:rsid w:val="00A0512F"/>
    <w:rsid w:val="00A075DB"/>
    <w:rsid w:val="00A106AA"/>
    <w:rsid w:val="00A10F54"/>
    <w:rsid w:val="00A200B8"/>
    <w:rsid w:val="00A2555D"/>
    <w:rsid w:val="00A2767D"/>
    <w:rsid w:val="00A32925"/>
    <w:rsid w:val="00A3550A"/>
    <w:rsid w:val="00A35B36"/>
    <w:rsid w:val="00A405CC"/>
    <w:rsid w:val="00A41B40"/>
    <w:rsid w:val="00A42798"/>
    <w:rsid w:val="00A45A94"/>
    <w:rsid w:val="00A4759C"/>
    <w:rsid w:val="00A518DE"/>
    <w:rsid w:val="00A524FB"/>
    <w:rsid w:val="00A53E0F"/>
    <w:rsid w:val="00A54236"/>
    <w:rsid w:val="00A54B19"/>
    <w:rsid w:val="00A54D48"/>
    <w:rsid w:val="00A55845"/>
    <w:rsid w:val="00A57122"/>
    <w:rsid w:val="00A573C0"/>
    <w:rsid w:val="00A60197"/>
    <w:rsid w:val="00A6122C"/>
    <w:rsid w:val="00A622AC"/>
    <w:rsid w:val="00A634D1"/>
    <w:rsid w:val="00A640E9"/>
    <w:rsid w:val="00A64150"/>
    <w:rsid w:val="00A64C34"/>
    <w:rsid w:val="00A65D56"/>
    <w:rsid w:val="00A663D0"/>
    <w:rsid w:val="00A67279"/>
    <w:rsid w:val="00A7074C"/>
    <w:rsid w:val="00A73C1D"/>
    <w:rsid w:val="00A75A6C"/>
    <w:rsid w:val="00A77109"/>
    <w:rsid w:val="00A80ED2"/>
    <w:rsid w:val="00A82661"/>
    <w:rsid w:val="00A82735"/>
    <w:rsid w:val="00A828D8"/>
    <w:rsid w:val="00A86BE7"/>
    <w:rsid w:val="00A9311E"/>
    <w:rsid w:val="00A9415C"/>
    <w:rsid w:val="00A95790"/>
    <w:rsid w:val="00A9684D"/>
    <w:rsid w:val="00A970E3"/>
    <w:rsid w:val="00A97315"/>
    <w:rsid w:val="00A97A0C"/>
    <w:rsid w:val="00AA0AC0"/>
    <w:rsid w:val="00AA0D3E"/>
    <w:rsid w:val="00AA4524"/>
    <w:rsid w:val="00AA520C"/>
    <w:rsid w:val="00AB2F12"/>
    <w:rsid w:val="00AB591E"/>
    <w:rsid w:val="00AB6419"/>
    <w:rsid w:val="00AB712C"/>
    <w:rsid w:val="00AB76BE"/>
    <w:rsid w:val="00AC269F"/>
    <w:rsid w:val="00AC278F"/>
    <w:rsid w:val="00AC3276"/>
    <w:rsid w:val="00AC3DDA"/>
    <w:rsid w:val="00AC4C6A"/>
    <w:rsid w:val="00AC5765"/>
    <w:rsid w:val="00AC5796"/>
    <w:rsid w:val="00AC66C5"/>
    <w:rsid w:val="00AD0BFA"/>
    <w:rsid w:val="00AD1F9D"/>
    <w:rsid w:val="00AD20AE"/>
    <w:rsid w:val="00AD235C"/>
    <w:rsid w:val="00AD2939"/>
    <w:rsid w:val="00AD3D68"/>
    <w:rsid w:val="00AD3FE9"/>
    <w:rsid w:val="00AD5D9C"/>
    <w:rsid w:val="00AD6539"/>
    <w:rsid w:val="00AD7D0B"/>
    <w:rsid w:val="00AE160B"/>
    <w:rsid w:val="00AE294C"/>
    <w:rsid w:val="00AE2F0E"/>
    <w:rsid w:val="00AE41DE"/>
    <w:rsid w:val="00AE462A"/>
    <w:rsid w:val="00AE7679"/>
    <w:rsid w:val="00AF1CA3"/>
    <w:rsid w:val="00AF263C"/>
    <w:rsid w:val="00AF4CD2"/>
    <w:rsid w:val="00B00E77"/>
    <w:rsid w:val="00B014F3"/>
    <w:rsid w:val="00B020C1"/>
    <w:rsid w:val="00B02E61"/>
    <w:rsid w:val="00B036CE"/>
    <w:rsid w:val="00B037B9"/>
    <w:rsid w:val="00B04870"/>
    <w:rsid w:val="00B11523"/>
    <w:rsid w:val="00B11EDE"/>
    <w:rsid w:val="00B13737"/>
    <w:rsid w:val="00B13D15"/>
    <w:rsid w:val="00B13D37"/>
    <w:rsid w:val="00B1444F"/>
    <w:rsid w:val="00B14A8F"/>
    <w:rsid w:val="00B14D4F"/>
    <w:rsid w:val="00B15661"/>
    <w:rsid w:val="00B17D33"/>
    <w:rsid w:val="00B206F0"/>
    <w:rsid w:val="00B24F2B"/>
    <w:rsid w:val="00B27EEF"/>
    <w:rsid w:val="00B303BE"/>
    <w:rsid w:val="00B30ABC"/>
    <w:rsid w:val="00B30E06"/>
    <w:rsid w:val="00B30FD0"/>
    <w:rsid w:val="00B32FBC"/>
    <w:rsid w:val="00B3386C"/>
    <w:rsid w:val="00B35087"/>
    <w:rsid w:val="00B35A8F"/>
    <w:rsid w:val="00B41166"/>
    <w:rsid w:val="00B41E5F"/>
    <w:rsid w:val="00B42762"/>
    <w:rsid w:val="00B42F54"/>
    <w:rsid w:val="00B43CAA"/>
    <w:rsid w:val="00B4488D"/>
    <w:rsid w:val="00B4671B"/>
    <w:rsid w:val="00B46E1F"/>
    <w:rsid w:val="00B50511"/>
    <w:rsid w:val="00B50B71"/>
    <w:rsid w:val="00B51DBF"/>
    <w:rsid w:val="00B51F8B"/>
    <w:rsid w:val="00B53630"/>
    <w:rsid w:val="00B54232"/>
    <w:rsid w:val="00B62EE3"/>
    <w:rsid w:val="00B63EA0"/>
    <w:rsid w:val="00B640E3"/>
    <w:rsid w:val="00B6697F"/>
    <w:rsid w:val="00B66C63"/>
    <w:rsid w:val="00B67861"/>
    <w:rsid w:val="00B71254"/>
    <w:rsid w:val="00B72C45"/>
    <w:rsid w:val="00B73371"/>
    <w:rsid w:val="00B73D0A"/>
    <w:rsid w:val="00B75BF3"/>
    <w:rsid w:val="00B7637E"/>
    <w:rsid w:val="00B76AD2"/>
    <w:rsid w:val="00B76DA7"/>
    <w:rsid w:val="00B805A0"/>
    <w:rsid w:val="00B80708"/>
    <w:rsid w:val="00B81F1A"/>
    <w:rsid w:val="00B822BD"/>
    <w:rsid w:val="00B82D17"/>
    <w:rsid w:val="00B85928"/>
    <w:rsid w:val="00B90986"/>
    <w:rsid w:val="00B91AE3"/>
    <w:rsid w:val="00B91EE0"/>
    <w:rsid w:val="00B9246A"/>
    <w:rsid w:val="00B93497"/>
    <w:rsid w:val="00B93799"/>
    <w:rsid w:val="00B94408"/>
    <w:rsid w:val="00B97C46"/>
    <w:rsid w:val="00BA0234"/>
    <w:rsid w:val="00BA086F"/>
    <w:rsid w:val="00BA592A"/>
    <w:rsid w:val="00BA6213"/>
    <w:rsid w:val="00BA689F"/>
    <w:rsid w:val="00BA7735"/>
    <w:rsid w:val="00BA7E80"/>
    <w:rsid w:val="00BB287B"/>
    <w:rsid w:val="00BB3684"/>
    <w:rsid w:val="00BB6A75"/>
    <w:rsid w:val="00BC0376"/>
    <w:rsid w:val="00BC10EA"/>
    <w:rsid w:val="00BC1876"/>
    <w:rsid w:val="00BC18CF"/>
    <w:rsid w:val="00BC46EC"/>
    <w:rsid w:val="00BC51D6"/>
    <w:rsid w:val="00BC713C"/>
    <w:rsid w:val="00BD1C04"/>
    <w:rsid w:val="00BD21EE"/>
    <w:rsid w:val="00BD34B9"/>
    <w:rsid w:val="00BD4045"/>
    <w:rsid w:val="00BD5B8D"/>
    <w:rsid w:val="00BD7381"/>
    <w:rsid w:val="00BD7B33"/>
    <w:rsid w:val="00BE666B"/>
    <w:rsid w:val="00BE744B"/>
    <w:rsid w:val="00BE7DF6"/>
    <w:rsid w:val="00BF06C9"/>
    <w:rsid w:val="00BF1A65"/>
    <w:rsid w:val="00BF2D82"/>
    <w:rsid w:val="00BF3FE1"/>
    <w:rsid w:val="00BF4CE7"/>
    <w:rsid w:val="00BF698C"/>
    <w:rsid w:val="00C0059E"/>
    <w:rsid w:val="00C02662"/>
    <w:rsid w:val="00C03070"/>
    <w:rsid w:val="00C03952"/>
    <w:rsid w:val="00C04593"/>
    <w:rsid w:val="00C07472"/>
    <w:rsid w:val="00C100A7"/>
    <w:rsid w:val="00C101B7"/>
    <w:rsid w:val="00C11275"/>
    <w:rsid w:val="00C12872"/>
    <w:rsid w:val="00C13891"/>
    <w:rsid w:val="00C15561"/>
    <w:rsid w:val="00C171E9"/>
    <w:rsid w:val="00C2350E"/>
    <w:rsid w:val="00C2385F"/>
    <w:rsid w:val="00C23B3E"/>
    <w:rsid w:val="00C24079"/>
    <w:rsid w:val="00C25742"/>
    <w:rsid w:val="00C26983"/>
    <w:rsid w:val="00C269AE"/>
    <w:rsid w:val="00C27574"/>
    <w:rsid w:val="00C31B1A"/>
    <w:rsid w:val="00C31B90"/>
    <w:rsid w:val="00C33D37"/>
    <w:rsid w:val="00C34090"/>
    <w:rsid w:val="00C3443A"/>
    <w:rsid w:val="00C361AD"/>
    <w:rsid w:val="00C364B9"/>
    <w:rsid w:val="00C366A3"/>
    <w:rsid w:val="00C409AA"/>
    <w:rsid w:val="00C4102C"/>
    <w:rsid w:val="00C41688"/>
    <w:rsid w:val="00C416C0"/>
    <w:rsid w:val="00C41F14"/>
    <w:rsid w:val="00C44709"/>
    <w:rsid w:val="00C458A3"/>
    <w:rsid w:val="00C461FD"/>
    <w:rsid w:val="00C50A1C"/>
    <w:rsid w:val="00C50F5E"/>
    <w:rsid w:val="00C5136B"/>
    <w:rsid w:val="00C517D6"/>
    <w:rsid w:val="00C52282"/>
    <w:rsid w:val="00C52393"/>
    <w:rsid w:val="00C526B8"/>
    <w:rsid w:val="00C5309C"/>
    <w:rsid w:val="00C530A2"/>
    <w:rsid w:val="00C537FE"/>
    <w:rsid w:val="00C55251"/>
    <w:rsid w:val="00C56454"/>
    <w:rsid w:val="00C57C06"/>
    <w:rsid w:val="00C60803"/>
    <w:rsid w:val="00C61AEE"/>
    <w:rsid w:val="00C6330F"/>
    <w:rsid w:val="00C64943"/>
    <w:rsid w:val="00C6521F"/>
    <w:rsid w:val="00C65C8F"/>
    <w:rsid w:val="00C65E18"/>
    <w:rsid w:val="00C72209"/>
    <w:rsid w:val="00C73250"/>
    <w:rsid w:val="00C73708"/>
    <w:rsid w:val="00C74647"/>
    <w:rsid w:val="00C74C44"/>
    <w:rsid w:val="00C75253"/>
    <w:rsid w:val="00C77F85"/>
    <w:rsid w:val="00C80BAB"/>
    <w:rsid w:val="00C81EBA"/>
    <w:rsid w:val="00C826EC"/>
    <w:rsid w:val="00C84127"/>
    <w:rsid w:val="00C875DF"/>
    <w:rsid w:val="00C879FE"/>
    <w:rsid w:val="00C90807"/>
    <w:rsid w:val="00C92078"/>
    <w:rsid w:val="00C93FFF"/>
    <w:rsid w:val="00C950B2"/>
    <w:rsid w:val="00C95243"/>
    <w:rsid w:val="00C959CD"/>
    <w:rsid w:val="00C95A0E"/>
    <w:rsid w:val="00C97C22"/>
    <w:rsid w:val="00C97F13"/>
    <w:rsid w:val="00CA074A"/>
    <w:rsid w:val="00CA2078"/>
    <w:rsid w:val="00CA2586"/>
    <w:rsid w:val="00CA2630"/>
    <w:rsid w:val="00CA536A"/>
    <w:rsid w:val="00CA620F"/>
    <w:rsid w:val="00CA63D8"/>
    <w:rsid w:val="00CA72E1"/>
    <w:rsid w:val="00CB195C"/>
    <w:rsid w:val="00CB262D"/>
    <w:rsid w:val="00CB27B1"/>
    <w:rsid w:val="00CB27C3"/>
    <w:rsid w:val="00CB28F6"/>
    <w:rsid w:val="00CB5759"/>
    <w:rsid w:val="00CB7EA6"/>
    <w:rsid w:val="00CC0D10"/>
    <w:rsid w:val="00CC150C"/>
    <w:rsid w:val="00CC2001"/>
    <w:rsid w:val="00CC2847"/>
    <w:rsid w:val="00CC2ECE"/>
    <w:rsid w:val="00CC378D"/>
    <w:rsid w:val="00CC4AD2"/>
    <w:rsid w:val="00CD03DB"/>
    <w:rsid w:val="00CD06D7"/>
    <w:rsid w:val="00CD0FCC"/>
    <w:rsid w:val="00CD159D"/>
    <w:rsid w:val="00CD3DF4"/>
    <w:rsid w:val="00CD41AE"/>
    <w:rsid w:val="00CD5688"/>
    <w:rsid w:val="00CD739A"/>
    <w:rsid w:val="00CE310B"/>
    <w:rsid w:val="00CE3F2D"/>
    <w:rsid w:val="00CE4E7A"/>
    <w:rsid w:val="00CE7A83"/>
    <w:rsid w:val="00CE7FEF"/>
    <w:rsid w:val="00CF13DC"/>
    <w:rsid w:val="00CF1534"/>
    <w:rsid w:val="00CF229D"/>
    <w:rsid w:val="00CF2714"/>
    <w:rsid w:val="00CF27B9"/>
    <w:rsid w:val="00CF3480"/>
    <w:rsid w:val="00CF349C"/>
    <w:rsid w:val="00CF436D"/>
    <w:rsid w:val="00D01DD3"/>
    <w:rsid w:val="00D02F8A"/>
    <w:rsid w:val="00D053A7"/>
    <w:rsid w:val="00D13BF9"/>
    <w:rsid w:val="00D17D83"/>
    <w:rsid w:val="00D2254F"/>
    <w:rsid w:val="00D23045"/>
    <w:rsid w:val="00D23E0B"/>
    <w:rsid w:val="00D25ACF"/>
    <w:rsid w:val="00D26410"/>
    <w:rsid w:val="00D26A1F"/>
    <w:rsid w:val="00D27B1F"/>
    <w:rsid w:val="00D31EC1"/>
    <w:rsid w:val="00D32228"/>
    <w:rsid w:val="00D3318A"/>
    <w:rsid w:val="00D33AEC"/>
    <w:rsid w:val="00D36BA1"/>
    <w:rsid w:val="00D43D21"/>
    <w:rsid w:val="00D46FF4"/>
    <w:rsid w:val="00D51664"/>
    <w:rsid w:val="00D54E78"/>
    <w:rsid w:val="00D56226"/>
    <w:rsid w:val="00D569F3"/>
    <w:rsid w:val="00D60E0B"/>
    <w:rsid w:val="00D62150"/>
    <w:rsid w:val="00D62D29"/>
    <w:rsid w:val="00D63F16"/>
    <w:rsid w:val="00D671EF"/>
    <w:rsid w:val="00D7140C"/>
    <w:rsid w:val="00D743A4"/>
    <w:rsid w:val="00D7582B"/>
    <w:rsid w:val="00D75C14"/>
    <w:rsid w:val="00D818BF"/>
    <w:rsid w:val="00D81BCF"/>
    <w:rsid w:val="00D830D0"/>
    <w:rsid w:val="00D83F5A"/>
    <w:rsid w:val="00D84D15"/>
    <w:rsid w:val="00D87056"/>
    <w:rsid w:val="00D874A7"/>
    <w:rsid w:val="00D875A1"/>
    <w:rsid w:val="00D91615"/>
    <w:rsid w:val="00D92904"/>
    <w:rsid w:val="00D950C5"/>
    <w:rsid w:val="00D953FC"/>
    <w:rsid w:val="00D967D1"/>
    <w:rsid w:val="00DA1557"/>
    <w:rsid w:val="00DA22E0"/>
    <w:rsid w:val="00DA3F92"/>
    <w:rsid w:val="00DA4162"/>
    <w:rsid w:val="00DA5558"/>
    <w:rsid w:val="00DA6426"/>
    <w:rsid w:val="00DA7BAC"/>
    <w:rsid w:val="00DB0BDC"/>
    <w:rsid w:val="00DB19C3"/>
    <w:rsid w:val="00DB2AE9"/>
    <w:rsid w:val="00DB32F5"/>
    <w:rsid w:val="00DB350C"/>
    <w:rsid w:val="00DB3542"/>
    <w:rsid w:val="00DB481F"/>
    <w:rsid w:val="00DB5549"/>
    <w:rsid w:val="00DB559A"/>
    <w:rsid w:val="00DB5AE3"/>
    <w:rsid w:val="00DB67E5"/>
    <w:rsid w:val="00DB7312"/>
    <w:rsid w:val="00DB74A8"/>
    <w:rsid w:val="00DC5355"/>
    <w:rsid w:val="00DC6BEB"/>
    <w:rsid w:val="00DC6E4B"/>
    <w:rsid w:val="00DC7B91"/>
    <w:rsid w:val="00DC7E54"/>
    <w:rsid w:val="00DD02DE"/>
    <w:rsid w:val="00DD14BD"/>
    <w:rsid w:val="00DD1791"/>
    <w:rsid w:val="00DD28F9"/>
    <w:rsid w:val="00DD6844"/>
    <w:rsid w:val="00DD7D35"/>
    <w:rsid w:val="00DD7F98"/>
    <w:rsid w:val="00DE085D"/>
    <w:rsid w:val="00DE1A7E"/>
    <w:rsid w:val="00DE6CEB"/>
    <w:rsid w:val="00DE7E2A"/>
    <w:rsid w:val="00DF14A1"/>
    <w:rsid w:val="00DF1569"/>
    <w:rsid w:val="00DF1A74"/>
    <w:rsid w:val="00DF1D29"/>
    <w:rsid w:val="00DF265E"/>
    <w:rsid w:val="00DF28C5"/>
    <w:rsid w:val="00DF2F60"/>
    <w:rsid w:val="00DF4E22"/>
    <w:rsid w:val="00DF4FEF"/>
    <w:rsid w:val="00DF58B5"/>
    <w:rsid w:val="00E01066"/>
    <w:rsid w:val="00E031F9"/>
    <w:rsid w:val="00E03A3C"/>
    <w:rsid w:val="00E048C3"/>
    <w:rsid w:val="00E04E6F"/>
    <w:rsid w:val="00E10375"/>
    <w:rsid w:val="00E10959"/>
    <w:rsid w:val="00E119C0"/>
    <w:rsid w:val="00E11C7E"/>
    <w:rsid w:val="00E11CF2"/>
    <w:rsid w:val="00E158A5"/>
    <w:rsid w:val="00E16239"/>
    <w:rsid w:val="00E1667A"/>
    <w:rsid w:val="00E17007"/>
    <w:rsid w:val="00E17B5B"/>
    <w:rsid w:val="00E17DCE"/>
    <w:rsid w:val="00E2161E"/>
    <w:rsid w:val="00E2555C"/>
    <w:rsid w:val="00E263C7"/>
    <w:rsid w:val="00E33D1A"/>
    <w:rsid w:val="00E34CFE"/>
    <w:rsid w:val="00E34D1B"/>
    <w:rsid w:val="00E35088"/>
    <w:rsid w:val="00E350EF"/>
    <w:rsid w:val="00E36696"/>
    <w:rsid w:val="00E4306C"/>
    <w:rsid w:val="00E461AA"/>
    <w:rsid w:val="00E4660F"/>
    <w:rsid w:val="00E47B63"/>
    <w:rsid w:val="00E47D96"/>
    <w:rsid w:val="00E51203"/>
    <w:rsid w:val="00E52473"/>
    <w:rsid w:val="00E55DF5"/>
    <w:rsid w:val="00E55EC3"/>
    <w:rsid w:val="00E56FF3"/>
    <w:rsid w:val="00E571EC"/>
    <w:rsid w:val="00E5773A"/>
    <w:rsid w:val="00E57C31"/>
    <w:rsid w:val="00E61573"/>
    <w:rsid w:val="00E64026"/>
    <w:rsid w:val="00E64FEC"/>
    <w:rsid w:val="00E70C64"/>
    <w:rsid w:val="00E74C89"/>
    <w:rsid w:val="00E756D2"/>
    <w:rsid w:val="00E76326"/>
    <w:rsid w:val="00E763C7"/>
    <w:rsid w:val="00E77A8A"/>
    <w:rsid w:val="00E82360"/>
    <w:rsid w:val="00E8248D"/>
    <w:rsid w:val="00E85014"/>
    <w:rsid w:val="00E85811"/>
    <w:rsid w:val="00E8597F"/>
    <w:rsid w:val="00E901B3"/>
    <w:rsid w:val="00E902E2"/>
    <w:rsid w:val="00E91854"/>
    <w:rsid w:val="00E94A58"/>
    <w:rsid w:val="00E9534E"/>
    <w:rsid w:val="00EA2E05"/>
    <w:rsid w:val="00EA32B1"/>
    <w:rsid w:val="00EA6299"/>
    <w:rsid w:val="00EB19B8"/>
    <w:rsid w:val="00EB273B"/>
    <w:rsid w:val="00EC0896"/>
    <w:rsid w:val="00EC2ACA"/>
    <w:rsid w:val="00EC2BAA"/>
    <w:rsid w:val="00EC6829"/>
    <w:rsid w:val="00EC6DE9"/>
    <w:rsid w:val="00EC7420"/>
    <w:rsid w:val="00EC75EF"/>
    <w:rsid w:val="00EC7D54"/>
    <w:rsid w:val="00ED1433"/>
    <w:rsid w:val="00ED1BCE"/>
    <w:rsid w:val="00ED2E06"/>
    <w:rsid w:val="00ED3753"/>
    <w:rsid w:val="00ED3759"/>
    <w:rsid w:val="00ED71CD"/>
    <w:rsid w:val="00EE0303"/>
    <w:rsid w:val="00EE0485"/>
    <w:rsid w:val="00EE0CA4"/>
    <w:rsid w:val="00EE123D"/>
    <w:rsid w:val="00EE2525"/>
    <w:rsid w:val="00EE2895"/>
    <w:rsid w:val="00EE3A23"/>
    <w:rsid w:val="00EE4624"/>
    <w:rsid w:val="00EE5F09"/>
    <w:rsid w:val="00EE6796"/>
    <w:rsid w:val="00EE7752"/>
    <w:rsid w:val="00EF0635"/>
    <w:rsid w:val="00EF0C1E"/>
    <w:rsid w:val="00EF0F2C"/>
    <w:rsid w:val="00EF2BC5"/>
    <w:rsid w:val="00EF3E0A"/>
    <w:rsid w:val="00EF4C6A"/>
    <w:rsid w:val="00EF5619"/>
    <w:rsid w:val="00EF62CC"/>
    <w:rsid w:val="00EF6606"/>
    <w:rsid w:val="00EF72AD"/>
    <w:rsid w:val="00F02003"/>
    <w:rsid w:val="00F02958"/>
    <w:rsid w:val="00F06249"/>
    <w:rsid w:val="00F062E0"/>
    <w:rsid w:val="00F10079"/>
    <w:rsid w:val="00F12AAE"/>
    <w:rsid w:val="00F12B51"/>
    <w:rsid w:val="00F12E54"/>
    <w:rsid w:val="00F143D5"/>
    <w:rsid w:val="00F1659B"/>
    <w:rsid w:val="00F22963"/>
    <w:rsid w:val="00F24E9D"/>
    <w:rsid w:val="00F25C5C"/>
    <w:rsid w:val="00F26581"/>
    <w:rsid w:val="00F27E56"/>
    <w:rsid w:val="00F30DFD"/>
    <w:rsid w:val="00F31496"/>
    <w:rsid w:val="00F31A40"/>
    <w:rsid w:val="00F32164"/>
    <w:rsid w:val="00F32EE3"/>
    <w:rsid w:val="00F34577"/>
    <w:rsid w:val="00F3471B"/>
    <w:rsid w:val="00F3496A"/>
    <w:rsid w:val="00F37307"/>
    <w:rsid w:val="00F404AB"/>
    <w:rsid w:val="00F41371"/>
    <w:rsid w:val="00F42AE0"/>
    <w:rsid w:val="00F42DFC"/>
    <w:rsid w:val="00F44C4D"/>
    <w:rsid w:val="00F45DFA"/>
    <w:rsid w:val="00F45E04"/>
    <w:rsid w:val="00F46E90"/>
    <w:rsid w:val="00F4710D"/>
    <w:rsid w:val="00F47775"/>
    <w:rsid w:val="00F52857"/>
    <w:rsid w:val="00F534CF"/>
    <w:rsid w:val="00F5547E"/>
    <w:rsid w:val="00F5670B"/>
    <w:rsid w:val="00F57BA7"/>
    <w:rsid w:val="00F57E55"/>
    <w:rsid w:val="00F608D5"/>
    <w:rsid w:val="00F60E66"/>
    <w:rsid w:val="00F628A7"/>
    <w:rsid w:val="00F632AD"/>
    <w:rsid w:val="00F6479A"/>
    <w:rsid w:val="00F66F86"/>
    <w:rsid w:val="00F67CFD"/>
    <w:rsid w:val="00F67D8B"/>
    <w:rsid w:val="00F701C3"/>
    <w:rsid w:val="00F71B78"/>
    <w:rsid w:val="00F72991"/>
    <w:rsid w:val="00F72B9D"/>
    <w:rsid w:val="00F7533B"/>
    <w:rsid w:val="00F76AF7"/>
    <w:rsid w:val="00F777E0"/>
    <w:rsid w:val="00F80C0D"/>
    <w:rsid w:val="00F811CF"/>
    <w:rsid w:val="00F81466"/>
    <w:rsid w:val="00F82B50"/>
    <w:rsid w:val="00F82C75"/>
    <w:rsid w:val="00F82C88"/>
    <w:rsid w:val="00F83608"/>
    <w:rsid w:val="00F85645"/>
    <w:rsid w:val="00F856DF"/>
    <w:rsid w:val="00F87573"/>
    <w:rsid w:val="00F92730"/>
    <w:rsid w:val="00F96140"/>
    <w:rsid w:val="00F96DA7"/>
    <w:rsid w:val="00F97CD3"/>
    <w:rsid w:val="00FA36E7"/>
    <w:rsid w:val="00FA4AFE"/>
    <w:rsid w:val="00FA4C49"/>
    <w:rsid w:val="00FA589A"/>
    <w:rsid w:val="00FA7799"/>
    <w:rsid w:val="00FB01BE"/>
    <w:rsid w:val="00FB02A7"/>
    <w:rsid w:val="00FB2787"/>
    <w:rsid w:val="00FB34C0"/>
    <w:rsid w:val="00FB48A8"/>
    <w:rsid w:val="00FB4E8B"/>
    <w:rsid w:val="00FC03A5"/>
    <w:rsid w:val="00FC681D"/>
    <w:rsid w:val="00FD05C1"/>
    <w:rsid w:val="00FD3810"/>
    <w:rsid w:val="00FD3F3D"/>
    <w:rsid w:val="00FD44FF"/>
    <w:rsid w:val="00FD4F35"/>
    <w:rsid w:val="00FD6E68"/>
    <w:rsid w:val="00FD7040"/>
    <w:rsid w:val="00FD7C38"/>
    <w:rsid w:val="00FE0471"/>
    <w:rsid w:val="00FE1B38"/>
    <w:rsid w:val="00FE20B4"/>
    <w:rsid w:val="00FE23AF"/>
    <w:rsid w:val="00FE3417"/>
    <w:rsid w:val="00FE3934"/>
    <w:rsid w:val="00FE5C8E"/>
    <w:rsid w:val="00FE6FA3"/>
    <w:rsid w:val="00FE7AB1"/>
    <w:rsid w:val="00FF3ACE"/>
    <w:rsid w:val="00FF7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96D745"/>
  <w15:chartTrackingRefBased/>
  <w15:docId w15:val="{EA08889F-D03E-BB4E-93D7-7D4539A26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E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1E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1E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1E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1E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1ED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1ED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1ED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1ED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E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1E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1E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1E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1E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1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ED7"/>
    <w:rPr>
      <w:rFonts w:eastAsiaTheme="majorEastAsia" w:cstheme="majorBidi"/>
      <w:color w:val="272727" w:themeColor="text1" w:themeTint="D8"/>
    </w:rPr>
  </w:style>
  <w:style w:type="paragraph" w:styleId="Title">
    <w:name w:val="Title"/>
    <w:basedOn w:val="Normal"/>
    <w:next w:val="Normal"/>
    <w:link w:val="TitleChar"/>
    <w:uiPriority w:val="10"/>
    <w:qFormat/>
    <w:rsid w:val="008D1ED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ED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ED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D1ED7"/>
    <w:rPr>
      <w:i/>
      <w:iCs/>
      <w:color w:val="404040" w:themeColor="text1" w:themeTint="BF"/>
    </w:rPr>
  </w:style>
  <w:style w:type="paragraph" w:styleId="ListParagraph">
    <w:name w:val="List Paragraph"/>
    <w:basedOn w:val="Normal"/>
    <w:uiPriority w:val="34"/>
    <w:qFormat/>
    <w:rsid w:val="008D1ED7"/>
    <w:pPr>
      <w:ind w:left="720"/>
      <w:contextualSpacing/>
    </w:pPr>
  </w:style>
  <w:style w:type="character" w:styleId="IntenseEmphasis">
    <w:name w:val="Intense Emphasis"/>
    <w:basedOn w:val="DefaultParagraphFont"/>
    <w:uiPriority w:val="21"/>
    <w:qFormat/>
    <w:rsid w:val="008D1ED7"/>
    <w:rPr>
      <w:i/>
      <w:iCs/>
      <w:color w:val="0F4761" w:themeColor="accent1" w:themeShade="BF"/>
    </w:rPr>
  </w:style>
  <w:style w:type="paragraph" w:styleId="IntenseQuote">
    <w:name w:val="Intense Quote"/>
    <w:basedOn w:val="Normal"/>
    <w:next w:val="Normal"/>
    <w:link w:val="IntenseQuoteChar"/>
    <w:uiPriority w:val="30"/>
    <w:qFormat/>
    <w:rsid w:val="008D1E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1ED7"/>
    <w:rPr>
      <w:i/>
      <w:iCs/>
      <w:color w:val="0F4761" w:themeColor="accent1" w:themeShade="BF"/>
    </w:rPr>
  </w:style>
  <w:style w:type="character" w:styleId="IntenseReference">
    <w:name w:val="Intense Reference"/>
    <w:basedOn w:val="DefaultParagraphFont"/>
    <w:uiPriority w:val="32"/>
    <w:qFormat/>
    <w:rsid w:val="008D1ED7"/>
    <w:rPr>
      <w:b/>
      <w:bCs/>
      <w:smallCaps/>
      <w:color w:val="0F4761" w:themeColor="accent1" w:themeShade="BF"/>
      <w:spacing w:val="5"/>
    </w:rPr>
  </w:style>
  <w:style w:type="paragraph" w:styleId="NoSpacing">
    <w:name w:val="No Spacing"/>
    <w:uiPriority w:val="1"/>
    <w:qFormat/>
    <w:rsid w:val="00BC713C"/>
  </w:style>
  <w:style w:type="character" w:styleId="Hyperlink">
    <w:name w:val="Hyperlink"/>
    <w:basedOn w:val="DefaultParagraphFont"/>
    <w:uiPriority w:val="99"/>
    <w:unhideWhenUsed/>
    <w:rsid w:val="00EC6829"/>
    <w:rPr>
      <w:color w:val="467886" w:themeColor="hyperlink"/>
      <w:u w:val="single"/>
    </w:rPr>
  </w:style>
  <w:style w:type="character" w:styleId="UnresolvedMention">
    <w:name w:val="Unresolved Mention"/>
    <w:basedOn w:val="DefaultParagraphFont"/>
    <w:uiPriority w:val="99"/>
    <w:semiHidden/>
    <w:unhideWhenUsed/>
    <w:rsid w:val="00EC6829"/>
    <w:rPr>
      <w:color w:val="605E5C"/>
      <w:shd w:val="clear" w:color="auto" w:fill="E1DFDD"/>
    </w:rPr>
  </w:style>
  <w:style w:type="character" w:styleId="FollowedHyperlink">
    <w:name w:val="FollowedHyperlink"/>
    <w:basedOn w:val="DefaultParagraphFont"/>
    <w:uiPriority w:val="99"/>
    <w:semiHidden/>
    <w:unhideWhenUsed/>
    <w:rsid w:val="00BF69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research/what-works-policing-reduce-crime/targeted-approaches" TargetMode="External"/><Relationship Id="rId18" Type="http://schemas.openxmlformats.org/officeDocument/2006/relationships/hyperlink" Target="https://publications.parliament.uk/pa/cm201314/cmselect/cmpubadm/760/760.pdf" TargetMode="External"/><Relationship Id="rId26" Type="http://schemas.openxmlformats.org/officeDocument/2006/relationships/hyperlink" Target="https://nap.nationalacademies.org/download/25075" TargetMode="External"/><Relationship Id="rId39" Type="http://schemas.openxmlformats.org/officeDocument/2006/relationships/hyperlink" Target="https://www-jstor-org.ezproxy.uwtsd.ac.uk/stable/pdf/3346107" TargetMode="External"/><Relationship Id="rId21" Type="http://schemas.openxmlformats.org/officeDocument/2006/relationships/hyperlink" Target="https://onlinelibrary-wiley-com.ezproxy.uwtsd.ac.uk/doi/epdf/10.1111/j.1573-7861.2012.01321.x" TargetMode="External"/><Relationship Id="rId34" Type="http://schemas.openxmlformats.org/officeDocument/2006/relationships/hyperlink" Target="https://mural.maynoothuniversity.ie/id/eprint/19044/1/Barbara%20Szczepan.pdf" TargetMode="External"/><Relationship Id="rId42" Type="http://schemas.openxmlformats.org/officeDocument/2006/relationships/hyperlink" Target="https://www.proquest.com/docview/213547614?accountid=130472&amp;sourcetype=Scholarly%20Journals" TargetMode="External"/><Relationship Id="rId47" Type="http://schemas.openxmlformats.org/officeDocument/2006/relationships/theme" Target="theme/theme1.xml"/><Relationship Id="rId7" Type="http://schemas.openxmlformats.org/officeDocument/2006/relationships/hyperlink" Target="https://www-jstor-org.ezproxy.uwtsd.ac.uk/stable/4370549?searchText=&amp;searchUri=&amp;ab_segments=&amp;searchKey=&amp;refreqid=fastly-default%3A0369a2ba0c974eafa11f148e92e6a0ca&amp;initiator=recommender&amp;seq=1" TargetMode="External"/><Relationship Id="rId2" Type="http://schemas.openxmlformats.org/officeDocument/2006/relationships/styles" Target="styles.xml"/><Relationship Id="rId16" Type="http://schemas.openxmlformats.org/officeDocument/2006/relationships/hyperlink" Target="https://www.sciencedirect.com/science/article/pii/S0167268117302792?via%3Dihub" TargetMode="External"/><Relationship Id="rId29" Type="http://schemas.openxmlformats.org/officeDocument/2006/relationships/hyperlink" Target="https://www.cell.com/heliyon/fulltext/S2405-8440(22)01022-2?_returnURL=https%3A%2F%2Flinkinghub.elsevier.com%2Fretrieve%2Fpii%2FS2405844022010222%3Fshowall%3Dtrue" TargetMode="External"/><Relationship Id="rId1" Type="http://schemas.openxmlformats.org/officeDocument/2006/relationships/numbering" Target="numbering.xml"/><Relationship Id="rId6" Type="http://schemas.openxmlformats.org/officeDocument/2006/relationships/hyperlink" Target="https://www-jstor-org.ezproxy.uwtsd.ac.uk/stable/3588331?seq=1" TargetMode="External"/><Relationship Id="rId11" Type="http://schemas.openxmlformats.org/officeDocument/2006/relationships/hyperlink" Target="https://www.socialcapitalresearch.com/social-sanctions/" TargetMode="External"/><Relationship Id="rId24" Type="http://schemas.openxmlformats.org/officeDocument/2006/relationships/hyperlink" Target="https://assets.publishing.service.gov.uk/media/62a71a37d3bf7f03744c7c4a/prisons-strategy-white-paper-govt-response.pdf" TargetMode="External"/><Relationship Id="rId32" Type="http://schemas.openxmlformats.org/officeDocument/2006/relationships/hyperlink" Target="https://pmc.ncbi.nlm.nih.gov/articles/PMC9026470/" TargetMode="External"/><Relationship Id="rId37" Type="http://schemas.openxmlformats.org/officeDocument/2006/relationships/hyperlink" Target="https://www.police-foundation.org.uk/wp-content/uploads/2017/10/oc_in_local_communities_final.pdf" TargetMode="External"/><Relationship Id="rId40" Type="http://schemas.openxmlformats.org/officeDocument/2006/relationships/hyperlink" Target="https://journals.sagepub.com/doi/epub/10.1177/17488958221114254" TargetMode="External"/><Relationship Id="rId45" Type="http://schemas.openxmlformats.org/officeDocument/2006/relationships/hyperlink" Target="https://www.gov.uk/government/statistics/youth-justice-statistics-2022-to-2023/youth-justice-statistics-2022-to-2023-accessible-version" TargetMode="External"/><Relationship Id="rId5" Type="http://schemas.openxmlformats.org/officeDocument/2006/relationships/hyperlink" Target="https://onlinelibrary-wiley-com.ezproxy.uwtsd.ac.uk/doi/epdf/10.1111/1745-9125.12189" TargetMode="External"/><Relationship Id="rId15" Type="http://schemas.openxmlformats.org/officeDocument/2006/relationships/hyperlink" Target="https://royalsocietypublishing.org/doi/10.1098/rspb.2022.2095" TargetMode="External"/><Relationship Id="rId23" Type="http://schemas.openxmlformats.org/officeDocument/2006/relationships/hyperlink" Target="https://journals.sagepub.com/doi/epdf/10.1177/0886260510383023" TargetMode="External"/><Relationship Id="rId28" Type="http://schemas.openxmlformats.org/officeDocument/2006/relationships/hyperlink" Target="https://www.frontiersin.org/journals/psychology/articles/10.3389/fpsyg.2018.01506/full" TargetMode="External"/><Relationship Id="rId36" Type="http://schemas.openxmlformats.org/officeDocument/2006/relationships/hyperlink" Target="https://www.police-foundation.org.uk/wp-content/uploads/2017/10/oc_in_local_communities_final.pdf" TargetMode="External"/><Relationship Id="rId10" Type="http://schemas.openxmlformats.org/officeDocument/2006/relationships/hyperlink" Target="https://journals.sagepub.com/doi/10.1177/1748895818800743" TargetMode="External"/><Relationship Id="rId19" Type="http://schemas.openxmlformats.org/officeDocument/2006/relationships/hyperlink" Target="https://committees.parliament.uk/writtenevidence/119614/default/" TargetMode="External"/><Relationship Id="rId31" Type="http://schemas.openxmlformats.org/officeDocument/2006/relationships/hyperlink" Target="https://peerj.com/articles/450.pdf" TargetMode="External"/><Relationship Id="rId44" Type="http://schemas.openxmlformats.org/officeDocument/2006/relationships/hyperlink" Target="https://www.sciencedirect.com/org/science/article/pii/S1874350121000298" TargetMode="External"/><Relationship Id="rId4" Type="http://schemas.openxmlformats.org/officeDocument/2006/relationships/webSettings" Target="webSettings.xml"/><Relationship Id="rId9" Type="http://schemas.openxmlformats.org/officeDocument/2006/relationships/hyperlink" Target="https://journals.sagepub.com/doi/10.1177/00111287231226188" TargetMode="External"/><Relationship Id="rId14" Type="http://schemas.openxmlformats.org/officeDocument/2006/relationships/hyperlink" Target="https://www.nature.com/articles/s41598-020-80897-8" TargetMode="External"/><Relationship Id="rId22" Type="http://schemas.openxmlformats.org/officeDocument/2006/relationships/hyperlink" Target="https://assets.publishing.service.gov.uk/media/5a7c2af540f0b645ba3c7202/4262.pdf" TargetMode="External"/><Relationship Id="rId27" Type="http://schemas.openxmlformats.org/officeDocument/2006/relationships/hyperlink" Target="https://journals.sagepub.com/doi/abs/10.1177/0032258X9907200402" TargetMode="External"/><Relationship Id="rId30" Type="http://schemas.openxmlformats.org/officeDocument/2006/relationships/hyperlink" Target="https://www.sciencedirect.com/science/article/pii/S1040260813000130" TargetMode="External"/><Relationship Id="rId35" Type="http://schemas.openxmlformats.org/officeDocument/2006/relationships/hyperlink" Target="https://lordslibrary.parliament.uk/crime-and-rehabilitation-an-overview/" TargetMode="External"/><Relationship Id="rId43" Type="http://schemas.openxmlformats.org/officeDocument/2006/relationships/hyperlink" Target="https://www.who.int/news-room/fact-sheets/detail/violence-against-women" TargetMode="External"/><Relationship Id="rId8" Type="http://schemas.openxmlformats.org/officeDocument/2006/relationships/hyperlink" Target="https://academic.oup.com/socpro/article-abstract/57/2/269/1655566?redirectedFrom=fulltext" TargetMode="External"/><Relationship Id="rId3" Type="http://schemas.openxmlformats.org/officeDocument/2006/relationships/settings" Target="settings.xml"/><Relationship Id="rId12" Type="http://schemas.openxmlformats.org/officeDocument/2006/relationships/hyperlink" Target="https://www.researchgate.net/figure/Proportion-of-Households-Unattended-by-Anyone-14-Years-Old-or-Over-by-Time-of-Day-during_tbl2_238322365" TargetMode="External"/><Relationship Id="rId17" Type="http://schemas.openxmlformats.org/officeDocument/2006/relationships/hyperlink" Target="https://www.ethnicity-facts-figures.service.gov.uk/crime-justice-and-the-law/policing/stop-and-search/latest/" TargetMode="External"/><Relationship Id="rId25" Type="http://schemas.openxmlformats.org/officeDocument/2006/relationships/hyperlink" Target="https://libres.uncg.edu/ir/asu/f/Murphy_Robinson_2008_The_Maximizer.pdf" TargetMode="External"/><Relationship Id="rId33" Type="http://schemas.openxmlformats.org/officeDocument/2006/relationships/hyperlink" Target="https://journals.sagepub.com/doi/full/10.1177/0093854811426710" TargetMode="External"/><Relationship Id="rId38" Type="http://schemas.openxmlformats.org/officeDocument/2006/relationships/hyperlink" Target="https://trustforlondon.org.uk/data/crime-and-income-deprivation/" TargetMode="External"/><Relationship Id="rId46" Type="http://schemas.openxmlformats.org/officeDocument/2006/relationships/fontTable" Target="fontTable.xml"/><Relationship Id="rId20" Type="http://schemas.openxmlformats.org/officeDocument/2006/relationships/hyperlink" Target="https://eprints.lse.ac.uk/68133/1/Newburn_Social%20Disadvantage%20and%20Crime.pdf" TargetMode="External"/><Relationship Id="rId41" Type="http://schemas.openxmlformats.org/officeDocument/2006/relationships/hyperlink" Target="https://chicagounbound.uchicago.edu/cgi/viewcontent.cgi?referer=&amp;httpsredir=1&amp;article=1578&amp;context=ucl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2328</TotalTime>
  <Pages>13</Pages>
  <Words>4851</Words>
  <Characters>27656</Characters>
  <Application>Microsoft Office Word</Application>
  <DocSecurity>0</DocSecurity>
  <Lines>230</Lines>
  <Paragraphs>64</Paragraphs>
  <ScaleCrop>false</ScaleCrop>
  <Company/>
  <LinksUpToDate>false</LinksUpToDate>
  <CharactersWithSpaces>32443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Bowen (2200584)</dc:creator>
  <cp:keywords/>
  <dc:description/>
  <cp:lastModifiedBy>Ellie Bowen (2200584)</cp:lastModifiedBy>
  <cp:revision>1551</cp:revision>
  <dcterms:created xsi:type="dcterms:W3CDTF">2025-02-06T09:21:00Z</dcterms:created>
  <dcterms:modified xsi:type="dcterms:W3CDTF">2025-04-14T10:04:00Z</dcterms:modified>
</cp:coreProperties>
</file>