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A6C181" w14:textId="3CEBCE9F" w:rsidR="00A047C2" w:rsidRPr="00024338" w:rsidRDefault="0052408E" w:rsidP="000D068E">
      <w:pPr>
        <w:spacing w:line="360" w:lineRule="auto"/>
        <w:rPr>
          <w:rFonts w:ascii="Calibri" w:hAnsi="Calibri"/>
          <w:b/>
          <w:bCs/>
          <w:sz w:val="32"/>
          <w:szCs w:val="32"/>
          <w:u w:val="single"/>
        </w:rPr>
      </w:pPr>
      <w:r w:rsidRPr="00024338">
        <w:rPr>
          <w:rFonts w:ascii="Calibri" w:hAnsi="Calibri"/>
          <w:b/>
          <w:bCs/>
          <w:sz w:val="32"/>
          <w:szCs w:val="32"/>
          <w:u w:val="single"/>
        </w:rPr>
        <w:t>Design</w:t>
      </w:r>
      <w:r w:rsidR="001A7AB9" w:rsidRPr="00024338">
        <w:rPr>
          <w:rFonts w:ascii="Calibri" w:hAnsi="Calibri"/>
          <w:b/>
          <w:bCs/>
          <w:sz w:val="32"/>
          <w:szCs w:val="32"/>
          <w:u w:val="single"/>
        </w:rPr>
        <w:t xml:space="preserve">, conduct and critically </w:t>
      </w:r>
      <w:r w:rsidR="00493A0E" w:rsidRPr="00024338">
        <w:rPr>
          <w:rFonts w:ascii="Calibri" w:hAnsi="Calibri"/>
          <w:b/>
          <w:bCs/>
          <w:sz w:val="32"/>
          <w:szCs w:val="32"/>
          <w:u w:val="single"/>
        </w:rPr>
        <w:t xml:space="preserve">evaluate </w:t>
      </w:r>
      <w:r w:rsidR="00385291" w:rsidRPr="00024338">
        <w:rPr>
          <w:rFonts w:ascii="Calibri" w:hAnsi="Calibri"/>
          <w:b/>
          <w:bCs/>
          <w:sz w:val="32"/>
          <w:szCs w:val="32"/>
          <w:u w:val="single"/>
        </w:rPr>
        <w:t xml:space="preserve">a close-practice-research </w:t>
      </w:r>
      <w:r w:rsidR="00F665A1" w:rsidRPr="00024338">
        <w:rPr>
          <w:rFonts w:ascii="Calibri" w:hAnsi="Calibri"/>
          <w:b/>
          <w:bCs/>
          <w:sz w:val="32"/>
          <w:szCs w:val="32"/>
          <w:u w:val="single"/>
        </w:rPr>
        <w:t xml:space="preserve">project focussing on </w:t>
      </w:r>
      <w:r w:rsidR="00835A2F" w:rsidRPr="00024338">
        <w:rPr>
          <w:rFonts w:ascii="Calibri" w:hAnsi="Calibri"/>
          <w:b/>
          <w:bCs/>
          <w:sz w:val="32"/>
          <w:szCs w:val="32"/>
          <w:u w:val="single"/>
        </w:rPr>
        <w:t>the m</w:t>
      </w:r>
      <w:r w:rsidR="007943B4" w:rsidRPr="00024338">
        <w:rPr>
          <w:rFonts w:ascii="Calibri" w:hAnsi="Calibri"/>
          <w:b/>
          <w:bCs/>
          <w:sz w:val="32"/>
          <w:szCs w:val="32"/>
          <w:u w:val="single"/>
        </w:rPr>
        <w:t>o</w:t>
      </w:r>
      <w:r w:rsidR="00835A2F" w:rsidRPr="00024338">
        <w:rPr>
          <w:rFonts w:ascii="Calibri" w:hAnsi="Calibri"/>
          <w:b/>
          <w:bCs/>
          <w:sz w:val="32"/>
          <w:szCs w:val="32"/>
          <w:u w:val="single"/>
        </w:rPr>
        <w:t xml:space="preserve">del of </w:t>
      </w:r>
      <w:r w:rsidR="00E436F0" w:rsidRPr="00024338">
        <w:rPr>
          <w:rFonts w:ascii="Calibri" w:hAnsi="Calibri"/>
          <w:b/>
          <w:bCs/>
          <w:sz w:val="32"/>
          <w:szCs w:val="32"/>
          <w:u w:val="single"/>
        </w:rPr>
        <w:t xml:space="preserve">the transformative </w:t>
      </w:r>
      <w:r w:rsidR="00623A13" w:rsidRPr="00024338">
        <w:rPr>
          <w:rFonts w:ascii="Calibri" w:hAnsi="Calibri"/>
          <w:b/>
          <w:bCs/>
          <w:sz w:val="32"/>
          <w:szCs w:val="32"/>
          <w:u w:val="single"/>
        </w:rPr>
        <w:t xml:space="preserve">teacher in developing </w:t>
      </w:r>
      <w:r w:rsidR="00D7621F" w:rsidRPr="00024338">
        <w:rPr>
          <w:rFonts w:ascii="Calibri" w:hAnsi="Calibri"/>
          <w:b/>
          <w:bCs/>
          <w:sz w:val="32"/>
          <w:szCs w:val="32"/>
          <w:u w:val="single"/>
        </w:rPr>
        <w:t xml:space="preserve">practice that has a positive impact </w:t>
      </w:r>
      <w:r w:rsidR="00DB45CB" w:rsidRPr="00024338">
        <w:rPr>
          <w:rFonts w:ascii="Calibri" w:hAnsi="Calibri"/>
          <w:b/>
          <w:bCs/>
          <w:sz w:val="32"/>
          <w:szCs w:val="32"/>
          <w:u w:val="single"/>
        </w:rPr>
        <w:t>on th</w:t>
      </w:r>
      <w:r w:rsidR="00640147" w:rsidRPr="00024338">
        <w:rPr>
          <w:rFonts w:ascii="Calibri" w:hAnsi="Calibri"/>
          <w:b/>
          <w:bCs/>
          <w:sz w:val="32"/>
          <w:szCs w:val="32"/>
          <w:u w:val="single"/>
        </w:rPr>
        <w:t>e</w:t>
      </w:r>
    </w:p>
    <w:p w14:paraId="1B45DA0F" w14:textId="467D0E9F" w:rsidR="0016340D" w:rsidRDefault="00DB45CB" w:rsidP="000D068E">
      <w:pPr>
        <w:spacing w:line="360" w:lineRule="auto"/>
        <w:rPr>
          <w:rFonts w:ascii="Calibri" w:hAnsi="Calibri"/>
          <w:b/>
          <w:bCs/>
          <w:sz w:val="32"/>
          <w:szCs w:val="32"/>
          <w:u w:val="single"/>
        </w:rPr>
      </w:pPr>
      <w:r w:rsidRPr="00024338">
        <w:rPr>
          <w:rFonts w:ascii="Calibri" w:hAnsi="Calibri"/>
          <w:b/>
          <w:bCs/>
          <w:sz w:val="32"/>
          <w:szCs w:val="32"/>
          <w:u w:val="single"/>
        </w:rPr>
        <w:t xml:space="preserve">learner. </w:t>
      </w:r>
    </w:p>
    <w:p w14:paraId="7C4D1BA0" w14:textId="5A595A1D" w:rsidR="001011AE" w:rsidRPr="00867AC2" w:rsidRDefault="001011AE" w:rsidP="000D068E">
      <w:pPr>
        <w:spacing w:line="360" w:lineRule="auto"/>
        <w:rPr>
          <w:rFonts w:ascii="Calibri" w:hAnsi="Calibri"/>
          <w:sz w:val="20"/>
          <w:szCs w:val="20"/>
          <w:u w:val="single"/>
        </w:rPr>
      </w:pPr>
      <w:r w:rsidRPr="00867AC2">
        <w:rPr>
          <w:rFonts w:ascii="Calibri" w:hAnsi="Calibri"/>
          <w:b/>
          <w:bCs/>
          <w:sz w:val="20"/>
          <w:szCs w:val="20"/>
          <w:u w:val="single"/>
        </w:rPr>
        <w:t>Word count 431</w:t>
      </w:r>
      <w:r w:rsidR="00DF7D26">
        <w:rPr>
          <w:rFonts w:ascii="Calibri" w:hAnsi="Calibri"/>
          <w:b/>
          <w:bCs/>
          <w:sz w:val="20"/>
          <w:szCs w:val="20"/>
          <w:u w:val="single"/>
        </w:rPr>
        <w:t>5</w:t>
      </w:r>
    </w:p>
    <w:p w14:paraId="58E3656C" w14:textId="788302AD" w:rsidR="00646952" w:rsidRPr="002050F1" w:rsidRDefault="00646952" w:rsidP="000D068E">
      <w:pPr>
        <w:spacing w:line="360" w:lineRule="auto"/>
        <w:rPr>
          <w:rFonts w:ascii="Calibri" w:hAnsi="Calibri"/>
          <w:sz w:val="32"/>
          <w:szCs w:val="32"/>
          <w:u w:val="single"/>
        </w:rPr>
      </w:pPr>
    </w:p>
    <w:p w14:paraId="26B6BF18" w14:textId="71949007" w:rsidR="00646952" w:rsidRPr="002050F1" w:rsidRDefault="00646952" w:rsidP="000D068E">
      <w:pPr>
        <w:spacing w:line="360" w:lineRule="auto"/>
        <w:rPr>
          <w:rFonts w:ascii="Calibri" w:hAnsi="Calibri"/>
          <w:u w:val="single"/>
        </w:rPr>
      </w:pPr>
      <w:r w:rsidRPr="002050F1">
        <w:rPr>
          <w:rFonts w:ascii="Calibri" w:hAnsi="Calibri"/>
          <w:u w:val="single"/>
        </w:rPr>
        <w:t xml:space="preserve">Introduction </w:t>
      </w:r>
      <w:r w:rsidR="00A949DE" w:rsidRPr="002050F1">
        <w:rPr>
          <w:rFonts w:ascii="Calibri" w:hAnsi="Calibri"/>
          <w:u w:val="single"/>
        </w:rPr>
        <w:t xml:space="preserve">aim, focus and purpose of the research </w:t>
      </w:r>
    </w:p>
    <w:p w14:paraId="03885A9C" w14:textId="406E9ED8" w:rsidR="00F93EE2" w:rsidRPr="002050F1" w:rsidRDefault="00473B57" w:rsidP="000D068E">
      <w:pPr>
        <w:spacing w:line="360" w:lineRule="auto"/>
        <w:rPr>
          <w:rFonts w:ascii="Calibri" w:eastAsia="Times New Roman" w:hAnsi="Calibri"/>
          <w:color w:val="000000"/>
        </w:rPr>
      </w:pPr>
      <w:r w:rsidRPr="002050F1">
        <w:rPr>
          <w:rFonts w:ascii="Calibri" w:eastAsia="Times New Roman" w:hAnsi="Calibri"/>
          <w:color w:val="000000"/>
        </w:rPr>
        <w:t>ClassDojo's use in Year 1 and Year 2 classrooms</w:t>
      </w:r>
      <w:r w:rsidR="00B20C26" w:rsidRPr="002050F1">
        <w:rPr>
          <w:rFonts w:ascii="Calibri" w:eastAsia="Times New Roman" w:hAnsi="Calibri"/>
          <w:color w:val="000000"/>
        </w:rPr>
        <w:t xml:space="preserve"> </w:t>
      </w:r>
      <w:r w:rsidRPr="002050F1">
        <w:rPr>
          <w:rFonts w:ascii="Calibri" w:eastAsia="Times New Roman" w:hAnsi="Calibri"/>
          <w:color w:val="000000"/>
        </w:rPr>
        <w:t>has drawn the attention of academic research due to its possible effects on student outcomes and pedagogy. This introduction seeks to outline the motivation for investigating the use of ClassDojo in these particular circumstances and to clarify its benefits and drawbacks as demonstrated by relevant scholarly research.</w:t>
      </w:r>
      <w:r w:rsidR="00C476D6" w:rsidRPr="002050F1">
        <w:rPr>
          <w:rFonts w:ascii="Calibri" w:eastAsia="Times New Roman" w:hAnsi="Calibri"/>
          <w:color w:val="000000"/>
        </w:rPr>
        <w:t xml:space="preserve"> </w:t>
      </w:r>
      <w:r w:rsidR="00AC3100" w:rsidRPr="002050F1">
        <w:rPr>
          <w:rFonts w:ascii="Calibri" w:eastAsia="Times New Roman" w:hAnsi="Calibri"/>
          <w:color w:val="000000"/>
        </w:rPr>
        <w:t>The debate in education today emphasises how digital tools are being used more and more to improve teaching methods and student engagement. ClassDojo is the perfect example of this technological integration in educational settings because of its many features that include behaviour control, improving communication, and creating a sense of community inside the classroom. But careful consideration is required due to the com</w:t>
      </w:r>
      <w:r w:rsidR="00AC3100" w:rsidRPr="003D2B99">
        <w:rPr>
          <w:rFonts w:ascii="Calibri" w:eastAsia="Times New Roman" w:hAnsi="Calibri"/>
          <w:color w:val="000000"/>
        </w:rPr>
        <w:t>plex consequences of its integration, especially in the early childhood education setting.</w:t>
      </w:r>
      <w:r w:rsidR="00190B6E" w:rsidRPr="003D2B99">
        <w:rPr>
          <w:rFonts w:ascii="Calibri" w:eastAsia="Times New Roman" w:hAnsi="Calibri"/>
          <w:color w:val="000000"/>
        </w:rPr>
        <w:t xml:space="preserve"> A</w:t>
      </w:r>
      <w:r w:rsidR="00F93EE2" w:rsidRPr="003D2B99">
        <w:rPr>
          <w:rFonts w:ascii="Calibri" w:eastAsia="Times New Roman" w:hAnsi="Calibri"/>
          <w:color w:val="000000"/>
        </w:rPr>
        <w:t>cademic investigations, as demonstrated by influential pieces like Roberts and Vaughn's (2019) longit</w:t>
      </w:r>
      <w:r w:rsidR="00F93EE2" w:rsidRPr="002050F1">
        <w:rPr>
          <w:rFonts w:ascii="Calibri" w:eastAsia="Times New Roman" w:hAnsi="Calibri"/>
          <w:color w:val="000000"/>
        </w:rPr>
        <w:t xml:space="preserve">udinal analysis on technology-mediated interventions in schools, have offered sophisticated perspectives on the diverse effects of websites like ClassDojo. Furthermore, </w:t>
      </w:r>
      <w:r w:rsidR="00F93EE2" w:rsidRPr="008C64C2">
        <w:rPr>
          <w:rFonts w:ascii="Calibri" w:eastAsia="Times New Roman" w:hAnsi="Calibri"/>
          <w:color w:val="000000"/>
        </w:rPr>
        <w:t>the Smith et al. (2021) meta-analysis provi</w:t>
      </w:r>
      <w:r w:rsidR="00F93EE2" w:rsidRPr="002050F1">
        <w:rPr>
          <w:rFonts w:ascii="Calibri" w:eastAsia="Times New Roman" w:hAnsi="Calibri"/>
          <w:color w:val="000000"/>
        </w:rPr>
        <w:t>des a thorough summary of the benefits and drawbacks of behaviour control methods in educational settings, influencing the conversation about their application in early childhood education.</w:t>
      </w:r>
      <w:r w:rsidR="00E45915" w:rsidRPr="002050F1">
        <w:rPr>
          <w:rFonts w:ascii="Calibri" w:eastAsia="Times New Roman" w:hAnsi="Calibri"/>
          <w:color w:val="000000"/>
        </w:rPr>
        <w:t xml:space="preserve"> </w:t>
      </w:r>
      <w:r w:rsidR="006530C5" w:rsidRPr="002050F1">
        <w:rPr>
          <w:rFonts w:ascii="Calibri" w:eastAsia="Times New Roman" w:hAnsi="Calibri"/>
          <w:color w:val="000000"/>
        </w:rPr>
        <w:t>A thorough analysis of the advantages and disadvantages of ClassDojo in Year 1 and Year 2 schools is necessary for all parties involved in education, such as researchers, educators, and legislators. This research endeavour aims to contribute to evidence-based decision-making practices in educational technology integration, promoting pedagogical innovation and improved learning outcomes in early childhood education</w:t>
      </w:r>
      <w:r w:rsidR="00C44C58" w:rsidRPr="002050F1">
        <w:rPr>
          <w:rFonts w:ascii="Calibri" w:eastAsia="Times New Roman" w:hAnsi="Calibri"/>
          <w:color w:val="000000"/>
        </w:rPr>
        <w:t>.</w:t>
      </w:r>
    </w:p>
    <w:p w14:paraId="398CC446" w14:textId="1DD611B5" w:rsidR="00D81A09" w:rsidRPr="002050F1" w:rsidRDefault="00646952" w:rsidP="000D068E">
      <w:pPr>
        <w:spacing w:line="360" w:lineRule="auto"/>
        <w:ind w:firstLine="720"/>
        <w:rPr>
          <w:rFonts w:ascii="Calibri" w:hAnsi="Calibri"/>
        </w:rPr>
      </w:pPr>
      <w:r w:rsidRPr="002050F1">
        <w:rPr>
          <w:rFonts w:ascii="Calibri" w:hAnsi="Calibri"/>
        </w:rPr>
        <w:lastRenderedPageBreak/>
        <w:t>Seeking transformative teaching app</w:t>
      </w:r>
      <w:r w:rsidRPr="00120B6C">
        <w:rPr>
          <w:rFonts w:ascii="Calibri" w:hAnsi="Calibri"/>
        </w:rPr>
        <w:t>roaches is still essential in the field of education to promote successful learning outcomes (Smyth, 2015). This study aims to investigate the effectiveness of these approaches, concentrating on the transformational teach</w:t>
      </w:r>
      <w:r w:rsidRPr="002050F1">
        <w:rPr>
          <w:rFonts w:ascii="Calibri" w:hAnsi="Calibri"/>
        </w:rPr>
        <w:t>er model and how it affects the growth of learners. The goal of the study is to plan, carry out, and critically assess the use of dojo points in Year 1 and 2 classrooms using close-practice research methodology.</w:t>
      </w:r>
      <w:r w:rsidR="00D81A09" w:rsidRPr="002050F1">
        <w:rPr>
          <w:rFonts w:ascii="Calibri" w:hAnsi="Calibri"/>
        </w:rPr>
        <w:t xml:space="preserve"> </w:t>
      </w:r>
    </w:p>
    <w:p w14:paraId="442C5D72" w14:textId="232A4477" w:rsidR="00DC525F" w:rsidRPr="002050F1" w:rsidRDefault="004757E1" w:rsidP="000D068E">
      <w:pPr>
        <w:spacing w:line="360" w:lineRule="auto"/>
        <w:rPr>
          <w:rFonts w:ascii="Calibri" w:hAnsi="Calibri"/>
        </w:rPr>
      </w:pPr>
      <w:r w:rsidRPr="002050F1">
        <w:rPr>
          <w:rFonts w:ascii="Calibri" w:hAnsi="Calibri"/>
        </w:rPr>
        <w:t>Examining the benefits and cons of using dojo points as a behavioural control tool and reinforceme</w:t>
      </w:r>
      <w:r w:rsidRPr="00DB3669">
        <w:rPr>
          <w:rFonts w:ascii="Calibri" w:hAnsi="Calibri"/>
        </w:rPr>
        <w:t xml:space="preserve">nt method in early childhood education is the main goal of this study (Fredricks &amp; </w:t>
      </w:r>
      <w:proofErr w:type="spellStart"/>
      <w:r w:rsidRPr="00DB3669">
        <w:rPr>
          <w:rFonts w:ascii="Calibri" w:hAnsi="Calibri"/>
        </w:rPr>
        <w:t>Simpkins</w:t>
      </w:r>
      <w:proofErr w:type="spellEnd"/>
      <w:r w:rsidRPr="00DB3669">
        <w:rPr>
          <w:rFonts w:ascii="Calibri" w:hAnsi="Calibri"/>
        </w:rPr>
        <w:t xml:space="preserve">, 2012). It </w:t>
      </w:r>
      <w:r w:rsidRPr="00104D64">
        <w:rPr>
          <w:rFonts w:ascii="Calibri" w:hAnsi="Calibri"/>
        </w:rPr>
        <w:t>critically evaluates the practice's effects on learner engagement, motivation, and general classroom dynamics while attempting to disentangle the practice's transformative potential (Reeve, 2016). The purpose of this investigation is to improve teaching practices in accordance with the values stated in the Professional Learning Passport (PLP) (Hattie, 2009).</w:t>
      </w:r>
    </w:p>
    <w:p w14:paraId="3EFB272A" w14:textId="77777777" w:rsidR="00D81A09" w:rsidRPr="002050F1" w:rsidRDefault="00D81A09" w:rsidP="000D068E">
      <w:pPr>
        <w:spacing w:line="360" w:lineRule="auto"/>
        <w:rPr>
          <w:rFonts w:ascii="Calibri" w:hAnsi="Calibri"/>
        </w:rPr>
      </w:pPr>
    </w:p>
    <w:p w14:paraId="4106BAAD" w14:textId="5490ACBE" w:rsidR="00D81A09" w:rsidRPr="002050F1" w:rsidRDefault="00D30088" w:rsidP="000D068E">
      <w:pPr>
        <w:spacing w:line="360" w:lineRule="auto"/>
        <w:rPr>
          <w:rFonts w:ascii="Calibri" w:hAnsi="Calibri"/>
        </w:rPr>
      </w:pPr>
      <w:r w:rsidRPr="002050F1">
        <w:rPr>
          <w:rFonts w:ascii="Calibri" w:hAnsi="Calibri"/>
        </w:rPr>
        <w:t xml:space="preserve">Research question </w:t>
      </w:r>
    </w:p>
    <w:p w14:paraId="1904DBFC" w14:textId="1217A099" w:rsidR="00564C46" w:rsidRPr="002050F1" w:rsidRDefault="00D30088" w:rsidP="000D068E">
      <w:pPr>
        <w:spacing w:line="360" w:lineRule="auto"/>
        <w:rPr>
          <w:rFonts w:ascii="Calibri" w:hAnsi="Calibri"/>
        </w:rPr>
      </w:pPr>
      <w:r w:rsidRPr="002050F1">
        <w:rPr>
          <w:rFonts w:ascii="Calibri" w:hAnsi="Calibri"/>
        </w:rPr>
        <w:t xml:space="preserve">The fundamental inquiry of this study is: What are the </w:t>
      </w:r>
      <w:r w:rsidR="00B81730" w:rsidRPr="002050F1">
        <w:rPr>
          <w:rFonts w:ascii="Calibri" w:hAnsi="Calibri"/>
        </w:rPr>
        <w:t>pros</w:t>
      </w:r>
      <w:r w:rsidRPr="002050F1">
        <w:rPr>
          <w:rFonts w:ascii="Calibri" w:hAnsi="Calibri"/>
        </w:rPr>
        <w:t xml:space="preserve"> and </w:t>
      </w:r>
      <w:r w:rsidR="00B81730" w:rsidRPr="002050F1">
        <w:rPr>
          <w:rFonts w:ascii="Calibri" w:hAnsi="Calibri"/>
        </w:rPr>
        <w:t xml:space="preserve">cons </w:t>
      </w:r>
      <w:r w:rsidR="00AD4692" w:rsidRPr="002050F1">
        <w:rPr>
          <w:rFonts w:ascii="Calibri" w:hAnsi="Calibri"/>
        </w:rPr>
        <w:t>(positive and negatives)</w:t>
      </w:r>
      <w:r w:rsidRPr="002050F1">
        <w:rPr>
          <w:rFonts w:ascii="Calibri" w:hAnsi="Calibri"/>
        </w:rPr>
        <w:t xml:space="preserve"> of using dojo points in </w:t>
      </w:r>
      <w:r w:rsidR="00AD4692" w:rsidRPr="002050F1">
        <w:rPr>
          <w:rFonts w:ascii="Calibri" w:hAnsi="Calibri"/>
        </w:rPr>
        <w:t>a year 1 and 2 classroom</w:t>
      </w:r>
      <w:r w:rsidRPr="002050F1">
        <w:rPr>
          <w:rFonts w:ascii="Calibri" w:hAnsi="Calibri"/>
        </w:rPr>
        <w:t xml:space="preserve">? Through the analysis of this question, the research hopes to contribute to the conversation on successful teaching strategies and how they affect student development by providing insightful analysis based on scholarly literature </w:t>
      </w:r>
      <w:r w:rsidRPr="00D865F8">
        <w:rPr>
          <w:rFonts w:ascii="Calibri" w:hAnsi="Calibri"/>
        </w:rPr>
        <w:t>(Jones &amp; Jones, 2018).</w:t>
      </w:r>
    </w:p>
    <w:p w14:paraId="4C2EBF67" w14:textId="21F2385C" w:rsidR="00F77293" w:rsidRPr="002050F1" w:rsidRDefault="007E6ED1" w:rsidP="000D068E">
      <w:pPr>
        <w:spacing w:line="360" w:lineRule="auto"/>
        <w:rPr>
          <w:rFonts w:ascii="Calibri" w:hAnsi="Calibri"/>
        </w:rPr>
      </w:pPr>
      <w:r w:rsidRPr="002050F1">
        <w:rPr>
          <w:rFonts w:ascii="Calibri" w:hAnsi="Calibri"/>
        </w:rPr>
        <w:t xml:space="preserve">This research acknowledges the contextual subtleties present in modern educational settings and emphasises the role that school and classroom contexts have in determining how effective teaching approaches </w:t>
      </w:r>
      <w:r w:rsidRPr="00AE6E5C">
        <w:rPr>
          <w:rFonts w:ascii="Calibri" w:hAnsi="Calibri"/>
        </w:rPr>
        <w:t>are (Graham &amp; Weiner, 2016). The study</w:t>
      </w:r>
      <w:r w:rsidRPr="002050F1">
        <w:rPr>
          <w:rFonts w:ascii="Calibri" w:hAnsi="Calibri"/>
        </w:rPr>
        <w:t xml:space="preserve"> aims to give a thorough grasp of the wider implications of dojo point systems in early years education by drawing on relevant scholarly literature. This investigation seeks to provide significant knowledge to the subject by carefully examining and synthesising the body of research, thereby influencing pedagogical approaches and practices.</w:t>
      </w:r>
      <w:r w:rsidR="00CB6B69" w:rsidRPr="002050F1">
        <w:rPr>
          <w:rFonts w:ascii="Calibri" w:hAnsi="Calibri"/>
        </w:rPr>
        <w:t xml:space="preserve"> </w:t>
      </w:r>
    </w:p>
    <w:p w14:paraId="31FFB774" w14:textId="77777777" w:rsidR="00DD65FF" w:rsidRPr="002050F1" w:rsidRDefault="00DD65FF" w:rsidP="000D068E">
      <w:pPr>
        <w:spacing w:line="360" w:lineRule="auto"/>
        <w:rPr>
          <w:rFonts w:ascii="Calibri" w:hAnsi="Calibri"/>
        </w:rPr>
      </w:pPr>
    </w:p>
    <w:p w14:paraId="05FCD66E" w14:textId="5BE6CAF1" w:rsidR="00DD65FF" w:rsidRPr="002050F1" w:rsidRDefault="00DD65FF" w:rsidP="000D068E">
      <w:pPr>
        <w:spacing w:line="360" w:lineRule="auto"/>
        <w:rPr>
          <w:rFonts w:ascii="Calibri" w:hAnsi="Calibri"/>
          <w:u w:val="single"/>
        </w:rPr>
      </w:pPr>
      <w:r w:rsidRPr="002050F1">
        <w:rPr>
          <w:rFonts w:ascii="Calibri" w:hAnsi="Calibri"/>
          <w:u w:val="single"/>
        </w:rPr>
        <w:t xml:space="preserve">Overview of relevant literature </w:t>
      </w:r>
    </w:p>
    <w:p w14:paraId="0A0AFEDA" w14:textId="75214D3D" w:rsidR="009C43E3" w:rsidRPr="002050F1" w:rsidRDefault="00DD65FF" w:rsidP="000D068E">
      <w:pPr>
        <w:spacing w:line="360" w:lineRule="auto"/>
        <w:rPr>
          <w:rFonts w:ascii="Calibri" w:hAnsi="Calibri"/>
        </w:rPr>
      </w:pPr>
      <w:r w:rsidRPr="002050F1">
        <w:rPr>
          <w:rFonts w:ascii="Calibri" w:hAnsi="Calibri"/>
        </w:rPr>
        <w:lastRenderedPageBreak/>
        <w:t>Several scholarly investigations have examined the implementation of classroom management systems, including Dojo points, emphasising its capacity to enhance student conduct and dr</w:t>
      </w:r>
      <w:r w:rsidRPr="0053307E">
        <w:rPr>
          <w:rFonts w:ascii="Calibri" w:hAnsi="Calibri"/>
        </w:rPr>
        <w:t xml:space="preserve">ive (Fredricks &amp; </w:t>
      </w:r>
      <w:proofErr w:type="spellStart"/>
      <w:r w:rsidRPr="0053307E">
        <w:rPr>
          <w:rFonts w:ascii="Calibri" w:hAnsi="Calibri"/>
        </w:rPr>
        <w:t>Simpkins</w:t>
      </w:r>
      <w:proofErr w:type="spellEnd"/>
      <w:r w:rsidRPr="0053307E">
        <w:rPr>
          <w:rFonts w:ascii="Calibri" w:hAnsi="Calibri"/>
        </w:rPr>
        <w:t>, 2012; Jones &amp; Jones, 2018)</w:t>
      </w:r>
      <w:r w:rsidRPr="002050F1">
        <w:rPr>
          <w:rFonts w:ascii="Calibri" w:hAnsi="Calibri"/>
        </w:rPr>
        <w:t>. These programmes frequently use a reward-based paradigm in which p</w:t>
      </w:r>
      <w:r w:rsidRPr="0053307E">
        <w:rPr>
          <w:rFonts w:ascii="Calibri" w:hAnsi="Calibri"/>
        </w:rPr>
        <w:t>upils receive points for good deeds and risk punishment for bad deeds (Reeve, 2016). Advocates of D</w:t>
      </w:r>
      <w:r w:rsidRPr="002050F1">
        <w:rPr>
          <w:rFonts w:ascii="Calibri" w:hAnsi="Calibri"/>
        </w:rPr>
        <w:t>ojo po</w:t>
      </w:r>
      <w:r w:rsidRPr="0033705F">
        <w:rPr>
          <w:rFonts w:ascii="Calibri" w:hAnsi="Calibri"/>
        </w:rPr>
        <w:t>ints contend that they foster a positive classroom environment and increase student involvement (Snyder, 2017).</w:t>
      </w:r>
      <w:r w:rsidRPr="002050F1">
        <w:rPr>
          <w:rFonts w:ascii="Calibri" w:hAnsi="Calibri"/>
        </w:rPr>
        <w:t xml:space="preserve"> However, detractors question the program's ability to address underlying behavioural issues and point out possible side effects, like undermining intrinsic motivatio</w:t>
      </w:r>
      <w:r w:rsidRPr="00EA75F5">
        <w:rPr>
          <w:rFonts w:ascii="Calibri" w:hAnsi="Calibri"/>
        </w:rPr>
        <w:t>n (Deci et al., 1999).</w:t>
      </w:r>
      <w:r w:rsidR="00565895" w:rsidRPr="00EA75F5">
        <w:rPr>
          <w:rFonts w:ascii="Calibri" w:hAnsi="Calibri"/>
        </w:rPr>
        <w:t xml:space="preserve"> </w:t>
      </w:r>
      <w:r w:rsidR="001B2919" w:rsidRPr="00EA75F5">
        <w:rPr>
          <w:rFonts w:ascii="Calibri" w:hAnsi="Calibri"/>
        </w:rPr>
        <w:t>According to studies looking at the benefits of Dojo points in Year 1 and 2 classrooms, they can help students become more accountable and self-reliant by giving them rapid feedback and explicit behavioural expectations (Snyder, 2017; Jones &amp; Jones, 2018). Furthe</w:t>
      </w:r>
      <w:r w:rsidR="001B2919" w:rsidRPr="002050F1">
        <w:rPr>
          <w:rFonts w:ascii="Calibri" w:hAnsi="Calibri"/>
        </w:rPr>
        <w:t>rmore, supporte</w:t>
      </w:r>
      <w:r w:rsidR="001B2919" w:rsidRPr="00DB06A8">
        <w:rPr>
          <w:rFonts w:ascii="Calibri" w:hAnsi="Calibri"/>
        </w:rPr>
        <w:t>rs contend that Dojo points promote a feeling of community and constructive peer interactions (Reeve, 2016). But studies also point to possible negative effects, such as the possibility of placing too much focus on extrinsic rewards, which could reduce intrinsic motivation and neglect to address the underlying causes of behaviour</w:t>
      </w:r>
      <w:r w:rsidR="00641B72" w:rsidRPr="00DB06A8">
        <w:rPr>
          <w:rFonts w:ascii="Calibri" w:hAnsi="Calibri"/>
        </w:rPr>
        <w:t xml:space="preserve"> (</w:t>
      </w:r>
      <w:r w:rsidR="001B2919" w:rsidRPr="00DB06A8">
        <w:rPr>
          <w:rFonts w:ascii="Calibri" w:hAnsi="Calibri"/>
        </w:rPr>
        <w:t xml:space="preserve">Fredricks &amp; </w:t>
      </w:r>
      <w:proofErr w:type="spellStart"/>
      <w:r w:rsidR="001B2919" w:rsidRPr="00DB06A8">
        <w:rPr>
          <w:rFonts w:ascii="Calibri" w:hAnsi="Calibri"/>
        </w:rPr>
        <w:t>Simpkins</w:t>
      </w:r>
      <w:proofErr w:type="spellEnd"/>
      <w:r w:rsidR="001B2919" w:rsidRPr="00DB06A8">
        <w:rPr>
          <w:rFonts w:ascii="Calibri" w:hAnsi="Calibri"/>
        </w:rPr>
        <w:t>, 2012).</w:t>
      </w:r>
      <w:r w:rsidR="00580464" w:rsidRPr="00DB06A8">
        <w:rPr>
          <w:rFonts w:ascii="Calibri" w:hAnsi="Calibri"/>
        </w:rPr>
        <w:t xml:space="preserve"> </w:t>
      </w:r>
      <w:r w:rsidR="00041028" w:rsidRPr="00DB06A8">
        <w:rPr>
          <w:rFonts w:ascii="Calibri" w:hAnsi="Calibri"/>
        </w:rPr>
        <w:t>All thing</w:t>
      </w:r>
      <w:r w:rsidR="00041028" w:rsidRPr="002050F1">
        <w:rPr>
          <w:rFonts w:ascii="Calibri" w:hAnsi="Calibri"/>
        </w:rPr>
        <w:t>s considered, the research offers a balanced perspective on Dojo points in Year 1 and 2 classes, emphasising both their advantages and disadvantages. Supporters stress their ability to encourage good behaviour and student involvement, but detractors warn against relying too much on outside incentives since this could unintentionally reduce intrinsic moti</w:t>
      </w:r>
      <w:r w:rsidR="00041028" w:rsidRPr="00DB06A8">
        <w:rPr>
          <w:rFonts w:ascii="Calibri" w:hAnsi="Calibri"/>
        </w:rPr>
        <w:t>vation.</w:t>
      </w:r>
      <w:r w:rsidR="00580464" w:rsidRPr="00DB06A8">
        <w:rPr>
          <w:rFonts w:ascii="Calibri" w:hAnsi="Calibri"/>
        </w:rPr>
        <w:t xml:space="preserve"> </w:t>
      </w:r>
      <w:r w:rsidR="00BA7E59" w:rsidRPr="00DB06A8">
        <w:rPr>
          <w:rFonts w:ascii="Calibri" w:hAnsi="Calibri"/>
        </w:rPr>
        <w:t>A review of the literature indicates that the effectiveness of Dojo points depends on several factors, including the consistency with which they are implemented, the degree to which they integrate with more general classroom management strategies, and the degree to which they consider the unique needs of each individual student (Snyder, 2017; Deci et al., 1999). Additionally, studies highlight the significance of finding a balance between opportunities for autonomy, intrinsic drive, and extrinsic rewards to support sustained behavioural change (Reeve, 2016).</w:t>
      </w:r>
      <w:r w:rsidR="0054371B" w:rsidRPr="00DB06A8">
        <w:rPr>
          <w:rFonts w:ascii="Calibri" w:hAnsi="Calibri"/>
        </w:rPr>
        <w:t xml:space="preserve"> </w:t>
      </w:r>
      <w:r w:rsidR="00A5345F" w:rsidRPr="00DB06A8">
        <w:rPr>
          <w:rFonts w:ascii="Calibri" w:hAnsi="Calibri"/>
        </w:rPr>
        <w:t xml:space="preserve">Although Dojo points provide an organised method of managing the classroom, their dependence on outside incentives raises concerns regarding their long-term viability and effect on student engagement (Fredricks &amp; </w:t>
      </w:r>
      <w:proofErr w:type="spellStart"/>
      <w:r w:rsidR="00A5345F" w:rsidRPr="00DB06A8">
        <w:rPr>
          <w:rFonts w:ascii="Calibri" w:hAnsi="Calibri"/>
        </w:rPr>
        <w:t>Simpkins</w:t>
      </w:r>
      <w:proofErr w:type="spellEnd"/>
      <w:r w:rsidR="00A5345F" w:rsidRPr="00DB06A8">
        <w:rPr>
          <w:rFonts w:ascii="Calibri" w:hAnsi="Calibri"/>
        </w:rPr>
        <w:t>, 2012). Furthermore, the literature emphasises the necessity of more investigation into the complex impacts of Dojo points on various student populations and in various classroom settings (Jones &amp; Jones, 2018).</w:t>
      </w:r>
      <w:r w:rsidR="00B8465D" w:rsidRPr="00DB06A8">
        <w:rPr>
          <w:rFonts w:ascii="Calibri" w:hAnsi="Calibri"/>
        </w:rPr>
        <w:t xml:space="preserve"> Th</w:t>
      </w:r>
      <w:r w:rsidR="00694748" w:rsidRPr="00DB06A8">
        <w:rPr>
          <w:rFonts w:ascii="Calibri" w:hAnsi="Calibri"/>
        </w:rPr>
        <w:t>e literature</w:t>
      </w:r>
      <w:r w:rsidR="00694748" w:rsidRPr="002050F1">
        <w:rPr>
          <w:rFonts w:ascii="Calibri" w:hAnsi="Calibri"/>
        </w:rPr>
        <w:t xml:space="preserve"> analysis highlights the necessity of properly weighing the benefits and drawbacks of Dojo points in Year 1 and 2 classrooms, which helps </w:t>
      </w:r>
      <w:r w:rsidR="00694748" w:rsidRPr="002050F1">
        <w:rPr>
          <w:rFonts w:ascii="Calibri" w:hAnsi="Calibri"/>
        </w:rPr>
        <w:lastRenderedPageBreak/>
        <w:t>to explain the research question. This study attempts to add to the continuing conversation about g</w:t>
      </w:r>
      <w:r w:rsidR="00694748" w:rsidRPr="00CB028A">
        <w:rPr>
          <w:rFonts w:ascii="Calibri" w:hAnsi="Calibri"/>
        </w:rPr>
        <w:t>ood classroom management strategies and how they affect student motivation and engagement by synthesising the literature</w:t>
      </w:r>
      <w:r w:rsidR="00BC12A9" w:rsidRPr="00CB028A">
        <w:rPr>
          <w:rFonts w:ascii="Calibri" w:hAnsi="Calibri"/>
        </w:rPr>
        <w:t>.</w:t>
      </w:r>
      <w:r w:rsidR="00A02DE4" w:rsidRPr="00CB028A">
        <w:rPr>
          <w:rFonts w:ascii="Calibri" w:hAnsi="Calibri"/>
        </w:rPr>
        <w:t xml:space="preserve"> I</w:t>
      </w:r>
      <w:r w:rsidR="005F716D" w:rsidRPr="00CB028A">
        <w:rPr>
          <w:rFonts w:ascii="Calibri" w:hAnsi="Calibri"/>
        </w:rPr>
        <w:t>n case study research, a single or small number of instances are typically the focus of an in-depth analysis of a specific phenomenon within its real-life setting (Yin, 2018). It aims to offer deep, comprehensive understandings of intricate problems, enabling scholars to investigate the nuances of interactions, procedures, and actions in particular settings.</w:t>
      </w:r>
      <w:r w:rsidR="00341E67" w:rsidRPr="00CB028A">
        <w:rPr>
          <w:rFonts w:ascii="Calibri" w:hAnsi="Calibri"/>
        </w:rPr>
        <w:t xml:space="preserve"> </w:t>
      </w:r>
      <w:r w:rsidR="00FC7D4B" w:rsidRPr="00CB028A">
        <w:rPr>
          <w:rFonts w:ascii="Calibri" w:hAnsi="Calibri"/>
        </w:rPr>
        <w:t>According to Yin (2018), case stu</w:t>
      </w:r>
      <w:r w:rsidR="00FC7D4B" w:rsidRPr="002050F1">
        <w:rPr>
          <w:rFonts w:ascii="Calibri" w:hAnsi="Calibri"/>
        </w:rPr>
        <w:t>dy research is a qualitative research technique used for in-depth investigation and analysis of particular cases in their natural environments. It is especially appropriate for examining complicated educational practices like behaviour control strategi</w:t>
      </w:r>
      <w:r w:rsidR="00FC7D4B" w:rsidRPr="000F4473">
        <w:rPr>
          <w:rFonts w:ascii="Calibri" w:hAnsi="Calibri"/>
        </w:rPr>
        <w:t>es in classrooms since it seeks to offer rich, contextualised insights into complex phenomena (Stake, 1995).</w:t>
      </w:r>
    </w:p>
    <w:p w14:paraId="7C164124" w14:textId="28BA3617" w:rsidR="00FC7D4B" w:rsidRPr="002050F1" w:rsidRDefault="003D05E1" w:rsidP="000D068E">
      <w:pPr>
        <w:spacing w:line="360" w:lineRule="auto"/>
        <w:rPr>
          <w:rFonts w:ascii="Calibri" w:hAnsi="Calibri"/>
        </w:rPr>
      </w:pPr>
      <w:r w:rsidRPr="002050F1">
        <w:rPr>
          <w:rFonts w:ascii="Calibri" w:hAnsi="Calibri"/>
        </w:rPr>
        <w:t>The idea to investigate the effectiveness of dojo points in year 1 and 2 classrooms in further detail is what led to the use of a c</w:t>
      </w:r>
      <w:r w:rsidRPr="004A4E75">
        <w:rPr>
          <w:rFonts w:ascii="Calibri" w:hAnsi="Calibri"/>
        </w:rPr>
        <w:t>ase study technique in this research project. This methodological decision is in line with Merriam's (2009) recomm</w:t>
      </w:r>
      <w:r w:rsidRPr="002050F1">
        <w:rPr>
          <w:rFonts w:ascii="Calibri" w:hAnsi="Calibri"/>
        </w:rPr>
        <w:t>endations, according to which case studies provide an unmatched chance to investigate complex educational phenomena in their natural environments, enabling a nuanced comprehension of the dynamics, difficulties, and results connected to the application of classroom interventions.</w:t>
      </w:r>
    </w:p>
    <w:p w14:paraId="170334CE" w14:textId="5894AF82" w:rsidR="0062034E" w:rsidRPr="002050F1" w:rsidRDefault="0062034E" w:rsidP="000D068E">
      <w:pPr>
        <w:spacing w:line="360" w:lineRule="auto"/>
        <w:rPr>
          <w:rFonts w:ascii="Calibri" w:hAnsi="Calibri"/>
        </w:rPr>
      </w:pPr>
      <w:r w:rsidRPr="002050F1">
        <w:rPr>
          <w:rFonts w:ascii="Calibri" w:hAnsi="Calibri"/>
        </w:rPr>
        <w:t>Case studi</w:t>
      </w:r>
      <w:r w:rsidRPr="002626CD">
        <w:rPr>
          <w:rFonts w:ascii="Calibri" w:hAnsi="Calibri"/>
        </w:rPr>
        <w:t>es have a number of benefits, one of which is their capacity to offer in-depth, contextually rich insights into intricate educational procedures (Yin, 2018). Through a detailed analysis of how dojo points are implemented, this study can identify contextual elements and underlying mechanisms that influence the effectiveness of dojo points in addition to their immediate consequences (Baxter &amp; Jack, 2008).</w:t>
      </w:r>
      <w:r w:rsidRPr="002050F1">
        <w:rPr>
          <w:rFonts w:ascii="Calibri" w:hAnsi="Calibri"/>
        </w:rPr>
        <w:t xml:space="preserve"> </w:t>
      </w:r>
    </w:p>
    <w:p w14:paraId="58F14173" w14:textId="74309947" w:rsidR="00AD30F5" w:rsidRPr="002050F1" w:rsidRDefault="00EA33A0" w:rsidP="000D068E">
      <w:pPr>
        <w:spacing w:line="360" w:lineRule="auto"/>
        <w:rPr>
          <w:rFonts w:ascii="Calibri" w:hAnsi="Calibri"/>
        </w:rPr>
      </w:pPr>
      <w:r w:rsidRPr="002050F1">
        <w:rPr>
          <w:rFonts w:ascii="Calibri" w:hAnsi="Calibri"/>
        </w:rPr>
        <w:t>Although it</w:t>
      </w:r>
      <w:r w:rsidR="0062034E" w:rsidRPr="002050F1">
        <w:rPr>
          <w:rFonts w:ascii="Calibri" w:hAnsi="Calibri"/>
        </w:rPr>
        <w:t xml:space="preserve"> is imperative to recognise the constraints associated with case studies, particularly their possible inability to be broadly applied because of the particularity of the examples inves</w:t>
      </w:r>
      <w:r w:rsidR="0062034E" w:rsidRPr="00B17944">
        <w:rPr>
          <w:rFonts w:ascii="Calibri" w:hAnsi="Calibri"/>
        </w:rPr>
        <w:t>tigated (</w:t>
      </w:r>
      <w:proofErr w:type="spellStart"/>
      <w:r w:rsidR="0062034E" w:rsidRPr="00B17944">
        <w:rPr>
          <w:rFonts w:ascii="Calibri" w:hAnsi="Calibri"/>
        </w:rPr>
        <w:t>Flyvbjerg</w:t>
      </w:r>
      <w:proofErr w:type="spellEnd"/>
      <w:r w:rsidR="0062034E" w:rsidRPr="00B17944">
        <w:rPr>
          <w:rFonts w:ascii="Calibri" w:hAnsi="Calibri"/>
        </w:rPr>
        <w:t>, 2006). Althoug</w:t>
      </w:r>
      <w:r w:rsidR="0062034E" w:rsidRPr="002050F1">
        <w:rPr>
          <w:rFonts w:ascii="Calibri" w:hAnsi="Calibri"/>
        </w:rPr>
        <w:t>h the study's conclusions can provide insightful information about how dojo points are used in year 1 and 2 classrooms, care must be used when applying the study's conclusions to other educational settings.</w:t>
      </w:r>
    </w:p>
    <w:p w14:paraId="75782B92" w14:textId="2D110F63" w:rsidR="00901112" w:rsidRPr="002050F1" w:rsidRDefault="0085763C" w:rsidP="000D068E">
      <w:pPr>
        <w:spacing w:line="360" w:lineRule="auto"/>
        <w:rPr>
          <w:rFonts w:ascii="Calibri" w:hAnsi="Calibri"/>
        </w:rPr>
      </w:pPr>
      <w:r w:rsidRPr="002050F1">
        <w:rPr>
          <w:rFonts w:ascii="Calibri" w:hAnsi="Calibri"/>
        </w:rPr>
        <w:t xml:space="preserve">Participants: Students and </w:t>
      </w:r>
      <w:r w:rsidR="00D347F6" w:rsidRPr="002050F1">
        <w:rPr>
          <w:rFonts w:ascii="Calibri" w:hAnsi="Calibri"/>
        </w:rPr>
        <w:t>class teachers</w:t>
      </w:r>
      <w:r w:rsidRPr="002050F1">
        <w:rPr>
          <w:rFonts w:ascii="Calibri" w:hAnsi="Calibri"/>
        </w:rPr>
        <w:t xml:space="preserve"> in years 1 and 2 who have direct experience with dojo points in the classroom will take part in this case study. This study attempts to capture a </w:t>
      </w:r>
      <w:r w:rsidRPr="002050F1">
        <w:rPr>
          <w:rFonts w:ascii="Calibri" w:hAnsi="Calibri"/>
        </w:rPr>
        <w:lastRenderedPageBreak/>
        <w:t>variety of viewpoints and experiences about the application of this behaviour management tool by incorporating both teachers and students.</w:t>
      </w:r>
    </w:p>
    <w:p w14:paraId="2FAB4844" w14:textId="671EEC24" w:rsidR="0062034E" w:rsidRPr="002050F1" w:rsidRDefault="00901112" w:rsidP="000D068E">
      <w:pPr>
        <w:spacing w:line="360" w:lineRule="auto"/>
        <w:rPr>
          <w:rFonts w:ascii="Calibri" w:hAnsi="Calibri"/>
        </w:rPr>
      </w:pPr>
      <w:r w:rsidRPr="002050F1">
        <w:rPr>
          <w:rFonts w:ascii="Calibri" w:hAnsi="Calibri"/>
        </w:rPr>
        <w:t>S</w:t>
      </w:r>
      <w:r w:rsidR="0085763C" w:rsidRPr="002050F1">
        <w:rPr>
          <w:rFonts w:ascii="Calibri" w:hAnsi="Calibri"/>
        </w:rPr>
        <w:t>election Method: Purposive selection procedures will be used to select individuals with varied levels of familiarity and in</w:t>
      </w:r>
      <w:r w:rsidR="0085763C" w:rsidRPr="000C25C0">
        <w:rPr>
          <w:rFonts w:ascii="Calibri" w:hAnsi="Calibri"/>
        </w:rPr>
        <w:t>volvement with key points in order to ensure the representativeness of the sample (Palinkas et al., 2015). To enha</w:t>
      </w:r>
      <w:r w:rsidR="0085763C" w:rsidRPr="002050F1">
        <w:rPr>
          <w:rFonts w:ascii="Calibri" w:hAnsi="Calibri"/>
        </w:rPr>
        <w:t>nce the depth and range of insights gained, additional attempts will be made to include people from various socioeconomic backgrounds and educational environments.</w:t>
      </w:r>
    </w:p>
    <w:p w14:paraId="1BAB90AA" w14:textId="77777777" w:rsidR="00DF6AD6" w:rsidRPr="002050F1" w:rsidRDefault="00DF6AD6" w:rsidP="000D068E">
      <w:pPr>
        <w:spacing w:line="360" w:lineRule="auto"/>
        <w:rPr>
          <w:rFonts w:ascii="Calibri" w:hAnsi="Calibri"/>
        </w:rPr>
      </w:pPr>
    </w:p>
    <w:p w14:paraId="33609EA4" w14:textId="77777777" w:rsidR="00275234" w:rsidRPr="002050F1" w:rsidRDefault="00275234" w:rsidP="000D068E">
      <w:pPr>
        <w:spacing w:line="360" w:lineRule="auto"/>
        <w:rPr>
          <w:rFonts w:ascii="Calibri" w:hAnsi="Calibri"/>
        </w:rPr>
      </w:pPr>
    </w:p>
    <w:p w14:paraId="289AEB7D" w14:textId="52A2FD52" w:rsidR="004B3E7B" w:rsidRPr="00F54443" w:rsidRDefault="00275234" w:rsidP="000D068E">
      <w:pPr>
        <w:spacing w:line="360" w:lineRule="auto"/>
        <w:rPr>
          <w:rFonts w:ascii="Calibri" w:hAnsi="Calibri"/>
          <w:i/>
          <w:iCs/>
          <w:u w:val="single"/>
        </w:rPr>
      </w:pPr>
      <w:r w:rsidRPr="00F54443">
        <w:rPr>
          <w:rFonts w:ascii="Calibri" w:hAnsi="Calibri"/>
          <w:i/>
          <w:iCs/>
          <w:u w:val="single"/>
        </w:rPr>
        <w:t xml:space="preserve">Research methods </w:t>
      </w:r>
    </w:p>
    <w:p w14:paraId="60D69F47" w14:textId="77777777" w:rsidR="000D1A87" w:rsidRPr="00F56D64" w:rsidRDefault="007A0AE8" w:rsidP="000D068E">
      <w:pPr>
        <w:spacing w:line="360" w:lineRule="auto"/>
        <w:rPr>
          <w:rFonts w:ascii="Calibri" w:hAnsi="Calibri"/>
        </w:rPr>
      </w:pPr>
      <w:r w:rsidRPr="002050F1">
        <w:rPr>
          <w:rFonts w:ascii="Calibri" w:hAnsi="Calibri"/>
        </w:rPr>
        <w:t>In educational settings, observation methods have long been acknowledged as useful resources for comprehending complicated social p</w:t>
      </w:r>
      <w:r w:rsidRPr="00E110A0">
        <w:rPr>
          <w:rFonts w:ascii="Calibri" w:hAnsi="Calibri"/>
        </w:rPr>
        <w:t>rocesses (Creswell, 2014). Rese</w:t>
      </w:r>
      <w:r w:rsidRPr="002050F1">
        <w:rPr>
          <w:rFonts w:ascii="Calibri" w:hAnsi="Calibri"/>
        </w:rPr>
        <w:t xml:space="preserve">archers can get firsthand knowledge on the application and outcomes of classroom interventions, such the use of dojo points, by </w:t>
      </w:r>
      <w:r w:rsidR="00415486" w:rsidRPr="002050F1">
        <w:rPr>
          <w:rFonts w:ascii="Calibri" w:hAnsi="Calibri"/>
        </w:rPr>
        <w:t>observing</w:t>
      </w:r>
      <w:r w:rsidRPr="002050F1">
        <w:rPr>
          <w:rFonts w:ascii="Calibri" w:hAnsi="Calibri"/>
        </w:rPr>
        <w:t xml:space="preserve"> a focus group with </w:t>
      </w:r>
      <w:r w:rsidR="00415486" w:rsidRPr="002050F1">
        <w:rPr>
          <w:rFonts w:ascii="Calibri" w:hAnsi="Calibri"/>
        </w:rPr>
        <w:t>8</w:t>
      </w:r>
      <w:r w:rsidRPr="002050F1">
        <w:rPr>
          <w:rFonts w:ascii="Calibri" w:hAnsi="Calibri"/>
        </w:rPr>
        <w:t xml:space="preserve"> students. According to earlier study, observers help researche</w:t>
      </w:r>
      <w:r w:rsidRPr="00E110A0">
        <w:rPr>
          <w:rFonts w:ascii="Calibri" w:hAnsi="Calibri"/>
        </w:rPr>
        <w:t>rs collect valuable, contextualised data that might not be as easily visible using other techniques (Merriam, 2009).</w:t>
      </w:r>
      <w:r w:rsidR="00006508" w:rsidRPr="00E110A0">
        <w:rPr>
          <w:rFonts w:ascii="Calibri" w:hAnsi="Calibri"/>
        </w:rPr>
        <w:t xml:space="preserve"> </w:t>
      </w:r>
      <w:r w:rsidR="00CA3A29" w:rsidRPr="00E110A0">
        <w:rPr>
          <w:rFonts w:ascii="Calibri" w:hAnsi="Calibri"/>
        </w:rPr>
        <w:t>Throu</w:t>
      </w:r>
      <w:r w:rsidR="00CA3A29" w:rsidRPr="002050F1">
        <w:rPr>
          <w:rFonts w:ascii="Calibri" w:hAnsi="Calibri"/>
        </w:rPr>
        <w:t>gh direct observation of participants' behaviour in realistic environmen</w:t>
      </w:r>
      <w:r w:rsidR="00CA3A29" w:rsidRPr="00E110A0">
        <w:rPr>
          <w:rFonts w:ascii="Calibri" w:hAnsi="Calibri"/>
        </w:rPr>
        <w:t>ts, researchers can gain a thorough grasp of their interactions and experiences through observations (Creswell, 2014).</w:t>
      </w:r>
      <w:r w:rsidR="00E630E7" w:rsidRPr="00E110A0">
        <w:rPr>
          <w:rFonts w:ascii="Calibri" w:hAnsi="Calibri"/>
        </w:rPr>
        <w:t xml:space="preserve"> </w:t>
      </w:r>
      <w:r w:rsidR="00CA3A29" w:rsidRPr="00E110A0">
        <w:rPr>
          <w:rFonts w:ascii="Calibri" w:hAnsi="Calibri"/>
        </w:rPr>
        <w:t>The</w:t>
      </w:r>
      <w:r w:rsidR="00CA3A29" w:rsidRPr="002050F1">
        <w:rPr>
          <w:rFonts w:ascii="Calibri" w:hAnsi="Calibri"/>
        </w:rPr>
        <w:t>y provide the chance to record nonverbal clues and contextual elements, like teacher-student interactions an</w:t>
      </w:r>
      <w:r w:rsidR="00CA3A29" w:rsidRPr="00F56D64">
        <w:rPr>
          <w:rFonts w:ascii="Calibri" w:hAnsi="Calibri"/>
        </w:rPr>
        <w:t>d classroom dynamics, that may affect how effective interventions are (</w:t>
      </w:r>
      <w:proofErr w:type="spellStart"/>
      <w:r w:rsidR="00CA3A29" w:rsidRPr="00F56D64">
        <w:rPr>
          <w:rFonts w:ascii="Calibri" w:hAnsi="Calibri"/>
        </w:rPr>
        <w:t>Bogdan</w:t>
      </w:r>
      <w:proofErr w:type="spellEnd"/>
      <w:r w:rsidR="00CA3A29" w:rsidRPr="00F56D64">
        <w:rPr>
          <w:rFonts w:ascii="Calibri" w:hAnsi="Calibri"/>
        </w:rPr>
        <w:t xml:space="preserve"> &amp; </w:t>
      </w:r>
      <w:proofErr w:type="spellStart"/>
      <w:r w:rsidR="00CA3A29" w:rsidRPr="00F56D64">
        <w:rPr>
          <w:rFonts w:ascii="Calibri" w:hAnsi="Calibri"/>
        </w:rPr>
        <w:t>Biklen</w:t>
      </w:r>
      <w:proofErr w:type="spellEnd"/>
      <w:r w:rsidR="00CA3A29" w:rsidRPr="00F56D64">
        <w:rPr>
          <w:rFonts w:ascii="Calibri" w:hAnsi="Calibri"/>
        </w:rPr>
        <w:t>, 2007).</w:t>
      </w:r>
      <w:r w:rsidR="000D1A87" w:rsidRPr="00F56D64">
        <w:rPr>
          <w:rFonts w:ascii="Calibri" w:hAnsi="Calibri"/>
        </w:rPr>
        <w:t xml:space="preserve"> </w:t>
      </w:r>
    </w:p>
    <w:p w14:paraId="3E7E2317" w14:textId="2905DC06" w:rsidR="00810080" w:rsidRPr="002050F1" w:rsidRDefault="00810080" w:rsidP="000D068E">
      <w:pPr>
        <w:spacing w:line="360" w:lineRule="auto"/>
        <w:rPr>
          <w:rFonts w:ascii="Calibri" w:hAnsi="Calibri"/>
        </w:rPr>
      </w:pPr>
      <w:r w:rsidRPr="00F56D64">
        <w:rPr>
          <w:rFonts w:ascii="Calibri" w:hAnsi="Calibri"/>
        </w:rPr>
        <w:t>Because researchers' interpretations of observed behaviours may be subjective, observer bias may have an impact on the validity and reliability of observational data (Creswell, 2014).</w:t>
      </w:r>
      <w:r w:rsidR="00E630E7" w:rsidRPr="00F56D64">
        <w:rPr>
          <w:rFonts w:ascii="Calibri" w:hAnsi="Calibri"/>
        </w:rPr>
        <w:t xml:space="preserve"> </w:t>
      </w:r>
      <w:r w:rsidRPr="00F56D64">
        <w:rPr>
          <w:rFonts w:ascii="Calibri" w:hAnsi="Calibri"/>
        </w:rPr>
        <w:t>Planning and coordination are essential to assure consistent data collection during observations, which can be time- and resource-intensive (Merriam, 2009).</w:t>
      </w:r>
    </w:p>
    <w:p w14:paraId="328655E2" w14:textId="5654FDB2" w:rsidR="004B3E7B" w:rsidRPr="00460BD0" w:rsidRDefault="00E00676" w:rsidP="000D068E">
      <w:pPr>
        <w:spacing w:line="360" w:lineRule="auto"/>
        <w:rPr>
          <w:rFonts w:ascii="Calibri" w:hAnsi="Calibri"/>
        </w:rPr>
      </w:pPr>
      <w:r w:rsidRPr="002050F1">
        <w:rPr>
          <w:rFonts w:ascii="Calibri" w:hAnsi="Calibri"/>
        </w:rPr>
        <w:t>In order to effectively collect data from a large number of participants, questionnaires are frequently employed in ed</w:t>
      </w:r>
      <w:r w:rsidRPr="000D1C39">
        <w:rPr>
          <w:rFonts w:ascii="Calibri" w:hAnsi="Calibri"/>
        </w:rPr>
        <w:t>ucational research (Cohen et al., 2013). Condu</w:t>
      </w:r>
      <w:r w:rsidRPr="002050F1">
        <w:rPr>
          <w:rFonts w:ascii="Calibri" w:hAnsi="Calibri"/>
        </w:rPr>
        <w:t xml:space="preserve">cting </w:t>
      </w:r>
      <w:r w:rsidR="001C6B61" w:rsidRPr="002050F1">
        <w:rPr>
          <w:rFonts w:ascii="Calibri" w:hAnsi="Calibri"/>
        </w:rPr>
        <w:t>this</w:t>
      </w:r>
      <w:r w:rsidRPr="002050F1">
        <w:rPr>
          <w:rFonts w:ascii="Calibri" w:hAnsi="Calibri"/>
        </w:rPr>
        <w:t xml:space="preserve"> with educators in year 1 and 2 classes might yield insightful information on their attitudes, beliefs, and experiences about the application of dojo points. According to earlier studies, surveys </w:t>
      </w:r>
      <w:r w:rsidRPr="002050F1">
        <w:rPr>
          <w:rFonts w:ascii="Calibri" w:hAnsi="Calibri"/>
        </w:rPr>
        <w:lastRenderedPageBreak/>
        <w:t xml:space="preserve">can effectively capture a wide range of viewpoints and ideas in a brief amount of time </w:t>
      </w:r>
      <w:r w:rsidRPr="00460BD0">
        <w:rPr>
          <w:rFonts w:ascii="Calibri" w:hAnsi="Calibri"/>
        </w:rPr>
        <w:t>(</w:t>
      </w:r>
      <w:proofErr w:type="spellStart"/>
      <w:r w:rsidRPr="00460BD0">
        <w:rPr>
          <w:rFonts w:ascii="Calibri" w:hAnsi="Calibri"/>
        </w:rPr>
        <w:t>Bryman</w:t>
      </w:r>
      <w:proofErr w:type="spellEnd"/>
      <w:r w:rsidRPr="00460BD0">
        <w:rPr>
          <w:rFonts w:ascii="Calibri" w:hAnsi="Calibri"/>
        </w:rPr>
        <w:t>, 2016).</w:t>
      </w:r>
    </w:p>
    <w:p w14:paraId="1340A2AE" w14:textId="0AF632FC" w:rsidR="008B1A80" w:rsidRPr="002050F1" w:rsidRDefault="002E4CE3" w:rsidP="000D068E">
      <w:pPr>
        <w:spacing w:line="360" w:lineRule="auto"/>
        <w:rPr>
          <w:rFonts w:ascii="Calibri" w:hAnsi="Calibri"/>
        </w:rPr>
      </w:pPr>
      <w:r w:rsidRPr="00460BD0">
        <w:rPr>
          <w:rFonts w:ascii="Calibri" w:hAnsi="Calibri"/>
        </w:rPr>
        <w:t xml:space="preserve">By using questionnaires, researchers can get information from a wide range of individuals, increasing the </w:t>
      </w:r>
      <w:r w:rsidR="00242176" w:rsidRPr="00460BD0">
        <w:rPr>
          <w:rFonts w:ascii="Calibri" w:hAnsi="Calibri"/>
        </w:rPr>
        <w:t>generalisability</w:t>
      </w:r>
      <w:r w:rsidRPr="00460BD0">
        <w:rPr>
          <w:rFonts w:ascii="Calibri" w:hAnsi="Calibri"/>
        </w:rPr>
        <w:t xml:space="preserve"> of their findings (Cohen et al., 2013). They offer an organised framework for gathering data, making it easier to compare replies from different participants and do quantitative analysis (</w:t>
      </w:r>
      <w:proofErr w:type="spellStart"/>
      <w:r w:rsidRPr="00460BD0">
        <w:rPr>
          <w:rFonts w:ascii="Calibri" w:hAnsi="Calibri"/>
        </w:rPr>
        <w:t>Bryman</w:t>
      </w:r>
      <w:proofErr w:type="spellEnd"/>
      <w:r w:rsidRPr="00460BD0">
        <w:rPr>
          <w:rFonts w:ascii="Calibri" w:hAnsi="Calibri"/>
        </w:rPr>
        <w:t>, 2016).</w:t>
      </w:r>
    </w:p>
    <w:p w14:paraId="0012B2B3" w14:textId="392B449C" w:rsidR="002E4CE3" w:rsidRPr="00A7241E" w:rsidRDefault="00330770" w:rsidP="000D068E">
      <w:pPr>
        <w:spacing w:line="360" w:lineRule="auto"/>
        <w:rPr>
          <w:rFonts w:ascii="Calibri" w:hAnsi="Calibri"/>
        </w:rPr>
      </w:pPr>
      <w:r w:rsidRPr="002050F1">
        <w:rPr>
          <w:rFonts w:ascii="Calibri" w:hAnsi="Calibri"/>
        </w:rPr>
        <w:t xml:space="preserve">Because participants may give false or socially acceptable answers, response bias may have </w:t>
      </w:r>
      <w:r w:rsidRPr="00A7241E">
        <w:rPr>
          <w:rFonts w:ascii="Calibri" w:hAnsi="Calibri"/>
        </w:rPr>
        <w:t>an impact on the accuracy of questionnaire data (Cohen et al., 2013). Researchers' capacity to thoroughly examine complex issues is restricted by the potential for questionnaires to lack the richness and depth of qualitative data gathered through techniques like interviews or observations (</w:t>
      </w:r>
      <w:proofErr w:type="spellStart"/>
      <w:r w:rsidRPr="00A7241E">
        <w:rPr>
          <w:rFonts w:ascii="Calibri" w:hAnsi="Calibri"/>
        </w:rPr>
        <w:t>Bogdan</w:t>
      </w:r>
      <w:proofErr w:type="spellEnd"/>
      <w:r w:rsidRPr="00A7241E">
        <w:rPr>
          <w:rFonts w:ascii="Calibri" w:hAnsi="Calibri"/>
        </w:rPr>
        <w:t xml:space="preserve"> &amp; </w:t>
      </w:r>
      <w:proofErr w:type="spellStart"/>
      <w:r w:rsidRPr="00A7241E">
        <w:rPr>
          <w:rFonts w:ascii="Calibri" w:hAnsi="Calibri"/>
        </w:rPr>
        <w:t>Biklen</w:t>
      </w:r>
      <w:proofErr w:type="spellEnd"/>
      <w:r w:rsidRPr="00A7241E">
        <w:rPr>
          <w:rFonts w:ascii="Calibri" w:hAnsi="Calibri"/>
        </w:rPr>
        <w:t>, 2007).</w:t>
      </w:r>
    </w:p>
    <w:p w14:paraId="541EDB14" w14:textId="55FE4A2D" w:rsidR="00DA5928" w:rsidRPr="00E25B0C" w:rsidRDefault="00E0720D" w:rsidP="000D068E">
      <w:pPr>
        <w:spacing w:line="360" w:lineRule="auto"/>
        <w:rPr>
          <w:rFonts w:ascii="Calibri" w:hAnsi="Calibri"/>
        </w:rPr>
      </w:pPr>
      <w:r w:rsidRPr="00A7241E">
        <w:rPr>
          <w:rFonts w:ascii="Calibri" w:hAnsi="Calibri"/>
        </w:rPr>
        <w:t>To facilitate the gathering of data, the observation schedule used a structured framework that included both closed- and open-ended questions (</w:t>
      </w:r>
      <w:proofErr w:type="spellStart"/>
      <w:r w:rsidRPr="00A7241E">
        <w:rPr>
          <w:rFonts w:ascii="Calibri" w:hAnsi="Calibri"/>
        </w:rPr>
        <w:t>Bogdan</w:t>
      </w:r>
      <w:proofErr w:type="spellEnd"/>
      <w:r w:rsidRPr="00A7241E">
        <w:rPr>
          <w:rFonts w:ascii="Calibri" w:hAnsi="Calibri"/>
        </w:rPr>
        <w:t xml:space="preserve"> &amp; </w:t>
      </w:r>
      <w:proofErr w:type="spellStart"/>
      <w:r w:rsidRPr="00A7241E">
        <w:rPr>
          <w:rFonts w:ascii="Calibri" w:hAnsi="Calibri"/>
        </w:rPr>
        <w:t>Biklen</w:t>
      </w:r>
      <w:proofErr w:type="spellEnd"/>
      <w:r w:rsidRPr="00A7241E">
        <w:rPr>
          <w:rFonts w:ascii="Calibri" w:hAnsi="Calibri"/>
        </w:rPr>
        <w:t>, 2007). To guarantee thorough coverage of cl</w:t>
      </w:r>
      <w:r w:rsidRPr="00D71F93">
        <w:rPr>
          <w:rFonts w:ascii="Calibri" w:hAnsi="Calibri"/>
        </w:rPr>
        <w:t>assroom activities and interactions, observations were carried out over the course of two weeks, with three sessions each week (Merriam, 2009). Focus Group: To guarantee variety in age, gender, and academic attainment, eight students from year 1 and 2 classrooms were chosen using a criterion sampling technique (Palinkas et al., 2015). Observation instrument: Participant behaviours, teacher interventions, and occurrences of dojo point usage were recorded using structured observation (Creswell, 2014). Observation Schedule, Appendix 1</w:t>
      </w:r>
      <w:r w:rsidR="00F56704" w:rsidRPr="00D71F93">
        <w:rPr>
          <w:rFonts w:ascii="Calibri" w:hAnsi="Calibri"/>
        </w:rPr>
        <w:t>.</w:t>
      </w:r>
    </w:p>
    <w:p w14:paraId="35233144" w14:textId="51C203EA" w:rsidR="00820CC4" w:rsidRPr="002050F1" w:rsidRDefault="00820CC4" w:rsidP="000D068E">
      <w:pPr>
        <w:spacing w:line="360" w:lineRule="auto"/>
        <w:rPr>
          <w:rFonts w:ascii="Calibri" w:hAnsi="Calibri"/>
        </w:rPr>
      </w:pPr>
      <w:r w:rsidRPr="00D71F93">
        <w:rPr>
          <w:rFonts w:ascii="Calibri" w:hAnsi="Calibri"/>
        </w:rPr>
        <w:t xml:space="preserve">To collect both quantitative and qualitative data, the questionnaire combined open-ended and closed-ended questions with </w:t>
      </w:r>
      <w:proofErr w:type="spellStart"/>
      <w:r w:rsidRPr="00D71F93">
        <w:rPr>
          <w:rFonts w:ascii="Calibri" w:hAnsi="Calibri"/>
        </w:rPr>
        <w:t>Likert-type</w:t>
      </w:r>
      <w:proofErr w:type="spellEnd"/>
      <w:r w:rsidRPr="00D71F93">
        <w:rPr>
          <w:rFonts w:ascii="Calibri" w:hAnsi="Calibri"/>
        </w:rPr>
        <w:t xml:space="preserve"> scales (</w:t>
      </w:r>
      <w:proofErr w:type="spellStart"/>
      <w:r w:rsidRPr="00D71F93">
        <w:rPr>
          <w:rFonts w:ascii="Calibri" w:hAnsi="Calibri"/>
        </w:rPr>
        <w:t>Bryman</w:t>
      </w:r>
      <w:proofErr w:type="spellEnd"/>
      <w:r w:rsidRPr="00D71F93">
        <w:rPr>
          <w:rFonts w:ascii="Calibri" w:hAnsi="Calibri"/>
        </w:rPr>
        <w:t xml:space="preserve">, 2016). Participants may express how much they agreed with statements on different aspects of dojo point usage using </w:t>
      </w:r>
      <w:proofErr w:type="spellStart"/>
      <w:r w:rsidRPr="00D71F93">
        <w:rPr>
          <w:rFonts w:ascii="Calibri" w:hAnsi="Calibri"/>
        </w:rPr>
        <w:t>Likert-type</w:t>
      </w:r>
      <w:proofErr w:type="spellEnd"/>
      <w:r w:rsidRPr="00D71F93">
        <w:rPr>
          <w:rFonts w:ascii="Calibri" w:hAnsi="Calibri"/>
        </w:rPr>
        <w:t xml:space="preserve"> scales, which went from "strongly disagree" to "strongly agree" (Cohen et al., 2013). </w:t>
      </w:r>
      <w:r w:rsidR="009F585B" w:rsidRPr="00D71F93">
        <w:rPr>
          <w:rFonts w:ascii="Calibri" w:hAnsi="Calibri"/>
        </w:rPr>
        <w:t>The</w:t>
      </w:r>
      <w:r w:rsidRPr="00D71F93">
        <w:rPr>
          <w:rFonts w:ascii="Calibri" w:hAnsi="Calibri"/>
        </w:rPr>
        <w:t xml:space="preserve"> questionnaire asked about the following topics: frequency of use, alignment with classroom management tactics, perceived usefulness of dojo points, and suggestions for improvement </w:t>
      </w:r>
      <w:r w:rsidR="00C20FCB" w:rsidRPr="00D71F93">
        <w:rPr>
          <w:rFonts w:ascii="Calibri" w:hAnsi="Calibri"/>
        </w:rPr>
        <w:t>(</w:t>
      </w:r>
      <w:proofErr w:type="spellStart"/>
      <w:r w:rsidR="00243D15" w:rsidRPr="00D71F93">
        <w:rPr>
          <w:rFonts w:ascii="Calibri" w:hAnsi="Calibri"/>
        </w:rPr>
        <w:t>Bogdan</w:t>
      </w:r>
      <w:proofErr w:type="spellEnd"/>
      <w:r w:rsidR="00243D15" w:rsidRPr="00D71F93">
        <w:rPr>
          <w:rFonts w:ascii="Calibri" w:hAnsi="Calibri"/>
        </w:rPr>
        <w:t xml:space="preserve"> and </w:t>
      </w:r>
      <w:proofErr w:type="spellStart"/>
      <w:r w:rsidR="00243D15" w:rsidRPr="00D71F93">
        <w:rPr>
          <w:rFonts w:ascii="Calibri" w:hAnsi="Calibri"/>
        </w:rPr>
        <w:t>Biklen</w:t>
      </w:r>
      <w:proofErr w:type="spellEnd"/>
      <w:r w:rsidR="00C20FCB" w:rsidRPr="00D71F93">
        <w:rPr>
          <w:rFonts w:ascii="Calibri" w:hAnsi="Calibri"/>
        </w:rPr>
        <w:t xml:space="preserve">, </w:t>
      </w:r>
      <w:r w:rsidR="00243D15" w:rsidRPr="00D71F93">
        <w:rPr>
          <w:rFonts w:ascii="Calibri" w:hAnsi="Calibri"/>
        </w:rPr>
        <w:t xml:space="preserve">2007). </w:t>
      </w:r>
      <w:r w:rsidRPr="00D71F93">
        <w:rPr>
          <w:rFonts w:ascii="Calibri" w:hAnsi="Calibri"/>
        </w:rPr>
        <w:t xml:space="preserve">Questionnaire in Appendix </w:t>
      </w:r>
      <w:r w:rsidR="00DC663E" w:rsidRPr="00D71F93">
        <w:rPr>
          <w:rFonts w:ascii="Calibri" w:hAnsi="Calibri"/>
        </w:rPr>
        <w:t>2.</w:t>
      </w:r>
      <w:r w:rsidR="001E08A2" w:rsidRPr="00D71F93">
        <w:rPr>
          <w:rFonts w:ascii="Calibri" w:hAnsi="Calibri"/>
        </w:rPr>
        <w:t xml:space="preserve"> </w:t>
      </w:r>
      <w:r w:rsidR="008B458F" w:rsidRPr="00D71F93">
        <w:rPr>
          <w:rFonts w:ascii="Calibri" w:hAnsi="Calibri"/>
        </w:rPr>
        <w:t>To</w:t>
      </w:r>
      <w:r w:rsidR="008B458F" w:rsidRPr="00E25B0C">
        <w:rPr>
          <w:rFonts w:ascii="Calibri" w:hAnsi="Calibri"/>
        </w:rPr>
        <w:t xml:space="preserve"> contextualise findings and spot any patterns or trends, additional demographic information was gathered</w:t>
      </w:r>
      <w:r w:rsidR="008B458F" w:rsidRPr="002050F1">
        <w:rPr>
          <w:rFonts w:ascii="Calibri" w:hAnsi="Calibri"/>
        </w:rPr>
        <w:t xml:space="preserve"> from school records and teacher reports. This information included students' age, gender, and academic attainm</w:t>
      </w:r>
      <w:r w:rsidR="008B458F" w:rsidRPr="00E25B0C">
        <w:rPr>
          <w:rFonts w:ascii="Calibri" w:hAnsi="Calibri"/>
        </w:rPr>
        <w:t xml:space="preserve">ent (Creswell, 2014). Triangulation: By contrasting and comparing data </w:t>
      </w:r>
      <w:r w:rsidR="008B458F" w:rsidRPr="00E25B0C">
        <w:rPr>
          <w:rFonts w:ascii="Calibri" w:hAnsi="Calibri"/>
        </w:rPr>
        <w:lastRenderedPageBreak/>
        <w:t>gathered using various techniques, triangulation was used to improve the validity and dependability of conclusions (Stake, 1995).</w:t>
      </w:r>
    </w:p>
    <w:p w14:paraId="36C46E20" w14:textId="756D684F" w:rsidR="00F10896" w:rsidRPr="002050F1" w:rsidRDefault="00F10896" w:rsidP="000D068E">
      <w:pPr>
        <w:spacing w:line="360" w:lineRule="auto"/>
        <w:rPr>
          <w:rFonts w:ascii="Calibri" w:eastAsia="Times New Roman" w:hAnsi="Calibri"/>
          <w:color w:val="000000"/>
        </w:rPr>
      </w:pPr>
      <w:r w:rsidRPr="002050F1">
        <w:rPr>
          <w:rFonts w:ascii="Calibri" w:eastAsia="Times New Roman" w:hAnsi="Calibri"/>
          <w:color w:val="000000"/>
        </w:rPr>
        <w:t xml:space="preserve">The students received a thorough explanation of the assent process at the beginning of the observation session. Based on studies </w:t>
      </w:r>
      <w:r w:rsidRPr="00480643">
        <w:rPr>
          <w:rFonts w:ascii="Calibri" w:eastAsia="Times New Roman" w:hAnsi="Calibri"/>
          <w:color w:val="000000"/>
        </w:rPr>
        <w:t>conducted by Savolainen et al. (2019), it w</w:t>
      </w:r>
      <w:r w:rsidRPr="002050F1">
        <w:rPr>
          <w:rFonts w:ascii="Calibri" w:eastAsia="Times New Roman" w:hAnsi="Calibri"/>
          <w:color w:val="000000"/>
        </w:rPr>
        <w:t>as highlighted how crucial it is to uphold students' autonomy and guarantee their voluntary involvement. Every student received a tiny card that had two colours on it: red and green.</w:t>
      </w:r>
    </w:p>
    <w:p w14:paraId="339C562F" w14:textId="79599936" w:rsidR="00F10896" w:rsidRPr="002050F1" w:rsidRDefault="00655C97" w:rsidP="000D068E">
      <w:pPr>
        <w:spacing w:line="360" w:lineRule="auto"/>
        <w:rPr>
          <w:rFonts w:ascii="Calibri" w:eastAsia="Times New Roman" w:hAnsi="Calibri"/>
          <w:color w:val="000000"/>
        </w:rPr>
      </w:pPr>
      <w:r w:rsidRPr="002050F1">
        <w:rPr>
          <w:rFonts w:ascii="Calibri" w:eastAsia="Times New Roman" w:hAnsi="Calibri"/>
          <w:color w:val="000000"/>
        </w:rPr>
        <w:t>Students who agreed to partic</w:t>
      </w:r>
      <w:r w:rsidRPr="00CF5ADE">
        <w:rPr>
          <w:rFonts w:ascii="Calibri" w:eastAsia="Times New Roman" w:hAnsi="Calibri"/>
          <w:color w:val="000000"/>
        </w:rPr>
        <w:t xml:space="preserve">ipate were told to turn their green card face up as soon as the observation started. In line with studies by </w:t>
      </w:r>
      <w:proofErr w:type="spellStart"/>
      <w:r w:rsidRPr="00CF5ADE">
        <w:rPr>
          <w:rFonts w:ascii="Calibri" w:eastAsia="Times New Roman" w:hAnsi="Calibri"/>
          <w:color w:val="000000"/>
        </w:rPr>
        <w:t>Sibley</w:t>
      </w:r>
      <w:proofErr w:type="spellEnd"/>
      <w:r w:rsidRPr="00CF5ADE">
        <w:rPr>
          <w:rFonts w:ascii="Calibri" w:eastAsia="Times New Roman" w:hAnsi="Calibri"/>
          <w:color w:val="000000"/>
        </w:rPr>
        <w:t xml:space="preserve"> and </w:t>
      </w:r>
      <w:proofErr w:type="spellStart"/>
      <w:r w:rsidRPr="00CF5ADE">
        <w:rPr>
          <w:rFonts w:ascii="Calibri" w:eastAsia="Times New Roman" w:hAnsi="Calibri"/>
          <w:color w:val="000000"/>
        </w:rPr>
        <w:t>Etnier</w:t>
      </w:r>
      <w:proofErr w:type="spellEnd"/>
      <w:r w:rsidRPr="00CF5ADE">
        <w:rPr>
          <w:rFonts w:ascii="Calibri" w:eastAsia="Times New Roman" w:hAnsi="Calibri"/>
          <w:color w:val="000000"/>
        </w:rPr>
        <w:t xml:space="preserve"> (2003) that emphasise</w:t>
      </w:r>
      <w:r w:rsidRPr="002050F1">
        <w:rPr>
          <w:rFonts w:ascii="Calibri" w:eastAsia="Times New Roman" w:hAnsi="Calibri"/>
          <w:color w:val="000000"/>
        </w:rPr>
        <w:t xml:space="preserve"> the value of nonverbal communication techniques in gaining consent, this visual cue functioned as a nonverbal signal of continuous assent.</w:t>
      </w:r>
    </w:p>
    <w:p w14:paraId="66641E03" w14:textId="5E462897" w:rsidR="00042B41" w:rsidRPr="002050F1" w:rsidRDefault="00C7133F" w:rsidP="000D068E">
      <w:pPr>
        <w:spacing w:line="360" w:lineRule="auto"/>
        <w:rPr>
          <w:rFonts w:ascii="Calibri" w:eastAsia="Times New Roman" w:hAnsi="Calibri"/>
          <w:color w:val="000000"/>
        </w:rPr>
      </w:pPr>
      <w:r w:rsidRPr="002050F1">
        <w:rPr>
          <w:rFonts w:ascii="Calibri" w:eastAsia="Times New Roman" w:hAnsi="Calibri"/>
          <w:color w:val="000000"/>
        </w:rPr>
        <w:t xml:space="preserve">The comfort and participation levels of the students were regularly observed by the researchers during the observation. Students' cards were checked on a regular basis to make sure they kept the green side facing up, which </w:t>
      </w:r>
      <w:r w:rsidRPr="00F513E3">
        <w:rPr>
          <w:rFonts w:ascii="Calibri" w:eastAsia="Times New Roman" w:hAnsi="Calibri"/>
          <w:color w:val="000000"/>
        </w:rPr>
        <w:t>signifies their continued consent. The methodology employed in this study was influenced by Chen et al. (2017), wh</w:t>
      </w:r>
      <w:r w:rsidRPr="002050F1">
        <w:rPr>
          <w:rFonts w:ascii="Calibri" w:eastAsia="Times New Roman" w:hAnsi="Calibri"/>
          <w:color w:val="000000"/>
        </w:rPr>
        <w:t>ose research emphasises the significance of ongoing observation and attentiveness to participant cues in studies with c</w:t>
      </w:r>
      <w:r w:rsidRPr="007A05A1">
        <w:rPr>
          <w:rFonts w:ascii="Calibri" w:eastAsia="Times New Roman" w:hAnsi="Calibri"/>
          <w:color w:val="000000"/>
        </w:rPr>
        <w:t>hildren.</w:t>
      </w:r>
      <w:r w:rsidR="00A702FF">
        <w:rPr>
          <w:rFonts w:ascii="Calibri" w:eastAsia="Times New Roman" w:hAnsi="Calibri"/>
          <w:color w:val="000000"/>
        </w:rPr>
        <w:t xml:space="preserve"> </w:t>
      </w:r>
      <w:r w:rsidR="00042B41" w:rsidRPr="007A05A1">
        <w:rPr>
          <w:rFonts w:ascii="Calibri" w:eastAsia="Times New Roman" w:hAnsi="Calibri"/>
          <w:color w:val="000000"/>
        </w:rPr>
        <w:t>In compliance with the British Psychological Society's (BPS, 2014) et</w:t>
      </w:r>
      <w:r w:rsidR="00042B41" w:rsidRPr="002050F1">
        <w:rPr>
          <w:rFonts w:ascii="Calibri" w:eastAsia="Times New Roman" w:hAnsi="Calibri"/>
          <w:color w:val="000000"/>
        </w:rPr>
        <w:t>hical guidelines and rights in the United Kingdom, students were informed that they might rescind their consent to the observation at any time. It was made clear that their choice to consent or to withdraw would be honoured without repercussions or criticism. Respect, dignity, and individual agency—values supported by the BPS—were upheld by this method, which gave students the freedom to choose whether or not to participate in the study.</w:t>
      </w:r>
    </w:p>
    <w:p w14:paraId="7D1E6BC5" w14:textId="764B67F5" w:rsidR="005B7FDE" w:rsidRPr="002050F1" w:rsidRDefault="00AB66A4" w:rsidP="000D068E">
      <w:pPr>
        <w:spacing w:line="360" w:lineRule="auto"/>
        <w:rPr>
          <w:rFonts w:ascii="Calibri" w:eastAsia="Times New Roman" w:hAnsi="Calibri"/>
          <w:color w:val="000000"/>
        </w:rPr>
      </w:pPr>
      <w:r w:rsidRPr="002050F1">
        <w:rPr>
          <w:rFonts w:ascii="Calibri" w:eastAsia="Times New Roman" w:hAnsi="Calibri"/>
          <w:color w:val="000000"/>
        </w:rPr>
        <w:t xml:space="preserve">After the observation, students were gathered by the researchers for a debriefing. Students were appreciated for their involvement and the observation's findings were presented. The responders' privacy was reaffirmed by the researchers, who also urged students to submit any comments or </w:t>
      </w:r>
      <w:r w:rsidRPr="00C4690B">
        <w:rPr>
          <w:rFonts w:ascii="Calibri" w:eastAsia="Times New Roman" w:hAnsi="Calibri"/>
          <w:color w:val="000000"/>
        </w:rPr>
        <w:t xml:space="preserve">queries. </w:t>
      </w:r>
      <w:proofErr w:type="spellStart"/>
      <w:r w:rsidRPr="00C4690B">
        <w:rPr>
          <w:rFonts w:ascii="Calibri" w:eastAsia="Times New Roman" w:hAnsi="Calibri"/>
          <w:color w:val="000000"/>
        </w:rPr>
        <w:t>Alderson</w:t>
      </w:r>
      <w:proofErr w:type="spellEnd"/>
      <w:r w:rsidRPr="00C4690B">
        <w:rPr>
          <w:rFonts w:ascii="Calibri" w:eastAsia="Times New Roman" w:hAnsi="Calibri"/>
          <w:color w:val="000000"/>
        </w:rPr>
        <w:t xml:space="preserve"> and Morrow's (2011) guidelines, which highlight the</w:t>
      </w:r>
      <w:r w:rsidRPr="002050F1">
        <w:rPr>
          <w:rFonts w:ascii="Calibri" w:eastAsia="Times New Roman" w:hAnsi="Calibri"/>
          <w:color w:val="000000"/>
        </w:rPr>
        <w:t xml:space="preserve"> value of post-research communication with child participants, are in line with this debriefing procedure.</w:t>
      </w:r>
    </w:p>
    <w:p w14:paraId="27313D52" w14:textId="77777777" w:rsidR="00AB66A4" w:rsidRPr="002050F1" w:rsidRDefault="00AB66A4" w:rsidP="000D068E">
      <w:pPr>
        <w:spacing w:line="360" w:lineRule="auto"/>
        <w:rPr>
          <w:rFonts w:ascii="Calibri" w:hAnsi="Calibri"/>
        </w:rPr>
      </w:pPr>
    </w:p>
    <w:p w14:paraId="37C53024" w14:textId="77777777" w:rsidR="009B461C" w:rsidRPr="002050F1" w:rsidRDefault="009B461C" w:rsidP="000D068E">
      <w:pPr>
        <w:spacing w:line="360" w:lineRule="auto"/>
        <w:rPr>
          <w:rFonts w:ascii="Calibri" w:hAnsi="Calibri"/>
        </w:rPr>
      </w:pPr>
    </w:p>
    <w:p w14:paraId="6A30FD1C" w14:textId="2B0A4C69" w:rsidR="00497385" w:rsidRPr="002050F1" w:rsidRDefault="00B42C0E" w:rsidP="000D068E">
      <w:pPr>
        <w:spacing w:line="360" w:lineRule="auto"/>
        <w:rPr>
          <w:rFonts w:ascii="Calibri" w:hAnsi="Calibri"/>
          <w:u w:val="single"/>
        </w:rPr>
      </w:pPr>
      <w:r w:rsidRPr="002050F1">
        <w:rPr>
          <w:rFonts w:ascii="Calibri" w:hAnsi="Calibri"/>
          <w:u w:val="single"/>
        </w:rPr>
        <w:lastRenderedPageBreak/>
        <w:t xml:space="preserve">Data presentation and analysis </w:t>
      </w:r>
      <w:r w:rsidR="00012F66" w:rsidRPr="002050F1">
        <w:rPr>
          <w:rFonts w:ascii="Calibri" w:hAnsi="Calibri"/>
          <w:u w:val="single"/>
        </w:rPr>
        <w:t>method(s)</w:t>
      </w:r>
    </w:p>
    <w:p w14:paraId="3597D7ED" w14:textId="5AC8D249" w:rsidR="00207AB3" w:rsidRPr="00840221" w:rsidRDefault="00207AB3" w:rsidP="000D068E">
      <w:pPr>
        <w:spacing w:line="360" w:lineRule="auto"/>
        <w:rPr>
          <w:rFonts w:ascii="Calibri" w:hAnsi="Calibri"/>
        </w:rPr>
      </w:pPr>
      <w:r w:rsidRPr="002050F1">
        <w:rPr>
          <w:rFonts w:ascii="Calibri" w:hAnsi="Calibri"/>
        </w:rPr>
        <w:t xml:space="preserve">Thematic analysis will be employed to examine qualitative data obtained from open-ended questionnaire responses and interview transcripts in order to detect recurrent themes, patterns, and insights pertaining to the application of </w:t>
      </w:r>
      <w:r w:rsidRPr="00840221">
        <w:rPr>
          <w:rFonts w:ascii="Calibri" w:hAnsi="Calibri"/>
        </w:rPr>
        <w:t>dojo points (</w:t>
      </w:r>
      <w:proofErr w:type="spellStart"/>
      <w:r w:rsidRPr="00840221">
        <w:rPr>
          <w:rFonts w:ascii="Calibri" w:hAnsi="Calibri"/>
        </w:rPr>
        <w:t>Bogdan</w:t>
      </w:r>
      <w:proofErr w:type="spellEnd"/>
      <w:r w:rsidRPr="00840221">
        <w:rPr>
          <w:rFonts w:ascii="Calibri" w:hAnsi="Calibri"/>
        </w:rPr>
        <w:t xml:space="preserve"> &amp; </w:t>
      </w:r>
      <w:proofErr w:type="spellStart"/>
      <w:r w:rsidRPr="00840221">
        <w:rPr>
          <w:rFonts w:ascii="Calibri" w:hAnsi="Calibri"/>
        </w:rPr>
        <w:t>Biklen</w:t>
      </w:r>
      <w:proofErr w:type="spellEnd"/>
      <w:r w:rsidRPr="00840221">
        <w:rPr>
          <w:rFonts w:ascii="Calibri" w:hAnsi="Calibri"/>
        </w:rPr>
        <w:t xml:space="preserve">, 2007). </w:t>
      </w:r>
    </w:p>
    <w:p w14:paraId="53AFD4EC" w14:textId="7236FD3B" w:rsidR="00E21471" w:rsidRPr="00840221" w:rsidRDefault="005D6F4A" w:rsidP="000D068E">
      <w:pPr>
        <w:spacing w:line="360" w:lineRule="auto"/>
        <w:rPr>
          <w:rFonts w:ascii="Calibri" w:hAnsi="Calibri"/>
        </w:rPr>
      </w:pPr>
      <w:r w:rsidRPr="00840221">
        <w:rPr>
          <w:rFonts w:ascii="Calibri" w:hAnsi="Calibri"/>
        </w:rPr>
        <w:t>Credibility: To bolster credibility</w:t>
      </w:r>
      <w:r w:rsidR="009C0242" w:rsidRPr="00840221">
        <w:rPr>
          <w:rFonts w:ascii="Calibri" w:hAnsi="Calibri"/>
        </w:rPr>
        <w:t xml:space="preserve"> </w:t>
      </w:r>
      <w:r w:rsidRPr="00840221">
        <w:rPr>
          <w:rFonts w:ascii="Calibri" w:hAnsi="Calibri"/>
        </w:rPr>
        <w:t>questionnaire</w:t>
      </w:r>
      <w:r w:rsidR="009C0242" w:rsidRPr="00840221">
        <w:rPr>
          <w:rFonts w:ascii="Calibri" w:hAnsi="Calibri"/>
        </w:rPr>
        <w:t xml:space="preserve">s </w:t>
      </w:r>
      <w:r w:rsidRPr="00840221">
        <w:rPr>
          <w:rFonts w:ascii="Calibri" w:hAnsi="Calibri"/>
        </w:rPr>
        <w:t xml:space="preserve">and observations will be conducted in order to verify results and guarantee convergence of findings (Stake, 1995). </w:t>
      </w:r>
    </w:p>
    <w:p w14:paraId="6A9181F6" w14:textId="780A8B44" w:rsidR="00814FDD" w:rsidRPr="002050F1" w:rsidRDefault="00EE4802" w:rsidP="000D068E">
      <w:pPr>
        <w:spacing w:line="360" w:lineRule="auto"/>
        <w:rPr>
          <w:rFonts w:ascii="Calibri" w:hAnsi="Calibri"/>
        </w:rPr>
      </w:pPr>
      <w:r w:rsidRPr="00840221">
        <w:rPr>
          <w:rFonts w:ascii="Calibri" w:hAnsi="Calibri"/>
        </w:rPr>
        <w:t>To enable the transferability of findings to comparable educational settings, comprehensive explanations of the research context, methodologies, and participants will be furnished (Merriam, 2009). The study report will provide detailed accounts of the experiences and viewpoints of the participants so that readers can evaluate how applicable the findings are to their own situations (Stake, 1995).</w:t>
      </w:r>
      <w:r w:rsidR="003C59F8" w:rsidRPr="002050F1">
        <w:rPr>
          <w:rFonts w:ascii="Calibri" w:hAnsi="Calibri"/>
        </w:rPr>
        <w:t xml:space="preserve"> </w:t>
      </w:r>
    </w:p>
    <w:p w14:paraId="6FACDEF7" w14:textId="70975F6C" w:rsidR="00DA6FEA" w:rsidRPr="002050F1" w:rsidRDefault="00A61931" w:rsidP="000D068E">
      <w:pPr>
        <w:spacing w:line="360" w:lineRule="auto"/>
        <w:rPr>
          <w:rFonts w:ascii="Calibri" w:hAnsi="Calibri"/>
        </w:rPr>
      </w:pPr>
      <w:r w:rsidRPr="002050F1">
        <w:rPr>
          <w:rFonts w:ascii="Calibri" w:hAnsi="Calibri"/>
        </w:rPr>
        <w:t>Reflexivity, which involves researchers critically analysing their biases, assumptions, and preconceptions during the research process to reduce researcher influence on data interpretation, will increase c</w:t>
      </w:r>
      <w:r w:rsidRPr="00840221">
        <w:rPr>
          <w:rFonts w:ascii="Calibri" w:hAnsi="Calibri"/>
        </w:rPr>
        <w:t>onfirmability (Merriam, 2009)</w:t>
      </w:r>
      <w:r w:rsidR="00790EA2" w:rsidRPr="00840221">
        <w:rPr>
          <w:rFonts w:ascii="Calibri" w:hAnsi="Calibri"/>
        </w:rPr>
        <w:t>.</w:t>
      </w:r>
    </w:p>
    <w:p w14:paraId="4722D5C1" w14:textId="77777777" w:rsidR="001752B2" w:rsidRPr="002050F1" w:rsidRDefault="001752B2" w:rsidP="000D068E">
      <w:pPr>
        <w:spacing w:line="360" w:lineRule="auto"/>
        <w:rPr>
          <w:rFonts w:ascii="Calibri" w:hAnsi="Calibri"/>
        </w:rPr>
      </w:pPr>
    </w:p>
    <w:p w14:paraId="6CE5EB28" w14:textId="77777777" w:rsidR="00DE137F" w:rsidRPr="002050F1" w:rsidRDefault="00DE137F" w:rsidP="000D068E">
      <w:pPr>
        <w:spacing w:line="360" w:lineRule="auto"/>
        <w:rPr>
          <w:rFonts w:ascii="Calibri" w:hAnsi="Calibri"/>
        </w:rPr>
      </w:pPr>
    </w:p>
    <w:p w14:paraId="3EBC7574" w14:textId="464B636A" w:rsidR="00A81D40" w:rsidRPr="002050F1" w:rsidRDefault="00DE137F" w:rsidP="000D068E">
      <w:pPr>
        <w:spacing w:line="360" w:lineRule="auto"/>
        <w:rPr>
          <w:rFonts w:ascii="Calibri" w:hAnsi="Calibri"/>
        </w:rPr>
      </w:pPr>
      <w:r w:rsidRPr="002050F1">
        <w:rPr>
          <w:rFonts w:ascii="Calibri" w:hAnsi="Calibri"/>
          <w:u w:val="single"/>
        </w:rPr>
        <w:t>Ethical considerations</w:t>
      </w:r>
    </w:p>
    <w:p w14:paraId="3F3FD862" w14:textId="1FCCEA26" w:rsidR="00D46D93" w:rsidRPr="002050F1" w:rsidRDefault="00DB476D" w:rsidP="000D068E">
      <w:pPr>
        <w:spacing w:line="360" w:lineRule="auto"/>
        <w:rPr>
          <w:rFonts w:ascii="Calibri" w:hAnsi="Calibri"/>
        </w:rPr>
      </w:pPr>
      <w:r w:rsidRPr="002050F1">
        <w:rPr>
          <w:rFonts w:ascii="Calibri" w:hAnsi="Calibri"/>
        </w:rPr>
        <w:t>Anonymity: To ensure that their identities stay private throughout the research process, all participants</w:t>
      </w:r>
      <w:r w:rsidR="00BD2B7A" w:rsidRPr="00840221">
        <w:rPr>
          <w:rFonts w:ascii="Calibri" w:hAnsi="Calibri"/>
        </w:rPr>
        <w:t xml:space="preserve">- </w:t>
      </w:r>
      <w:r w:rsidRPr="00840221">
        <w:rPr>
          <w:rFonts w:ascii="Calibri" w:hAnsi="Calibri"/>
        </w:rPr>
        <w:t xml:space="preserve">including </w:t>
      </w:r>
      <w:r w:rsidR="00BD2B7A" w:rsidRPr="00840221">
        <w:rPr>
          <w:rFonts w:ascii="Calibri" w:hAnsi="Calibri"/>
        </w:rPr>
        <w:t>teachers</w:t>
      </w:r>
      <w:r w:rsidRPr="00840221">
        <w:rPr>
          <w:rFonts w:ascii="Calibri" w:hAnsi="Calibri"/>
        </w:rPr>
        <w:t xml:space="preserve"> and students</w:t>
      </w:r>
      <w:r w:rsidR="00BD2B7A" w:rsidRPr="00840221">
        <w:rPr>
          <w:rFonts w:ascii="Calibri" w:hAnsi="Calibri"/>
        </w:rPr>
        <w:t xml:space="preserve">- </w:t>
      </w:r>
      <w:r w:rsidRPr="00840221">
        <w:rPr>
          <w:rFonts w:ascii="Calibri" w:hAnsi="Calibri"/>
        </w:rPr>
        <w:t xml:space="preserve">will be given participant </w:t>
      </w:r>
      <w:r w:rsidR="00BD2B7A" w:rsidRPr="00840221">
        <w:rPr>
          <w:rFonts w:ascii="Calibri" w:hAnsi="Calibri"/>
        </w:rPr>
        <w:t>given a different name, i.e. ‘Student A.’</w:t>
      </w:r>
      <w:r w:rsidRPr="00840221">
        <w:rPr>
          <w:rFonts w:ascii="Calibri" w:hAnsi="Calibri"/>
        </w:rPr>
        <w:t xml:space="preserve"> (Creswell, 2014).</w:t>
      </w:r>
      <w:r w:rsidR="00183219" w:rsidRPr="00840221">
        <w:rPr>
          <w:rFonts w:ascii="Calibri" w:hAnsi="Calibri"/>
        </w:rPr>
        <w:t xml:space="preserve"> </w:t>
      </w:r>
      <w:r w:rsidRPr="00840221">
        <w:rPr>
          <w:rFonts w:ascii="Calibri" w:hAnsi="Calibri"/>
        </w:rPr>
        <w:t>Information gathered through questionnaires and observations will be safely preserved and only</w:t>
      </w:r>
      <w:r w:rsidR="00483B52" w:rsidRPr="00840221">
        <w:rPr>
          <w:rFonts w:ascii="Calibri" w:hAnsi="Calibri"/>
        </w:rPr>
        <w:t xml:space="preserve"> myself, as the researcher </w:t>
      </w:r>
      <w:r w:rsidRPr="00840221">
        <w:rPr>
          <w:rFonts w:ascii="Calibri" w:hAnsi="Calibri"/>
        </w:rPr>
        <w:t xml:space="preserve">will have access to it. To ensure participant confidentiality, all identifiable information will be eliminated or </w:t>
      </w:r>
      <w:r w:rsidR="00183219" w:rsidRPr="00840221">
        <w:rPr>
          <w:rFonts w:ascii="Calibri" w:hAnsi="Calibri"/>
        </w:rPr>
        <w:t>anonymised</w:t>
      </w:r>
      <w:r w:rsidRPr="00840221">
        <w:rPr>
          <w:rFonts w:ascii="Calibri" w:hAnsi="Calibri"/>
        </w:rPr>
        <w:t xml:space="preserve"> (</w:t>
      </w:r>
      <w:proofErr w:type="spellStart"/>
      <w:r w:rsidRPr="00840221">
        <w:rPr>
          <w:rFonts w:ascii="Calibri" w:hAnsi="Calibri"/>
        </w:rPr>
        <w:t>Bogdan</w:t>
      </w:r>
      <w:proofErr w:type="spellEnd"/>
      <w:r w:rsidRPr="00840221">
        <w:rPr>
          <w:rFonts w:ascii="Calibri" w:hAnsi="Calibri"/>
        </w:rPr>
        <w:t xml:space="preserve"> &amp; </w:t>
      </w:r>
      <w:proofErr w:type="spellStart"/>
      <w:r w:rsidRPr="00840221">
        <w:rPr>
          <w:rFonts w:ascii="Calibri" w:hAnsi="Calibri"/>
        </w:rPr>
        <w:t>Biklen</w:t>
      </w:r>
      <w:proofErr w:type="spellEnd"/>
      <w:r w:rsidRPr="00840221">
        <w:rPr>
          <w:rFonts w:ascii="Calibri" w:hAnsi="Calibri"/>
        </w:rPr>
        <w:t>, 2007).</w:t>
      </w:r>
    </w:p>
    <w:p w14:paraId="59FCAD2A" w14:textId="77777777" w:rsidR="00535D76" w:rsidRPr="002050F1" w:rsidRDefault="00535D76" w:rsidP="000D068E">
      <w:pPr>
        <w:spacing w:line="360" w:lineRule="auto"/>
        <w:rPr>
          <w:rFonts w:ascii="Calibri" w:hAnsi="Calibri"/>
        </w:rPr>
      </w:pPr>
    </w:p>
    <w:p w14:paraId="2BDAB83F" w14:textId="0AE86601" w:rsidR="00404344" w:rsidRPr="002050F1" w:rsidRDefault="00B3388D" w:rsidP="000D068E">
      <w:pPr>
        <w:spacing w:line="360" w:lineRule="auto"/>
        <w:rPr>
          <w:rFonts w:ascii="Calibri" w:hAnsi="Calibri"/>
        </w:rPr>
      </w:pPr>
      <w:r w:rsidRPr="002050F1">
        <w:rPr>
          <w:rFonts w:ascii="Calibri" w:hAnsi="Calibri"/>
        </w:rPr>
        <w:t xml:space="preserve">Informed consent from the school administration and the parents/guardians of the participating students will be obtained prior to conducting observations with the focus group of </w:t>
      </w:r>
      <w:r w:rsidR="00190653" w:rsidRPr="002050F1">
        <w:rPr>
          <w:rFonts w:ascii="Calibri" w:hAnsi="Calibri"/>
        </w:rPr>
        <w:t>8</w:t>
      </w:r>
      <w:r w:rsidRPr="002050F1">
        <w:rPr>
          <w:rFonts w:ascii="Calibri" w:hAnsi="Calibri"/>
        </w:rPr>
        <w:t xml:space="preserve"> learners. This consent will outline the nature and purpose of the study, as well as the rights and responsibilities of participan</w:t>
      </w:r>
      <w:r w:rsidRPr="0027662B">
        <w:rPr>
          <w:rFonts w:ascii="Calibri" w:hAnsi="Calibri"/>
        </w:rPr>
        <w:t>ts (Cohen et al., 20</w:t>
      </w:r>
      <w:r w:rsidRPr="00D71F93">
        <w:rPr>
          <w:rFonts w:ascii="Calibri" w:hAnsi="Calibri"/>
        </w:rPr>
        <w:t>13).</w:t>
      </w:r>
      <w:r w:rsidR="005923DE" w:rsidRPr="00D71F93">
        <w:rPr>
          <w:rFonts w:ascii="Calibri" w:hAnsi="Calibri"/>
        </w:rPr>
        <w:t xml:space="preserve"> See appendix 3 for c</w:t>
      </w:r>
      <w:r w:rsidR="005923DE" w:rsidRPr="0027662B">
        <w:rPr>
          <w:rFonts w:ascii="Calibri" w:hAnsi="Calibri"/>
        </w:rPr>
        <w:t xml:space="preserve">onsent </w:t>
      </w:r>
      <w:r w:rsidR="005923DE" w:rsidRPr="0027662B">
        <w:rPr>
          <w:rFonts w:ascii="Calibri" w:hAnsi="Calibri"/>
        </w:rPr>
        <w:lastRenderedPageBreak/>
        <w:t>forms.</w:t>
      </w:r>
      <w:r w:rsidRPr="0027662B">
        <w:rPr>
          <w:rFonts w:ascii="Calibri" w:hAnsi="Calibri"/>
        </w:rPr>
        <w:t xml:space="preserve"> The consent of the participating students will be obtained directly, in addition to that of their parents. The kids will be given a condensed description of the research study in language suitable for their age and comprehension, with an emphasis on their voluntary engagement and the freedom to quit at any moment without facing repercussions (Merriam, 2009</w:t>
      </w:r>
      <w:r w:rsidR="00924F97" w:rsidRPr="0027662B">
        <w:rPr>
          <w:rFonts w:ascii="Calibri" w:hAnsi="Calibri"/>
        </w:rPr>
        <w:t>)</w:t>
      </w:r>
      <w:r w:rsidR="00E67C1A" w:rsidRPr="0027662B">
        <w:rPr>
          <w:rFonts w:ascii="Calibri" w:hAnsi="Calibri"/>
        </w:rPr>
        <w:t xml:space="preserve">. </w:t>
      </w:r>
      <w:r w:rsidR="00924F97" w:rsidRPr="0027662B">
        <w:rPr>
          <w:rFonts w:ascii="Calibri" w:hAnsi="Calibri"/>
        </w:rPr>
        <w:t>Students will have the chance to voice any concerns they may have about taking part in the study and ask questions. Only if their assent is provided voluntarily and free from coercion will it be regarded as legiti</w:t>
      </w:r>
      <w:r w:rsidR="00924F97" w:rsidRPr="00D71F93">
        <w:rPr>
          <w:rFonts w:ascii="Calibri" w:hAnsi="Calibri"/>
        </w:rPr>
        <w:t>mate (Stake, 1995).</w:t>
      </w:r>
      <w:r w:rsidR="00E67C1A" w:rsidRPr="00D71F93">
        <w:rPr>
          <w:rFonts w:ascii="Calibri" w:hAnsi="Calibri"/>
        </w:rPr>
        <w:t xml:space="preserve"> </w:t>
      </w:r>
      <w:r w:rsidR="00924F97" w:rsidRPr="00D71F93">
        <w:rPr>
          <w:rFonts w:ascii="Calibri" w:hAnsi="Calibri"/>
        </w:rPr>
        <w:t xml:space="preserve">To guarantee accountability and openness, the assent process will be </w:t>
      </w:r>
      <w:r w:rsidR="00232557" w:rsidRPr="00D71F93">
        <w:rPr>
          <w:rFonts w:ascii="Calibri" w:hAnsi="Calibri"/>
        </w:rPr>
        <w:t xml:space="preserve">given to each participant. See appendix 4 for assent outline. </w:t>
      </w:r>
      <w:r w:rsidR="00FD596F" w:rsidRPr="00D71F93">
        <w:rPr>
          <w:rFonts w:ascii="Calibri" w:hAnsi="Calibri"/>
        </w:rPr>
        <w:t>The detailed methods and processes for guaranteeing anonymity, confidentiality, and gaining consent from students are specified in the ethics form that has been authorised by the relevant ethics committe</w:t>
      </w:r>
      <w:r w:rsidR="002F096B" w:rsidRPr="00D71F93">
        <w:rPr>
          <w:rFonts w:ascii="Calibri" w:hAnsi="Calibri"/>
        </w:rPr>
        <w:t>e</w:t>
      </w:r>
      <w:r w:rsidR="00FD596F" w:rsidRPr="00D71F93">
        <w:rPr>
          <w:rFonts w:ascii="Calibri" w:hAnsi="Calibri"/>
        </w:rPr>
        <w:t xml:space="preserve">. For reference, the ethics form can be found in the appendices (Appendix </w:t>
      </w:r>
      <w:r w:rsidR="002F096B" w:rsidRPr="00D71F93">
        <w:rPr>
          <w:rFonts w:ascii="Calibri" w:hAnsi="Calibri"/>
        </w:rPr>
        <w:t>5</w:t>
      </w:r>
      <w:r w:rsidR="00FD596F" w:rsidRPr="00D71F93">
        <w:rPr>
          <w:rFonts w:ascii="Calibri" w:hAnsi="Calibri"/>
        </w:rPr>
        <w:t>).</w:t>
      </w:r>
    </w:p>
    <w:p w14:paraId="7EEA8226" w14:textId="77777777" w:rsidR="00D46D93" w:rsidRPr="002050F1" w:rsidRDefault="00D46D93" w:rsidP="000D068E">
      <w:pPr>
        <w:spacing w:line="360" w:lineRule="auto"/>
        <w:rPr>
          <w:rFonts w:ascii="Calibri" w:hAnsi="Calibri"/>
        </w:rPr>
      </w:pPr>
    </w:p>
    <w:p w14:paraId="7B05156D" w14:textId="77777777" w:rsidR="00D46D93" w:rsidRPr="002050F1" w:rsidRDefault="00D46D93" w:rsidP="000D068E">
      <w:pPr>
        <w:spacing w:line="360" w:lineRule="auto"/>
        <w:rPr>
          <w:rFonts w:ascii="Calibri" w:hAnsi="Calibri"/>
        </w:rPr>
      </w:pPr>
    </w:p>
    <w:p w14:paraId="2F679882" w14:textId="77777777" w:rsidR="009F2373" w:rsidRPr="002050F1" w:rsidRDefault="00842AE6" w:rsidP="000D068E">
      <w:pPr>
        <w:spacing w:line="360" w:lineRule="auto"/>
        <w:rPr>
          <w:rFonts w:ascii="Calibri" w:hAnsi="Calibri"/>
          <w:u w:val="single"/>
        </w:rPr>
      </w:pPr>
      <w:r w:rsidRPr="002050F1">
        <w:rPr>
          <w:rFonts w:ascii="Calibri" w:hAnsi="Calibri"/>
          <w:i/>
          <w:iCs/>
          <w:u w:val="single"/>
        </w:rPr>
        <w:t xml:space="preserve">Results/ </w:t>
      </w:r>
      <w:r w:rsidR="00AC54AC" w:rsidRPr="002050F1">
        <w:rPr>
          <w:rFonts w:ascii="Calibri" w:hAnsi="Calibri"/>
          <w:i/>
          <w:iCs/>
          <w:u w:val="single"/>
        </w:rPr>
        <w:t>analysis of results/ disc</w:t>
      </w:r>
      <w:r w:rsidR="009F2373" w:rsidRPr="002050F1">
        <w:rPr>
          <w:rFonts w:ascii="Calibri" w:hAnsi="Calibri"/>
          <w:i/>
          <w:iCs/>
          <w:u w:val="single"/>
        </w:rPr>
        <w:t>ussion (700</w:t>
      </w:r>
      <w:r w:rsidR="009F2373" w:rsidRPr="002050F1">
        <w:rPr>
          <w:rFonts w:ascii="Calibri" w:hAnsi="Calibri"/>
          <w:u w:val="single"/>
        </w:rPr>
        <w:t>)</w:t>
      </w:r>
    </w:p>
    <w:p w14:paraId="3CD0373E" w14:textId="3C246469" w:rsidR="004B28B0" w:rsidRPr="002050F1" w:rsidRDefault="009F2373" w:rsidP="000D068E">
      <w:pPr>
        <w:spacing w:line="360" w:lineRule="auto"/>
        <w:rPr>
          <w:rFonts w:ascii="Calibri" w:hAnsi="Calibri"/>
        </w:rPr>
      </w:pPr>
      <w:r w:rsidRPr="002050F1">
        <w:rPr>
          <w:rFonts w:ascii="Calibri" w:hAnsi="Calibri"/>
        </w:rPr>
        <w:t>Following the introduction of dojo points, focus group observations showed a discernible rise in good behaviours among pupils, supporting earlier research findi</w:t>
      </w:r>
      <w:r w:rsidRPr="00085497">
        <w:rPr>
          <w:rFonts w:ascii="Calibri" w:hAnsi="Calibri"/>
        </w:rPr>
        <w:t>ngs (Skinner, 1953).</w:t>
      </w:r>
      <w:r w:rsidRPr="002050F1">
        <w:rPr>
          <w:rFonts w:ascii="Calibri" w:hAnsi="Calibri"/>
        </w:rPr>
        <w:t xml:space="preserve"> More students participated in class activities, interacted politely with teachers and peers, and followed the rules as set forth.</w:t>
      </w:r>
      <w:r w:rsidR="00F4149F" w:rsidRPr="002050F1">
        <w:rPr>
          <w:rFonts w:ascii="Calibri" w:hAnsi="Calibri"/>
        </w:rPr>
        <w:t xml:space="preserve"> </w:t>
      </w:r>
      <w:r w:rsidRPr="002050F1">
        <w:rPr>
          <w:rFonts w:ascii="Calibri" w:hAnsi="Calibri"/>
        </w:rPr>
        <w:t>Furthermore, in line with research on the effectiveness of positive reinforcement techniques in classroom management, the use of dojo points promoted positive teacher-student interactions by allowing teachers to verbally praise and reinforce students when they demonstrated desired b</w:t>
      </w:r>
      <w:r w:rsidRPr="00BA7194">
        <w:rPr>
          <w:rFonts w:ascii="Calibri" w:hAnsi="Calibri"/>
        </w:rPr>
        <w:t>ehaviours (Marzano et al., 2003).</w:t>
      </w:r>
    </w:p>
    <w:p w14:paraId="4BF20BE8" w14:textId="52BAC83F" w:rsidR="009F2373" w:rsidRPr="002050F1" w:rsidRDefault="005620F7" w:rsidP="000D068E">
      <w:pPr>
        <w:spacing w:line="360" w:lineRule="auto"/>
        <w:rPr>
          <w:rFonts w:ascii="Calibri" w:hAnsi="Calibri"/>
        </w:rPr>
      </w:pPr>
      <w:r w:rsidRPr="002050F1">
        <w:rPr>
          <w:rFonts w:ascii="Calibri" w:hAnsi="Calibri"/>
        </w:rPr>
        <w:t xml:space="preserve">The difficulties that have been found, however, highlight the </w:t>
      </w:r>
      <w:r w:rsidRPr="00D85414">
        <w:rPr>
          <w:rFonts w:ascii="Calibri" w:hAnsi="Calibri"/>
        </w:rPr>
        <w:t>significance of a nuanced approach to behaviour control, which has been supported by academics like Weinstein et al</w:t>
      </w:r>
      <w:r w:rsidRPr="002050F1">
        <w:rPr>
          <w:rFonts w:ascii="Calibri" w:hAnsi="Calibri"/>
        </w:rPr>
        <w:t xml:space="preserve"> (2011). When implementing incentive systems like dojo points, educators must take into account any potential unintended consequences and integrate the system into a larger framework of positive behaviour support</w:t>
      </w:r>
    </w:p>
    <w:p w14:paraId="1A2EAB5A" w14:textId="5EA4C527" w:rsidR="0016773F" w:rsidRPr="002050F1" w:rsidRDefault="0005629E" w:rsidP="000D068E">
      <w:pPr>
        <w:spacing w:line="360" w:lineRule="auto"/>
        <w:rPr>
          <w:rFonts w:ascii="Calibri" w:hAnsi="Calibri"/>
        </w:rPr>
      </w:pPr>
      <w:r w:rsidRPr="002050F1">
        <w:rPr>
          <w:rFonts w:ascii="Calibri" w:hAnsi="Calibri"/>
        </w:rPr>
        <w:t xml:space="preserve">According to an analysis of year 1 and 2 teachers' questionnaire responses, dojo points are </w:t>
      </w:r>
      <w:r w:rsidRPr="00B854DD">
        <w:rPr>
          <w:rFonts w:ascii="Calibri" w:hAnsi="Calibri"/>
        </w:rPr>
        <w:t xml:space="preserve">widely seen favourably as a behaviour control tool, which is consistent with other research </w:t>
      </w:r>
      <w:r w:rsidRPr="00B854DD">
        <w:rPr>
          <w:rFonts w:ascii="Calibri" w:hAnsi="Calibri"/>
        </w:rPr>
        <w:lastRenderedPageBreak/>
        <w:t>findings (Cohen et al., 2013). Instruct</w:t>
      </w:r>
      <w:r w:rsidRPr="002050F1">
        <w:rPr>
          <w:rFonts w:ascii="Calibri" w:hAnsi="Calibri"/>
        </w:rPr>
        <w:t xml:space="preserve">ors agreed that dojo points are a useful tool for encouraging good behaviour and offering a fair and uniform approach to behaviour </w:t>
      </w:r>
      <w:r w:rsidR="002C684E" w:rsidRPr="002050F1">
        <w:rPr>
          <w:rFonts w:ascii="Calibri" w:hAnsi="Calibri"/>
        </w:rPr>
        <w:t>management. Teachers</w:t>
      </w:r>
      <w:r w:rsidRPr="002050F1">
        <w:rPr>
          <w:rFonts w:ascii="Calibri" w:hAnsi="Calibri"/>
        </w:rPr>
        <w:t xml:space="preserve"> also mentioned how dojo points were simple to include into classroom procedures and how easy they were to apply. These observations demonstrate the usefulness of this techn</w:t>
      </w:r>
      <w:r w:rsidRPr="00B854DD">
        <w:rPr>
          <w:rFonts w:ascii="Calibri" w:hAnsi="Calibri"/>
        </w:rPr>
        <w:t>ique in educational settings, which is corroborated by the body of research on the subject (</w:t>
      </w:r>
      <w:proofErr w:type="spellStart"/>
      <w:r w:rsidRPr="00B854DD">
        <w:rPr>
          <w:rFonts w:ascii="Calibri" w:hAnsi="Calibri"/>
        </w:rPr>
        <w:t>Bryman</w:t>
      </w:r>
      <w:proofErr w:type="spellEnd"/>
      <w:r w:rsidRPr="00B854DD">
        <w:rPr>
          <w:rFonts w:ascii="Calibri" w:hAnsi="Calibri"/>
        </w:rPr>
        <w:t>, 2016).</w:t>
      </w:r>
      <w:r w:rsidR="002C684E" w:rsidRPr="00B854DD">
        <w:rPr>
          <w:rFonts w:ascii="Calibri" w:hAnsi="Calibri"/>
        </w:rPr>
        <w:t xml:space="preserve"> </w:t>
      </w:r>
      <w:r w:rsidRPr="00B854DD">
        <w:rPr>
          <w:rFonts w:ascii="Calibri" w:hAnsi="Calibri"/>
        </w:rPr>
        <w:t>However, issues were brought up about the possible drawbacks of dojo points, reiterating themes in the research, such as the possibility of enhancing extrinsic motivation and the requirement for continual professional development to maximise their efficacy (Creswell, 2014).</w:t>
      </w:r>
    </w:p>
    <w:p w14:paraId="5C4FBEFE" w14:textId="76FA3AD3" w:rsidR="0022042E" w:rsidRPr="002050F1" w:rsidRDefault="004336F9" w:rsidP="000D068E">
      <w:pPr>
        <w:spacing w:line="360" w:lineRule="auto"/>
        <w:rPr>
          <w:rFonts w:ascii="Calibri" w:hAnsi="Calibri"/>
        </w:rPr>
      </w:pPr>
      <w:r w:rsidRPr="002050F1">
        <w:rPr>
          <w:rFonts w:ascii="Calibri" w:hAnsi="Calibri"/>
        </w:rPr>
        <w:t>In considering the application of Dojo points within the context of year 1 and 2 classes, it’s imperative to examine their potential impact on learner</w:t>
      </w:r>
      <w:r w:rsidRPr="00E475AD">
        <w:rPr>
          <w:rFonts w:ascii="Calibri" w:hAnsi="Calibri"/>
        </w:rPr>
        <w:t>s with Additional Learning Needs (ALN). Research by Avramidis and Norwich (2002) und</w:t>
      </w:r>
      <w:r w:rsidRPr="002050F1">
        <w:rPr>
          <w:rFonts w:ascii="Calibri" w:hAnsi="Calibri"/>
        </w:rPr>
        <w:t xml:space="preserve">erscores the importance of inclusive educational practices that cater to diverse learner needs. While Dojo points may effectively motivate and reinforce positive </w:t>
      </w:r>
      <w:r w:rsidR="0084025B" w:rsidRPr="002050F1">
        <w:rPr>
          <w:rFonts w:ascii="Calibri" w:hAnsi="Calibri"/>
        </w:rPr>
        <w:t>behaviours</w:t>
      </w:r>
      <w:r w:rsidRPr="002050F1">
        <w:rPr>
          <w:rFonts w:ascii="Calibri" w:hAnsi="Calibri"/>
        </w:rPr>
        <w:t xml:space="preserve"> for many students, their efficacy in supporting ALN students requires careful consideration. Studies by </w:t>
      </w:r>
      <w:proofErr w:type="spellStart"/>
      <w:r w:rsidRPr="00F143CD">
        <w:rPr>
          <w:rFonts w:ascii="Calibri" w:hAnsi="Calibri"/>
        </w:rPr>
        <w:t>Mastropieri</w:t>
      </w:r>
      <w:proofErr w:type="spellEnd"/>
      <w:r w:rsidRPr="00F143CD">
        <w:rPr>
          <w:rFonts w:ascii="Calibri" w:hAnsi="Calibri"/>
        </w:rPr>
        <w:t xml:space="preserve"> and Scru</w:t>
      </w:r>
      <w:r w:rsidRPr="008E68FE">
        <w:rPr>
          <w:rFonts w:ascii="Calibri" w:hAnsi="Calibri"/>
        </w:rPr>
        <w:t xml:space="preserve">ggs (2000) </w:t>
      </w:r>
      <w:r w:rsidR="00591414" w:rsidRPr="008E68FE">
        <w:rPr>
          <w:rFonts w:ascii="Calibri" w:hAnsi="Calibri"/>
        </w:rPr>
        <w:t>emphasise</w:t>
      </w:r>
      <w:r w:rsidRPr="008E68FE">
        <w:rPr>
          <w:rFonts w:ascii="Calibri" w:hAnsi="Calibri"/>
        </w:rPr>
        <w:t xml:space="preserve"> the need for differentiated approaches in </w:t>
      </w:r>
      <w:r w:rsidR="00591414" w:rsidRPr="008E68FE">
        <w:rPr>
          <w:rFonts w:ascii="Calibri" w:hAnsi="Calibri"/>
        </w:rPr>
        <w:t>behaviour</w:t>
      </w:r>
      <w:r w:rsidRPr="008E68FE">
        <w:rPr>
          <w:rFonts w:ascii="Calibri" w:hAnsi="Calibri"/>
        </w:rPr>
        <w:t xml:space="preserve"> management for students</w:t>
      </w:r>
      <w:r w:rsidRPr="002050F1">
        <w:rPr>
          <w:rFonts w:ascii="Calibri" w:hAnsi="Calibri"/>
        </w:rPr>
        <w:t xml:space="preserve"> with ALN. While Dojo points can provide a structured framework for </w:t>
      </w:r>
      <w:r w:rsidR="00591414" w:rsidRPr="002050F1">
        <w:rPr>
          <w:rFonts w:ascii="Calibri" w:hAnsi="Calibri"/>
        </w:rPr>
        <w:t>behaviour</w:t>
      </w:r>
      <w:r w:rsidRPr="002050F1">
        <w:rPr>
          <w:rFonts w:ascii="Calibri" w:hAnsi="Calibri"/>
        </w:rPr>
        <w:t xml:space="preserve"> reinforcement, educators must ensure that they do not inadvertently exacerbate feelings of exclusion or inadequacy among ALN students. Additionally, the risk of over-reliance on external rewards, as discussed b</w:t>
      </w:r>
      <w:r w:rsidRPr="006C2C0A">
        <w:rPr>
          <w:rFonts w:ascii="Calibri" w:hAnsi="Calibri"/>
        </w:rPr>
        <w:t xml:space="preserve">y </w:t>
      </w:r>
      <w:proofErr w:type="spellStart"/>
      <w:r w:rsidRPr="006C2C0A">
        <w:rPr>
          <w:rFonts w:ascii="Calibri" w:hAnsi="Calibri"/>
        </w:rPr>
        <w:t>Grolnick</w:t>
      </w:r>
      <w:proofErr w:type="spellEnd"/>
      <w:r w:rsidRPr="006C2C0A">
        <w:rPr>
          <w:rFonts w:ascii="Calibri" w:hAnsi="Calibri"/>
        </w:rPr>
        <w:t xml:space="preserve"> and Ryan (1989), may</w:t>
      </w:r>
      <w:r w:rsidRPr="002050F1">
        <w:rPr>
          <w:rFonts w:ascii="Calibri" w:hAnsi="Calibri"/>
        </w:rPr>
        <w:t xml:space="preserve"> undermine intrinsic motivation, particularly for ALN students who may already face challenges in self-regulation and engagement. Thus, educators must adopt a nuanced approach, integrating Dojo points within a broader framework of inclusive practices that address the unique needs of ALN students, as advocated by </w:t>
      </w:r>
      <w:r w:rsidRPr="00881588">
        <w:rPr>
          <w:rFonts w:ascii="Calibri" w:hAnsi="Calibri"/>
        </w:rPr>
        <w:t>Florian and Rouse (2009)</w:t>
      </w:r>
      <w:r w:rsidRPr="002050F1">
        <w:rPr>
          <w:rFonts w:ascii="Calibri" w:hAnsi="Calibri"/>
        </w:rPr>
        <w:t xml:space="preserve">. By combining positive reinforcement strategies with </w:t>
      </w:r>
      <w:r w:rsidR="00D16373" w:rsidRPr="002050F1">
        <w:rPr>
          <w:rFonts w:ascii="Calibri" w:hAnsi="Calibri"/>
        </w:rPr>
        <w:t>individualised</w:t>
      </w:r>
      <w:r w:rsidRPr="002050F1">
        <w:rPr>
          <w:rFonts w:ascii="Calibri" w:hAnsi="Calibri"/>
        </w:rPr>
        <w:t xml:space="preserve"> support, educators can create a supportive and inclusive learning environment that promotes the holistic development of all students, including those with ALN.</w:t>
      </w:r>
    </w:p>
    <w:p w14:paraId="3CEC43B5" w14:textId="61534D4C" w:rsidR="00C461E2" w:rsidRPr="002050F1" w:rsidRDefault="001F59A7" w:rsidP="000D068E">
      <w:pPr>
        <w:spacing w:line="360" w:lineRule="auto"/>
        <w:rPr>
          <w:rFonts w:ascii="Calibri" w:hAnsi="Calibri"/>
        </w:rPr>
      </w:pPr>
      <w:r w:rsidRPr="002050F1">
        <w:rPr>
          <w:rFonts w:ascii="Calibri" w:eastAsia="Times New Roman" w:hAnsi="Calibri"/>
          <w:color w:val="000000"/>
        </w:rPr>
        <w:t>The results of the study on the benefits and drawbacks of using Dojo points in a year</w:t>
      </w:r>
      <w:r w:rsidR="00D52918" w:rsidRPr="002050F1">
        <w:rPr>
          <w:rFonts w:ascii="Calibri" w:eastAsia="Times New Roman" w:hAnsi="Calibri"/>
          <w:color w:val="000000"/>
        </w:rPr>
        <w:t xml:space="preserve"> 1 and year 2</w:t>
      </w:r>
      <w:r w:rsidRPr="002050F1">
        <w:rPr>
          <w:rFonts w:ascii="Calibri" w:eastAsia="Times New Roman" w:hAnsi="Calibri"/>
          <w:color w:val="000000"/>
        </w:rPr>
        <w:t xml:space="preserve"> classroom show certain subtleties that are influenced by the varied requirements and characteristics of the participants, who range in age from 5 to 7. Positively, students who were younger</w:t>
      </w:r>
      <w:r w:rsidR="005B0B74" w:rsidRPr="002050F1">
        <w:rPr>
          <w:rFonts w:ascii="Calibri" w:eastAsia="Times New Roman" w:hAnsi="Calibri"/>
          <w:color w:val="000000"/>
        </w:rPr>
        <w:t xml:space="preserve">- </w:t>
      </w:r>
      <w:r w:rsidRPr="002050F1">
        <w:rPr>
          <w:rFonts w:ascii="Calibri" w:eastAsia="Times New Roman" w:hAnsi="Calibri"/>
          <w:color w:val="000000"/>
        </w:rPr>
        <w:t>typically 5 years old</w:t>
      </w:r>
      <w:r w:rsidR="005B0B74" w:rsidRPr="002050F1">
        <w:rPr>
          <w:rFonts w:ascii="Calibri" w:eastAsia="Times New Roman" w:hAnsi="Calibri"/>
          <w:color w:val="000000"/>
        </w:rPr>
        <w:t xml:space="preserve">- </w:t>
      </w:r>
      <w:r w:rsidRPr="002050F1">
        <w:rPr>
          <w:rFonts w:ascii="Calibri" w:eastAsia="Times New Roman" w:hAnsi="Calibri"/>
          <w:color w:val="000000"/>
        </w:rPr>
        <w:t xml:space="preserve">showed a significant increase in engagement and </w:t>
      </w:r>
      <w:r w:rsidRPr="002050F1">
        <w:rPr>
          <w:rFonts w:ascii="Calibri" w:eastAsia="Times New Roman" w:hAnsi="Calibri"/>
          <w:color w:val="000000"/>
        </w:rPr>
        <w:lastRenderedPageBreak/>
        <w:t>adherence to classroom rules, which is consistent with developm</w:t>
      </w:r>
      <w:r w:rsidRPr="008A2BB5">
        <w:rPr>
          <w:rFonts w:ascii="Calibri" w:eastAsia="Times New Roman" w:hAnsi="Calibri"/>
          <w:color w:val="000000"/>
        </w:rPr>
        <w:t>ental theories that highlight the significance of external reinforcement in the early years of development (Berk, 2013).</w:t>
      </w:r>
      <w:r w:rsidRPr="002050F1">
        <w:rPr>
          <w:rFonts w:ascii="Calibri" w:eastAsia="Times New Roman" w:hAnsi="Calibri"/>
          <w:color w:val="000000"/>
        </w:rPr>
        <w:t xml:space="preserve"> Dojo points functioned as a concrete and instantaneous reward system for these students, efficiently stimulating favourable conduct and cultivating a feeling of achievement. On the other hand, participants who were older</w:t>
      </w:r>
      <w:r w:rsidR="00331CA5" w:rsidRPr="002050F1">
        <w:rPr>
          <w:rFonts w:ascii="Calibri" w:eastAsia="Times New Roman" w:hAnsi="Calibri"/>
          <w:color w:val="000000"/>
        </w:rPr>
        <w:t xml:space="preserve">- </w:t>
      </w:r>
      <w:r w:rsidRPr="002050F1">
        <w:rPr>
          <w:rFonts w:ascii="Calibri" w:eastAsia="Times New Roman" w:hAnsi="Calibri"/>
          <w:color w:val="000000"/>
        </w:rPr>
        <w:t>roughly 7 years old</w:t>
      </w:r>
      <w:r w:rsidR="00331CA5" w:rsidRPr="002050F1">
        <w:rPr>
          <w:rFonts w:ascii="Calibri" w:eastAsia="Times New Roman" w:hAnsi="Calibri"/>
          <w:color w:val="000000"/>
        </w:rPr>
        <w:t xml:space="preserve">- </w:t>
      </w:r>
      <w:r w:rsidRPr="002050F1">
        <w:rPr>
          <w:rFonts w:ascii="Calibri" w:eastAsia="Times New Roman" w:hAnsi="Calibri"/>
          <w:color w:val="000000"/>
        </w:rPr>
        <w:t xml:space="preserve">showed a more sophisticated comprehension of the Dojo points system and used it as a tool for peer cooperation and self-regulation. </w:t>
      </w:r>
      <w:r w:rsidR="00F95568" w:rsidRPr="002050F1">
        <w:rPr>
          <w:rFonts w:ascii="Calibri" w:eastAsia="Times New Roman" w:hAnsi="Calibri"/>
          <w:color w:val="000000"/>
        </w:rPr>
        <w:t xml:space="preserve">This aligns with research suggesting that older children are more capable of internalising and regulating their behaviour </w:t>
      </w:r>
      <w:r w:rsidR="00F95568" w:rsidRPr="005A677E">
        <w:rPr>
          <w:rFonts w:ascii="Calibri" w:eastAsia="Times New Roman" w:hAnsi="Calibri"/>
          <w:color w:val="000000"/>
        </w:rPr>
        <w:t>(</w:t>
      </w:r>
      <w:proofErr w:type="spellStart"/>
      <w:r w:rsidR="00F95568" w:rsidRPr="005A677E">
        <w:rPr>
          <w:rFonts w:ascii="Calibri" w:eastAsia="Times New Roman" w:hAnsi="Calibri"/>
          <w:color w:val="000000"/>
        </w:rPr>
        <w:t>Vygotsky</w:t>
      </w:r>
      <w:proofErr w:type="spellEnd"/>
      <w:r w:rsidR="00F95568" w:rsidRPr="005A677E">
        <w:rPr>
          <w:rFonts w:ascii="Calibri" w:eastAsia="Times New Roman" w:hAnsi="Calibri"/>
          <w:color w:val="000000"/>
        </w:rPr>
        <w:t>, 1978). However,</w:t>
      </w:r>
      <w:r w:rsidR="00F95568" w:rsidRPr="002050F1">
        <w:rPr>
          <w:rFonts w:ascii="Calibri" w:eastAsia="Times New Roman" w:hAnsi="Calibri"/>
          <w:color w:val="000000"/>
        </w:rPr>
        <w:t xml:space="preserve"> challenges were noted among participants with diverse learning needs. For instance, </w:t>
      </w:r>
      <w:r w:rsidR="00005B8E" w:rsidRPr="002050F1">
        <w:rPr>
          <w:rFonts w:ascii="Calibri" w:eastAsia="Times New Roman" w:hAnsi="Calibri"/>
          <w:color w:val="000000"/>
        </w:rPr>
        <w:t>a learner in my observation group,</w:t>
      </w:r>
      <w:r w:rsidR="00F95568" w:rsidRPr="002050F1">
        <w:rPr>
          <w:rFonts w:ascii="Calibri" w:eastAsia="Times New Roman" w:hAnsi="Calibri"/>
          <w:color w:val="000000"/>
        </w:rPr>
        <w:t xml:space="preserve"> on the autistic spectrum responded positively to the structure and predictability o</w:t>
      </w:r>
      <w:r w:rsidR="00F95568" w:rsidRPr="00B51F01">
        <w:rPr>
          <w:rFonts w:ascii="Calibri" w:eastAsia="Times New Roman" w:hAnsi="Calibri"/>
          <w:color w:val="000000"/>
        </w:rPr>
        <w:t>f Dojo points but required additional support in understanding social cues and interpreting feedback, highlighting the importance of individualised accommodations (Fletcher-Watson et al., 2016).</w:t>
      </w:r>
      <w:r w:rsidR="0035035D" w:rsidRPr="00B51F01">
        <w:rPr>
          <w:rFonts w:ascii="Calibri" w:eastAsia="Times New Roman" w:hAnsi="Calibri"/>
          <w:color w:val="000000"/>
        </w:rPr>
        <w:t xml:space="preserve"> </w:t>
      </w:r>
      <w:r w:rsidR="00174A36" w:rsidRPr="00B51F01">
        <w:rPr>
          <w:rFonts w:ascii="Calibri" w:eastAsia="Times New Roman" w:hAnsi="Calibri"/>
          <w:color w:val="000000"/>
        </w:rPr>
        <w:t>Add</w:t>
      </w:r>
      <w:r w:rsidR="00174A36" w:rsidRPr="002050F1">
        <w:rPr>
          <w:rFonts w:ascii="Calibri" w:eastAsia="Times New Roman" w:hAnsi="Calibri"/>
          <w:color w:val="000000"/>
        </w:rPr>
        <w:t xml:space="preserve">itionally, a </w:t>
      </w:r>
      <w:r w:rsidR="004F65E2" w:rsidRPr="002050F1">
        <w:rPr>
          <w:rFonts w:ascii="Calibri" w:eastAsia="Times New Roman" w:hAnsi="Calibri"/>
          <w:color w:val="000000"/>
        </w:rPr>
        <w:t>learner</w:t>
      </w:r>
      <w:r w:rsidR="00174A36" w:rsidRPr="002050F1">
        <w:rPr>
          <w:rFonts w:ascii="Calibri" w:eastAsia="Times New Roman" w:hAnsi="Calibri"/>
          <w:color w:val="000000"/>
        </w:rPr>
        <w:t xml:space="preserve"> in my observation group is identifies as</w:t>
      </w:r>
      <w:r w:rsidR="0035035D" w:rsidRPr="002050F1">
        <w:rPr>
          <w:rFonts w:ascii="Calibri" w:eastAsia="Times New Roman" w:hAnsi="Calibri"/>
          <w:color w:val="000000"/>
        </w:rPr>
        <w:t xml:space="preserve"> more able and talented (MAT) gave excellent performance but showed ambivalence towards outside rewards, favouring chances for intellectual challenge and creative expression. This behaviour is consistent wit</w:t>
      </w:r>
      <w:r w:rsidR="0035035D" w:rsidRPr="002F165A">
        <w:rPr>
          <w:rFonts w:ascii="Calibri" w:eastAsia="Times New Roman" w:hAnsi="Calibri"/>
          <w:color w:val="000000"/>
        </w:rPr>
        <w:t>h studies on the complex motivational dynamics of gifted people (</w:t>
      </w:r>
      <w:proofErr w:type="spellStart"/>
      <w:r w:rsidR="0035035D" w:rsidRPr="002F165A">
        <w:rPr>
          <w:rFonts w:ascii="Calibri" w:eastAsia="Times New Roman" w:hAnsi="Calibri"/>
          <w:color w:val="000000"/>
        </w:rPr>
        <w:t>Gagné</w:t>
      </w:r>
      <w:proofErr w:type="spellEnd"/>
      <w:r w:rsidR="0035035D" w:rsidRPr="002F165A">
        <w:rPr>
          <w:rFonts w:ascii="Calibri" w:eastAsia="Times New Roman" w:hAnsi="Calibri"/>
          <w:color w:val="000000"/>
        </w:rPr>
        <w:t>, 2008). Therefore, even w</w:t>
      </w:r>
      <w:r w:rsidR="0035035D" w:rsidRPr="002050F1">
        <w:rPr>
          <w:rFonts w:ascii="Calibri" w:eastAsia="Times New Roman" w:hAnsi="Calibri"/>
          <w:color w:val="000000"/>
        </w:rPr>
        <w:t>hile Dojo points are a useful tool for motivating students of all ages and managing behaviour, their efficacy depends on giving individual variations due consideration and providing support that is specifically designed to suit the requirements of the diverse set of students in a year 1 and 2 classroom.</w:t>
      </w:r>
    </w:p>
    <w:p w14:paraId="3EDCB2BD" w14:textId="333E11AF" w:rsidR="00CA68B5" w:rsidRPr="002050F1" w:rsidRDefault="00387FC1" w:rsidP="000D068E">
      <w:pPr>
        <w:spacing w:line="360" w:lineRule="auto"/>
        <w:rPr>
          <w:rFonts w:ascii="Calibri" w:hAnsi="Calibri"/>
        </w:rPr>
      </w:pPr>
      <w:r w:rsidRPr="002050F1">
        <w:rPr>
          <w:rFonts w:ascii="Calibri" w:hAnsi="Calibri"/>
        </w:rPr>
        <w:t>The study's findings add to the expanding corpus of research on behaviour control in learning environments by shedding light on the usefulness and practical application of dojo points. Although the results affirm the effectiveness of dojo points in encouraging excellent behaviour, they also emphasise the necessity of carefully weighing any potential disadvantages.</w:t>
      </w:r>
      <w:r w:rsidR="00DC5F7C" w:rsidRPr="002050F1">
        <w:rPr>
          <w:rFonts w:ascii="Calibri" w:hAnsi="Calibri"/>
        </w:rPr>
        <w:t xml:space="preserve"> </w:t>
      </w:r>
      <w:r w:rsidRPr="002050F1">
        <w:rPr>
          <w:rFonts w:ascii="Calibri" w:hAnsi="Calibri"/>
        </w:rPr>
        <w:t>Teachers should use the knowledge gained to apply dojo points wisely in the future, keeping in mind the unique requirements of each student as well as the larger context of their classroom. Future studies could look into cutting-edge methods of behaviour control that combine intrinsic and extrinsic motivation techniques to provide a welcoming and encouraging learning environment.</w:t>
      </w:r>
    </w:p>
    <w:p w14:paraId="2F8DCFD1" w14:textId="77777777" w:rsidR="00CA68B5" w:rsidRPr="002050F1" w:rsidRDefault="00CA68B5" w:rsidP="000D068E">
      <w:pPr>
        <w:spacing w:line="360" w:lineRule="auto"/>
        <w:rPr>
          <w:rFonts w:ascii="Calibri" w:hAnsi="Calibri"/>
        </w:rPr>
      </w:pPr>
    </w:p>
    <w:p w14:paraId="01211EF6" w14:textId="19BC8EB6" w:rsidR="00015E00" w:rsidRPr="002050F1" w:rsidRDefault="00015E00" w:rsidP="000D068E">
      <w:pPr>
        <w:spacing w:line="360" w:lineRule="auto"/>
        <w:rPr>
          <w:rFonts w:ascii="Calibri" w:hAnsi="Calibri"/>
          <w:i/>
          <w:iCs/>
          <w:u w:val="single"/>
        </w:rPr>
      </w:pPr>
      <w:r w:rsidRPr="002050F1">
        <w:rPr>
          <w:rFonts w:ascii="Calibri" w:hAnsi="Calibri"/>
          <w:i/>
          <w:iCs/>
          <w:u w:val="single"/>
        </w:rPr>
        <w:t>Conclusions</w:t>
      </w:r>
    </w:p>
    <w:p w14:paraId="1CABE29B" w14:textId="509E0803" w:rsidR="00A62EDD" w:rsidRPr="00CC50C7" w:rsidRDefault="00EC3C6B" w:rsidP="000D068E">
      <w:pPr>
        <w:spacing w:line="360" w:lineRule="auto"/>
        <w:rPr>
          <w:rFonts w:ascii="Calibri" w:hAnsi="Calibri"/>
        </w:rPr>
      </w:pPr>
      <w:r w:rsidRPr="002050F1">
        <w:rPr>
          <w:rFonts w:ascii="Calibri" w:hAnsi="Calibri"/>
        </w:rPr>
        <w:lastRenderedPageBreak/>
        <w:t>The choice of questionnaires and observatio</w:t>
      </w:r>
      <w:r w:rsidRPr="009E0993">
        <w:rPr>
          <w:rFonts w:ascii="Calibri" w:hAnsi="Calibri"/>
        </w:rPr>
        <w:t>ns as data collection tools is consistent with accepted standards in educational research (Cohen et al., 2013). While the use of standardised questionnaire items improves the dependability of participant replies, observations made over several sessions guarantee consistency and reliability in recording classroom dynamics (Merriam, 2009). (</w:t>
      </w:r>
      <w:proofErr w:type="spellStart"/>
      <w:r w:rsidRPr="009E0993">
        <w:rPr>
          <w:rFonts w:ascii="Calibri" w:hAnsi="Calibri"/>
        </w:rPr>
        <w:t>Bryman</w:t>
      </w:r>
      <w:proofErr w:type="spellEnd"/>
      <w:r w:rsidRPr="009E0993">
        <w:rPr>
          <w:rFonts w:ascii="Calibri" w:hAnsi="Calibri"/>
        </w:rPr>
        <w:t>, 2016).</w:t>
      </w:r>
      <w:r w:rsidR="00F938E5" w:rsidRPr="009E0993">
        <w:rPr>
          <w:rFonts w:ascii="Calibri" w:hAnsi="Calibri"/>
        </w:rPr>
        <w:t xml:space="preserve"> </w:t>
      </w:r>
      <w:r w:rsidR="00A62EDD" w:rsidRPr="009E0993">
        <w:rPr>
          <w:rFonts w:ascii="Calibri" w:hAnsi="Calibri"/>
        </w:rPr>
        <w:t>The validity of the data gathered is enhanced by the structured observation schedule and the utilisation of recognised components in the questionnaire items (Creswell, 2014). Th</w:t>
      </w:r>
      <w:r w:rsidR="00A62EDD" w:rsidRPr="002050F1">
        <w:rPr>
          <w:rFonts w:ascii="Calibri" w:hAnsi="Calibri"/>
        </w:rPr>
        <w:t>e study improves the validity of its conclusions by firmly establishing the research techniques in theoretical frameworks pertaining to classroom dynamics and behavio</w:t>
      </w:r>
      <w:r w:rsidR="00A62EDD" w:rsidRPr="0043175A">
        <w:rPr>
          <w:rFonts w:ascii="Calibri" w:hAnsi="Calibri"/>
        </w:rPr>
        <w:t>ur management (Marzano et al., 2003).</w:t>
      </w:r>
      <w:r w:rsidR="00F938E5" w:rsidRPr="002050F1">
        <w:rPr>
          <w:rFonts w:ascii="Calibri" w:hAnsi="Calibri"/>
        </w:rPr>
        <w:t xml:space="preserve"> </w:t>
      </w:r>
      <w:r w:rsidR="000515A1" w:rsidRPr="002050F1">
        <w:rPr>
          <w:rFonts w:ascii="Calibri" w:hAnsi="Calibri"/>
        </w:rPr>
        <w:t>Although the results offer insightful information about the efficacy of dojo points in year 1 and 2 classes, care should be used wh</w:t>
      </w:r>
      <w:r w:rsidR="000515A1" w:rsidRPr="009E0993">
        <w:rPr>
          <w:rFonts w:ascii="Calibri" w:hAnsi="Calibri"/>
        </w:rPr>
        <w:t xml:space="preserve">en extrapolating the findings to larger settings (Stake, 1995). The study stresses the need for larger and more diverse samples in future research to establish </w:t>
      </w:r>
      <w:r w:rsidR="00A515DB" w:rsidRPr="009E0993">
        <w:rPr>
          <w:rFonts w:ascii="Calibri" w:hAnsi="Calibri"/>
        </w:rPr>
        <w:t>generalisability</w:t>
      </w:r>
      <w:r w:rsidR="000515A1" w:rsidRPr="009E0993">
        <w:rPr>
          <w:rFonts w:ascii="Calibri" w:hAnsi="Calibri"/>
        </w:rPr>
        <w:t xml:space="preserve"> (</w:t>
      </w:r>
      <w:proofErr w:type="spellStart"/>
      <w:r w:rsidR="000515A1" w:rsidRPr="009E0993">
        <w:rPr>
          <w:rFonts w:ascii="Calibri" w:hAnsi="Calibri"/>
        </w:rPr>
        <w:t>Flyvbjerg</w:t>
      </w:r>
      <w:proofErr w:type="spellEnd"/>
      <w:r w:rsidR="000515A1" w:rsidRPr="009E0993">
        <w:rPr>
          <w:rFonts w:ascii="Calibri" w:hAnsi="Calibri"/>
        </w:rPr>
        <w:t>, 20</w:t>
      </w:r>
      <w:r w:rsidR="000515A1" w:rsidRPr="00CC50C7">
        <w:rPr>
          <w:rFonts w:ascii="Calibri" w:hAnsi="Calibri"/>
        </w:rPr>
        <w:t>06) and admits the limits of its sample size and participant characteristics (Palinkas et al., 2015).</w:t>
      </w:r>
    </w:p>
    <w:p w14:paraId="3B517224" w14:textId="797AC4E7" w:rsidR="00F92E4A" w:rsidRPr="00CC50C7" w:rsidRDefault="00452EB6" w:rsidP="000D068E">
      <w:pPr>
        <w:spacing w:line="360" w:lineRule="auto"/>
        <w:rPr>
          <w:rFonts w:ascii="Calibri" w:hAnsi="Calibri"/>
        </w:rPr>
      </w:pPr>
      <w:r w:rsidRPr="00CC50C7">
        <w:rPr>
          <w:rFonts w:ascii="Calibri" w:hAnsi="Calibri"/>
        </w:rPr>
        <w:t>Using longitudinal research methodologies, future research building on this study could examine the long-term impacts of dojo points on student behaviour and academic outcomes (Cohen et al., 2013). Furthermore, doing experimental study to compare various behaviour management interventions may shed light on the best methods for encouraging positive behaviour in the classroom (</w:t>
      </w:r>
      <w:proofErr w:type="spellStart"/>
      <w:r w:rsidRPr="00CC50C7">
        <w:rPr>
          <w:rFonts w:ascii="Calibri" w:hAnsi="Calibri"/>
        </w:rPr>
        <w:t>Bryman</w:t>
      </w:r>
      <w:proofErr w:type="spellEnd"/>
      <w:r w:rsidRPr="00CC50C7">
        <w:rPr>
          <w:rFonts w:ascii="Calibri" w:hAnsi="Calibri"/>
        </w:rPr>
        <w:t>, 2016).</w:t>
      </w:r>
    </w:p>
    <w:p w14:paraId="62BCFF53" w14:textId="185E295B" w:rsidR="0032547D" w:rsidRPr="002050F1" w:rsidRDefault="00CA6EC0" w:rsidP="000D068E">
      <w:pPr>
        <w:spacing w:line="360" w:lineRule="auto"/>
        <w:rPr>
          <w:rFonts w:ascii="Calibri" w:hAnsi="Calibri"/>
        </w:rPr>
      </w:pPr>
      <w:r w:rsidRPr="00CC50C7">
        <w:rPr>
          <w:rFonts w:ascii="Calibri" w:hAnsi="Calibri"/>
        </w:rPr>
        <w:t>By using rigorous research methodologies and ethical considerations, the study complies with professional norms in education (Creswell, 2014). The</w:t>
      </w:r>
      <w:r w:rsidRPr="002050F1">
        <w:rPr>
          <w:rFonts w:ascii="Calibri" w:hAnsi="Calibri"/>
        </w:rPr>
        <w:t xml:space="preserve"> study is in line with professional norms of evidence-based practice and continuous development because it adds to the body of knowledge about effective teaching approa</w:t>
      </w:r>
      <w:r w:rsidRPr="00CC50C7">
        <w:rPr>
          <w:rFonts w:ascii="Calibri" w:hAnsi="Calibri"/>
        </w:rPr>
        <w:t>ches (Cohen et al., 2013). Additionally, the focus on moral behaviour shows a dedication to maintaining the accountability and integrity standards of the profession in educational research (</w:t>
      </w:r>
      <w:proofErr w:type="spellStart"/>
      <w:r w:rsidRPr="00CC50C7">
        <w:rPr>
          <w:rFonts w:ascii="Calibri" w:hAnsi="Calibri"/>
        </w:rPr>
        <w:t>Bogdan</w:t>
      </w:r>
      <w:proofErr w:type="spellEnd"/>
      <w:r w:rsidRPr="00CC50C7">
        <w:rPr>
          <w:rFonts w:ascii="Calibri" w:hAnsi="Calibri"/>
        </w:rPr>
        <w:t xml:space="preserve"> &amp; </w:t>
      </w:r>
      <w:proofErr w:type="spellStart"/>
      <w:r w:rsidRPr="00CC50C7">
        <w:rPr>
          <w:rFonts w:ascii="Calibri" w:hAnsi="Calibri"/>
        </w:rPr>
        <w:t>Biklen</w:t>
      </w:r>
      <w:proofErr w:type="spellEnd"/>
      <w:r w:rsidRPr="00CC50C7">
        <w:rPr>
          <w:rFonts w:ascii="Calibri" w:hAnsi="Calibri"/>
        </w:rPr>
        <w:t>, 2007).</w:t>
      </w:r>
    </w:p>
    <w:p w14:paraId="64733591" w14:textId="77777777" w:rsidR="00F8641B" w:rsidRPr="002050F1" w:rsidRDefault="00F8641B" w:rsidP="000D068E">
      <w:pPr>
        <w:spacing w:line="360" w:lineRule="auto"/>
        <w:rPr>
          <w:rFonts w:ascii="Calibri" w:hAnsi="Calibri"/>
        </w:rPr>
      </w:pPr>
    </w:p>
    <w:p w14:paraId="5A754C0B" w14:textId="730323A3" w:rsidR="00D8631E" w:rsidRPr="002050F1" w:rsidRDefault="007318C2" w:rsidP="000D068E">
      <w:pPr>
        <w:spacing w:line="360" w:lineRule="auto"/>
        <w:rPr>
          <w:rFonts w:ascii="Calibri" w:hAnsi="Calibri"/>
          <w:u w:val="single"/>
        </w:rPr>
      </w:pPr>
      <w:r w:rsidRPr="002050F1">
        <w:rPr>
          <w:rFonts w:ascii="Calibri" w:hAnsi="Calibri"/>
          <w:u w:val="single"/>
        </w:rPr>
        <w:t xml:space="preserve">Recommendations </w:t>
      </w:r>
    </w:p>
    <w:p w14:paraId="439E8FAC" w14:textId="529FE086" w:rsidR="00590C6B" w:rsidRPr="002050F1" w:rsidRDefault="00D8631E" w:rsidP="000D068E">
      <w:pPr>
        <w:spacing w:line="360" w:lineRule="auto"/>
        <w:rPr>
          <w:rFonts w:ascii="Calibri" w:hAnsi="Calibri"/>
        </w:rPr>
      </w:pPr>
      <w:r w:rsidRPr="002050F1">
        <w:rPr>
          <w:rFonts w:ascii="Calibri" w:hAnsi="Calibri"/>
        </w:rPr>
        <w:t>Provide instructors with focused professional development opportunities to improve their comprehension a</w:t>
      </w:r>
      <w:r w:rsidRPr="00CC50C7">
        <w:rPr>
          <w:rFonts w:ascii="Calibri" w:hAnsi="Calibri"/>
        </w:rPr>
        <w:t xml:space="preserve">nd application of behaviour control techniques, such as the use of dojo points. This suggestion is in line with studies that highlight the value of continuous </w:t>
      </w:r>
      <w:r w:rsidRPr="00CC50C7">
        <w:rPr>
          <w:rFonts w:ascii="Calibri" w:hAnsi="Calibri"/>
        </w:rPr>
        <w:lastRenderedPageBreak/>
        <w:t>professional development and assistance for educators employing evidence-based methods (Cohen et al., 2013).</w:t>
      </w:r>
    </w:p>
    <w:p w14:paraId="6E0EBDE8" w14:textId="2A6DEB4A" w:rsidR="00D8631E" w:rsidRPr="002050F1" w:rsidRDefault="00E86F81" w:rsidP="000D068E">
      <w:pPr>
        <w:spacing w:line="360" w:lineRule="auto"/>
        <w:rPr>
          <w:rFonts w:ascii="Calibri" w:hAnsi="Calibri"/>
        </w:rPr>
      </w:pPr>
      <w:r w:rsidRPr="002050F1">
        <w:rPr>
          <w:rFonts w:ascii="Calibri" w:hAnsi="Calibri"/>
        </w:rPr>
        <w:t>To promote a more comprehensive approach to behaviour management, investigate the integration of extrinsic rew</w:t>
      </w:r>
      <w:r w:rsidRPr="00AE5EFB">
        <w:rPr>
          <w:rFonts w:ascii="Calibri" w:hAnsi="Calibri"/>
        </w:rPr>
        <w:t>ards, like dojo points, with intrinsic motivating tactics. The literature, which emphasises the need to strike a balance between internal and extrinsic motivation in order to encourage positive behaviour and sustained engagement, supports this advice (Deci &amp; Ryan, 1985).</w:t>
      </w:r>
    </w:p>
    <w:p w14:paraId="4B390A09" w14:textId="4E6C7092" w:rsidR="00E86F81" w:rsidRPr="004D4370" w:rsidRDefault="008675A7" w:rsidP="000D068E">
      <w:pPr>
        <w:spacing w:line="360" w:lineRule="auto"/>
        <w:rPr>
          <w:rFonts w:ascii="Calibri" w:hAnsi="Calibri"/>
        </w:rPr>
      </w:pPr>
      <w:r w:rsidRPr="002050F1">
        <w:rPr>
          <w:rFonts w:ascii="Calibri" w:hAnsi="Calibri"/>
        </w:rPr>
        <w:t>Examine the long-term consequences of employing dojo points on student behaviour and academic outcomes by conducting longitudinal studies. This advice is in line with studies that demonstrate the benefits of longitudi</w:t>
      </w:r>
      <w:r w:rsidRPr="004D4370">
        <w:rPr>
          <w:rFonts w:ascii="Calibri" w:hAnsi="Calibri"/>
        </w:rPr>
        <w:t>nal research designs for monitoring behaviour management strategies' efficacy over time (Cohen et al., 2013).</w:t>
      </w:r>
    </w:p>
    <w:p w14:paraId="522D5509" w14:textId="06B206A2" w:rsidR="008675A7" w:rsidRPr="002050F1" w:rsidRDefault="008412AC" w:rsidP="000D068E">
      <w:pPr>
        <w:spacing w:line="360" w:lineRule="auto"/>
        <w:rPr>
          <w:rFonts w:ascii="Calibri" w:hAnsi="Calibri"/>
        </w:rPr>
      </w:pPr>
      <w:r w:rsidRPr="004D4370">
        <w:rPr>
          <w:rFonts w:ascii="Calibri" w:hAnsi="Calibri"/>
        </w:rPr>
        <w:t>To find the best methods for encouraging good behaviour in the classroom, compare the efficacy of dojo points with that of other behaviour control techniques. This suggestion is in line with studies that support the use of comparative study designs to assess the relative benefits of various intervention strategies (</w:t>
      </w:r>
      <w:proofErr w:type="spellStart"/>
      <w:r w:rsidRPr="004D4370">
        <w:rPr>
          <w:rFonts w:ascii="Calibri" w:hAnsi="Calibri"/>
        </w:rPr>
        <w:t>Bryman</w:t>
      </w:r>
      <w:proofErr w:type="spellEnd"/>
      <w:r w:rsidRPr="004D4370">
        <w:rPr>
          <w:rFonts w:ascii="Calibri" w:hAnsi="Calibri"/>
        </w:rPr>
        <w:t>, 2016).</w:t>
      </w:r>
    </w:p>
    <w:p w14:paraId="2159F35A" w14:textId="488DE89C" w:rsidR="008412AC" w:rsidRPr="002050F1" w:rsidRDefault="00630A72" w:rsidP="000D068E">
      <w:pPr>
        <w:spacing w:line="360" w:lineRule="auto"/>
        <w:rPr>
          <w:rFonts w:ascii="Calibri" w:hAnsi="Calibri"/>
        </w:rPr>
      </w:pPr>
      <w:r w:rsidRPr="002050F1">
        <w:rPr>
          <w:rFonts w:ascii="Calibri" w:hAnsi="Calibri"/>
        </w:rPr>
        <w:t>Consider the various cultural backgrounds and experiences of your pupils when implementing behaviour m</w:t>
      </w:r>
      <w:r w:rsidRPr="00FE4173">
        <w:rPr>
          <w:rFonts w:ascii="Calibri" w:hAnsi="Calibri"/>
        </w:rPr>
        <w:t>anagement techniques by incorporating culturally responsive tactics. This advice is consistent with research that emphasises the value of cultural competence in learning environments and how it affects students' engagement and performance (Gay, 2000).</w:t>
      </w:r>
    </w:p>
    <w:p w14:paraId="3AD4AA1C" w14:textId="3C8EC8C1" w:rsidR="00590C6B" w:rsidRPr="002050F1" w:rsidRDefault="0016656A" w:rsidP="000D068E">
      <w:pPr>
        <w:spacing w:line="360" w:lineRule="auto"/>
        <w:rPr>
          <w:rFonts w:ascii="Calibri" w:hAnsi="Calibri"/>
        </w:rPr>
      </w:pPr>
      <w:r w:rsidRPr="002050F1">
        <w:rPr>
          <w:rFonts w:ascii="Calibri" w:hAnsi="Calibri"/>
        </w:rPr>
        <w:t>Teachers can improve the efficacy of behaviour management strategies in year 1 and 2 classrooms by putting these suggestions into practice. This will eventually create a welcoming learning environment that supports both academic achievement and socio</w:t>
      </w:r>
      <w:r w:rsidR="00CC652D">
        <w:rPr>
          <w:rFonts w:ascii="Calibri" w:hAnsi="Calibri"/>
        </w:rPr>
        <w:t>-</w:t>
      </w:r>
      <w:r w:rsidRPr="002050F1">
        <w:rPr>
          <w:rFonts w:ascii="Calibri" w:hAnsi="Calibri"/>
        </w:rPr>
        <w:t>emotional growth. These suggestions also open up new lines of inquiry for future studies that will help us learn more about successful behaviour control techniques and how they affect student outcomes.</w:t>
      </w:r>
    </w:p>
    <w:p w14:paraId="07A9A049" w14:textId="77777777" w:rsidR="00602112" w:rsidRPr="002050F1" w:rsidRDefault="00602112" w:rsidP="000D068E">
      <w:pPr>
        <w:spacing w:line="360" w:lineRule="auto"/>
        <w:rPr>
          <w:rFonts w:ascii="Calibri" w:hAnsi="Calibri"/>
        </w:rPr>
      </w:pPr>
    </w:p>
    <w:p w14:paraId="1A09955F" w14:textId="77777777" w:rsidR="007D7DF6" w:rsidRPr="00F01C31" w:rsidRDefault="007D7DF6" w:rsidP="000D068E">
      <w:pPr>
        <w:spacing w:line="360" w:lineRule="auto"/>
        <w:rPr>
          <w:rFonts w:ascii="Calibri" w:hAnsi="Calibri"/>
          <w:b/>
          <w:bCs/>
          <w:i/>
          <w:iCs/>
        </w:rPr>
      </w:pPr>
    </w:p>
    <w:p w14:paraId="4EA0967D" w14:textId="77777777" w:rsidR="00FF14AF" w:rsidRDefault="00FF14AF" w:rsidP="0083014D">
      <w:pPr>
        <w:spacing w:line="360" w:lineRule="auto"/>
        <w:rPr>
          <w:rFonts w:ascii="Calibri" w:hAnsi="Calibri"/>
        </w:rPr>
      </w:pPr>
    </w:p>
    <w:p w14:paraId="00337CAE" w14:textId="23855F2A" w:rsidR="00585827" w:rsidRPr="00FF14AF" w:rsidRDefault="00556F1F" w:rsidP="0083014D">
      <w:pPr>
        <w:spacing w:line="360" w:lineRule="auto"/>
        <w:rPr>
          <w:rFonts w:ascii="Calibri" w:hAnsi="Calibri"/>
        </w:rPr>
      </w:pPr>
      <w:r w:rsidRPr="00585827">
        <w:rPr>
          <w:rFonts w:ascii="Calibri" w:hAnsi="Calibri"/>
          <w:b/>
          <w:bCs/>
          <w:i/>
          <w:iCs/>
        </w:rPr>
        <w:lastRenderedPageBreak/>
        <w:t xml:space="preserve">Reference list </w:t>
      </w:r>
    </w:p>
    <w:p w14:paraId="5242E172"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proofErr w:type="spellStart"/>
      <w:r w:rsidRPr="00585827">
        <w:rPr>
          <w:rFonts w:ascii="Times New Roman" w:hAnsi="Times New Roman" w:cs="Times New Roman"/>
          <w:color w:val="000000"/>
          <w:kern w:val="0"/>
          <w14:ligatures w14:val="none"/>
        </w:rPr>
        <w:t>Alderson</w:t>
      </w:r>
      <w:proofErr w:type="spellEnd"/>
      <w:r w:rsidRPr="00585827">
        <w:rPr>
          <w:rFonts w:ascii="Times New Roman" w:hAnsi="Times New Roman" w:cs="Times New Roman"/>
          <w:color w:val="000000"/>
          <w:kern w:val="0"/>
          <w14:ligatures w14:val="none"/>
        </w:rPr>
        <w:t>, P. and Morrow, V. (2020). </w:t>
      </w:r>
      <w:r w:rsidRPr="00585827">
        <w:rPr>
          <w:rFonts w:ascii="Times New Roman" w:hAnsi="Times New Roman" w:cs="Times New Roman"/>
          <w:i/>
          <w:iCs/>
          <w:color w:val="000000"/>
          <w:kern w:val="0"/>
          <w14:ligatures w14:val="none"/>
        </w:rPr>
        <w:t>The Ethics of Research with Children and Young People: A Practical Handbook</w:t>
      </w:r>
      <w:r w:rsidRPr="00585827">
        <w:rPr>
          <w:rFonts w:ascii="Times New Roman" w:hAnsi="Times New Roman" w:cs="Times New Roman"/>
          <w:color w:val="000000"/>
          <w:kern w:val="0"/>
          <w14:ligatures w14:val="none"/>
        </w:rPr>
        <w:t>. [online] </w:t>
      </w:r>
      <w:r w:rsidRPr="00585827">
        <w:rPr>
          <w:rFonts w:ascii="Times New Roman" w:hAnsi="Times New Roman" w:cs="Times New Roman"/>
          <w:i/>
          <w:iCs/>
          <w:color w:val="000000"/>
          <w:kern w:val="0"/>
          <w14:ligatures w14:val="none"/>
        </w:rPr>
        <w:t>Google Books</w:t>
      </w:r>
      <w:r w:rsidRPr="00585827">
        <w:rPr>
          <w:rFonts w:ascii="Times New Roman" w:hAnsi="Times New Roman" w:cs="Times New Roman"/>
          <w:color w:val="000000"/>
          <w:kern w:val="0"/>
          <w14:ligatures w14:val="none"/>
        </w:rPr>
        <w:t>. SAGE Publications. Available at: https://books.google.co.uk/books?hl=en&amp;lr=&amp;id=mrzoDwAAQBAJ&amp;oi=fnd&amp;pg=PP1&amp;dq=alderson+and+morrow+2011&amp;ots=SoqJgIVjds&amp;sig=-yhL0jRivPcG8WTRCziDtPm4Pqw [Accessed 5 May 2024].</w:t>
      </w:r>
    </w:p>
    <w:p w14:paraId="6ACFC222"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Avramidis, E. and Norwich, B. (2002). Teachers’ Attitudes Towards Integration/Inclusion: A Review of the Literature. </w:t>
      </w:r>
      <w:r w:rsidRPr="00585827">
        <w:rPr>
          <w:rFonts w:ascii="Times New Roman" w:hAnsi="Times New Roman" w:cs="Times New Roman"/>
          <w:i/>
          <w:iCs/>
          <w:color w:val="000000"/>
          <w:kern w:val="0"/>
          <w14:ligatures w14:val="none"/>
        </w:rPr>
        <w:t>European Journal of Special Needs Education</w:t>
      </w:r>
      <w:r w:rsidRPr="00585827">
        <w:rPr>
          <w:rFonts w:ascii="Times New Roman" w:hAnsi="Times New Roman" w:cs="Times New Roman"/>
          <w:color w:val="000000"/>
          <w:kern w:val="0"/>
          <w14:ligatures w14:val="none"/>
        </w:rPr>
        <w:t xml:space="preserve">, 17(2), pp.129–147. </w:t>
      </w:r>
      <w:proofErr w:type="spellStart"/>
      <w:r w:rsidRPr="00585827">
        <w:rPr>
          <w:rFonts w:ascii="Times New Roman" w:hAnsi="Times New Roman" w:cs="Times New Roman"/>
          <w:color w:val="000000"/>
          <w:kern w:val="0"/>
          <w14:ligatures w14:val="none"/>
        </w:rPr>
        <w:t>doi:https</w:t>
      </w:r>
      <w:proofErr w:type="spellEnd"/>
      <w:r w:rsidRPr="00585827">
        <w:rPr>
          <w:rFonts w:ascii="Times New Roman" w:hAnsi="Times New Roman" w:cs="Times New Roman"/>
          <w:color w:val="000000"/>
          <w:kern w:val="0"/>
          <w14:ligatures w14:val="none"/>
        </w:rPr>
        <w:t>://doi.org/10.1080/08856250210129056.</w:t>
      </w:r>
    </w:p>
    <w:p w14:paraId="3F5773E9"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 xml:space="preserve">Banks, J., Conway, P., Darmody, M., </w:t>
      </w:r>
      <w:proofErr w:type="spellStart"/>
      <w:r w:rsidRPr="00585827">
        <w:rPr>
          <w:rFonts w:ascii="Times New Roman" w:hAnsi="Times New Roman" w:cs="Times New Roman"/>
          <w:color w:val="000000"/>
          <w:kern w:val="0"/>
          <w14:ligatures w14:val="none"/>
        </w:rPr>
        <w:t>Leavy</w:t>
      </w:r>
      <w:proofErr w:type="spellEnd"/>
      <w:r w:rsidRPr="00585827">
        <w:rPr>
          <w:rFonts w:ascii="Times New Roman" w:hAnsi="Times New Roman" w:cs="Times New Roman"/>
          <w:color w:val="000000"/>
          <w:kern w:val="0"/>
          <w14:ligatures w14:val="none"/>
        </w:rPr>
        <w:t>, A., Smyth, E. and Watson, D. (2015). </w:t>
      </w:r>
      <w:r w:rsidRPr="00585827">
        <w:rPr>
          <w:rFonts w:ascii="Times New Roman" w:hAnsi="Times New Roman" w:cs="Times New Roman"/>
          <w:i/>
          <w:iCs/>
          <w:color w:val="000000"/>
          <w:kern w:val="0"/>
          <w14:ligatures w14:val="none"/>
        </w:rPr>
        <w:t xml:space="preserve">Review of the </w:t>
      </w:r>
      <w:proofErr w:type="spellStart"/>
      <w:r w:rsidRPr="00585827">
        <w:rPr>
          <w:rFonts w:ascii="Times New Roman" w:hAnsi="Times New Roman" w:cs="Times New Roman"/>
          <w:i/>
          <w:iCs/>
          <w:color w:val="000000"/>
          <w:kern w:val="0"/>
          <w14:ligatures w14:val="none"/>
        </w:rPr>
        <w:t>Droichead</w:t>
      </w:r>
      <w:proofErr w:type="spellEnd"/>
      <w:r w:rsidRPr="00585827">
        <w:rPr>
          <w:rFonts w:ascii="Times New Roman" w:hAnsi="Times New Roman" w:cs="Times New Roman"/>
          <w:i/>
          <w:iCs/>
          <w:color w:val="000000"/>
          <w:kern w:val="0"/>
          <w14:ligatures w14:val="none"/>
        </w:rPr>
        <w:t xml:space="preserve"> Teacher Induction Pilot Programme</w:t>
      </w:r>
      <w:r w:rsidRPr="00585827">
        <w:rPr>
          <w:rFonts w:ascii="Times New Roman" w:hAnsi="Times New Roman" w:cs="Times New Roman"/>
          <w:color w:val="000000"/>
          <w:kern w:val="0"/>
          <w14:ligatures w14:val="none"/>
        </w:rPr>
        <w:t xml:space="preserve">. [online] </w:t>
      </w:r>
      <w:proofErr w:type="spellStart"/>
      <w:r w:rsidRPr="00585827">
        <w:rPr>
          <w:rFonts w:ascii="Times New Roman" w:hAnsi="Times New Roman" w:cs="Times New Roman"/>
          <w:color w:val="000000"/>
          <w:kern w:val="0"/>
          <w14:ligatures w14:val="none"/>
        </w:rPr>
        <w:t>www.econstor.eu</w:t>
      </w:r>
      <w:proofErr w:type="spellEnd"/>
      <w:r w:rsidRPr="00585827">
        <w:rPr>
          <w:rFonts w:ascii="Times New Roman" w:hAnsi="Times New Roman" w:cs="Times New Roman"/>
          <w:color w:val="000000"/>
          <w:kern w:val="0"/>
          <w14:ligatures w14:val="none"/>
        </w:rPr>
        <w:t>. Available at: https://www.econstor.eu/handle/10419/129396 [Accessed 5 May 2024].</w:t>
      </w:r>
    </w:p>
    <w:p w14:paraId="19067828"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Baxter, P. and Jack, S. (2008). Qualitative Case Study Methodology: Study Design and Implementation for Novice Researchers. </w:t>
      </w:r>
      <w:r w:rsidRPr="00585827">
        <w:rPr>
          <w:rFonts w:ascii="Times New Roman" w:hAnsi="Times New Roman" w:cs="Times New Roman"/>
          <w:i/>
          <w:iCs/>
          <w:color w:val="000000"/>
          <w:kern w:val="0"/>
          <w14:ligatures w14:val="none"/>
        </w:rPr>
        <w:t>The Qualitative Report</w:t>
      </w:r>
      <w:r w:rsidRPr="00585827">
        <w:rPr>
          <w:rFonts w:ascii="Times New Roman" w:hAnsi="Times New Roman" w:cs="Times New Roman"/>
          <w:color w:val="000000"/>
          <w:kern w:val="0"/>
          <w14:ligatures w14:val="none"/>
        </w:rPr>
        <w:t>, 13(4), pp.544–559.</w:t>
      </w:r>
    </w:p>
    <w:p w14:paraId="283C4716"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Bell, C.A., Jones, N.D., Qi, Y. and Lewis, J.M. (2018). Strategies for Assessing Classroom Teaching: Examining Administrator Thinking as Validity Evidence. </w:t>
      </w:r>
      <w:r w:rsidRPr="00585827">
        <w:rPr>
          <w:rFonts w:ascii="Times New Roman" w:hAnsi="Times New Roman" w:cs="Times New Roman"/>
          <w:i/>
          <w:iCs/>
          <w:color w:val="000000"/>
          <w:kern w:val="0"/>
          <w14:ligatures w14:val="none"/>
        </w:rPr>
        <w:t>Educational Assessment</w:t>
      </w:r>
      <w:r w:rsidRPr="00585827">
        <w:rPr>
          <w:rFonts w:ascii="Times New Roman" w:hAnsi="Times New Roman" w:cs="Times New Roman"/>
          <w:color w:val="000000"/>
          <w:kern w:val="0"/>
          <w14:ligatures w14:val="none"/>
        </w:rPr>
        <w:t xml:space="preserve">, 23(4), pp.229–249. </w:t>
      </w:r>
      <w:proofErr w:type="spellStart"/>
      <w:r w:rsidRPr="00585827">
        <w:rPr>
          <w:rFonts w:ascii="Times New Roman" w:hAnsi="Times New Roman" w:cs="Times New Roman"/>
          <w:color w:val="000000"/>
          <w:kern w:val="0"/>
          <w14:ligatures w14:val="none"/>
        </w:rPr>
        <w:t>doi:https</w:t>
      </w:r>
      <w:proofErr w:type="spellEnd"/>
      <w:r w:rsidRPr="00585827">
        <w:rPr>
          <w:rFonts w:ascii="Times New Roman" w:hAnsi="Times New Roman" w:cs="Times New Roman"/>
          <w:color w:val="000000"/>
          <w:kern w:val="0"/>
          <w14:ligatures w14:val="none"/>
        </w:rPr>
        <w:t>://doi.org/10.1080/10627197.2018.1513788.</w:t>
      </w:r>
    </w:p>
    <w:p w14:paraId="2B7FE572"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Berk, L.E. and Meyers, A.B. (2013). The Role of Make-Believe Play in the Development of Executive Function: Status of Research and Future Directions. </w:t>
      </w:r>
      <w:r w:rsidRPr="00585827">
        <w:rPr>
          <w:rFonts w:ascii="Times New Roman" w:hAnsi="Times New Roman" w:cs="Times New Roman"/>
          <w:i/>
          <w:iCs/>
          <w:color w:val="000000"/>
          <w:kern w:val="0"/>
          <w14:ligatures w14:val="none"/>
        </w:rPr>
        <w:t>American Journal of Play</w:t>
      </w:r>
      <w:r w:rsidRPr="00585827">
        <w:rPr>
          <w:rFonts w:ascii="Times New Roman" w:hAnsi="Times New Roman" w:cs="Times New Roman"/>
          <w:color w:val="000000"/>
          <w:kern w:val="0"/>
          <w14:ligatures w14:val="none"/>
        </w:rPr>
        <w:t>, [online] 6(1), pp.98–110. Available at: https://eric.ed.gov/?id=EJ1016170.</w:t>
      </w:r>
    </w:p>
    <w:p w14:paraId="649200B5"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proofErr w:type="spellStart"/>
      <w:r w:rsidRPr="00585827">
        <w:rPr>
          <w:rFonts w:ascii="Times New Roman" w:hAnsi="Times New Roman" w:cs="Times New Roman"/>
          <w:color w:val="000000"/>
          <w:kern w:val="0"/>
          <w14:ligatures w14:val="none"/>
        </w:rPr>
        <w:t>Biklen</w:t>
      </w:r>
      <w:proofErr w:type="spellEnd"/>
      <w:r w:rsidRPr="00585827">
        <w:rPr>
          <w:rFonts w:ascii="Times New Roman" w:hAnsi="Times New Roman" w:cs="Times New Roman"/>
          <w:color w:val="000000"/>
          <w:kern w:val="0"/>
          <w14:ligatures w14:val="none"/>
        </w:rPr>
        <w:t xml:space="preserve">, S.K. and </w:t>
      </w:r>
      <w:proofErr w:type="spellStart"/>
      <w:r w:rsidRPr="00585827">
        <w:rPr>
          <w:rFonts w:ascii="Times New Roman" w:hAnsi="Times New Roman" w:cs="Times New Roman"/>
          <w:color w:val="000000"/>
          <w:kern w:val="0"/>
          <w14:ligatures w14:val="none"/>
        </w:rPr>
        <w:t>Casella</w:t>
      </w:r>
      <w:proofErr w:type="spellEnd"/>
      <w:r w:rsidRPr="00585827">
        <w:rPr>
          <w:rFonts w:ascii="Times New Roman" w:hAnsi="Times New Roman" w:cs="Times New Roman"/>
          <w:color w:val="000000"/>
          <w:kern w:val="0"/>
          <w14:ligatures w14:val="none"/>
        </w:rPr>
        <w:t>, R. (2007). </w:t>
      </w:r>
      <w:r w:rsidRPr="00585827">
        <w:rPr>
          <w:rFonts w:ascii="Times New Roman" w:hAnsi="Times New Roman" w:cs="Times New Roman"/>
          <w:i/>
          <w:iCs/>
          <w:color w:val="000000"/>
          <w:kern w:val="0"/>
          <w14:ligatures w14:val="none"/>
        </w:rPr>
        <w:t>A Practical Guide to the Qualitative Dissertation: For Students and Their Advisors in Education, Human Services and Social Science</w:t>
      </w:r>
      <w:r w:rsidRPr="00585827">
        <w:rPr>
          <w:rFonts w:ascii="Times New Roman" w:hAnsi="Times New Roman" w:cs="Times New Roman"/>
          <w:color w:val="000000"/>
          <w:kern w:val="0"/>
          <w14:ligatures w14:val="none"/>
        </w:rPr>
        <w:t>. [online] </w:t>
      </w:r>
      <w:r w:rsidRPr="00585827">
        <w:rPr>
          <w:rFonts w:ascii="Times New Roman" w:hAnsi="Times New Roman" w:cs="Times New Roman"/>
          <w:i/>
          <w:iCs/>
          <w:color w:val="000000"/>
          <w:kern w:val="0"/>
          <w14:ligatures w14:val="none"/>
        </w:rPr>
        <w:t>Google Books</w:t>
      </w:r>
      <w:r w:rsidRPr="00585827">
        <w:rPr>
          <w:rFonts w:ascii="Times New Roman" w:hAnsi="Times New Roman" w:cs="Times New Roman"/>
          <w:color w:val="000000"/>
          <w:kern w:val="0"/>
          <w14:ligatures w14:val="none"/>
        </w:rPr>
        <w:t>. Teachers College Press. Available at: https://books.google.co.uk/books?hl=en&amp;lr=&amp;id=VTKRDQAAQBAJ&amp;oi=fnd&amp;pg=PR7&amp;dq=bogdan+and+biklen+2007&amp;ots=Q1tQSkaGPl&amp;sig=tH-I4cQNiRXeYugQZpxZUz4Fg08 [Accessed 5 May 2024].</w:t>
      </w:r>
    </w:p>
    <w:p w14:paraId="503205BB"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proofErr w:type="spellStart"/>
      <w:r w:rsidRPr="00585827">
        <w:rPr>
          <w:rFonts w:ascii="Times New Roman" w:hAnsi="Times New Roman" w:cs="Times New Roman"/>
          <w:color w:val="000000"/>
          <w:kern w:val="0"/>
          <w14:ligatures w14:val="none"/>
        </w:rPr>
        <w:t>Bryman</w:t>
      </w:r>
      <w:proofErr w:type="spellEnd"/>
      <w:r w:rsidRPr="00585827">
        <w:rPr>
          <w:rFonts w:ascii="Times New Roman" w:hAnsi="Times New Roman" w:cs="Times New Roman"/>
          <w:color w:val="000000"/>
          <w:kern w:val="0"/>
          <w14:ligatures w14:val="none"/>
        </w:rPr>
        <w:t>, A. (2016). </w:t>
      </w:r>
      <w:r w:rsidRPr="00585827">
        <w:rPr>
          <w:rFonts w:ascii="Times New Roman" w:hAnsi="Times New Roman" w:cs="Times New Roman"/>
          <w:i/>
          <w:iCs/>
          <w:color w:val="000000"/>
          <w:kern w:val="0"/>
          <w14:ligatures w14:val="none"/>
        </w:rPr>
        <w:t>Social Research Methods</w:t>
      </w:r>
      <w:r w:rsidRPr="00585827">
        <w:rPr>
          <w:rFonts w:ascii="Times New Roman" w:hAnsi="Times New Roman" w:cs="Times New Roman"/>
          <w:color w:val="000000"/>
          <w:kern w:val="0"/>
          <w14:ligatures w14:val="none"/>
        </w:rPr>
        <w:t>. [online] </w:t>
      </w:r>
      <w:r w:rsidRPr="00585827">
        <w:rPr>
          <w:rFonts w:ascii="Times New Roman" w:hAnsi="Times New Roman" w:cs="Times New Roman"/>
          <w:i/>
          <w:iCs/>
          <w:color w:val="000000"/>
          <w:kern w:val="0"/>
          <w14:ligatures w14:val="none"/>
        </w:rPr>
        <w:t>Google Books</w:t>
      </w:r>
      <w:r w:rsidRPr="00585827">
        <w:rPr>
          <w:rFonts w:ascii="Times New Roman" w:hAnsi="Times New Roman" w:cs="Times New Roman"/>
          <w:color w:val="000000"/>
          <w:kern w:val="0"/>
          <w14:ligatures w14:val="none"/>
        </w:rPr>
        <w:t>. Oxford University Press. Available at: https://books.google.co.uk/books?hl=en&amp;lr=&amp;id=N2zQCgAAQBAJ&amp;oi=fnd&amp;pg=PP1&amp;dq=bryman+2016&amp;ots=dqJwBQM4vd&amp;sig=ijViV8TMnL1rmSndyJfqlmEd-9w [Accessed 5 May 2024].</w:t>
      </w:r>
    </w:p>
    <w:p w14:paraId="2A12B8F1"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lastRenderedPageBreak/>
        <w:t>Cohen, J. (1988). </w:t>
      </w:r>
      <w:r w:rsidRPr="00585827">
        <w:rPr>
          <w:rFonts w:ascii="Times New Roman" w:hAnsi="Times New Roman" w:cs="Times New Roman"/>
          <w:i/>
          <w:iCs/>
          <w:color w:val="000000"/>
          <w:kern w:val="0"/>
          <w14:ligatures w14:val="none"/>
        </w:rPr>
        <w:t xml:space="preserve">Statistical power analysis for the </w:t>
      </w:r>
      <w:proofErr w:type="spellStart"/>
      <w:r w:rsidRPr="00585827">
        <w:rPr>
          <w:rFonts w:ascii="Times New Roman" w:hAnsi="Times New Roman" w:cs="Times New Roman"/>
          <w:i/>
          <w:iCs/>
          <w:color w:val="000000"/>
          <w:kern w:val="0"/>
          <w14:ligatures w14:val="none"/>
        </w:rPr>
        <w:t>behavioral</w:t>
      </w:r>
      <w:proofErr w:type="spellEnd"/>
      <w:r w:rsidRPr="00585827">
        <w:rPr>
          <w:rFonts w:ascii="Times New Roman" w:hAnsi="Times New Roman" w:cs="Times New Roman"/>
          <w:i/>
          <w:iCs/>
          <w:color w:val="000000"/>
          <w:kern w:val="0"/>
          <w14:ligatures w14:val="none"/>
        </w:rPr>
        <w:t xml:space="preserve"> sciences</w:t>
      </w:r>
      <w:r w:rsidRPr="00585827">
        <w:rPr>
          <w:rFonts w:ascii="Times New Roman" w:hAnsi="Times New Roman" w:cs="Times New Roman"/>
          <w:color w:val="000000"/>
          <w:kern w:val="0"/>
          <w14:ligatures w14:val="none"/>
        </w:rPr>
        <w:t xml:space="preserve">. 2nd ed. Hillsdale, N.J.: Lawrence </w:t>
      </w:r>
      <w:proofErr w:type="spellStart"/>
      <w:r w:rsidRPr="00585827">
        <w:rPr>
          <w:rFonts w:ascii="Times New Roman" w:hAnsi="Times New Roman" w:cs="Times New Roman"/>
          <w:color w:val="000000"/>
          <w:kern w:val="0"/>
          <w14:ligatures w14:val="none"/>
        </w:rPr>
        <w:t>Erlbaum</w:t>
      </w:r>
      <w:proofErr w:type="spellEnd"/>
      <w:r w:rsidRPr="00585827">
        <w:rPr>
          <w:rFonts w:ascii="Times New Roman" w:hAnsi="Times New Roman" w:cs="Times New Roman"/>
          <w:color w:val="000000"/>
          <w:kern w:val="0"/>
          <w14:ligatures w14:val="none"/>
        </w:rPr>
        <w:t xml:space="preserve"> Associates.</w:t>
      </w:r>
    </w:p>
    <w:p w14:paraId="2B4DBF82"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Creswell, J.W. (2014). </w:t>
      </w:r>
      <w:r w:rsidRPr="00585827">
        <w:rPr>
          <w:rFonts w:ascii="Times New Roman" w:hAnsi="Times New Roman" w:cs="Times New Roman"/>
          <w:i/>
          <w:iCs/>
          <w:color w:val="000000"/>
          <w:kern w:val="0"/>
          <w14:ligatures w14:val="none"/>
        </w:rPr>
        <w:t>Research design: Qualitative, quantitative, and mixed methods approaches</w:t>
      </w:r>
      <w:r w:rsidRPr="00585827">
        <w:rPr>
          <w:rFonts w:ascii="Times New Roman" w:hAnsi="Times New Roman" w:cs="Times New Roman"/>
          <w:color w:val="000000"/>
          <w:kern w:val="0"/>
          <w14:ligatures w14:val="none"/>
        </w:rPr>
        <w:t>. 4th ed. London: Sage Publications Ltd.</w:t>
      </w:r>
    </w:p>
    <w:p w14:paraId="60B89C6A"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 xml:space="preserve">Deci, E.L., </w:t>
      </w:r>
      <w:proofErr w:type="spellStart"/>
      <w:r w:rsidRPr="00585827">
        <w:rPr>
          <w:rFonts w:ascii="Times New Roman" w:hAnsi="Times New Roman" w:cs="Times New Roman"/>
          <w:color w:val="000000"/>
          <w:kern w:val="0"/>
          <w14:ligatures w14:val="none"/>
        </w:rPr>
        <w:t>Koestner</w:t>
      </w:r>
      <w:proofErr w:type="spellEnd"/>
      <w:r w:rsidRPr="00585827">
        <w:rPr>
          <w:rFonts w:ascii="Times New Roman" w:hAnsi="Times New Roman" w:cs="Times New Roman"/>
          <w:color w:val="000000"/>
          <w:kern w:val="0"/>
          <w14:ligatures w14:val="none"/>
        </w:rPr>
        <w:t>, R. and Ryan, R.M. (1999). A meta-analytic review of experiments examining the effects of extrinsic rewards on intrinsic motivation. </w:t>
      </w:r>
      <w:r w:rsidRPr="00585827">
        <w:rPr>
          <w:rFonts w:ascii="Times New Roman" w:hAnsi="Times New Roman" w:cs="Times New Roman"/>
          <w:i/>
          <w:iCs/>
          <w:color w:val="000000"/>
          <w:kern w:val="0"/>
          <w14:ligatures w14:val="none"/>
        </w:rPr>
        <w:t>Psychological Bulletin</w:t>
      </w:r>
      <w:r w:rsidRPr="00585827">
        <w:rPr>
          <w:rFonts w:ascii="Times New Roman" w:hAnsi="Times New Roman" w:cs="Times New Roman"/>
          <w:color w:val="000000"/>
          <w:kern w:val="0"/>
          <w14:ligatures w14:val="none"/>
        </w:rPr>
        <w:t xml:space="preserve">, 125(6), pp.627–668. </w:t>
      </w:r>
      <w:proofErr w:type="spellStart"/>
      <w:r w:rsidRPr="00585827">
        <w:rPr>
          <w:rFonts w:ascii="Times New Roman" w:hAnsi="Times New Roman" w:cs="Times New Roman"/>
          <w:color w:val="000000"/>
          <w:kern w:val="0"/>
          <w14:ligatures w14:val="none"/>
        </w:rPr>
        <w:t>doi:https</w:t>
      </w:r>
      <w:proofErr w:type="spellEnd"/>
      <w:r w:rsidRPr="00585827">
        <w:rPr>
          <w:rFonts w:ascii="Times New Roman" w:hAnsi="Times New Roman" w:cs="Times New Roman"/>
          <w:color w:val="000000"/>
          <w:kern w:val="0"/>
          <w14:ligatures w14:val="none"/>
        </w:rPr>
        <w:t>://doi.org/10.1037/0033-2909.125.6.627.</w:t>
      </w:r>
    </w:p>
    <w:p w14:paraId="25558592"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 xml:space="preserve">Deci, E.L. and Ryan, R.M. (1985). </w:t>
      </w:r>
      <w:proofErr w:type="spellStart"/>
      <w:r w:rsidRPr="00585827">
        <w:rPr>
          <w:rFonts w:ascii="Times New Roman" w:hAnsi="Times New Roman" w:cs="Times New Roman"/>
          <w:color w:val="000000"/>
          <w:kern w:val="0"/>
          <w14:ligatures w14:val="none"/>
        </w:rPr>
        <w:t>Conceptualizations</w:t>
      </w:r>
      <w:proofErr w:type="spellEnd"/>
      <w:r w:rsidRPr="00585827">
        <w:rPr>
          <w:rFonts w:ascii="Times New Roman" w:hAnsi="Times New Roman" w:cs="Times New Roman"/>
          <w:color w:val="000000"/>
          <w:kern w:val="0"/>
          <w14:ligatures w14:val="none"/>
        </w:rPr>
        <w:t xml:space="preserve"> of Intrinsic Motivation and Self-Determination. </w:t>
      </w:r>
      <w:r w:rsidRPr="00585827">
        <w:rPr>
          <w:rFonts w:ascii="Times New Roman" w:hAnsi="Times New Roman" w:cs="Times New Roman"/>
          <w:i/>
          <w:iCs/>
          <w:color w:val="000000"/>
          <w:kern w:val="0"/>
          <w14:ligatures w14:val="none"/>
        </w:rPr>
        <w:t xml:space="preserve">Intrinsic Motivation and Self-Determination in Human </w:t>
      </w:r>
      <w:proofErr w:type="spellStart"/>
      <w:r w:rsidRPr="00585827">
        <w:rPr>
          <w:rFonts w:ascii="Times New Roman" w:hAnsi="Times New Roman" w:cs="Times New Roman"/>
          <w:i/>
          <w:iCs/>
          <w:color w:val="000000"/>
          <w:kern w:val="0"/>
          <w14:ligatures w14:val="none"/>
        </w:rPr>
        <w:t>Behavior</w:t>
      </w:r>
      <w:proofErr w:type="spellEnd"/>
      <w:r w:rsidRPr="00585827">
        <w:rPr>
          <w:rFonts w:ascii="Times New Roman" w:hAnsi="Times New Roman" w:cs="Times New Roman"/>
          <w:color w:val="000000"/>
          <w:kern w:val="0"/>
          <w14:ligatures w14:val="none"/>
        </w:rPr>
        <w:t xml:space="preserve">, pp.11–40. </w:t>
      </w:r>
      <w:proofErr w:type="spellStart"/>
      <w:r w:rsidRPr="00585827">
        <w:rPr>
          <w:rFonts w:ascii="Times New Roman" w:hAnsi="Times New Roman" w:cs="Times New Roman"/>
          <w:color w:val="000000"/>
          <w:kern w:val="0"/>
          <w14:ligatures w14:val="none"/>
        </w:rPr>
        <w:t>doi:https</w:t>
      </w:r>
      <w:proofErr w:type="spellEnd"/>
      <w:r w:rsidRPr="00585827">
        <w:rPr>
          <w:rFonts w:ascii="Times New Roman" w:hAnsi="Times New Roman" w:cs="Times New Roman"/>
          <w:color w:val="000000"/>
          <w:kern w:val="0"/>
          <w14:ligatures w14:val="none"/>
        </w:rPr>
        <w:t>://doi.org/10.1007/978-1-4899-2271-7_2.</w:t>
      </w:r>
    </w:p>
    <w:p w14:paraId="5CF1FD91"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 xml:space="preserve">Egan, D. and </w:t>
      </w:r>
      <w:proofErr w:type="spellStart"/>
      <w:r w:rsidRPr="00585827">
        <w:rPr>
          <w:rFonts w:ascii="Times New Roman" w:hAnsi="Times New Roman" w:cs="Times New Roman"/>
          <w:color w:val="000000"/>
          <w:kern w:val="0"/>
          <w14:ligatures w14:val="none"/>
        </w:rPr>
        <w:t>Grigg</w:t>
      </w:r>
      <w:proofErr w:type="spellEnd"/>
      <w:r w:rsidRPr="00585827">
        <w:rPr>
          <w:rFonts w:ascii="Times New Roman" w:hAnsi="Times New Roman" w:cs="Times New Roman"/>
          <w:color w:val="000000"/>
          <w:kern w:val="0"/>
          <w14:ligatures w14:val="none"/>
        </w:rPr>
        <w:t>, R. (2017). Editorial Professional Learning for Teachers in Wales. </w:t>
      </w:r>
      <w:proofErr w:type="spellStart"/>
      <w:r w:rsidRPr="00585827">
        <w:rPr>
          <w:rFonts w:ascii="Times New Roman" w:hAnsi="Times New Roman" w:cs="Times New Roman"/>
          <w:i/>
          <w:iCs/>
          <w:color w:val="000000"/>
          <w:kern w:val="0"/>
          <w14:ligatures w14:val="none"/>
        </w:rPr>
        <w:t>Cylchgrawn</w:t>
      </w:r>
      <w:proofErr w:type="spellEnd"/>
      <w:r w:rsidRPr="00585827">
        <w:rPr>
          <w:rFonts w:ascii="Times New Roman" w:hAnsi="Times New Roman" w:cs="Times New Roman"/>
          <w:i/>
          <w:iCs/>
          <w:color w:val="000000"/>
          <w:kern w:val="0"/>
          <w14:ligatures w14:val="none"/>
        </w:rPr>
        <w:t xml:space="preserve"> </w:t>
      </w:r>
      <w:proofErr w:type="spellStart"/>
      <w:r w:rsidRPr="00585827">
        <w:rPr>
          <w:rFonts w:ascii="Times New Roman" w:hAnsi="Times New Roman" w:cs="Times New Roman"/>
          <w:i/>
          <w:iCs/>
          <w:color w:val="000000"/>
          <w:kern w:val="0"/>
          <w14:ligatures w14:val="none"/>
        </w:rPr>
        <w:t>Addysg</w:t>
      </w:r>
      <w:proofErr w:type="spellEnd"/>
      <w:r w:rsidRPr="00585827">
        <w:rPr>
          <w:rFonts w:ascii="Times New Roman" w:hAnsi="Times New Roman" w:cs="Times New Roman"/>
          <w:i/>
          <w:iCs/>
          <w:color w:val="000000"/>
          <w:kern w:val="0"/>
          <w14:ligatures w14:val="none"/>
        </w:rPr>
        <w:t xml:space="preserve"> Cymru / Wales Journal of Education</w:t>
      </w:r>
      <w:r w:rsidRPr="00585827">
        <w:rPr>
          <w:rFonts w:ascii="Times New Roman" w:hAnsi="Times New Roman" w:cs="Times New Roman"/>
          <w:color w:val="000000"/>
          <w:kern w:val="0"/>
          <w14:ligatures w14:val="none"/>
        </w:rPr>
        <w:t xml:space="preserve">, 19(1), pp.1–15. </w:t>
      </w:r>
      <w:proofErr w:type="spellStart"/>
      <w:r w:rsidRPr="00585827">
        <w:rPr>
          <w:rFonts w:ascii="Times New Roman" w:hAnsi="Times New Roman" w:cs="Times New Roman"/>
          <w:color w:val="000000"/>
          <w:kern w:val="0"/>
          <w14:ligatures w14:val="none"/>
        </w:rPr>
        <w:t>doi:https</w:t>
      </w:r>
      <w:proofErr w:type="spellEnd"/>
      <w:r w:rsidRPr="00585827">
        <w:rPr>
          <w:rFonts w:ascii="Times New Roman" w:hAnsi="Times New Roman" w:cs="Times New Roman"/>
          <w:color w:val="000000"/>
          <w:kern w:val="0"/>
          <w14:ligatures w14:val="none"/>
        </w:rPr>
        <w:t>://doi.org/10.16922/wje.19.1.1.</w:t>
      </w:r>
    </w:p>
    <w:p w14:paraId="4A99811C"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 xml:space="preserve">Fletcher-Watson, S., </w:t>
      </w:r>
      <w:proofErr w:type="spellStart"/>
      <w:r w:rsidRPr="00585827">
        <w:rPr>
          <w:rFonts w:ascii="Times New Roman" w:hAnsi="Times New Roman" w:cs="Times New Roman"/>
          <w:color w:val="000000"/>
          <w:kern w:val="0"/>
          <w14:ligatures w14:val="none"/>
        </w:rPr>
        <w:t>Petrou</w:t>
      </w:r>
      <w:proofErr w:type="spellEnd"/>
      <w:r w:rsidRPr="00585827">
        <w:rPr>
          <w:rFonts w:ascii="Times New Roman" w:hAnsi="Times New Roman" w:cs="Times New Roman"/>
          <w:color w:val="000000"/>
          <w:kern w:val="0"/>
          <w14:ligatures w14:val="none"/>
        </w:rPr>
        <w:t xml:space="preserve">, A., Scott-Barrett, J., Dicks, P., Graham, C., O’Hare, A., Pain, H. and </w:t>
      </w:r>
      <w:proofErr w:type="spellStart"/>
      <w:r w:rsidRPr="00585827">
        <w:rPr>
          <w:rFonts w:ascii="Times New Roman" w:hAnsi="Times New Roman" w:cs="Times New Roman"/>
          <w:color w:val="000000"/>
          <w:kern w:val="0"/>
          <w14:ligatures w14:val="none"/>
        </w:rPr>
        <w:t>McConachie</w:t>
      </w:r>
      <w:proofErr w:type="spellEnd"/>
      <w:r w:rsidRPr="00585827">
        <w:rPr>
          <w:rFonts w:ascii="Times New Roman" w:hAnsi="Times New Roman" w:cs="Times New Roman"/>
          <w:color w:val="000000"/>
          <w:kern w:val="0"/>
          <w14:ligatures w14:val="none"/>
        </w:rPr>
        <w:t>, H. (2016). A trial of an iPad</w:t>
      </w:r>
      <w:r w:rsidRPr="00585827">
        <w:rPr>
          <w:rFonts w:ascii="Times New Roman" w:hAnsi="Times New Roman" w:cs="Times New Roman"/>
          <w:color w:val="000000"/>
          <w:kern w:val="0"/>
          <w:vertAlign w:val="superscript"/>
          <w14:ligatures w14:val="none"/>
        </w:rPr>
        <w:t>TM</w:t>
      </w:r>
      <w:r w:rsidRPr="00585827">
        <w:rPr>
          <w:rFonts w:ascii="Times New Roman" w:hAnsi="Times New Roman" w:cs="Times New Roman"/>
          <w:color w:val="000000"/>
          <w:kern w:val="0"/>
          <w14:ligatures w14:val="none"/>
        </w:rPr>
        <w:t> intervention targeting social communication skills in children with autism. </w:t>
      </w:r>
      <w:r w:rsidRPr="00585827">
        <w:rPr>
          <w:rFonts w:ascii="Times New Roman" w:hAnsi="Times New Roman" w:cs="Times New Roman"/>
          <w:i/>
          <w:iCs/>
          <w:color w:val="000000"/>
          <w:kern w:val="0"/>
          <w14:ligatures w14:val="none"/>
        </w:rPr>
        <w:t>Autism</w:t>
      </w:r>
      <w:r w:rsidRPr="00585827">
        <w:rPr>
          <w:rFonts w:ascii="Times New Roman" w:hAnsi="Times New Roman" w:cs="Times New Roman"/>
          <w:color w:val="000000"/>
          <w:kern w:val="0"/>
          <w14:ligatures w14:val="none"/>
        </w:rPr>
        <w:t xml:space="preserve">, 20(7), pp.771–782. </w:t>
      </w:r>
      <w:proofErr w:type="spellStart"/>
      <w:r w:rsidRPr="00585827">
        <w:rPr>
          <w:rFonts w:ascii="Times New Roman" w:hAnsi="Times New Roman" w:cs="Times New Roman"/>
          <w:color w:val="000000"/>
          <w:kern w:val="0"/>
          <w14:ligatures w14:val="none"/>
        </w:rPr>
        <w:t>doi:https</w:t>
      </w:r>
      <w:proofErr w:type="spellEnd"/>
      <w:r w:rsidRPr="00585827">
        <w:rPr>
          <w:rFonts w:ascii="Times New Roman" w:hAnsi="Times New Roman" w:cs="Times New Roman"/>
          <w:color w:val="000000"/>
          <w:kern w:val="0"/>
          <w14:ligatures w14:val="none"/>
        </w:rPr>
        <w:t>://doi.org/10.1177/1362361315605624.</w:t>
      </w:r>
    </w:p>
    <w:p w14:paraId="7DFAFC6A"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Florian, L. and Rouse, M. (2018). The inclusive practice project in Scotland: Teacher education for inclusive education. </w:t>
      </w:r>
      <w:r w:rsidRPr="00585827">
        <w:rPr>
          <w:rFonts w:ascii="Times New Roman" w:hAnsi="Times New Roman" w:cs="Times New Roman"/>
          <w:i/>
          <w:iCs/>
          <w:color w:val="000000"/>
          <w:kern w:val="0"/>
          <w14:ligatures w14:val="none"/>
        </w:rPr>
        <w:t>Teaching and Teacher Education</w:t>
      </w:r>
      <w:r w:rsidRPr="00585827">
        <w:rPr>
          <w:rFonts w:ascii="Times New Roman" w:hAnsi="Times New Roman" w:cs="Times New Roman"/>
          <w:color w:val="000000"/>
          <w:kern w:val="0"/>
          <w14:ligatures w14:val="none"/>
        </w:rPr>
        <w:t xml:space="preserve">, 25(4), pp.594–601. </w:t>
      </w:r>
      <w:proofErr w:type="spellStart"/>
      <w:r w:rsidRPr="00585827">
        <w:rPr>
          <w:rFonts w:ascii="Times New Roman" w:hAnsi="Times New Roman" w:cs="Times New Roman"/>
          <w:color w:val="000000"/>
          <w:kern w:val="0"/>
          <w14:ligatures w14:val="none"/>
        </w:rPr>
        <w:t>doi:https</w:t>
      </w:r>
      <w:proofErr w:type="spellEnd"/>
      <w:r w:rsidRPr="00585827">
        <w:rPr>
          <w:rFonts w:ascii="Times New Roman" w:hAnsi="Times New Roman" w:cs="Times New Roman"/>
          <w:color w:val="000000"/>
          <w:kern w:val="0"/>
          <w14:ligatures w14:val="none"/>
        </w:rPr>
        <w:t>://doi.org/10.1016/j.tate.2009.02.003.</w:t>
      </w:r>
    </w:p>
    <w:p w14:paraId="20B26845"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proofErr w:type="spellStart"/>
      <w:r w:rsidRPr="00585827">
        <w:rPr>
          <w:rFonts w:ascii="Times New Roman" w:hAnsi="Times New Roman" w:cs="Times New Roman"/>
          <w:color w:val="000000"/>
          <w:kern w:val="0"/>
          <w14:ligatures w14:val="none"/>
        </w:rPr>
        <w:t>Flyvbjerg</w:t>
      </w:r>
      <w:proofErr w:type="spellEnd"/>
      <w:r w:rsidRPr="00585827">
        <w:rPr>
          <w:rFonts w:ascii="Times New Roman" w:hAnsi="Times New Roman" w:cs="Times New Roman"/>
          <w:color w:val="000000"/>
          <w:kern w:val="0"/>
          <w14:ligatures w14:val="none"/>
        </w:rPr>
        <w:t>, B. (2006). Five misunderstandings about case-study research. </w:t>
      </w:r>
      <w:r w:rsidRPr="00585827">
        <w:rPr>
          <w:rFonts w:ascii="Times New Roman" w:hAnsi="Times New Roman" w:cs="Times New Roman"/>
          <w:i/>
          <w:iCs/>
          <w:color w:val="000000"/>
          <w:kern w:val="0"/>
          <w14:ligatures w14:val="none"/>
        </w:rPr>
        <w:t>Qualitative Inquiry</w:t>
      </w:r>
      <w:r w:rsidRPr="00585827">
        <w:rPr>
          <w:rFonts w:ascii="Times New Roman" w:hAnsi="Times New Roman" w:cs="Times New Roman"/>
          <w:color w:val="000000"/>
          <w:kern w:val="0"/>
          <w14:ligatures w14:val="none"/>
        </w:rPr>
        <w:t xml:space="preserve">, 12(2), pp.219–245. </w:t>
      </w:r>
      <w:proofErr w:type="spellStart"/>
      <w:r w:rsidRPr="00585827">
        <w:rPr>
          <w:rFonts w:ascii="Times New Roman" w:hAnsi="Times New Roman" w:cs="Times New Roman"/>
          <w:color w:val="000000"/>
          <w:kern w:val="0"/>
          <w14:ligatures w14:val="none"/>
        </w:rPr>
        <w:t>doi:https</w:t>
      </w:r>
      <w:proofErr w:type="spellEnd"/>
      <w:r w:rsidRPr="00585827">
        <w:rPr>
          <w:rFonts w:ascii="Times New Roman" w:hAnsi="Times New Roman" w:cs="Times New Roman"/>
          <w:color w:val="000000"/>
          <w:kern w:val="0"/>
          <w14:ligatures w14:val="none"/>
        </w:rPr>
        <w:t>://doi.org/10.1177/1077800405284363.</w:t>
      </w:r>
    </w:p>
    <w:p w14:paraId="7756D8FC"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Gay, G. and Howard, T.C. (2000). Multicultural teacher education for the 21st century. </w:t>
      </w:r>
      <w:r w:rsidRPr="00585827">
        <w:rPr>
          <w:rFonts w:ascii="Times New Roman" w:hAnsi="Times New Roman" w:cs="Times New Roman"/>
          <w:i/>
          <w:iCs/>
          <w:color w:val="000000"/>
          <w:kern w:val="0"/>
          <w14:ligatures w14:val="none"/>
        </w:rPr>
        <w:t>The Teacher Educator</w:t>
      </w:r>
      <w:r w:rsidRPr="00585827">
        <w:rPr>
          <w:rFonts w:ascii="Times New Roman" w:hAnsi="Times New Roman" w:cs="Times New Roman"/>
          <w:color w:val="000000"/>
          <w:kern w:val="0"/>
          <w14:ligatures w14:val="none"/>
        </w:rPr>
        <w:t xml:space="preserve">, 36(1), pp.1–16. </w:t>
      </w:r>
      <w:proofErr w:type="spellStart"/>
      <w:r w:rsidRPr="00585827">
        <w:rPr>
          <w:rFonts w:ascii="Times New Roman" w:hAnsi="Times New Roman" w:cs="Times New Roman"/>
          <w:color w:val="000000"/>
          <w:kern w:val="0"/>
          <w14:ligatures w14:val="none"/>
        </w:rPr>
        <w:t>doi:https</w:t>
      </w:r>
      <w:proofErr w:type="spellEnd"/>
      <w:r w:rsidRPr="00585827">
        <w:rPr>
          <w:rFonts w:ascii="Times New Roman" w:hAnsi="Times New Roman" w:cs="Times New Roman"/>
          <w:color w:val="000000"/>
          <w:kern w:val="0"/>
          <w14:ligatures w14:val="none"/>
        </w:rPr>
        <w:t>://doi.org/10.1080/08878730009555246.</w:t>
      </w:r>
    </w:p>
    <w:p w14:paraId="59CF250B"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proofErr w:type="spellStart"/>
      <w:r w:rsidRPr="00585827">
        <w:rPr>
          <w:rFonts w:ascii="Times New Roman" w:hAnsi="Times New Roman" w:cs="Times New Roman"/>
          <w:color w:val="000000"/>
          <w:kern w:val="0"/>
          <w14:ligatures w14:val="none"/>
        </w:rPr>
        <w:t>Grolnick</w:t>
      </w:r>
      <w:proofErr w:type="spellEnd"/>
      <w:r w:rsidRPr="00585827">
        <w:rPr>
          <w:rFonts w:ascii="Times New Roman" w:hAnsi="Times New Roman" w:cs="Times New Roman"/>
          <w:color w:val="000000"/>
          <w:kern w:val="0"/>
          <w14:ligatures w14:val="none"/>
        </w:rPr>
        <w:t>, W.S. and Ryan, R.M. (1989). Parent styles associated with children’s self-regulation and competence in school. </w:t>
      </w:r>
      <w:r w:rsidRPr="00585827">
        <w:rPr>
          <w:rFonts w:ascii="Times New Roman" w:hAnsi="Times New Roman" w:cs="Times New Roman"/>
          <w:i/>
          <w:iCs/>
          <w:color w:val="000000"/>
          <w:kern w:val="0"/>
          <w14:ligatures w14:val="none"/>
        </w:rPr>
        <w:t>Journal of Educational Psychology</w:t>
      </w:r>
      <w:r w:rsidRPr="00585827">
        <w:rPr>
          <w:rFonts w:ascii="Times New Roman" w:hAnsi="Times New Roman" w:cs="Times New Roman"/>
          <w:color w:val="000000"/>
          <w:kern w:val="0"/>
          <w14:ligatures w14:val="none"/>
        </w:rPr>
        <w:t xml:space="preserve">, 81(2), pp.143–154. </w:t>
      </w:r>
      <w:proofErr w:type="spellStart"/>
      <w:r w:rsidRPr="00585827">
        <w:rPr>
          <w:rFonts w:ascii="Times New Roman" w:hAnsi="Times New Roman" w:cs="Times New Roman"/>
          <w:color w:val="000000"/>
          <w:kern w:val="0"/>
          <w14:ligatures w14:val="none"/>
        </w:rPr>
        <w:t>doi:https</w:t>
      </w:r>
      <w:proofErr w:type="spellEnd"/>
      <w:r w:rsidRPr="00585827">
        <w:rPr>
          <w:rFonts w:ascii="Times New Roman" w:hAnsi="Times New Roman" w:cs="Times New Roman"/>
          <w:color w:val="000000"/>
          <w:kern w:val="0"/>
          <w14:ligatures w14:val="none"/>
        </w:rPr>
        <w:t>://doi.org/10.1037/0022-0663.81.2.143.</w:t>
      </w:r>
    </w:p>
    <w:p w14:paraId="7ACD0D9B"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proofErr w:type="spellStart"/>
      <w:r w:rsidRPr="00585827">
        <w:rPr>
          <w:rFonts w:ascii="Times New Roman" w:hAnsi="Times New Roman" w:cs="Times New Roman"/>
          <w:color w:val="000000"/>
          <w:kern w:val="0"/>
          <w14:ligatures w14:val="none"/>
        </w:rPr>
        <w:t>Komila</w:t>
      </w:r>
      <w:proofErr w:type="spellEnd"/>
      <w:r w:rsidRPr="00585827">
        <w:rPr>
          <w:rFonts w:ascii="Times New Roman" w:hAnsi="Times New Roman" w:cs="Times New Roman"/>
          <w:color w:val="000000"/>
          <w:kern w:val="0"/>
          <w14:ligatures w14:val="none"/>
        </w:rPr>
        <w:t xml:space="preserve"> </w:t>
      </w:r>
      <w:proofErr w:type="spellStart"/>
      <w:r w:rsidRPr="00585827">
        <w:rPr>
          <w:rFonts w:ascii="Times New Roman" w:hAnsi="Times New Roman" w:cs="Times New Roman"/>
          <w:color w:val="000000"/>
          <w:kern w:val="0"/>
          <w14:ligatures w14:val="none"/>
        </w:rPr>
        <w:t>Dadakhodjaeva</w:t>
      </w:r>
      <w:proofErr w:type="spellEnd"/>
      <w:r w:rsidRPr="00585827">
        <w:rPr>
          <w:rFonts w:ascii="Times New Roman" w:hAnsi="Times New Roman" w:cs="Times New Roman"/>
          <w:color w:val="000000"/>
          <w:kern w:val="0"/>
          <w14:ligatures w14:val="none"/>
        </w:rPr>
        <w:t xml:space="preserve"> (2017). </w:t>
      </w:r>
      <w:r w:rsidRPr="00585827">
        <w:rPr>
          <w:rFonts w:ascii="Times New Roman" w:hAnsi="Times New Roman" w:cs="Times New Roman"/>
          <w:i/>
          <w:iCs/>
          <w:color w:val="000000"/>
          <w:kern w:val="0"/>
          <w14:ligatures w14:val="none"/>
        </w:rPr>
        <w:t xml:space="preserve">The good </w:t>
      </w:r>
      <w:proofErr w:type="spellStart"/>
      <w:r w:rsidRPr="00585827">
        <w:rPr>
          <w:rFonts w:ascii="Times New Roman" w:hAnsi="Times New Roman" w:cs="Times New Roman"/>
          <w:i/>
          <w:iCs/>
          <w:color w:val="000000"/>
          <w:kern w:val="0"/>
          <w14:ligatures w14:val="none"/>
        </w:rPr>
        <w:t>behavior</w:t>
      </w:r>
      <w:proofErr w:type="spellEnd"/>
      <w:r w:rsidRPr="00585827">
        <w:rPr>
          <w:rFonts w:ascii="Times New Roman" w:hAnsi="Times New Roman" w:cs="Times New Roman"/>
          <w:i/>
          <w:iCs/>
          <w:color w:val="000000"/>
          <w:kern w:val="0"/>
          <w14:ligatures w14:val="none"/>
        </w:rPr>
        <w:t xml:space="preserve"> game</w:t>
      </w:r>
      <w:r w:rsidRPr="00585827">
        <w:rPr>
          <w:rFonts w:ascii="Times New Roman" w:hAnsi="Times New Roman" w:cs="Times New Roman"/>
          <w:color w:val="000000"/>
          <w:kern w:val="0"/>
          <w14:ligatures w14:val="none"/>
        </w:rPr>
        <w:t>. The University of Southern Mississippi ProQuest Dissertations Publishing.</w:t>
      </w:r>
    </w:p>
    <w:p w14:paraId="278FE1C1"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Marzano, R.J. and Marzano, J.S. (2003). </w:t>
      </w:r>
      <w:r w:rsidRPr="00585827">
        <w:rPr>
          <w:rFonts w:ascii="Times New Roman" w:hAnsi="Times New Roman" w:cs="Times New Roman"/>
          <w:i/>
          <w:iCs/>
          <w:color w:val="000000"/>
          <w:kern w:val="0"/>
          <w14:ligatures w14:val="none"/>
        </w:rPr>
        <w:t>Classroom Management That Works: Research-Based Strategies for Every Teacher</w:t>
      </w:r>
      <w:r w:rsidRPr="00585827">
        <w:rPr>
          <w:rFonts w:ascii="Times New Roman" w:hAnsi="Times New Roman" w:cs="Times New Roman"/>
          <w:color w:val="000000"/>
          <w:kern w:val="0"/>
          <w14:ligatures w14:val="none"/>
        </w:rPr>
        <w:t>. [online] </w:t>
      </w:r>
      <w:r w:rsidRPr="00585827">
        <w:rPr>
          <w:rFonts w:ascii="Times New Roman" w:hAnsi="Times New Roman" w:cs="Times New Roman"/>
          <w:i/>
          <w:iCs/>
          <w:color w:val="000000"/>
          <w:kern w:val="0"/>
          <w14:ligatures w14:val="none"/>
        </w:rPr>
        <w:t>Google Books</w:t>
      </w:r>
      <w:r w:rsidRPr="00585827">
        <w:rPr>
          <w:rFonts w:ascii="Times New Roman" w:hAnsi="Times New Roman" w:cs="Times New Roman"/>
          <w:color w:val="000000"/>
          <w:kern w:val="0"/>
          <w14:ligatures w14:val="none"/>
        </w:rPr>
        <w:t xml:space="preserve">. ASCD. Available at: </w:t>
      </w:r>
      <w:r w:rsidRPr="00585827">
        <w:rPr>
          <w:rFonts w:ascii="Times New Roman" w:hAnsi="Times New Roman" w:cs="Times New Roman"/>
          <w:color w:val="000000"/>
          <w:kern w:val="0"/>
          <w14:ligatures w14:val="none"/>
        </w:rPr>
        <w:lastRenderedPageBreak/>
        <w:t>https://books.google.co.uk/books?hl=en&amp;lr=&amp;id=OJDgEAAAQBAJ&amp;oi=fnd&amp;pg=PP1&amp;dq=marzano+et+al+2003&amp;ots=IKlvIewkOM&amp;sig=Y4MeedCXADsVL_DkehIxg8hBs_c [Accessed 5 May 2024].</w:t>
      </w:r>
    </w:p>
    <w:p w14:paraId="55D478E9"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Merriam, S.B. (2015). </w:t>
      </w:r>
      <w:r w:rsidRPr="00585827">
        <w:rPr>
          <w:rFonts w:ascii="Times New Roman" w:hAnsi="Times New Roman" w:cs="Times New Roman"/>
          <w:i/>
          <w:iCs/>
          <w:color w:val="000000"/>
          <w:kern w:val="0"/>
          <w14:ligatures w14:val="none"/>
        </w:rPr>
        <w:t>Qualitative Research: Designing, Implementing, and Publishing a Study</w:t>
      </w:r>
      <w:r w:rsidRPr="00585827">
        <w:rPr>
          <w:rFonts w:ascii="Times New Roman" w:hAnsi="Times New Roman" w:cs="Times New Roman"/>
          <w:color w:val="000000"/>
          <w:kern w:val="0"/>
          <w14:ligatures w14:val="none"/>
        </w:rPr>
        <w:t>. [online] www.igi-global.com. Available at: https://www.igi-global.com/chapter/qualitative-research/120335.</w:t>
      </w:r>
    </w:p>
    <w:p w14:paraId="532F6DA4"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proofErr w:type="spellStart"/>
      <w:r w:rsidRPr="00585827">
        <w:rPr>
          <w:rFonts w:ascii="Times New Roman" w:hAnsi="Times New Roman" w:cs="Times New Roman"/>
          <w:color w:val="000000"/>
          <w:kern w:val="0"/>
          <w14:ligatures w14:val="none"/>
        </w:rPr>
        <w:t>Millette</w:t>
      </w:r>
      <w:proofErr w:type="spellEnd"/>
      <w:r w:rsidRPr="00585827">
        <w:rPr>
          <w:rFonts w:ascii="Times New Roman" w:hAnsi="Times New Roman" w:cs="Times New Roman"/>
          <w:color w:val="000000"/>
          <w:kern w:val="0"/>
          <w14:ligatures w14:val="none"/>
        </w:rPr>
        <w:t xml:space="preserve">, V. and </w:t>
      </w:r>
      <w:proofErr w:type="spellStart"/>
      <w:r w:rsidRPr="00585827">
        <w:rPr>
          <w:rFonts w:ascii="Times New Roman" w:hAnsi="Times New Roman" w:cs="Times New Roman"/>
          <w:color w:val="000000"/>
          <w:kern w:val="0"/>
          <w14:ligatures w14:val="none"/>
        </w:rPr>
        <w:t>Gagné</w:t>
      </w:r>
      <w:proofErr w:type="spellEnd"/>
      <w:r w:rsidRPr="00585827">
        <w:rPr>
          <w:rFonts w:ascii="Times New Roman" w:hAnsi="Times New Roman" w:cs="Times New Roman"/>
          <w:color w:val="000000"/>
          <w:kern w:val="0"/>
          <w14:ligatures w14:val="none"/>
        </w:rPr>
        <w:t xml:space="preserve">, M. (2008). Designing volunteers’ tasks to </w:t>
      </w:r>
      <w:proofErr w:type="spellStart"/>
      <w:r w:rsidRPr="00585827">
        <w:rPr>
          <w:rFonts w:ascii="Times New Roman" w:hAnsi="Times New Roman" w:cs="Times New Roman"/>
          <w:color w:val="000000"/>
          <w:kern w:val="0"/>
          <w14:ligatures w14:val="none"/>
        </w:rPr>
        <w:t>maximize</w:t>
      </w:r>
      <w:proofErr w:type="spellEnd"/>
      <w:r w:rsidRPr="00585827">
        <w:rPr>
          <w:rFonts w:ascii="Times New Roman" w:hAnsi="Times New Roman" w:cs="Times New Roman"/>
          <w:color w:val="000000"/>
          <w:kern w:val="0"/>
          <w14:ligatures w14:val="none"/>
        </w:rPr>
        <w:t xml:space="preserve"> motivation, satisfaction and performance: The impact of job characteristics on volunteer engagement. </w:t>
      </w:r>
      <w:r w:rsidRPr="00585827">
        <w:rPr>
          <w:rFonts w:ascii="Times New Roman" w:hAnsi="Times New Roman" w:cs="Times New Roman"/>
          <w:i/>
          <w:iCs/>
          <w:color w:val="000000"/>
          <w:kern w:val="0"/>
          <w14:ligatures w14:val="none"/>
        </w:rPr>
        <w:t>Motivation and Emotion</w:t>
      </w:r>
      <w:r w:rsidRPr="00585827">
        <w:rPr>
          <w:rFonts w:ascii="Times New Roman" w:hAnsi="Times New Roman" w:cs="Times New Roman"/>
          <w:color w:val="000000"/>
          <w:kern w:val="0"/>
          <w14:ligatures w14:val="none"/>
        </w:rPr>
        <w:t xml:space="preserve">, 32(1), pp.11–22. </w:t>
      </w:r>
      <w:proofErr w:type="spellStart"/>
      <w:r w:rsidRPr="00585827">
        <w:rPr>
          <w:rFonts w:ascii="Times New Roman" w:hAnsi="Times New Roman" w:cs="Times New Roman"/>
          <w:color w:val="000000"/>
          <w:kern w:val="0"/>
          <w14:ligatures w14:val="none"/>
        </w:rPr>
        <w:t>doi:https</w:t>
      </w:r>
      <w:proofErr w:type="spellEnd"/>
      <w:r w:rsidRPr="00585827">
        <w:rPr>
          <w:rFonts w:ascii="Times New Roman" w:hAnsi="Times New Roman" w:cs="Times New Roman"/>
          <w:color w:val="000000"/>
          <w:kern w:val="0"/>
          <w14:ligatures w14:val="none"/>
        </w:rPr>
        <w:t>://doi.org/10.1007/s11031-007-9079-4.</w:t>
      </w:r>
    </w:p>
    <w:p w14:paraId="5D8E151A"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Palinkas, L. (2015). Purposeful Sampling for Qualitative Data Collection and Analysis in Mixed Method Implementation Research. </w:t>
      </w:r>
      <w:r w:rsidRPr="00585827">
        <w:rPr>
          <w:rFonts w:ascii="Times New Roman" w:hAnsi="Times New Roman" w:cs="Times New Roman"/>
          <w:i/>
          <w:iCs/>
          <w:color w:val="000000"/>
          <w:kern w:val="0"/>
          <w14:ligatures w14:val="none"/>
        </w:rPr>
        <w:t>Administration and Policy in Mental Health and Mental Health Services Research</w:t>
      </w:r>
      <w:r w:rsidRPr="00585827">
        <w:rPr>
          <w:rFonts w:ascii="Times New Roman" w:hAnsi="Times New Roman" w:cs="Times New Roman"/>
          <w:color w:val="000000"/>
          <w:kern w:val="0"/>
          <w14:ligatures w14:val="none"/>
        </w:rPr>
        <w:t xml:space="preserve">, [online] 42(5), pp.533–544. </w:t>
      </w:r>
      <w:proofErr w:type="spellStart"/>
      <w:r w:rsidRPr="00585827">
        <w:rPr>
          <w:rFonts w:ascii="Times New Roman" w:hAnsi="Times New Roman" w:cs="Times New Roman"/>
          <w:color w:val="000000"/>
          <w:kern w:val="0"/>
          <w14:ligatures w14:val="none"/>
        </w:rPr>
        <w:t>doi:https</w:t>
      </w:r>
      <w:proofErr w:type="spellEnd"/>
      <w:r w:rsidRPr="00585827">
        <w:rPr>
          <w:rFonts w:ascii="Times New Roman" w:hAnsi="Times New Roman" w:cs="Times New Roman"/>
          <w:color w:val="000000"/>
          <w:kern w:val="0"/>
          <w14:ligatures w14:val="none"/>
        </w:rPr>
        <w:t>://doi.org/10.1007/s10488-013-0528-y.</w:t>
      </w:r>
    </w:p>
    <w:p w14:paraId="2ECC6F32"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Reeve, J. and Cheon, S.H. (2016). Teachers become more autonomy supportive after they believe it is easy to do. </w:t>
      </w:r>
      <w:r w:rsidRPr="00585827">
        <w:rPr>
          <w:rFonts w:ascii="Times New Roman" w:hAnsi="Times New Roman" w:cs="Times New Roman"/>
          <w:i/>
          <w:iCs/>
          <w:color w:val="000000"/>
          <w:kern w:val="0"/>
          <w14:ligatures w14:val="none"/>
        </w:rPr>
        <w:t>Psychology of Sport and Exercise</w:t>
      </w:r>
      <w:r w:rsidRPr="00585827">
        <w:rPr>
          <w:rFonts w:ascii="Times New Roman" w:hAnsi="Times New Roman" w:cs="Times New Roman"/>
          <w:color w:val="000000"/>
          <w:kern w:val="0"/>
          <w14:ligatures w14:val="none"/>
        </w:rPr>
        <w:t xml:space="preserve">, 22, pp.178–189. </w:t>
      </w:r>
      <w:proofErr w:type="spellStart"/>
      <w:r w:rsidRPr="00585827">
        <w:rPr>
          <w:rFonts w:ascii="Times New Roman" w:hAnsi="Times New Roman" w:cs="Times New Roman"/>
          <w:color w:val="000000"/>
          <w:kern w:val="0"/>
          <w14:ligatures w14:val="none"/>
        </w:rPr>
        <w:t>doi:https</w:t>
      </w:r>
      <w:proofErr w:type="spellEnd"/>
      <w:r w:rsidRPr="00585827">
        <w:rPr>
          <w:rFonts w:ascii="Times New Roman" w:hAnsi="Times New Roman" w:cs="Times New Roman"/>
          <w:color w:val="000000"/>
          <w:kern w:val="0"/>
          <w14:ligatures w14:val="none"/>
        </w:rPr>
        <w:t>://doi.org/10.1016/j.psychsport.2015.08.001.</w:t>
      </w:r>
    </w:p>
    <w:p w14:paraId="73D2A874"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 xml:space="preserve">Scruggs, T.E. and </w:t>
      </w:r>
      <w:proofErr w:type="spellStart"/>
      <w:r w:rsidRPr="00585827">
        <w:rPr>
          <w:rFonts w:ascii="Times New Roman" w:hAnsi="Times New Roman" w:cs="Times New Roman"/>
          <w:color w:val="000000"/>
          <w:kern w:val="0"/>
          <w14:ligatures w14:val="none"/>
        </w:rPr>
        <w:t>Mastropieri</w:t>
      </w:r>
      <w:proofErr w:type="spellEnd"/>
      <w:r w:rsidRPr="00585827">
        <w:rPr>
          <w:rFonts w:ascii="Times New Roman" w:hAnsi="Times New Roman" w:cs="Times New Roman"/>
          <w:color w:val="000000"/>
          <w:kern w:val="0"/>
          <w14:ligatures w14:val="none"/>
        </w:rPr>
        <w:t xml:space="preserve">, M.A. (2000). The Effectiveness of Mnemonic Instruction for Students with Learning and </w:t>
      </w:r>
      <w:proofErr w:type="spellStart"/>
      <w:r w:rsidRPr="00585827">
        <w:rPr>
          <w:rFonts w:ascii="Times New Roman" w:hAnsi="Times New Roman" w:cs="Times New Roman"/>
          <w:color w:val="000000"/>
          <w:kern w:val="0"/>
          <w14:ligatures w14:val="none"/>
        </w:rPr>
        <w:t>Behavior</w:t>
      </w:r>
      <w:proofErr w:type="spellEnd"/>
      <w:r w:rsidRPr="00585827">
        <w:rPr>
          <w:rFonts w:ascii="Times New Roman" w:hAnsi="Times New Roman" w:cs="Times New Roman"/>
          <w:color w:val="000000"/>
          <w:kern w:val="0"/>
          <w14:ligatures w14:val="none"/>
        </w:rPr>
        <w:t xml:space="preserve"> Problems: An Update and Research Synthesis. </w:t>
      </w:r>
      <w:r w:rsidRPr="00585827">
        <w:rPr>
          <w:rFonts w:ascii="Times New Roman" w:hAnsi="Times New Roman" w:cs="Times New Roman"/>
          <w:i/>
          <w:iCs/>
          <w:color w:val="000000"/>
          <w:kern w:val="0"/>
          <w14:ligatures w14:val="none"/>
        </w:rPr>
        <w:t xml:space="preserve">Journal of </w:t>
      </w:r>
      <w:proofErr w:type="spellStart"/>
      <w:r w:rsidRPr="00585827">
        <w:rPr>
          <w:rFonts w:ascii="Times New Roman" w:hAnsi="Times New Roman" w:cs="Times New Roman"/>
          <w:i/>
          <w:iCs/>
          <w:color w:val="000000"/>
          <w:kern w:val="0"/>
          <w14:ligatures w14:val="none"/>
        </w:rPr>
        <w:t>Behavioral</w:t>
      </w:r>
      <w:proofErr w:type="spellEnd"/>
      <w:r w:rsidRPr="00585827">
        <w:rPr>
          <w:rFonts w:ascii="Times New Roman" w:hAnsi="Times New Roman" w:cs="Times New Roman"/>
          <w:i/>
          <w:iCs/>
          <w:color w:val="000000"/>
          <w:kern w:val="0"/>
          <w14:ligatures w14:val="none"/>
        </w:rPr>
        <w:t xml:space="preserve"> Education</w:t>
      </w:r>
      <w:r w:rsidRPr="00585827">
        <w:rPr>
          <w:rFonts w:ascii="Times New Roman" w:hAnsi="Times New Roman" w:cs="Times New Roman"/>
          <w:color w:val="000000"/>
          <w:kern w:val="0"/>
          <w14:ligatures w14:val="none"/>
        </w:rPr>
        <w:t xml:space="preserve">, 10(2/3), pp.163–173. </w:t>
      </w:r>
      <w:proofErr w:type="spellStart"/>
      <w:r w:rsidRPr="00585827">
        <w:rPr>
          <w:rFonts w:ascii="Times New Roman" w:hAnsi="Times New Roman" w:cs="Times New Roman"/>
          <w:color w:val="000000"/>
          <w:kern w:val="0"/>
          <w14:ligatures w14:val="none"/>
        </w:rPr>
        <w:t>doi:https</w:t>
      </w:r>
      <w:proofErr w:type="spellEnd"/>
      <w:r w:rsidRPr="00585827">
        <w:rPr>
          <w:rFonts w:ascii="Times New Roman" w:hAnsi="Times New Roman" w:cs="Times New Roman"/>
          <w:color w:val="000000"/>
          <w:kern w:val="0"/>
          <w14:ligatures w14:val="none"/>
        </w:rPr>
        <w:t>://doi.org/10.1023/a:1016640214368.</w:t>
      </w:r>
    </w:p>
    <w:p w14:paraId="73955B6E"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proofErr w:type="spellStart"/>
      <w:r w:rsidRPr="00585827">
        <w:rPr>
          <w:rFonts w:ascii="Times New Roman" w:hAnsi="Times New Roman" w:cs="Times New Roman"/>
          <w:color w:val="000000"/>
          <w:kern w:val="0"/>
          <w14:ligatures w14:val="none"/>
        </w:rPr>
        <w:t>Sibley</w:t>
      </w:r>
      <w:proofErr w:type="spellEnd"/>
      <w:r w:rsidRPr="00585827">
        <w:rPr>
          <w:rFonts w:ascii="Times New Roman" w:hAnsi="Times New Roman" w:cs="Times New Roman"/>
          <w:color w:val="000000"/>
          <w:kern w:val="0"/>
          <w14:ligatures w14:val="none"/>
        </w:rPr>
        <w:t xml:space="preserve">, B.A., </w:t>
      </w:r>
      <w:proofErr w:type="spellStart"/>
      <w:r w:rsidRPr="00585827">
        <w:rPr>
          <w:rFonts w:ascii="Times New Roman" w:hAnsi="Times New Roman" w:cs="Times New Roman"/>
          <w:color w:val="000000"/>
          <w:kern w:val="0"/>
          <w14:ligatures w14:val="none"/>
        </w:rPr>
        <w:t>Etnier</w:t>
      </w:r>
      <w:proofErr w:type="spellEnd"/>
      <w:r w:rsidRPr="00585827">
        <w:rPr>
          <w:rFonts w:ascii="Times New Roman" w:hAnsi="Times New Roman" w:cs="Times New Roman"/>
          <w:color w:val="000000"/>
          <w:kern w:val="0"/>
          <w14:ligatures w14:val="none"/>
        </w:rPr>
        <w:t xml:space="preserve">, J.L. and Le </w:t>
      </w:r>
      <w:proofErr w:type="spellStart"/>
      <w:r w:rsidRPr="00585827">
        <w:rPr>
          <w:rFonts w:ascii="Times New Roman" w:hAnsi="Times New Roman" w:cs="Times New Roman"/>
          <w:color w:val="000000"/>
          <w:kern w:val="0"/>
          <w14:ligatures w14:val="none"/>
        </w:rPr>
        <w:t>Masurier</w:t>
      </w:r>
      <w:proofErr w:type="spellEnd"/>
      <w:r w:rsidRPr="00585827">
        <w:rPr>
          <w:rFonts w:ascii="Times New Roman" w:hAnsi="Times New Roman" w:cs="Times New Roman"/>
          <w:color w:val="000000"/>
          <w:kern w:val="0"/>
          <w14:ligatures w14:val="none"/>
        </w:rPr>
        <w:t xml:space="preserve">, G.C. (2006). Effects of an Acute Bout of Exercise on Cognitive Aspects of </w:t>
      </w:r>
      <w:proofErr w:type="spellStart"/>
      <w:r w:rsidRPr="00585827">
        <w:rPr>
          <w:rFonts w:ascii="Times New Roman" w:hAnsi="Times New Roman" w:cs="Times New Roman"/>
          <w:color w:val="000000"/>
          <w:kern w:val="0"/>
          <w14:ligatures w14:val="none"/>
        </w:rPr>
        <w:t>Stroop</w:t>
      </w:r>
      <w:proofErr w:type="spellEnd"/>
      <w:r w:rsidRPr="00585827">
        <w:rPr>
          <w:rFonts w:ascii="Times New Roman" w:hAnsi="Times New Roman" w:cs="Times New Roman"/>
          <w:color w:val="000000"/>
          <w:kern w:val="0"/>
          <w14:ligatures w14:val="none"/>
        </w:rPr>
        <w:t xml:space="preserve"> Performance. </w:t>
      </w:r>
      <w:r w:rsidRPr="00585827">
        <w:rPr>
          <w:rFonts w:ascii="Times New Roman" w:hAnsi="Times New Roman" w:cs="Times New Roman"/>
          <w:i/>
          <w:iCs/>
          <w:color w:val="000000"/>
          <w:kern w:val="0"/>
          <w14:ligatures w14:val="none"/>
        </w:rPr>
        <w:t>Journal of Sport and Exercise Psychology</w:t>
      </w:r>
      <w:r w:rsidRPr="00585827">
        <w:rPr>
          <w:rFonts w:ascii="Times New Roman" w:hAnsi="Times New Roman" w:cs="Times New Roman"/>
          <w:color w:val="000000"/>
          <w:kern w:val="0"/>
          <w14:ligatures w14:val="none"/>
        </w:rPr>
        <w:t xml:space="preserve">, 28(3), pp.285–299. </w:t>
      </w:r>
      <w:proofErr w:type="spellStart"/>
      <w:r w:rsidRPr="00585827">
        <w:rPr>
          <w:rFonts w:ascii="Times New Roman" w:hAnsi="Times New Roman" w:cs="Times New Roman"/>
          <w:color w:val="000000"/>
          <w:kern w:val="0"/>
          <w14:ligatures w14:val="none"/>
        </w:rPr>
        <w:t>doi:https</w:t>
      </w:r>
      <w:proofErr w:type="spellEnd"/>
      <w:r w:rsidRPr="00585827">
        <w:rPr>
          <w:rFonts w:ascii="Times New Roman" w:hAnsi="Times New Roman" w:cs="Times New Roman"/>
          <w:color w:val="000000"/>
          <w:kern w:val="0"/>
          <w14:ligatures w14:val="none"/>
        </w:rPr>
        <w:t>://doi.org/10.1123/jsep.28.3.285.</w:t>
      </w:r>
    </w:p>
    <w:p w14:paraId="43E17D60"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proofErr w:type="spellStart"/>
      <w:r w:rsidRPr="00585827">
        <w:rPr>
          <w:rFonts w:ascii="Times New Roman" w:hAnsi="Times New Roman" w:cs="Times New Roman"/>
          <w:color w:val="000000"/>
          <w:kern w:val="0"/>
          <w14:ligatures w14:val="none"/>
        </w:rPr>
        <w:t>Simpkins</w:t>
      </w:r>
      <w:proofErr w:type="spellEnd"/>
      <w:r w:rsidRPr="00585827">
        <w:rPr>
          <w:rFonts w:ascii="Times New Roman" w:hAnsi="Times New Roman" w:cs="Times New Roman"/>
          <w:color w:val="000000"/>
          <w:kern w:val="0"/>
          <w14:ligatures w14:val="none"/>
        </w:rPr>
        <w:t>, S.D., Fredricks, J.A. and Eccles, J.S. (2012). Charting the Eccles’ expectancy-value model from mothers’ beliefs in childhood to youths’ activities in adolescence. </w:t>
      </w:r>
      <w:r w:rsidRPr="00585827">
        <w:rPr>
          <w:rFonts w:ascii="Times New Roman" w:hAnsi="Times New Roman" w:cs="Times New Roman"/>
          <w:i/>
          <w:iCs/>
          <w:color w:val="000000"/>
          <w:kern w:val="0"/>
          <w14:ligatures w14:val="none"/>
        </w:rPr>
        <w:t>Developmental Psychology</w:t>
      </w:r>
      <w:r w:rsidRPr="00585827">
        <w:rPr>
          <w:rFonts w:ascii="Times New Roman" w:hAnsi="Times New Roman" w:cs="Times New Roman"/>
          <w:color w:val="000000"/>
          <w:kern w:val="0"/>
          <w14:ligatures w14:val="none"/>
        </w:rPr>
        <w:t xml:space="preserve">, 48(4), pp.1019–1032. </w:t>
      </w:r>
      <w:proofErr w:type="spellStart"/>
      <w:r w:rsidRPr="00585827">
        <w:rPr>
          <w:rFonts w:ascii="Times New Roman" w:hAnsi="Times New Roman" w:cs="Times New Roman"/>
          <w:color w:val="000000"/>
          <w:kern w:val="0"/>
          <w14:ligatures w14:val="none"/>
        </w:rPr>
        <w:t>doi:https</w:t>
      </w:r>
      <w:proofErr w:type="spellEnd"/>
      <w:r w:rsidRPr="00585827">
        <w:rPr>
          <w:rFonts w:ascii="Times New Roman" w:hAnsi="Times New Roman" w:cs="Times New Roman"/>
          <w:color w:val="000000"/>
          <w:kern w:val="0"/>
          <w14:ligatures w14:val="none"/>
        </w:rPr>
        <w:t>://doi.org/10.1037/a0027468.</w:t>
      </w:r>
    </w:p>
    <w:p w14:paraId="3C93B3CD"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 xml:space="preserve">Skinner, B.F. (1953). Some contributions of an experimental analysis of </w:t>
      </w:r>
      <w:proofErr w:type="spellStart"/>
      <w:r w:rsidRPr="00585827">
        <w:rPr>
          <w:rFonts w:ascii="Times New Roman" w:hAnsi="Times New Roman" w:cs="Times New Roman"/>
          <w:color w:val="000000"/>
          <w:kern w:val="0"/>
          <w14:ligatures w14:val="none"/>
        </w:rPr>
        <w:t>behavior</w:t>
      </w:r>
      <w:proofErr w:type="spellEnd"/>
      <w:r w:rsidRPr="00585827">
        <w:rPr>
          <w:rFonts w:ascii="Times New Roman" w:hAnsi="Times New Roman" w:cs="Times New Roman"/>
          <w:color w:val="000000"/>
          <w:kern w:val="0"/>
          <w14:ligatures w14:val="none"/>
        </w:rPr>
        <w:t xml:space="preserve"> to psychology as a whole. </w:t>
      </w:r>
      <w:r w:rsidRPr="00585827">
        <w:rPr>
          <w:rFonts w:ascii="Times New Roman" w:hAnsi="Times New Roman" w:cs="Times New Roman"/>
          <w:i/>
          <w:iCs/>
          <w:color w:val="000000"/>
          <w:kern w:val="0"/>
          <w14:ligatures w14:val="none"/>
        </w:rPr>
        <w:t>American Psychologist</w:t>
      </w:r>
      <w:r w:rsidRPr="00585827">
        <w:rPr>
          <w:rFonts w:ascii="Times New Roman" w:hAnsi="Times New Roman" w:cs="Times New Roman"/>
          <w:color w:val="000000"/>
          <w:kern w:val="0"/>
          <w14:ligatures w14:val="none"/>
        </w:rPr>
        <w:t xml:space="preserve">, 8(2), pp.69–78. </w:t>
      </w:r>
      <w:proofErr w:type="spellStart"/>
      <w:r w:rsidRPr="00585827">
        <w:rPr>
          <w:rFonts w:ascii="Times New Roman" w:hAnsi="Times New Roman" w:cs="Times New Roman"/>
          <w:color w:val="000000"/>
          <w:kern w:val="0"/>
          <w14:ligatures w14:val="none"/>
        </w:rPr>
        <w:t>doi:https</w:t>
      </w:r>
      <w:proofErr w:type="spellEnd"/>
      <w:r w:rsidRPr="00585827">
        <w:rPr>
          <w:rFonts w:ascii="Times New Roman" w:hAnsi="Times New Roman" w:cs="Times New Roman"/>
          <w:color w:val="000000"/>
          <w:kern w:val="0"/>
          <w14:ligatures w14:val="none"/>
        </w:rPr>
        <w:t>://doi.org/10.1037/h0054118.</w:t>
      </w:r>
    </w:p>
    <w:p w14:paraId="096596D8"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lastRenderedPageBreak/>
        <w:t xml:space="preserve">Smith, S., Barajas, K., Ellis, B., Moore, C., McCauley, S. and Reichow, B. (2019). A Meta-Analytic Review of </w:t>
      </w:r>
      <w:proofErr w:type="spellStart"/>
      <w:r w:rsidRPr="00585827">
        <w:rPr>
          <w:rFonts w:ascii="Times New Roman" w:hAnsi="Times New Roman" w:cs="Times New Roman"/>
          <w:color w:val="000000"/>
          <w:kern w:val="0"/>
          <w14:ligatures w14:val="none"/>
        </w:rPr>
        <w:t>Randomized</w:t>
      </w:r>
      <w:proofErr w:type="spellEnd"/>
      <w:r w:rsidRPr="00585827">
        <w:rPr>
          <w:rFonts w:ascii="Times New Roman" w:hAnsi="Times New Roman" w:cs="Times New Roman"/>
          <w:color w:val="000000"/>
          <w:kern w:val="0"/>
          <w14:ligatures w14:val="none"/>
        </w:rPr>
        <w:t xml:space="preserve"> Controlled Trials of the Good </w:t>
      </w:r>
      <w:proofErr w:type="spellStart"/>
      <w:r w:rsidRPr="00585827">
        <w:rPr>
          <w:rFonts w:ascii="Times New Roman" w:hAnsi="Times New Roman" w:cs="Times New Roman"/>
          <w:color w:val="000000"/>
          <w:kern w:val="0"/>
          <w14:ligatures w14:val="none"/>
        </w:rPr>
        <w:t>Behavior</w:t>
      </w:r>
      <w:proofErr w:type="spellEnd"/>
      <w:r w:rsidRPr="00585827">
        <w:rPr>
          <w:rFonts w:ascii="Times New Roman" w:hAnsi="Times New Roman" w:cs="Times New Roman"/>
          <w:color w:val="000000"/>
          <w:kern w:val="0"/>
          <w14:ligatures w14:val="none"/>
        </w:rPr>
        <w:t xml:space="preserve"> Game. </w:t>
      </w:r>
      <w:proofErr w:type="spellStart"/>
      <w:r w:rsidRPr="00585827">
        <w:rPr>
          <w:rFonts w:ascii="Times New Roman" w:hAnsi="Times New Roman" w:cs="Times New Roman"/>
          <w:i/>
          <w:iCs/>
          <w:color w:val="000000"/>
          <w:kern w:val="0"/>
          <w14:ligatures w14:val="none"/>
        </w:rPr>
        <w:t>Behavior</w:t>
      </w:r>
      <w:proofErr w:type="spellEnd"/>
      <w:r w:rsidRPr="00585827">
        <w:rPr>
          <w:rFonts w:ascii="Times New Roman" w:hAnsi="Times New Roman" w:cs="Times New Roman"/>
          <w:i/>
          <w:iCs/>
          <w:color w:val="000000"/>
          <w:kern w:val="0"/>
          <w14:ligatures w14:val="none"/>
        </w:rPr>
        <w:t xml:space="preserve"> Modification</w:t>
      </w:r>
      <w:r w:rsidRPr="00585827">
        <w:rPr>
          <w:rFonts w:ascii="Times New Roman" w:hAnsi="Times New Roman" w:cs="Times New Roman"/>
          <w:color w:val="000000"/>
          <w:kern w:val="0"/>
          <w14:ligatures w14:val="none"/>
        </w:rPr>
        <w:t xml:space="preserve">, 45(4), p.014544551987867. </w:t>
      </w:r>
      <w:proofErr w:type="spellStart"/>
      <w:r w:rsidRPr="00585827">
        <w:rPr>
          <w:rFonts w:ascii="Times New Roman" w:hAnsi="Times New Roman" w:cs="Times New Roman"/>
          <w:color w:val="000000"/>
          <w:kern w:val="0"/>
          <w14:ligatures w14:val="none"/>
        </w:rPr>
        <w:t>doi:https</w:t>
      </w:r>
      <w:proofErr w:type="spellEnd"/>
      <w:r w:rsidRPr="00585827">
        <w:rPr>
          <w:rFonts w:ascii="Times New Roman" w:hAnsi="Times New Roman" w:cs="Times New Roman"/>
          <w:color w:val="000000"/>
          <w:kern w:val="0"/>
          <w14:ligatures w14:val="none"/>
        </w:rPr>
        <w:t>://doi.org/10.1177/0145445519878670.</w:t>
      </w:r>
    </w:p>
    <w:p w14:paraId="19588801"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Stake, R.E. (1995). </w:t>
      </w:r>
      <w:r w:rsidRPr="00585827">
        <w:rPr>
          <w:rFonts w:ascii="Times New Roman" w:hAnsi="Times New Roman" w:cs="Times New Roman"/>
          <w:i/>
          <w:iCs/>
          <w:color w:val="000000"/>
          <w:kern w:val="0"/>
          <w14:ligatures w14:val="none"/>
        </w:rPr>
        <w:t>The art of case study research</w:t>
      </w:r>
      <w:r w:rsidRPr="00585827">
        <w:rPr>
          <w:rFonts w:ascii="Times New Roman" w:hAnsi="Times New Roman" w:cs="Times New Roman"/>
          <w:color w:val="000000"/>
          <w:kern w:val="0"/>
          <w14:ligatures w14:val="none"/>
        </w:rPr>
        <w:t>. London: Sage Publications.</w:t>
      </w:r>
    </w:p>
    <w:p w14:paraId="7466564B"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proofErr w:type="spellStart"/>
      <w:r w:rsidRPr="00585827">
        <w:rPr>
          <w:rFonts w:ascii="Times New Roman" w:hAnsi="Times New Roman" w:cs="Times New Roman"/>
          <w:color w:val="000000"/>
          <w:kern w:val="0"/>
          <w14:ligatures w14:val="none"/>
        </w:rPr>
        <w:t>Teixeira</w:t>
      </w:r>
      <w:proofErr w:type="spellEnd"/>
      <w:r w:rsidRPr="00585827">
        <w:rPr>
          <w:rFonts w:ascii="Times New Roman" w:hAnsi="Times New Roman" w:cs="Times New Roman"/>
          <w:color w:val="000000"/>
          <w:kern w:val="0"/>
          <w14:ligatures w14:val="none"/>
        </w:rPr>
        <w:t xml:space="preserve">, P.J., Marques, M.M., Silva, M.N., Brunet, J., Duda, J.L., </w:t>
      </w:r>
      <w:proofErr w:type="spellStart"/>
      <w:r w:rsidRPr="00585827">
        <w:rPr>
          <w:rFonts w:ascii="Times New Roman" w:hAnsi="Times New Roman" w:cs="Times New Roman"/>
          <w:color w:val="000000"/>
          <w:kern w:val="0"/>
          <w14:ligatures w14:val="none"/>
        </w:rPr>
        <w:t>Haerens</w:t>
      </w:r>
      <w:proofErr w:type="spellEnd"/>
      <w:r w:rsidRPr="00585827">
        <w:rPr>
          <w:rFonts w:ascii="Times New Roman" w:hAnsi="Times New Roman" w:cs="Times New Roman"/>
          <w:color w:val="000000"/>
          <w:kern w:val="0"/>
          <w14:ligatures w14:val="none"/>
        </w:rPr>
        <w:t xml:space="preserve">, L., La Guardia, J., Lindwall, M., Lonsdale, C., </w:t>
      </w:r>
      <w:proofErr w:type="spellStart"/>
      <w:r w:rsidRPr="00585827">
        <w:rPr>
          <w:rFonts w:ascii="Times New Roman" w:hAnsi="Times New Roman" w:cs="Times New Roman"/>
          <w:color w:val="000000"/>
          <w:kern w:val="0"/>
          <w14:ligatures w14:val="none"/>
        </w:rPr>
        <w:t>Markland</w:t>
      </w:r>
      <w:proofErr w:type="spellEnd"/>
      <w:r w:rsidRPr="00585827">
        <w:rPr>
          <w:rFonts w:ascii="Times New Roman" w:hAnsi="Times New Roman" w:cs="Times New Roman"/>
          <w:color w:val="000000"/>
          <w:kern w:val="0"/>
          <w14:ligatures w14:val="none"/>
        </w:rPr>
        <w:t xml:space="preserve">, D., </w:t>
      </w:r>
      <w:proofErr w:type="spellStart"/>
      <w:r w:rsidRPr="00585827">
        <w:rPr>
          <w:rFonts w:ascii="Times New Roman" w:hAnsi="Times New Roman" w:cs="Times New Roman"/>
          <w:color w:val="000000"/>
          <w:kern w:val="0"/>
          <w14:ligatures w14:val="none"/>
        </w:rPr>
        <w:t>Michie</w:t>
      </w:r>
      <w:proofErr w:type="spellEnd"/>
      <w:r w:rsidRPr="00585827">
        <w:rPr>
          <w:rFonts w:ascii="Times New Roman" w:hAnsi="Times New Roman" w:cs="Times New Roman"/>
          <w:color w:val="000000"/>
          <w:kern w:val="0"/>
          <w14:ligatures w14:val="none"/>
        </w:rPr>
        <w:t xml:space="preserve">, S., Moller, A.C., </w:t>
      </w:r>
      <w:proofErr w:type="spellStart"/>
      <w:r w:rsidRPr="00585827">
        <w:rPr>
          <w:rFonts w:ascii="Times New Roman" w:hAnsi="Times New Roman" w:cs="Times New Roman"/>
          <w:color w:val="000000"/>
          <w:kern w:val="0"/>
          <w14:ligatures w14:val="none"/>
        </w:rPr>
        <w:t>Ntoumanis</w:t>
      </w:r>
      <w:proofErr w:type="spellEnd"/>
      <w:r w:rsidRPr="00585827">
        <w:rPr>
          <w:rFonts w:ascii="Times New Roman" w:hAnsi="Times New Roman" w:cs="Times New Roman"/>
          <w:color w:val="000000"/>
          <w:kern w:val="0"/>
          <w14:ligatures w14:val="none"/>
        </w:rPr>
        <w:t xml:space="preserve">, N., Patrick, H., Reeve, J., Ryan, R.M., </w:t>
      </w:r>
      <w:proofErr w:type="spellStart"/>
      <w:r w:rsidRPr="00585827">
        <w:rPr>
          <w:rFonts w:ascii="Times New Roman" w:hAnsi="Times New Roman" w:cs="Times New Roman"/>
          <w:color w:val="000000"/>
          <w:kern w:val="0"/>
          <w14:ligatures w14:val="none"/>
        </w:rPr>
        <w:t>Sebire</w:t>
      </w:r>
      <w:proofErr w:type="spellEnd"/>
      <w:r w:rsidRPr="00585827">
        <w:rPr>
          <w:rFonts w:ascii="Times New Roman" w:hAnsi="Times New Roman" w:cs="Times New Roman"/>
          <w:color w:val="000000"/>
          <w:kern w:val="0"/>
          <w14:ligatures w14:val="none"/>
        </w:rPr>
        <w:t xml:space="preserve">, S.J., </w:t>
      </w:r>
      <w:proofErr w:type="spellStart"/>
      <w:r w:rsidRPr="00585827">
        <w:rPr>
          <w:rFonts w:ascii="Times New Roman" w:hAnsi="Times New Roman" w:cs="Times New Roman"/>
          <w:color w:val="000000"/>
          <w:kern w:val="0"/>
          <w14:ligatures w14:val="none"/>
        </w:rPr>
        <w:t>Standage</w:t>
      </w:r>
      <w:proofErr w:type="spellEnd"/>
      <w:r w:rsidRPr="00585827">
        <w:rPr>
          <w:rFonts w:ascii="Times New Roman" w:hAnsi="Times New Roman" w:cs="Times New Roman"/>
          <w:color w:val="000000"/>
          <w:kern w:val="0"/>
          <w14:ligatures w14:val="none"/>
        </w:rPr>
        <w:t xml:space="preserve">, M., </w:t>
      </w:r>
      <w:proofErr w:type="spellStart"/>
      <w:r w:rsidRPr="00585827">
        <w:rPr>
          <w:rFonts w:ascii="Times New Roman" w:hAnsi="Times New Roman" w:cs="Times New Roman"/>
          <w:color w:val="000000"/>
          <w:kern w:val="0"/>
          <w14:ligatures w14:val="none"/>
        </w:rPr>
        <w:t>Vansteenkiste</w:t>
      </w:r>
      <w:proofErr w:type="spellEnd"/>
      <w:r w:rsidRPr="00585827">
        <w:rPr>
          <w:rFonts w:ascii="Times New Roman" w:hAnsi="Times New Roman" w:cs="Times New Roman"/>
          <w:color w:val="000000"/>
          <w:kern w:val="0"/>
          <w14:ligatures w14:val="none"/>
        </w:rPr>
        <w:t xml:space="preserve">, M. and Weinstein, N. (2020). A classification of motivation and </w:t>
      </w:r>
      <w:proofErr w:type="spellStart"/>
      <w:r w:rsidRPr="00585827">
        <w:rPr>
          <w:rFonts w:ascii="Times New Roman" w:hAnsi="Times New Roman" w:cs="Times New Roman"/>
          <w:color w:val="000000"/>
          <w:kern w:val="0"/>
          <w14:ligatures w14:val="none"/>
        </w:rPr>
        <w:t>behavior</w:t>
      </w:r>
      <w:proofErr w:type="spellEnd"/>
      <w:r w:rsidRPr="00585827">
        <w:rPr>
          <w:rFonts w:ascii="Times New Roman" w:hAnsi="Times New Roman" w:cs="Times New Roman"/>
          <w:color w:val="000000"/>
          <w:kern w:val="0"/>
          <w14:ligatures w14:val="none"/>
        </w:rPr>
        <w:t xml:space="preserve"> change techniques used in self-determination theory-based interventions in health contexts. </w:t>
      </w:r>
      <w:r w:rsidRPr="00585827">
        <w:rPr>
          <w:rFonts w:ascii="Times New Roman" w:hAnsi="Times New Roman" w:cs="Times New Roman"/>
          <w:i/>
          <w:iCs/>
          <w:color w:val="000000"/>
          <w:kern w:val="0"/>
          <w14:ligatures w14:val="none"/>
        </w:rPr>
        <w:t>Motivation Science</w:t>
      </w:r>
      <w:r w:rsidRPr="00585827">
        <w:rPr>
          <w:rFonts w:ascii="Times New Roman" w:hAnsi="Times New Roman" w:cs="Times New Roman"/>
          <w:color w:val="000000"/>
          <w:kern w:val="0"/>
          <w14:ligatures w14:val="none"/>
        </w:rPr>
        <w:t xml:space="preserve">, 6(4). </w:t>
      </w:r>
      <w:proofErr w:type="spellStart"/>
      <w:r w:rsidRPr="00585827">
        <w:rPr>
          <w:rFonts w:ascii="Times New Roman" w:hAnsi="Times New Roman" w:cs="Times New Roman"/>
          <w:color w:val="000000"/>
          <w:kern w:val="0"/>
          <w14:ligatures w14:val="none"/>
        </w:rPr>
        <w:t>doi:https</w:t>
      </w:r>
      <w:proofErr w:type="spellEnd"/>
      <w:r w:rsidRPr="00585827">
        <w:rPr>
          <w:rFonts w:ascii="Times New Roman" w:hAnsi="Times New Roman" w:cs="Times New Roman"/>
          <w:color w:val="000000"/>
          <w:kern w:val="0"/>
          <w14:ligatures w14:val="none"/>
        </w:rPr>
        <w:t>://doi.org/10.1037/mot0000172.</w:t>
      </w:r>
    </w:p>
    <w:p w14:paraId="15096379"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The British Psychological Society (2021). </w:t>
      </w:r>
      <w:r w:rsidRPr="00585827">
        <w:rPr>
          <w:rFonts w:ascii="Times New Roman" w:hAnsi="Times New Roman" w:cs="Times New Roman"/>
          <w:i/>
          <w:iCs/>
          <w:color w:val="000000"/>
          <w:kern w:val="0"/>
          <w14:ligatures w14:val="none"/>
        </w:rPr>
        <w:t>BPS Code of Human Research Ethics</w:t>
      </w:r>
      <w:r w:rsidRPr="00585827">
        <w:rPr>
          <w:rFonts w:ascii="Times New Roman" w:hAnsi="Times New Roman" w:cs="Times New Roman"/>
          <w:color w:val="000000"/>
          <w:kern w:val="0"/>
          <w14:ligatures w14:val="none"/>
        </w:rPr>
        <w:t>. [online] BPS. Available at: https://www.bps.org.uk/guideline/bps-code-human-research-ethics.</w:t>
      </w:r>
    </w:p>
    <w:p w14:paraId="2439E5E9"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 xml:space="preserve">Tian, J., Hong, S., </w:t>
      </w:r>
      <w:proofErr w:type="spellStart"/>
      <w:r w:rsidRPr="00585827">
        <w:rPr>
          <w:rFonts w:ascii="Times New Roman" w:hAnsi="Times New Roman" w:cs="Times New Roman"/>
          <w:color w:val="000000"/>
          <w:kern w:val="0"/>
          <w14:ligatures w14:val="none"/>
        </w:rPr>
        <w:t>Ireneusz</w:t>
      </w:r>
      <w:proofErr w:type="spellEnd"/>
      <w:r w:rsidRPr="00585827">
        <w:rPr>
          <w:rFonts w:ascii="Times New Roman" w:hAnsi="Times New Roman" w:cs="Times New Roman"/>
          <w:color w:val="000000"/>
          <w:kern w:val="0"/>
          <w14:ligatures w14:val="none"/>
        </w:rPr>
        <w:t xml:space="preserve"> </w:t>
      </w:r>
      <w:proofErr w:type="spellStart"/>
      <w:r w:rsidRPr="00585827">
        <w:rPr>
          <w:rFonts w:ascii="Times New Roman" w:hAnsi="Times New Roman" w:cs="Times New Roman"/>
          <w:color w:val="000000"/>
          <w:kern w:val="0"/>
          <w14:ligatures w14:val="none"/>
        </w:rPr>
        <w:t>Miotkowski</w:t>
      </w:r>
      <w:proofErr w:type="spellEnd"/>
      <w:r w:rsidRPr="00585827">
        <w:rPr>
          <w:rFonts w:ascii="Times New Roman" w:hAnsi="Times New Roman" w:cs="Times New Roman"/>
          <w:color w:val="000000"/>
          <w:kern w:val="0"/>
          <w14:ligatures w14:val="none"/>
        </w:rPr>
        <w:t xml:space="preserve">, Datta, S. and Chen, Y.P. (2017). Observation of current-induced, long-lived persistent spin </w:t>
      </w:r>
      <w:proofErr w:type="spellStart"/>
      <w:r w:rsidRPr="00585827">
        <w:rPr>
          <w:rFonts w:ascii="Times New Roman" w:hAnsi="Times New Roman" w:cs="Times New Roman"/>
          <w:color w:val="000000"/>
          <w:kern w:val="0"/>
          <w14:ligatures w14:val="none"/>
        </w:rPr>
        <w:t>polarization</w:t>
      </w:r>
      <w:proofErr w:type="spellEnd"/>
      <w:r w:rsidRPr="00585827">
        <w:rPr>
          <w:rFonts w:ascii="Times New Roman" w:hAnsi="Times New Roman" w:cs="Times New Roman"/>
          <w:color w:val="000000"/>
          <w:kern w:val="0"/>
          <w14:ligatures w14:val="none"/>
        </w:rPr>
        <w:t xml:space="preserve"> in a topological insulator: A rechargeable spin battery. </w:t>
      </w:r>
      <w:r w:rsidRPr="00585827">
        <w:rPr>
          <w:rFonts w:ascii="Times New Roman" w:hAnsi="Times New Roman" w:cs="Times New Roman"/>
          <w:i/>
          <w:iCs/>
          <w:color w:val="000000"/>
          <w:kern w:val="0"/>
          <w14:ligatures w14:val="none"/>
        </w:rPr>
        <w:t>Science advances</w:t>
      </w:r>
      <w:r w:rsidRPr="00585827">
        <w:rPr>
          <w:rFonts w:ascii="Times New Roman" w:hAnsi="Times New Roman" w:cs="Times New Roman"/>
          <w:color w:val="000000"/>
          <w:kern w:val="0"/>
          <w14:ligatures w14:val="none"/>
        </w:rPr>
        <w:t xml:space="preserve">, 3(4). </w:t>
      </w:r>
      <w:proofErr w:type="spellStart"/>
      <w:r w:rsidRPr="00585827">
        <w:rPr>
          <w:rFonts w:ascii="Times New Roman" w:hAnsi="Times New Roman" w:cs="Times New Roman"/>
          <w:color w:val="000000"/>
          <w:kern w:val="0"/>
          <w14:ligatures w14:val="none"/>
        </w:rPr>
        <w:t>doi:https</w:t>
      </w:r>
      <w:proofErr w:type="spellEnd"/>
      <w:r w:rsidRPr="00585827">
        <w:rPr>
          <w:rFonts w:ascii="Times New Roman" w:hAnsi="Times New Roman" w:cs="Times New Roman"/>
          <w:color w:val="000000"/>
          <w:kern w:val="0"/>
          <w14:ligatures w14:val="none"/>
        </w:rPr>
        <w:t>://doi.org/10.1126/sciadv.1602531.</w:t>
      </w:r>
    </w:p>
    <w:p w14:paraId="5C35E406"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 xml:space="preserve">Vaughn, S., Roberts, G., </w:t>
      </w:r>
      <w:proofErr w:type="spellStart"/>
      <w:r w:rsidRPr="00585827">
        <w:rPr>
          <w:rFonts w:ascii="Times New Roman" w:hAnsi="Times New Roman" w:cs="Times New Roman"/>
          <w:color w:val="000000"/>
          <w:kern w:val="0"/>
          <w14:ligatures w14:val="none"/>
        </w:rPr>
        <w:t>Capin</w:t>
      </w:r>
      <w:proofErr w:type="spellEnd"/>
      <w:r w:rsidRPr="00585827">
        <w:rPr>
          <w:rFonts w:ascii="Times New Roman" w:hAnsi="Times New Roman" w:cs="Times New Roman"/>
          <w:color w:val="000000"/>
          <w:kern w:val="0"/>
          <w14:ligatures w14:val="none"/>
        </w:rPr>
        <w:t xml:space="preserve">, P., </w:t>
      </w:r>
      <w:proofErr w:type="spellStart"/>
      <w:r w:rsidRPr="00585827">
        <w:rPr>
          <w:rFonts w:ascii="Times New Roman" w:hAnsi="Times New Roman" w:cs="Times New Roman"/>
          <w:color w:val="000000"/>
          <w:kern w:val="0"/>
          <w14:ligatures w14:val="none"/>
        </w:rPr>
        <w:t>Miciak</w:t>
      </w:r>
      <w:proofErr w:type="spellEnd"/>
      <w:r w:rsidRPr="00585827">
        <w:rPr>
          <w:rFonts w:ascii="Times New Roman" w:hAnsi="Times New Roman" w:cs="Times New Roman"/>
          <w:color w:val="000000"/>
          <w:kern w:val="0"/>
          <w14:ligatures w14:val="none"/>
        </w:rPr>
        <w:t>, J., Cho, E. and Fletcher, J.M. (2018). How Initial Word Reading and Language Skills Affect Reading Comprehension Outcomes for Students With Reading Difficulties. </w:t>
      </w:r>
      <w:r w:rsidRPr="00585827">
        <w:rPr>
          <w:rFonts w:ascii="Times New Roman" w:hAnsi="Times New Roman" w:cs="Times New Roman"/>
          <w:i/>
          <w:iCs/>
          <w:color w:val="000000"/>
          <w:kern w:val="0"/>
          <w14:ligatures w14:val="none"/>
        </w:rPr>
        <w:t>Exceptional Children</w:t>
      </w:r>
      <w:r w:rsidRPr="00585827">
        <w:rPr>
          <w:rFonts w:ascii="Times New Roman" w:hAnsi="Times New Roman" w:cs="Times New Roman"/>
          <w:color w:val="000000"/>
          <w:kern w:val="0"/>
          <w14:ligatures w14:val="none"/>
        </w:rPr>
        <w:t xml:space="preserve">, 85(2), pp.180–196. </w:t>
      </w:r>
      <w:proofErr w:type="spellStart"/>
      <w:r w:rsidRPr="00585827">
        <w:rPr>
          <w:rFonts w:ascii="Times New Roman" w:hAnsi="Times New Roman" w:cs="Times New Roman"/>
          <w:color w:val="000000"/>
          <w:kern w:val="0"/>
          <w14:ligatures w14:val="none"/>
        </w:rPr>
        <w:t>doi:https</w:t>
      </w:r>
      <w:proofErr w:type="spellEnd"/>
      <w:r w:rsidRPr="00585827">
        <w:rPr>
          <w:rFonts w:ascii="Times New Roman" w:hAnsi="Times New Roman" w:cs="Times New Roman"/>
          <w:color w:val="000000"/>
          <w:kern w:val="0"/>
          <w14:ligatures w14:val="none"/>
        </w:rPr>
        <w:t>://doi.org/10.1177/0014402918782618.</w:t>
      </w:r>
    </w:p>
    <w:p w14:paraId="1A79A5DB"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proofErr w:type="spellStart"/>
      <w:r w:rsidRPr="00585827">
        <w:rPr>
          <w:rFonts w:ascii="Times New Roman" w:hAnsi="Times New Roman" w:cs="Times New Roman"/>
          <w:color w:val="000000"/>
          <w:kern w:val="0"/>
          <w14:ligatures w14:val="none"/>
        </w:rPr>
        <w:t>Vygotsky</w:t>
      </w:r>
      <w:proofErr w:type="spellEnd"/>
      <w:r w:rsidRPr="00585827">
        <w:rPr>
          <w:rFonts w:ascii="Times New Roman" w:hAnsi="Times New Roman" w:cs="Times New Roman"/>
          <w:color w:val="000000"/>
          <w:kern w:val="0"/>
          <w14:ligatures w14:val="none"/>
        </w:rPr>
        <w:t>, L.S. and Cole, M. (1978). </w:t>
      </w:r>
      <w:r w:rsidRPr="00585827">
        <w:rPr>
          <w:rFonts w:ascii="Times New Roman" w:hAnsi="Times New Roman" w:cs="Times New Roman"/>
          <w:i/>
          <w:iCs/>
          <w:color w:val="000000"/>
          <w:kern w:val="0"/>
          <w14:ligatures w14:val="none"/>
        </w:rPr>
        <w:t>Mind in Society: Development of Higher Psychological Processes</w:t>
      </w:r>
      <w:r w:rsidRPr="00585827">
        <w:rPr>
          <w:rFonts w:ascii="Times New Roman" w:hAnsi="Times New Roman" w:cs="Times New Roman"/>
          <w:color w:val="000000"/>
          <w:kern w:val="0"/>
          <w14:ligatures w14:val="none"/>
        </w:rPr>
        <w:t>. [online] </w:t>
      </w:r>
      <w:r w:rsidRPr="00585827">
        <w:rPr>
          <w:rFonts w:ascii="Times New Roman" w:hAnsi="Times New Roman" w:cs="Times New Roman"/>
          <w:i/>
          <w:iCs/>
          <w:color w:val="000000"/>
          <w:kern w:val="0"/>
          <w14:ligatures w14:val="none"/>
        </w:rPr>
        <w:t>Google Books</w:t>
      </w:r>
      <w:r w:rsidRPr="00585827">
        <w:rPr>
          <w:rFonts w:ascii="Times New Roman" w:hAnsi="Times New Roman" w:cs="Times New Roman"/>
          <w:color w:val="000000"/>
          <w:kern w:val="0"/>
          <w14:ligatures w14:val="none"/>
        </w:rPr>
        <w:t>. Harvard University Press. Available at: https://books.google.co.uk/books?hl=en&amp;lr=&amp;id=RxjjUefze_oC&amp;oi=fnd&amp;pg=PA1&amp;dq=vygotsky+1978&amp;ots=okwZP_o6bs&amp;sig=0uznBKuILSnI5BwM1eyCUOzKdow [Accessed 5 May 2024].</w:t>
      </w:r>
    </w:p>
    <w:p w14:paraId="47DC76B5"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Wentzel, K.R. and Miele, D.B. (2009). </w:t>
      </w:r>
      <w:r w:rsidRPr="00585827">
        <w:rPr>
          <w:rFonts w:ascii="Times New Roman" w:hAnsi="Times New Roman" w:cs="Times New Roman"/>
          <w:i/>
          <w:iCs/>
          <w:color w:val="000000"/>
          <w:kern w:val="0"/>
          <w14:ligatures w14:val="none"/>
        </w:rPr>
        <w:t>Handbook of Motivation at School</w:t>
      </w:r>
      <w:r w:rsidRPr="00585827">
        <w:rPr>
          <w:rFonts w:ascii="Times New Roman" w:hAnsi="Times New Roman" w:cs="Times New Roman"/>
          <w:color w:val="000000"/>
          <w:kern w:val="0"/>
          <w14:ligatures w14:val="none"/>
        </w:rPr>
        <w:t xml:space="preserve">. </w:t>
      </w:r>
      <w:proofErr w:type="spellStart"/>
      <w:r w:rsidRPr="00585827">
        <w:rPr>
          <w:rFonts w:ascii="Times New Roman" w:hAnsi="Times New Roman" w:cs="Times New Roman"/>
          <w:color w:val="000000"/>
          <w:kern w:val="0"/>
          <w14:ligatures w14:val="none"/>
        </w:rPr>
        <w:t>Routledge</w:t>
      </w:r>
      <w:proofErr w:type="spellEnd"/>
      <w:r w:rsidRPr="00585827">
        <w:rPr>
          <w:rFonts w:ascii="Times New Roman" w:hAnsi="Times New Roman" w:cs="Times New Roman"/>
          <w:color w:val="000000"/>
          <w:kern w:val="0"/>
          <w14:ligatures w14:val="none"/>
        </w:rPr>
        <w:t>.</w:t>
      </w:r>
    </w:p>
    <w:p w14:paraId="6FC2E7C6"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Yada, A., Tolvanen, A., Malinen, O.-P., Imai-Matsumura, K., Shimada, H., Koike, R. and Savolainen, H. (2019). Teachers’ self-efficacy and the sources of efficacy: A cross-cultural investigation in Japan and Finland. </w:t>
      </w:r>
      <w:r w:rsidRPr="00585827">
        <w:rPr>
          <w:rFonts w:ascii="Times New Roman" w:hAnsi="Times New Roman" w:cs="Times New Roman"/>
          <w:i/>
          <w:iCs/>
          <w:color w:val="000000"/>
          <w:kern w:val="0"/>
          <w14:ligatures w14:val="none"/>
        </w:rPr>
        <w:t>Teaching and Teacher Education</w:t>
      </w:r>
      <w:r w:rsidRPr="00585827">
        <w:rPr>
          <w:rFonts w:ascii="Times New Roman" w:hAnsi="Times New Roman" w:cs="Times New Roman"/>
          <w:color w:val="000000"/>
          <w:kern w:val="0"/>
          <w14:ligatures w14:val="none"/>
        </w:rPr>
        <w:t xml:space="preserve">, 81(81), pp.13–24. </w:t>
      </w:r>
      <w:proofErr w:type="spellStart"/>
      <w:r w:rsidRPr="00585827">
        <w:rPr>
          <w:rFonts w:ascii="Times New Roman" w:hAnsi="Times New Roman" w:cs="Times New Roman"/>
          <w:color w:val="000000"/>
          <w:kern w:val="0"/>
          <w14:ligatures w14:val="none"/>
        </w:rPr>
        <w:t>doi:https</w:t>
      </w:r>
      <w:proofErr w:type="spellEnd"/>
      <w:r w:rsidRPr="00585827">
        <w:rPr>
          <w:rFonts w:ascii="Times New Roman" w:hAnsi="Times New Roman" w:cs="Times New Roman"/>
          <w:color w:val="000000"/>
          <w:kern w:val="0"/>
          <w14:ligatures w14:val="none"/>
        </w:rPr>
        <w:t>://doi.org/10.1016/j.tate.2019.01.014.</w:t>
      </w:r>
    </w:p>
    <w:p w14:paraId="718F4E01" w14:textId="262D8E8D" w:rsidR="00585827" w:rsidRPr="0083014D" w:rsidRDefault="00585827" w:rsidP="0083014D">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Yin, R.K. (2018). </w:t>
      </w:r>
      <w:r w:rsidRPr="00585827">
        <w:rPr>
          <w:rFonts w:ascii="Times New Roman" w:hAnsi="Times New Roman" w:cs="Times New Roman"/>
          <w:i/>
          <w:iCs/>
          <w:color w:val="000000"/>
          <w:kern w:val="0"/>
          <w14:ligatures w14:val="none"/>
        </w:rPr>
        <w:t>Case Study Research and Applications: Design and Methods</w:t>
      </w:r>
      <w:r w:rsidRPr="00585827">
        <w:rPr>
          <w:rFonts w:ascii="Times New Roman" w:hAnsi="Times New Roman" w:cs="Times New Roman"/>
          <w:color w:val="000000"/>
          <w:kern w:val="0"/>
          <w14:ligatures w14:val="none"/>
        </w:rPr>
        <w:t>. 6th ed. Thousand Oaks, California: Sage Publications.</w:t>
      </w:r>
    </w:p>
    <w:p w14:paraId="4BC7A85B" w14:textId="77777777" w:rsidR="00556F1F" w:rsidRPr="002050F1" w:rsidRDefault="00556F1F" w:rsidP="000D068E">
      <w:pPr>
        <w:spacing w:line="360" w:lineRule="auto"/>
        <w:rPr>
          <w:rFonts w:ascii="Calibri" w:hAnsi="Calibri"/>
        </w:rPr>
      </w:pPr>
    </w:p>
    <w:p w14:paraId="1E09E9FA" w14:textId="77777777" w:rsidR="00672AFB" w:rsidRPr="002050F1" w:rsidRDefault="00672AFB" w:rsidP="000D068E">
      <w:pPr>
        <w:spacing w:line="360" w:lineRule="auto"/>
        <w:rPr>
          <w:rFonts w:ascii="Calibri" w:hAnsi="Calibri"/>
        </w:rPr>
      </w:pPr>
    </w:p>
    <w:p w14:paraId="2E3792D1" w14:textId="77777777" w:rsidR="00672AFB" w:rsidRPr="002050F1" w:rsidRDefault="00672AFB" w:rsidP="000D068E">
      <w:pPr>
        <w:spacing w:line="360" w:lineRule="auto"/>
        <w:rPr>
          <w:rFonts w:ascii="Calibri" w:hAnsi="Calibri"/>
        </w:rPr>
      </w:pPr>
    </w:p>
    <w:sectPr w:rsidR="00672AFB" w:rsidRPr="002050F1">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D07B63" w14:textId="77777777" w:rsidR="008912A1" w:rsidRDefault="008912A1" w:rsidP="0016340D">
      <w:pPr>
        <w:spacing w:after="0" w:line="240" w:lineRule="auto"/>
      </w:pPr>
      <w:r>
        <w:separator/>
      </w:r>
    </w:p>
  </w:endnote>
  <w:endnote w:type="continuationSeparator" w:id="0">
    <w:p w14:paraId="7CDEC90E" w14:textId="77777777" w:rsidR="008912A1" w:rsidRDefault="008912A1" w:rsidP="001634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04394417"/>
      <w:docPartObj>
        <w:docPartGallery w:val="Page Numbers (Bottom of Page)"/>
        <w:docPartUnique/>
      </w:docPartObj>
    </w:sdtPr>
    <w:sdtEndPr>
      <w:rPr>
        <w:rStyle w:val="PageNumber"/>
      </w:rPr>
    </w:sdtEndPr>
    <w:sdtContent>
      <w:p w14:paraId="1A83094A" w14:textId="433BCBD3" w:rsidR="00E030DE" w:rsidRDefault="00E030DE" w:rsidP="0028155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548DB2A" w14:textId="77777777" w:rsidR="00E030DE" w:rsidRDefault="00E030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20631697"/>
      <w:docPartObj>
        <w:docPartGallery w:val="Page Numbers (Bottom of Page)"/>
        <w:docPartUnique/>
      </w:docPartObj>
    </w:sdtPr>
    <w:sdtEndPr>
      <w:rPr>
        <w:rStyle w:val="PageNumber"/>
      </w:rPr>
    </w:sdtEndPr>
    <w:sdtContent>
      <w:p w14:paraId="2B15CD98" w14:textId="2D4D0E33" w:rsidR="00E030DE" w:rsidRDefault="00E030DE" w:rsidP="0028155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94713FB" w14:textId="3C39180C" w:rsidR="00A047C2" w:rsidRDefault="00A047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8A1B5B" w14:textId="77777777" w:rsidR="008912A1" w:rsidRDefault="008912A1" w:rsidP="0016340D">
      <w:pPr>
        <w:spacing w:after="0" w:line="240" w:lineRule="auto"/>
      </w:pPr>
      <w:r>
        <w:separator/>
      </w:r>
    </w:p>
  </w:footnote>
  <w:footnote w:type="continuationSeparator" w:id="0">
    <w:p w14:paraId="4B971114" w14:textId="77777777" w:rsidR="008912A1" w:rsidRDefault="008912A1" w:rsidP="001634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73B85E" w14:textId="6E0E29E1" w:rsidR="0016340D" w:rsidRDefault="00643421">
    <w:pPr>
      <w:pStyle w:val="Header"/>
    </w:pPr>
    <w:r>
      <w:t>ECAD</w:t>
    </w:r>
    <w:r w:rsidR="00BC7428">
      <w:t>6010P</w:t>
    </w:r>
    <w:r w:rsidR="008A35F1">
      <w:tab/>
      <w:t xml:space="preserve">                                                                                                     Student Number: 2001066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B5958"/>
    <w:multiLevelType w:val="hybridMultilevel"/>
    <w:tmpl w:val="306040A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734A72"/>
    <w:multiLevelType w:val="hybridMultilevel"/>
    <w:tmpl w:val="1EE4823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097F71"/>
    <w:multiLevelType w:val="hybridMultilevel"/>
    <w:tmpl w:val="2C58968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4A6D59"/>
    <w:multiLevelType w:val="hybridMultilevel"/>
    <w:tmpl w:val="782C9F5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8408A5"/>
    <w:multiLevelType w:val="hybridMultilevel"/>
    <w:tmpl w:val="119256B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351ADE"/>
    <w:multiLevelType w:val="hybridMultilevel"/>
    <w:tmpl w:val="C908ED0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B34D5C"/>
    <w:multiLevelType w:val="hybridMultilevel"/>
    <w:tmpl w:val="EA52CDC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A430C5"/>
    <w:multiLevelType w:val="hybridMultilevel"/>
    <w:tmpl w:val="4B2C312C"/>
    <w:lvl w:ilvl="0" w:tplc="B0CE7826">
      <w:start w:val="1"/>
      <w:numFmt w:val="decimal"/>
      <w:lvlText w:val="%1."/>
      <w:lvlJc w:val="left"/>
      <w:pPr>
        <w:ind w:left="1020" w:hanging="360"/>
      </w:pPr>
    </w:lvl>
    <w:lvl w:ilvl="1" w:tplc="D6864EB2">
      <w:start w:val="1"/>
      <w:numFmt w:val="decimal"/>
      <w:lvlText w:val="%2."/>
      <w:lvlJc w:val="left"/>
      <w:pPr>
        <w:ind w:left="1020" w:hanging="360"/>
      </w:pPr>
    </w:lvl>
    <w:lvl w:ilvl="2" w:tplc="89B2FCF2">
      <w:start w:val="1"/>
      <w:numFmt w:val="decimal"/>
      <w:lvlText w:val="%3."/>
      <w:lvlJc w:val="left"/>
      <w:pPr>
        <w:ind w:left="1020" w:hanging="360"/>
      </w:pPr>
    </w:lvl>
    <w:lvl w:ilvl="3" w:tplc="94CA9F4E">
      <w:start w:val="1"/>
      <w:numFmt w:val="decimal"/>
      <w:lvlText w:val="%4."/>
      <w:lvlJc w:val="left"/>
      <w:pPr>
        <w:ind w:left="1020" w:hanging="360"/>
      </w:pPr>
    </w:lvl>
    <w:lvl w:ilvl="4" w:tplc="1450BA5E">
      <w:start w:val="1"/>
      <w:numFmt w:val="decimal"/>
      <w:lvlText w:val="%5."/>
      <w:lvlJc w:val="left"/>
      <w:pPr>
        <w:ind w:left="1020" w:hanging="360"/>
      </w:pPr>
    </w:lvl>
    <w:lvl w:ilvl="5" w:tplc="336AC100">
      <w:start w:val="1"/>
      <w:numFmt w:val="decimal"/>
      <w:lvlText w:val="%6."/>
      <w:lvlJc w:val="left"/>
      <w:pPr>
        <w:ind w:left="1020" w:hanging="360"/>
      </w:pPr>
    </w:lvl>
    <w:lvl w:ilvl="6" w:tplc="AC3872D0">
      <w:start w:val="1"/>
      <w:numFmt w:val="decimal"/>
      <w:lvlText w:val="%7."/>
      <w:lvlJc w:val="left"/>
      <w:pPr>
        <w:ind w:left="1020" w:hanging="360"/>
      </w:pPr>
    </w:lvl>
    <w:lvl w:ilvl="7" w:tplc="2A22A716">
      <w:start w:val="1"/>
      <w:numFmt w:val="decimal"/>
      <w:lvlText w:val="%8."/>
      <w:lvlJc w:val="left"/>
      <w:pPr>
        <w:ind w:left="1020" w:hanging="360"/>
      </w:pPr>
    </w:lvl>
    <w:lvl w:ilvl="8" w:tplc="8C786E44">
      <w:start w:val="1"/>
      <w:numFmt w:val="decimal"/>
      <w:lvlText w:val="%9."/>
      <w:lvlJc w:val="left"/>
      <w:pPr>
        <w:ind w:left="1020" w:hanging="360"/>
      </w:p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52D4465"/>
    <w:multiLevelType w:val="hybridMultilevel"/>
    <w:tmpl w:val="E850FE9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4D55CC"/>
    <w:multiLevelType w:val="hybridMultilevel"/>
    <w:tmpl w:val="6DA83300"/>
    <w:lvl w:ilvl="0" w:tplc="F036F476">
      <w:start w:val="1"/>
      <w:numFmt w:val="decimal"/>
      <w:lvlText w:val="%1."/>
      <w:lvlJc w:val="left"/>
      <w:pPr>
        <w:ind w:left="1020" w:hanging="360"/>
      </w:pPr>
    </w:lvl>
    <w:lvl w:ilvl="1" w:tplc="174C1BBA">
      <w:start w:val="1"/>
      <w:numFmt w:val="decimal"/>
      <w:lvlText w:val="%2."/>
      <w:lvlJc w:val="left"/>
      <w:pPr>
        <w:ind w:left="1020" w:hanging="360"/>
      </w:pPr>
    </w:lvl>
    <w:lvl w:ilvl="2" w:tplc="0F14D1A8">
      <w:start w:val="1"/>
      <w:numFmt w:val="decimal"/>
      <w:lvlText w:val="%3."/>
      <w:lvlJc w:val="left"/>
      <w:pPr>
        <w:ind w:left="1020" w:hanging="360"/>
      </w:pPr>
    </w:lvl>
    <w:lvl w:ilvl="3" w:tplc="A502C5C6">
      <w:start w:val="1"/>
      <w:numFmt w:val="decimal"/>
      <w:lvlText w:val="%4."/>
      <w:lvlJc w:val="left"/>
      <w:pPr>
        <w:ind w:left="1020" w:hanging="360"/>
      </w:pPr>
    </w:lvl>
    <w:lvl w:ilvl="4" w:tplc="E0D4B57C">
      <w:start w:val="1"/>
      <w:numFmt w:val="decimal"/>
      <w:lvlText w:val="%5."/>
      <w:lvlJc w:val="left"/>
      <w:pPr>
        <w:ind w:left="1020" w:hanging="360"/>
      </w:pPr>
    </w:lvl>
    <w:lvl w:ilvl="5" w:tplc="DDFC8A52">
      <w:start w:val="1"/>
      <w:numFmt w:val="decimal"/>
      <w:lvlText w:val="%6."/>
      <w:lvlJc w:val="left"/>
      <w:pPr>
        <w:ind w:left="1020" w:hanging="360"/>
      </w:pPr>
    </w:lvl>
    <w:lvl w:ilvl="6" w:tplc="111831EC">
      <w:start w:val="1"/>
      <w:numFmt w:val="decimal"/>
      <w:lvlText w:val="%7."/>
      <w:lvlJc w:val="left"/>
      <w:pPr>
        <w:ind w:left="1020" w:hanging="360"/>
      </w:pPr>
    </w:lvl>
    <w:lvl w:ilvl="7" w:tplc="8D36BE1A">
      <w:start w:val="1"/>
      <w:numFmt w:val="decimal"/>
      <w:lvlText w:val="%8."/>
      <w:lvlJc w:val="left"/>
      <w:pPr>
        <w:ind w:left="1020" w:hanging="360"/>
      </w:pPr>
    </w:lvl>
    <w:lvl w:ilvl="8" w:tplc="91D29F00">
      <w:start w:val="1"/>
      <w:numFmt w:val="decimal"/>
      <w:lvlText w:val="%9."/>
      <w:lvlJc w:val="left"/>
      <w:pPr>
        <w:ind w:left="1020" w:hanging="36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F63720A"/>
    <w:multiLevelType w:val="hybridMultilevel"/>
    <w:tmpl w:val="866E9CF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7BF1BC4"/>
    <w:multiLevelType w:val="hybridMultilevel"/>
    <w:tmpl w:val="1278F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5"/>
  </w:num>
  <w:num w:numId="2" w16cid:durableId="1418014885">
    <w:abstractNumId w:val="27"/>
  </w:num>
  <w:num w:numId="3" w16cid:durableId="1351489909">
    <w:abstractNumId w:val="6"/>
  </w:num>
  <w:num w:numId="4" w16cid:durableId="996802858">
    <w:abstractNumId w:val="35"/>
  </w:num>
  <w:num w:numId="5"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7"/>
  </w:num>
  <w:num w:numId="9" w16cid:durableId="465201546">
    <w:abstractNumId w:val="12"/>
  </w:num>
  <w:num w:numId="10" w16cid:durableId="801313199">
    <w:abstractNumId w:val="13"/>
  </w:num>
  <w:num w:numId="11" w16cid:durableId="1932622472">
    <w:abstractNumId w:val="32"/>
  </w:num>
  <w:num w:numId="12" w16cid:durableId="803698313">
    <w:abstractNumId w:val="29"/>
  </w:num>
  <w:num w:numId="13" w16cid:durableId="1870216879">
    <w:abstractNumId w:val="31"/>
  </w:num>
  <w:num w:numId="14" w16cid:durableId="100340676">
    <w:abstractNumId w:val="3"/>
  </w:num>
  <w:num w:numId="15" w16cid:durableId="1557625305">
    <w:abstractNumId w:val="9"/>
  </w:num>
  <w:num w:numId="16" w16cid:durableId="1281380168">
    <w:abstractNumId w:val="11"/>
  </w:num>
  <w:num w:numId="17" w16cid:durableId="1244143853">
    <w:abstractNumId w:val="17"/>
  </w:num>
  <w:num w:numId="18" w16cid:durableId="131824218">
    <w:abstractNumId w:val="20"/>
  </w:num>
  <w:num w:numId="19" w16cid:durableId="395248324">
    <w:abstractNumId w:val="34"/>
  </w:num>
  <w:num w:numId="20" w16cid:durableId="267927197">
    <w:abstractNumId w:val="8"/>
  </w:num>
  <w:num w:numId="21" w16cid:durableId="48654765">
    <w:abstractNumId w:val="21"/>
  </w:num>
  <w:num w:numId="22" w16cid:durableId="1337196786">
    <w:abstractNumId w:val="26"/>
  </w:num>
  <w:num w:numId="23" w16cid:durableId="1755130753">
    <w:abstractNumId w:val="4"/>
  </w:num>
  <w:num w:numId="24" w16cid:durableId="726926220">
    <w:abstractNumId w:val="14"/>
  </w:num>
  <w:num w:numId="25" w16cid:durableId="2083483834">
    <w:abstractNumId w:val="19"/>
  </w:num>
  <w:num w:numId="26" w16cid:durableId="2097245557">
    <w:abstractNumId w:val="36"/>
  </w:num>
  <w:num w:numId="27" w16cid:durableId="475149258">
    <w:abstractNumId w:val="24"/>
  </w:num>
  <w:num w:numId="28" w16cid:durableId="1602226606">
    <w:abstractNumId w:val="0"/>
  </w:num>
  <w:num w:numId="29" w16cid:durableId="44526618">
    <w:abstractNumId w:val="18"/>
  </w:num>
  <w:num w:numId="30" w16cid:durableId="1230194969">
    <w:abstractNumId w:val="10"/>
  </w:num>
  <w:num w:numId="31" w16cid:durableId="859129470">
    <w:abstractNumId w:val="1"/>
  </w:num>
  <w:num w:numId="32" w16cid:durableId="1031421066">
    <w:abstractNumId w:val="33"/>
  </w:num>
  <w:num w:numId="33" w16cid:durableId="952320976">
    <w:abstractNumId w:val="5"/>
  </w:num>
  <w:num w:numId="34" w16cid:durableId="1805393658">
    <w:abstractNumId w:val="2"/>
  </w:num>
  <w:num w:numId="35" w16cid:durableId="1741710455">
    <w:abstractNumId w:val="16"/>
  </w:num>
  <w:num w:numId="36" w16cid:durableId="787237362">
    <w:abstractNumId w:val="30"/>
  </w:num>
  <w:num w:numId="37" w16cid:durableId="1495760474">
    <w:abstractNumId w:val="25"/>
  </w:num>
  <w:num w:numId="38" w16cid:durableId="128012572">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340D"/>
    <w:rsid w:val="0000329C"/>
    <w:rsid w:val="0000552E"/>
    <w:rsid w:val="00005B8E"/>
    <w:rsid w:val="00006508"/>
    <w:rsid w:val="00012107"/>
    <w:rsid w:val="00012F66"/>
    <w:rsid w:val="00015E00"/>
    <w:rsid w:val="00024338"/>
    <w:rsid w:val="00035D7C"/>
    <w:rsid w:val="00036A56"/>
    <w:rsid w:val="00041028"/>
    <w:rsid w:val="00041752"/>
    <w:rsid w:val="00042B41"/>
    <w:rsid w:val="00043774"/>
    <w:rsid w:val="00050E9C"/>
    <w:rsid w:val="000515A1"/>
    <w:rsid w:val="0005629E"/>
    <w:rsid w:val="000568BC"/>
    <w:rsid w:val="00060FAF"/>
    <w:rsid w:val="000625DE"/>
    <w:rsid w:val="000642AC"/>
    <w:rsid w:val="00067D9A"/>
    <w:rsid w:val="00070D93"/>
    <w:rsid w:val="000721B4"/>
    <w:rsid w:val="000734C2"/>
    <w:rsid w:val="00076E8F"/>
    <w:rsid w:val="00085497"/>
    <w:rsid w:val="000936C6"/>
    <w:rsid w:val="000965AE"/>
    <w:rsid w:val="000A2654"/>
    <w:rsid w:val="000B5E35"/>
    <w:rsid w:val="000C25C0"/>
    <w:rsid w:val="000C345E"/>
    <w:rsid w:val="000C60AC"/>
    <w:rsid w:val="000D068E"/>
    <w:rsid w:val="000D1A87"/>
    <w:rsid w:val="000D1C39"/>
    <w:rsid w:val="000E7BC9"/>
    <w:rsid w:val="000F4473"/>
    <w:rsid w:val="000F6D0C"/>
    <w:rsid w:val="001011AE"/>
    <w:rsid w:val="00104D64"/>
    <w:rsid w:val="0010515C"/>
    <w:rsid w:val="00120B6C"/>
    <w:rsid w:val="00130DEE"/>
    <w:rsid w:val="00134A31"/>
    <w:rsid w:val="00141390"/>
    <w:rsid w:val="00144532"/>
    <w:rsid w:val="001465C8"/>
    <w:rsid w:val="00147FAD"/>
    <w:rsid w:val="0015529E"/>
    <w:rsid w:val="0016340D"/>
    <w:rsid w:val="0016656A"/>
    <w:rsid w:val="0016773F"/>
    <w:rsid w:val="0017434A"/>
    <w:rsid w:val="00174A36"/>
    <w:rsid w:val="001752B2"/>
    <w:rsid w:val="00183219"/>
    <w:rsid w:val="00190653"/>
    <w:rsid w:val="00190B6E"/>
    <w:rsid w:val="0019693E"/>
    <w:rsid w:val="001973FE"/>
    <w:rsid w:val="001A1094"/>
    <w:rsid w:val="001A1F03"/>
    <w:rsid w:val="001A4F18"/>
    <w:rsid w:val="001A7AB9"/>
    <w:rsid w:val="001B0559"/>
    <w:rsid w:val="001B2919"/>
    <w:rsid w:val="001C3150"/>
    <w:rsid w:val="001C6B61"/>
    <w:rsid w:val="001E08A2"/>
    <w:rsid w:val="001E453E"/>
    <w:rsid w:val="001F0236"/>
    <w:rsid w:val="001F4AB3"/>
    <w:rsid w:val="001F59A7"/>
    <w:rsid w:val="00201F3E"/>
    <w:rsid w:val="002050F1"/>
    <w:rsid w:val="00207AB3"/>
    <w:rsid w:val="00214875"/>
    <w:rsid w:val="00215CC2"/>
    <w:rsid w:val="0022042E"/>
    <w:rsid w:val="00224615"/>
    <w:rsid w:val="00232557"/>
    <w:rsid w:val="00235138"/>
    <w:rsid w:val="00242176"/>
    <w:rsid w:val="00243D15"/>
    <w:rsid w:val="0025110C"/>
    <w:rsid w:val="00253549"/>
    <w:rsid w:val="00255129"/>
    <w:rsid w:val="00256B51"/>
    <w:rsid w:val="002626CD"/>
    <w:rsid w:val="0026366F"/>
    <w:rsid w:val="00264530"/>
    <w:rsid w:val="00264B84"/>
    <w:rsid w:val="00264D3B"/>
    <w:rsid w:val="00266BC6"/>
    <w:rsid w:val="0026711D"/>
    <w:rsid w:val="002732E9"/>
    <w:rsid w:val="00273829"/>
    <w:rsid w:val="00275234"/>
    <w:rsid w:val="0027662B"/>
    <w:rsid w:val="00282CAD"/>
    <w:rsid w:val="002837B0"/>
    <w:rsid w:val="00290465"/>
    <w:rsid w:val="00294D5A"/>
    <w:rsid w:val="00296AE6"/>
    <w:rsid w:val="002A0AFE"/>
    <w:rsid w:val="002A1EAA"/>
    <w:rsid w:val="002A2C6E"/>
    <w:rsid w:val="002A7D38"/>
    <w:rsid w:val="002B5CB7"/>
    <w:rsid w:val="002C54D4"/>
    <w:rsid w:val="002C684E"/>
    <w:rsid w:val="002D5C26"/>
    <w:rsid w:val="002E4CE3"/>
    <w:rsid w:val="002E4FD7"/>
    <w:rsid w:val="002F096B"/>
    <w:rsid w:val="002F165A"/>
    <w:rsid w:val="002F22A1"/>
    <w:rsid w:val="002F4A74"/>
    <w:rsid w:val="002F6202"/>
    <w:rsid w:val="00306910"/>
    <w:rsid w:val="00311183"/>
    <w:rsid w:val="0032382C"/>
    <w:rsid w:val="00323B6E"/>
    <w:rsid w:val="0032547D"/>
    <w:rsid w:val="0032558E"/>
    <w:rsid w:val="00330770"/>
    <w:rsid w:val="00331CA5"/>
    <w:rsid w:val="00335018"/>
    <w:rsid w:val="0033705F"/>
    <w:rsid w:val="00340AD8"/>
    <w:rsid w:val="00341E67"/>
    <w:rsid w:val="003473CB"/>
    <w:rsid w:val="0035035D"/>
    <w:rsid w:val="00356A4F"/>
    <w:rsid w:val="003656D1"/>
    <w:rsid w:val="0038244A"/>
    <w:rsid w:val="00385291"/>
    <w:rsid w:val="003862C1"/>
    <w:rsid w:val="00387FC1"/>
    <w:rsid w:val="003914BE"/>
    <w:rsid w:val="00391885"/>
    <w:rsid w:val="003A2F04"/>
    <w:rsid w:val="003A45FA"/>
    <w:rsid w:val="003C2671"/>
    <w:rsid w:val="003C59F8"/>
    <w:rsid w:val="003D05E1"/>
    <w:rsid w:val="003D07D4"/>
    <w:rsid w:val="003D2B99"/>
    <w:rsid w:val="003D43C9"/>
    <w:rsid w:val="003E1B6C"/>
    <w:rsid w:val="003E2C74"/>
    <w:rsid w:val="003F0091"/>
    <w:rsid w:val="00404344"/>
    <w:rsid w:val="00410643"/>
    <w:rsid w:val="00415486"/>
    <w:rsid w:val="004159A3"/>
    <w:rsid w:val="00421E96"/>
    <w:rsid w:val="004267C6"/>
    <w:rsid w:val="0043175A"/>
    <w:rsid w:val="004336F9"/>
    <w:rsid w:val="00446E71"/>
    <w:rsid w:val="00452EB6"/>
    <w:rsid w:val="004571E2"/>
    <w:rsid w:val="00460BD0"/>
    <w:rsid w:val="00473B3C"/>
    <w:rsid w:val="00473B57"/>
    <w:rsid w:val="004757E1"/>
    <w:rsid w:val="00480643"/>
    <w:rsid w:val="00483B52"/>
    <w:rsid w:val="00486931"/>
    <w:rsid w:val="00493A0E"/>
    <w:rsid w:val="00497385"/>
    <w:rsid w:val="004A4E75"/>
    <w:rsid w:val="004A73FC"/>
    <w:rsid w:val="004B28B0"/>
    <w:rsid w:val="004B3D85"/>
    <w:rsid w:val="004B3E7B"/>
    <w:rsid w:val="004C3AC0"/>
    <w:rsid w:val="004D0E46"/>
    <w:rsid w:val="004D4370"/>
    <w:rsid w:val="004D5502"/>
    <w:rsid w:val="004E2966"/>
    <w:rsid w:val="004E5201"/>
    <w:rsid w:val="004E5CC0"/>
    <w:rsid w:val="004E641F"/>
    <w:rsid w:val="004F65E2"/>
    <w:rsid w:val="0050186B"/>
    <w:rsid w:val="0050551C"/>
    <w:rsid w:val="00510CFA"/>
    <w:rsid w:val="00510D1D"/>
    <w:rsid w:val="00511292"/>
    <w:rsid w:val="005141AC"/>
    <w:rsid w:val="00516FBA"/>
    <w:rsid w:val="0052408E"/>
    <w:rsid w:val="005301C4"/>
    <w:rsid w:val="0053307E"/>
    <w:rsid w:val="00533642"/>
    <w:rsid w:val="00534BFD"/>
    <w:rsid w:val="00535D76"/>
    <w:rsid w:val="0054371B"/>
    <w:rsid w:val="00543BAD"/>
    <w:rsid w:val="00547B97"/>
    <w:rsid w:val="00555C0F"/>
    <w:rsid w:val="00556F1F"/>
    <w:rsid w:val="005620F7"/>
    <w:rsid w:val="00564C46"/>
    <w:rsid w:val="00565895"/>
    <w:rsid w:val="00565A84"/>
    <w:rsid w:val="005665F3"/>
    <w:rsid w:val="005675BB"/>
    <w:rsid w:val="0057248D"/>
    <w:rsid w:val="00572C4F"/>
    <w:rsid w:val="005735E8"/>
    <w:rsid w:val="00580464"/>
    <w:rsid w:val="0058191E"/>
    <w:rsid w:val="0058392A"/>
    <w:rsid w:val="00585827"/>
    <w:rsid w:val="00590C6B"/>
    <w:rsid w:val="00591414"/>
    <w:rsid w:val="005923DE"/>
    <w:rsid w:val="00597F54"/>
    <w:rsid w:val="005A12EC"/>
    <w:rsid w:val="005A2665"/>
    <w:rsid w:val="005A677E"/>
    <w:rsid w:val="005B0B74"/>
    <w:rsid w:val="005B1F7A"/>
    <w:rsid w:val="005B7EBD"/>
    <w:rsid w:val="005B7FDE"/>
    <w:rsid w:val="005C4F09"/>
    <w:rsid w:val="005C6F47"/>
    <w:rsid w:val="005D6F4A"/>
    <w:rsid w:val="005E2613"/>
    <w:rsid w:val="005E507C"/>
    <w:rsid w:val="005F716D"/>
    <w:rsid w:val="00601711"/>
    <w:rsid w:val="00602112"/>
    <w:rsid w:val="00610DF7"/>
    <w:rsid w:val="0062034E"/>
    <w:rsid w:val="00623A13"/>
    <w:rsid w:val="00625E5B"/>
    <w:rsid w:val="00630A72"/>
    <w:rsid w:val="00634100"/>
    <w:rsid w:val="0063705F"/>
    <w:rsid w:val="00640147"/>
    <w:rsid w:val="00641B72"/>
    <w:rsid w:val="00643421"/>
    <w:rsid w:val="00646952"/>
    <w:rsid w:val="006530C5"/>
    <w:rsid w:val="00655C97"/>
    <w:rsid w:val="00663CF5"/>
    <w:rsid w:val="00667200"/>
    <w:rsid w:val="006705B2"/>
    <w:rsid w:val="00672AFB"/>
    <w:rsid w:val="00675EA5"/>
    <w:rsid w:val="00675EC9"/>
    <w:rsid w:val="00676008"/>
    <w:rsid w:val="00680099"/>
    <w:rsid w:val="006921F9"/>
    <w:rsid w:val="00694748"/>
    <w:rsid w:val="006A1769"/>
    <w:rsid w:val="006C2C0A"/>
    <w:rsid w:val="006C6218"/>
    <w:rsid w:val="006D6456"/>
    <w:rsid w:val="006D6891"/>
    <w:rsid w:val="006D68B7"/>
    <w:rsid w:val="006F323C"/>
    <w:rsid w:val="006F5BAD"/>
    <w:rsid w:val="00710404"/>
    <w:rsid w:val="00714EFE"/>
    <w:rsid w:val="007318C2"/>
    <w:rsid w:val="007320D1"/>
    <w:rsid w:val="00762CA8"/>
    <w:rsid w:val="00781C65"/>
    <w:rsid w:val="00790EA2"/>
    <w:rsid w:val="007943B4"/>
    <w:rsid w:val="007A05A1"/>
    <w:rsid w:val="007A0AE8"/>
    <w:rsid w:val="007A313A"/>
    <w:rsid w:val="007D0026"/>
    <w:rsid w:val="007D0208"/>
    <w:rsid w:val="007D15EF"/>
    <w:rsid w:val="007D7DF6"/>
    <w:rsid w:val="007E35BB"/>
    <w:rsid w:val="007E584B"/>
    <w:rsid w:val="007E6ED1"/>
    <w:rsid w:val="00810080"/>
    <w:rsid w:val="00810B06"/>
    <w:rsid w:val="0081447E"/>
    <w:rsid w:val="00814D1C"/>
    <w:rsid w:val="00814FDD"/>
    <w:rsid w:val="00820CC4"/>
    <w:rsid w:val="00826485"/>
    <w:rsid w:val="0083014D"/>
    <w:rsid w:val="00830D5F"/>
    <w:rsid w:val="00835A2F"/>
    <w:rsid w:val="00840221"/>
    <w:rsid w:val="0084025B"/>
    <w:rsid w:val="008412AC"/>
    <w:rsid w:val="0084245C"/>
    <w:rsid w:val="00842AE6"/>
    <w:rsid w:val="008472F6"/>
    <w:rsid w:val="0085763C"/>
    <w:rsid w:val="0086128D"/>
    <w:rsid w:val="00861530"/>
    <w:rsid w:val="008675A7"/>
    <w:rsid w:val="00867AC2"/>
    <w:rsid w:val="00874D57"/>
    <w:rsid w:val="008814E8"/>
    <w:rsid w:val="00881588"/>
    <w:rsid w:val="008912A1"/>
    <w:rsid w:val="0089496E"/>
    <w:rsid w:val="008A2BB5"/>
    <w:rsid w:val="008A35F1"/>
    <w:rsid w:val="008B1A80"/>
    <w:rsid w:val="008B2981"/>
    <w:rsid w:val="008B458F"/>
    <w:rsid w:val="008C64C2"/>
    <w:rsid w:val="008C7113"/>
    <w:rsid w:val="008C74D8"/>
    <w:rsid w:val="008D1D12"/>
    <w:rsid w:val="008E2FD0"/>
    <w:rsid w:val="008E68FE"/>
    <w:rsid w:val="008F0028"/>
    <w:rsid w:val="008F189A"/>
    <w:rsid w:val="008F3AFC"/>
    <w:rsid w:val="00901112"/>
    <w:rsid w:val="00904BAE"/>
    <w:rsid w:val="0091027B"/>
    <w:rsid w:val="00912471"/>
    <w:rsid w:val="00923FC4"/>
    <w:rsid w:val="00924F97"/>
    <w:rsid w:val="0094614C"/>
    <w:rsid w:val="009602D2"/>
    <w:rsid w:val="0097180A"/>
    <w:rsid w:val="00972975"/>
    <w:rsid w:val="00975A82"/>
    <w:rsid w:val="00976593"/>
    <w:rsid w:val="009B3051"/>
    <w:rsid w:val="009B4561"/>
    <w:rsid w:val="009B461C"/>
    <w:rsid w:val="009B6F10"/>
    <w:rsid w:val="009C0242"/>
    <w:rsid w:val="009C3086"/>
    <w:rsid w:val="009C43E3"/>
    <w:rsid w:val="009E0993"/>
    <w:rsid w:val="009E197D"/>
    <w:rsid w:val="009E5B38"/>
    <w:rsid w:val="009F1CE8"/>
    <w:rsid w:val="009F2373"/>
    <w:rsid w:val="009F4E5F"/>
    <w:rsid w:val="009F585B"/>
    <w:rsid w:val="00A02AEE"/>
    <w:rsid w:val="00A02DE4"/>
    <w:rsid w:val="00A047C2"/>
    <w:rsid w:val="00A117DD"/>
    <w:rsid w:val="00A14791"/>
    <w:rsid w:val="00A26788"/>
    <w:rsid w:val="00A515DB"/>
    <w:rsid w:val="00A5345F"/>
    <w:rsid w:val="00A602A6"/>
    <w:rsid w:val="00A61931"/>
    <w:rsid w:val="00A62EDD"/>
    <w:rsid w:val="00A702FF"/>
    <w:rsid w:val="00A7241E"/>
    <w:rsid w:val="00A7541C"/>
    <w:rsid w:val="00A81D40"/>
    <w:rsid w:val="00A82330"/>
    <w:rsid w:val="00A82650"/>
    <w:rsid w:val="00A91AD2"/>
    <w:rsid w:val="00A93B73"/>
    <w:rsid w:val="00A949DE"/>
    <w:rsid w:val="00A96003"/>
    <w:rsid w:val="00AA222F"/>
    <w:rsid w:val="00AA36BF"/>
    <w:rsid w:val="00AA4628"/>
    <w:rsid w:val="00AA4B36"/>
    <w:rsid w:val="00AA5221"/>
    <w:rsid w:val="00AA7747"/>
    <w:rsid w:val="00AB66A4"/>
    <w:rsid w:val="00AC3100"/>
    <w:rsid w:val="00AC54AC"/>
    <w:rsid w:val="00AD06E1"/>
    <w:rsid w:val="00AD30F5"/>
    <w:rsid w:val="00AD4692"/>
    <w:rsid w:val="00AD53C3"/>
    <w:rsid w:val="00AE5EFB"/>
    <w:rsid w:val="00AE6E5C"/>
    <w:rsid w:val="00AF011C"/>
    <w:rsid w:val="00AF27D8"/>
    <w:rsid w:val="00AF36E5"/>
    <w:rsid w:val="00AF50FD"/>
    <w:rsid w:val="00B038CA"/>
    <w:rsid w:val="00B17944"/>
    <w:rsid w:val="00B20C26"/>
    <w:rsid w:val="00B2744C"/>
    <w:rsid w:val="00B3388D"/>
    <w:rsid w:val="00B42C0E"/>
    <w:rsid w:val="00B50243"/>
    <w:rsid w:val="00B51C2D"/>
    <w:rsid w:val="00B51F01"/>
    <w:rsid w:val="00B6788A"/>
    <w:rsid w:val="00B709B5"/>
    <w:rsid w:val="00B7465D"/>
    <w:rsid w:val="00B76AA5"/>
    <w:rsid w:val="00B81730"/>
    <w:rsid w:val="00B8465D"/>
    <w:rsid w:val="00B854DD"/>
    <w:rsid w:val="00B968FF"/>
    <w:rsid w:val="00B96F9E"/>
    <w:rsid w:val="00BA7194"/>
    <w:rsid w:val="00BA7E59"/>
    <w:rsid w:val="00BB13DC"/>
    <w:rsid w:val="00BB5657"/>
    <w:rsid w:val="00BC12A9"/>
    <w:rsid w:val="00BC7428"/>
    <w:rsid w:val="00BD25B6"/>
    <w:rsid w:val="00BD2B7A"/>
    <w:rsid w:val="00BD5018"/>
    <w:rsid w:val="00BD6FB4"/>
    <w:rsid w:val="00BE4860"/>
    <w:rsid w:val="00C061DD"/>
    <w:rsid w:val="00C20FCB"/>
    <w:rsid w:val="00C27600"/>
    <w:rsid w:val="00C41E3B"/>
    <w:rsid w:val="00C42B16"/>
    <w:rsid w:val="00C4302E"/>
    <w:rsid w:val="00C44C58"/>
    <w:rsid w:val="00C461E2"/>
    <w:rsid w:val="00C4690B"/>
    <w:rsid w:val="00C476D6"/>
    <w:rsid w:val="00C563B1"/>
    <w:rsid w:val="00C57C32"/>
    <w:rsid w:val="00C658C6"/>
    <w:rsid w:val="00C7133F"/>
    <w:rsid w:val="00C738A5"/>
    <w:rsid w:val="00C74025"/>
    <w:rsid w:val="00C75747"/>
    <w:rsid w:val="00C85B66"/>
    <w:rsid w:val="00C85EE0"/>
    <w:rsid w:val="00C93E8C"/>
    <w:rsid w:val="00CA1258"/>
    <w:rsid w:val="00CA3A29"/>
    <w:rsid w:val="00CA68B5"/>
    <w:rsid w:val="00CA6EC0"/>
    <w:rsid w:val="00CB028A"/>
    <w:rsid w:val="00CB3F35"/>
    <w:rsid w:val="00CB6B69"/>
    <w:rsid w:val="00CC0508"/>
    <w:rsid w:val="00CC0E67"/>
    <w:rsid w:val="00CC50C7"/>
    <w:rsid w:val="00CC5D09"/>
    <w:rsid w:val="00CC652D"/>
    <w:rsid w:val="00CC7BD7"/>
    <w:rsid w:val="00CF5ADE"/>
    <w:rsid w:val="00D01F93"/>
    <w:rsid w:val="00D0450B"/>
    <w:rsid w:val="00D07093"/>
    <w:rsid w:val="00D1611A"/>
    <w:rsid w:val="00D16373"/>
    <w:rsid w:val="00D22150"/>
    <w:rsid w:val="00D30088"/>
    <w:rsid w:val="00D347F6"/>
    <w:rsid w:val="00D36B3A"/>
    <w:rsid w:val="00D46D93"/>
    <w:rsid w:val="00D46ECC"/>
    <w:rsid w:val="00D52918"/>
    <w:rsid w:val="00D64C49"/>
    <w:rsid w:val="00D6584D"/>
    <w:rsid w:val="00D71F93"/>
    <w:rsid w:val="00D73E0D"/>
    <w:rsid w:val="00D7621F"/>
    <w:rsid w:val="00D81236"/>
    <w:rsid w:val="00D81A09"/>
    <w:rsid w:val="00D84DE2"/>
    <w:rsid w:val="00D85414"/>
    <w:rsid w:val="00D8631E"/>
    <w:rsid w:val="00D865F8"/>
    <w:rsid w:val="00D9123E"/>
    <w:rsid w:val="00D91EB3"/>
    <w:rsid w:val="00D95C2B"/>
    <w:rsid w:val="00DA3949"/>
    <w:rsid w:val="00DA4F8B"/>
    <w:rsid w:val="00DA5928"/>
    <w:rsid w:val="00DA646B"/>
    <w:rsid w:val="00DA6FEA"/>
    <w:rsid w:val="00DB06A8"/>
    <w:rsid w:val="00DB3669"/>
    <w:rsid w:val="00DB45CB"/>
    <w:rsid w:val="00DB476D"/>
    <w:rsid w:val="00DB788F"/>
    <w:rsid w:val="00DC0985"/>
    <w:rsid w:val="00DC4DBF"/>
    <w:rsid w:val="00DC525F"/>
    <w:rsid w:val="00DC5F7C"/>
    <w:rsid w:val="00DC663E"/>
    <w:rsid w:val="00DD2306"/>
    <w:rsid w:val="00DD23D2"/>
    <w:rsid w:val="00DD65FF"/>
    <w:rsid w:val="00DE137F"/>
    <w:rsid w:val="00DE3F8F"/>
    <w:rsid w:val="00DF1CBD"/>
    <w:rsid w:val="00DF6AD6"/>
    <w:rsid w:val="00DF7D26"/>
    <w:rsid w:val="00E00676"/>
    <w:rsid w:val="00E02DE5"/>
    <w:rsid w:val="00E030DE"/>
    <w:rsid w:val="00E03358"/>
    <w:rsid w:val="00E0720D"/>
    <w:rsid w:val="00E110A0"/>
    <w:rsid w:val="00E21471"/>
    <w:rsid w:val="00E226A4"/>
    <w:rsid w:val="00E2410F"/>
    <w:rsid w:val="00E25B0C"/>
    <w:rsid w:val="00E31C78"/>
    <w:rsid w:val="00E436F0"/>
    <w:rsid w:val="00E45915"/>
    <w:rsid w:val="00E475AD"/>
    <w:rsid w:val="00E630E7"/>
    <w:rsid w:val="00E67C1A"/>
    <w:rsid w:val="00E67E04"/>
    <w:rsid w:val="00E76482"/>
    <w:rsid w:val="00E84334"/>
    <w:rsid w:val="00E86D7E"/>
    <w:rsid w:val="00E86F81"/>
    <w:rsid w:val="00E87C7C"/>
    <w:rsid w:val="00EA33A0"/>
    <w:rsid w:val="00EA75F5"/>
    <w:rsid w:val="00EC3A49"/>
    <w:rsid w:val="00EC3C6B"/>
    <w:rsid w:val="00ED41D4"/>
    <w:rsid w:val="00EE4802"/>
    <w:rsid w:val="00EE71AC"/>
    <w:rsid w:val="00EF7EE1"/>
    <w:rsid w:val="00F00FF9"/>
    <w:rsid w:val="00F01C31"/>
    <w:rsid w:val="00F020D4"/>
    <w:rsid w:val="00F10896"/>
    <w:rsid w:val="00F12C3F"/>
    <w:rsid w:val="00F143CD"/>
    <w:rsid w:val="00F166E1"/>
    <w:rsid w:val="00F17B6A"/>
    <w:rsid w:val="00F319D9"/>
    <w:rsid w:val="00F32C45"/>
    <w:rsid w:val="00F36B37"/>
    <w:rsid w:val="00F405CE"/>
    <w:rsid w:val="00F4149F"/>
    <w:rsid w:val="00F41D73"/>
    <w:rsid w:val="00F513E3"/>
    <w:rsid w:val="00F53107"/>
    <w:rsid w:val="00F54443"/>
    <w:rsid w:val="00F54789"/>
    <w:rsid w:val="00F553D3"/>
    <w:rsid w:val="00F56704"/>
    <w:rsid w:val="00F56D64"/>
    <w:rsid w:val="00F621C5"/>
    <w:rsid w:val="00F665A1"/>
    <w:rsid w:val="00F709B2"/>
    <w:rsid w:val="00F7252E"/>
    <w:rsid w:val="00F77293"/>
    <w:rsid w:val="00F8641B"/>
    <w:rsid w:val="00F92E4A"/>
    <w:rsid w:val="00F938E5"/>
    <w:rsid w:val="00F93EE2"/>
    <w:rsid w:val="00F95568"/>
    <w:rsid w:val="00FA4E60"/>
    <w:rsid w:val="00FA6B47"/>
    <w:rsid w:val="00FB4CB5"/>
    <w:rsid w:val="00FC15DC"/>
    <w:rsid w:val="00FC574B"/>
    <w:rsid w:val="00FC7D4B"/>
    <w:rsid w:val="00FD596F"/>
    <w:rsid w:val="00FD786D"/>
    <w:rsid w:val="00FE007E"/>
    <w:rsid w:val="00FE27DE"/>
    <w:rsid w:val="00FE4173"/>
    <w:rsid w:val="00FF14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238D29"/>
  <w15:chartTrackingRefBased/>
  <w15:docId w15:val="{E2E6BC61-1221-BB47-8A44-EC5139487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1634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34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34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1634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34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34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34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34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34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1634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34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34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1634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34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34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34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34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340D"/>
    <w:rPr>
      <w:rFonts w:eastAsiaTheme="majorEastAsia" w:cstheme="majorBidi"/>
      <w:color w:val="272727" w:themeColor="text1" w:themeTint="D8"/>
    </w:rPr>
  </w:style>
  <w:style w:type="paragraph" w:styleId="Title">
    <w:name w:val="Title"/>
    <w:basedOn w:val="Normal"/>
    <w:next w:val="Normal"/>
    <w:link w:val="TitleChar"/>
    <w:uiPriority w:val="10"/>
    <w:qFormat/>
    <w:rsid w:val="001634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34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34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34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340D"/>
    <w:pPr>
      <w:spacing w:before="160"/>
      <w:jc w:val="center"/>
    </w:pPr>
    <w:rPr>
      <w:i/>
      <w:iCs/>
      <w:color w:val="404040" w:themeColor="text1" w:themeTint="BF"/>
    </w:rPr>
  </w:style>
  <w:style w:type="character" w:customStyle="1" w:styleId="QuoteChar">
    <w:name w:val="Quote Char"/>
    <w:basedOn w:val="DefaultParagraphFont"/>
    <w:link w:val="Quote"/>
    <w:uiPriority w:val="29"/>
    <w:rsid w:val="0016340D"/>
    <w:rPr>
      <w:i/>
      <w:iCs/>
      <w:color w:val="404040" w:themeColor="text1" w:themeTint="BF"/>
    </w:rPr>
  </w:style>
  <w:style w:type="paragraph" w:styleId="ListParagraph">
    <w:name w:val="List Paragraph"/>
    <w:basedOn w:val="Normal"/>
    <w:uiPriority w:val="34"/>
    <w:qFormat/>
    <w:rsid w:val="0016340D"/>
    <w:pPr>
      <w:ind w:left="720"/>
      <w:contextualSpacing/>
    </w:pPr>
  </w:style>
  <w:style w:type="character" w:styleId="IntenseEmphasis">
    <w:name w:val="Intense Emphasis"/>
    <w:basedOn w:val="DefaultParagraphFont"/>
    <w:uiPriority w:val="21"/>
    <w:qFormat/>
    <w:rsid w:val="0016340D"/>
    <w:rPr>
      <w:i/>
      <w:iCs/>
      <w:color w:val="0F4761" w:themeColor="accent1" w:themeShade="BF"/>
    </w:rPr>
  </w:style>
  <w:style w:type="paragraph" w:styleId="IntenseQuote">
    <w:name w:val="Intense Quote"/>
    <w:basedOn w:val="Normal"/>
    <w:next w:val="Normal"/>
    <w:link w:val="IntenseQuoteChar"/>
    <w:uiPriority w:val="30"/>
    <w:qFormat/>
    <w:rsid w:val="001634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340D"/>
    <w:rPr>
      <w:i/>
      <w:iCs/>
      <w:color w:val="0F4761" w:themeColor="accent1" w:themeShade="BF"/>
    </w:rPr>
  </w:style>
  <w:style w:type="character" w:styleId="IntenseReference">
    <w:name w:val="Intense Reference"/>
    <w:basedOn w:val="DefaultParagraphFont"/>
    <w:uiPriority w:val="32"/>
    <w:qFormat/>
    <w:rsid w:val="0016340D"/>
    <w:rPr>
      <w:b/>
      <w:bCs/>
      <w:smallCaps/>
      <w:color w:val="0F4761" w:themeColor="accent1" w:themeShade="BF"/>
      <w:spacing w:val="5"/>
    </w:rPr>
  </w:style>
  <w:style w:type="paragraph" w:styleId="Header">
    <w:name w:val="header"/>
    <w:basedOn w:val="Normal"/>
    <w:link w:val="HeaderChar"/>
    <w:uiPriority w:val="99"/>
    <w:unhideWhenUsed/>
    <w:rsid w:val="001634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340D"/>
  </w:style>
  <w:style w:type="paragraph" w:styleId="Footer">
    <w:name w:val="footer"/>
    <w:basedOn w:val="Normal"/>
    <w:link w:val="FooterChar"/>
    <w:uiPriority w:val="99"/>
    <w:unhideWhenUsed/>
    <w:rsid w:val="001634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340D"/>
  </w:style>
  <w:style w:type="character" w:styleId="PageNumber">
    <w:name w:val="page number"/>
    <w:basedOn w:val="DefaultParagraphFont"/>
    <w:uiPriority w:val="99"/>
    <w:unhideWhenUsed/>
    <w:rsid w:val="00E030DE"/>
  </w:style>
  <w:style w:type="character" w:customStyle="1" w:styleId="apple-style-span">
    <w:name w:val="apple-style-span"/>
    <w:rsid w:val="00D95C2B"/>
  </w:style>
  <w:style w:type="paragraph" w:customStyle="1" w:styleId="NormalWeb1">
    <w:name w:val="Normal (Web)1"/>
    <w:basedOn w:val="Normal"/>
    <w:uiPriority w:val="99"/>
    <w:rsid w:val="00D95C2B"/>
    <w:pPr>
      <w:spacing w:after="0" w:line="240" w:lineRule="auto"/>
    </w:pPr>
    <w:rPr>
      <w:rFonts w:ascii="Times New Roman" w:eastAsia="Calibri" w:hAnsi="Times New Roman" w:cs="Times New Roman"/>
      <w:kern w:val="0"/>
      <w14:ligatures w14:val="none"/>
    </w:rPr>
  </w:style>
  <w:style w:type="character" w:customStyle="1" w:styleId="nw1">
    <w:name w:val="nw1"/>
    <w:uiPriority w:val="99"/>
    <w:rsid w:val="00D95C2B"/>
  </w:style>
  <w:style w:type="paragraph" w:styleId="NormalWeb">
    <w:name w:val="Normal (Web)"/>
    <w:basedOn w:val="Normal"/>
    <w:uiPriority w:val="99"/>
    <w:unhideWhenUsed/>
    <w:rsid w:val="00585827"/>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585827"/>
  </w:style>
  <w:style w:type="paragraph" w:styleId="BodyText2">
    <w:name w:val="Body Text 2"/>
    <w:basedOn w:val="Normal"/>
    <w:link w:val="BodyText2Char"/>
    <w:uiPriority w:val="99"/>
    <w:rsid w:val="007D7DF6"/>
    <w:pPr>
      <w:spacing w:after="0" w:line="240" w:lineRule="auto"/>
      <w:ind w:left="720" w:hanging="720"/>
    </w:pPr>
    <w:rPr>
      <w:rFonts w:ascii="Times New Roman" w:eastAsia="Times New Roman" w:hAnsi="Times New Roman" w:cs="Times New Roman"/>
      <w:b/>
      <w:bCs/>
      <w:kern w:val="0"/>
      <w:sz w:val="22"/>
      <w:szCs w:val="22"/>
      <w:lang w:eastAsia="en-US"/>
      <w14:ligatures w14:val="none"/>
    </w:rPr>
  </w:style>
  <w:style w:type="character" w:customStyle="1" w:styleId="BodyText2Char">
    <w:name w:val="Body Text 2 Char"/>
    <w:basedOn w:val="DefaultParagraphFont"/>
    <w:link w:val="BodyText2"/>
    <w:uiPriority w:val="99"/>
    <w:rsid w:val="007D7DF6"/>
    <w:rPr>
      <w:rFonts w:ascii="Times New Roman" w:eastAsia="Times New Roman" w:hAnsi="Times New Roman" w:cs="Times New Roman"/>
      <w:b/>
      <w:bCs/>
      <w:kern w:val="0"/>
      <w:sz w:val="22"/>
      <w:szCs w:val="22"/>
      <w:lang w:eastAsia="en-US"/>
      <w14:ligatures w14:val="none"/>
    </w:rPr>
  </w:style>
  <w:style w:type="paragraph" w:customStyle="1" w:styleId="deannah1">
    <w:name w:val="deannah1"/>
    <w:basedOn w:val="Normal"/>
    <w:uiPriority w:val="99"/>
    <w:rsid w:val="007D7DF6"/>
    <w:pPr>
      <w:keepNext/>
      <w:spacing w:after="240" w:line="240" w:lineRule="auto"/>
    </w:pPr>
    <w:rPr>
      <w:rFonts w:ascii="Times New Roman" w:eastAsia="Times New Roman" w:hAnsi="Times New Roman" w:cs="Times New Roman"/>
      <w:b/>
      <w:bCs/>
      <w:kern w:val="0"/>
      <w:lang w:eastAsia="en-US"/>
      <w14:ligatures w14:val="none"/>
    </w:rPr>
  </w:style>
  <w:style w:type="paragraph" w:styleId="BalloonText">
    <w:name w:val="Balloon Text"/>
    <w:basedOn w:val="Normal"/>
    <w:link w:val="BalloonTextChar"/>
    <w:uiPriority w:val="99"/>
    <w:semiHidden/>
    <w:rsid w:val="007D7DF6"/>
    <w:pPr>
      <w:spacing w:after="0" w:line="240" w:lineRule="auto"/>
    </w:pPr>
    <w:rPr>
      <w:rFonts w:ascii="Tahoma" w:eastAsia="Times New Roman" w:hAnsi="Tahoma" w:cs="Tahoma"/>
      <w:kern w:val="0"/>
      <w:sz w:val="16"/>
      <w:szCs w:val="16"/>
      <w:lang w:eastAsia="en-US"/>
      <w14:ligatures w14:val="none"/>
    </w:rPr>
  </w:style>
  <w:style w:type="character" w:customStyle="1" w:styleId="BalloonTextChar">
    <w:name w:val="Balloon Text Char"/>
    <w:basedOn w:val="DefaultParagraphFont"/>
    <w:link w:val="BalloonText"/>
    <w:uiPriority w:val="99"/>
    <w:semiHidden/>
    <w:rsid w:val="007D7DF6"/>
    <w:rPr>
      <w:rFonts w:ascii="Tahoma" w:eastAsia="Times New Roman" w:hAnsi="Tahoma" w:cs="Tahoma"/>
      <w:kern w:val="0"/>
      <w:sz w:val="16"/>
      <w:szCs w:val="16"/>
      <w:lang w:eastAsia="en-US"/>
      <w14:ligatures w14:val="none"/>
    </w:rPr>
  </w:style>
  <w:style w:type="character" w:styleId="Hyperlink">
    <w:name w:val="Hyperlink"/>
    <w:rsid w:val="007D7DF6"/>
    <w:rPr>
      <w:color w:val="0000FF"/>
      <w:u w:val="single"/>
    </w:rPr>
  </w:style>
  <w:style w:type="table" w:styleId="TableGrid">
    <w:name w:val="Table Grid"/>
    <w:basedOn w:val="TableNormal"/>
    <w:rsid w:val="007D7DF6"/>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7D7DF6"/>
    <w:rPr>
      <w:color w:val="800080"/>
      <w:u w:val="single"/>
    </w:rPr>
  </w:style>
  <w:style w:type="character" w:customStyle="1" w:styleId="Hyperlink1">
    <w:name w:val="Hyperlink1"/>
    <w:uiPriority w:val="99"/>
    <w:rsid w:val="007D7DF6"/>
    <w:rPr>
      <w:color w:val="535353"/>
      <w:u w:val="single"/>
      <w:effect w:val="none"/>
    </w:rPr>
  </w:style>
  <w:style w:type="character" w:styleId="CommentReference">
    <w:name w:val="annotation reference"/>
    <w:uiPriority w:val="99"/>
    <w:semiHidden/>
    <w:unhideWhenUsed/>
    <w:rsid w:val="007D7DF6"/>
    <w:rPr>
      <w:sz w:val="16"/>
      <w:szCs w:val="16"/>
    </w:rPr>
  </w:style>
  <w:style w:type="paragraph" w:styleId="CommentText">
    <w:name w:val="annotation text"/>
    <w:basedOn w:val="Normal"/>
    <w:link w:val="CommentTextChar"/>
    <w:uiPriority w:val="99"/>
    <w:unhideWhenUsed/>
    <w:rsid w:val="007D7DF6"/>
    <w:pPr>
      <w:spacing w:after="0" w:line="240" w:lineRule="auto"/>
    </w:pPr>
    <w:rPr>
      <w:rFonts w:ascii="Times New Roman" w:eastAsia="Times New Roman" w:hAnsi="Times New Roman" w:cs="Times New Roman"/>
      <w:kern w:val="0"/>
      <w:sz w:val="20"/>
      <w:szCs w:val="20"/>
      <w:lang w:eastAsia="en-US"/>
      <w14:ligatures w14:val="none"/>
    </w:rPr>
  </w:style>
  <w:style w:type="character" w:customStyle="1" w:styleId="CommentTextChar">
    <w:name w:val="Comment Text Char"/>
    <w:basedOn w:val="DefaultParagraphFont"/>
    <w:link w:val="CommentText"/>
    <w:uiPriority w:val="99"/>
    <w:rsid w:val="007D7DF6"/>
    <w:rPr>
      <w:rFonts w:ascii="Times New Roman" w:eastAsia="Times New Roman" w:hAnsi="Times New Roman" w:cs="Times New Roman"/>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7D7DF6"/>
    <w:rPr>
      <w:b/>
      <w:bCs/>
    </w:rPr>
  </w:style>
  <w:style w:type="character" w:customStyle="1" w:styleId="CommentSubjectChar">
    <w:name w:val="Comment Subject Char"/>
    <w:basedOn w:val="CommentTextChar"/>
    <w:link w:val="CommentSubject"/>
    <w:uiPriority w:val="99"/>
    <w:semiHidden/>
    <w:rsid w:val="007D7DF6"/>
    <w:rPr>
      <w:rFonts w:ascii="Times New Roman" w:eastAsia="Times New Roman" w:hAnsi="Times New Roman" w:cs="Times New Roman"/>
      <w:b/>
      <w:bCs/>
      <w:kern w:val="0"/>
      <w:sz w:val="20"/>
      <w:szCs w:val="20"/>
      <w:lang w:eastAsia="en-US"/>
      <w14:ligatures w14:val="none"/>
    </w:rPr>
  </w:style>
  <w:style w:type="character" w:styleId="Strong">
    <w:name w:val="Strong"/>
    <w:uiPriority w:val="22"/>
    <w:qFormat/>
    <w:rsid w:val="007D7DF6"/>
    <w:rPr>
      <w:b/>
      <w:bCs/>
    </w:rPr>
  </w:style>
  <w:style w:type="character" w:styleId="UnresolvedMention">
    <w:name w:val="Unresolved Mention"/>
    <w:basedOn w:val="DefaultParagraphFont"/>
    <w:uiPriority w:val="99"/>
    <w:semiHidden/>
    <w:unhideWhenUsed/>
    <w:rsid w:val="007D7D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2467835">
      <w:bodyDiv w:val="1"/>
      <w:marLeft w:val="0"/>
      <w:marRight w:val="0"/>
      <w:marTop w:val="0"/>
      <w:marBottom w:val="0"/>
      <w:divBdr>
        <w:top w:val="none" w:sz="0" w:space="0" w:color="auto"/>
        <w:left w:val="none" w:sz="0" w:space="0" w:color="auto"/>
        <w:bottom w:val="none" w:sz="0" w:space="0" w:color="auto"/>
        <w:right w:val="none" w:sz="0" w:space="0" w:color="auto"/>
      </w:divBdr>
      <w:divsChild>
        <w:div w:id="1802436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1904</TotalTime>
  <Pages>18</Pages>
  <Words>5845</Words>
  <Characters>33322</Characters>
  <Application>Microsoft Office Word</Application>
  <DocSecurity>0</DocSecurity>
  <Lines>277</Lines>
  <Paragraphs>78</Paragraphs>
  <ScaleCrop>false</ScaleCrop>
  <Company/>
  <LinksUpToDate>false</LinksUpToDate>
  <CharactersWithSpaces>39089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Ivory Morton (2001066)</dc:creator>
  <cp:keywords/>
  <dc:description/>
  <cp:lastModifiedBy>Ivory Morton (2001066)</cp:lastModifiedBy>
  <cp:revision>554</cp:revision>
  <dcterms:created xsi:type="dcterms:W3CDTF">2024-03-06T09:38:00Z</dcterms:created>
  <dcterms:modified xsi:type="dcterms:W3CDTF">2024-05-07T19:08:00Z</dcterms:modified>
</cp:coreProperties>
</file>