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A62AA" w14:textId="77777777" w:rsidR="007A2A1F" w:rsidRPr="00BD4E62" w:rsidRDefault="00DE0637" w:rsidP="00DE0637">
      <w:pPr>
        <w:spacing w:line="480" w:lineRule="auto"/>
        <w:jc w:val="center"/>
        <w:rPr>
          <w:rFonts w:ascii="Arial" w:hAnsi="Arial" w:cs="Arial"/>
          <w:sz w:val="24"/>
          <w:szCs w:val="24"/>
          <w:lang w:val="en-GB"/>
        </w:rPr>
      </w:pPr>
      <w:r w:rsidRPr="00BD4E62">
        <w:rPr>
          <w:rFonts w:ascii="Arial" w:hAnsi="Arial" w:cs="Arial"/>
          <w:noProof/>
          <w:sz w:val="24"/>
          <w:szCs w:val="24"/>
          <w:lang w:val="en-GB" w:eastAsia="en-GB"/>
        </w:rPr>
        <w:drawing>
          <wp:inline distT="0" distB="0" distL="0" distR="0" wp14:anchorId="372C2752" wp14:editId="33ED4EC7">
            <wp:extent cx="2202908" cy="1034143"/>
            <wp:effectExtent l="19050" t="0" r="6892"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203175" cy="1034268"/>
                    </a:xfrm>
                    <a:prstGeom prst="rect">
                      <a:avLst/>
                    </a:prstGeom>
                    <a:noFill/>
                    <a:ln w="9525">
                      <a:noFill/>
                      <a:miter lim="800000"/>
                      <a:headEnd/>
                      <a:tailEnd/>
                    </a:ln>
                  </pic:spPr>
                </pic:pic>
              </a:graphicData>
            </a:graphic>
          </wp:inline>
        </w:drawing>
      </w:r>
    </w:p>
    <w:p w14:paraId="56180114" w14:textId="77777777" w:rsidR="00391304" w:rsidRPr="00BD4E62" w:rsidRDefault="00DE0637" w:rsidP="00DE0637">
      <w:pPr>
        <w:spacing w:line="480" w:lineRule="auto"/>
        <w:jc w:val="center"/>
        <w:rPr>
          <w:rFonts w:ascii="Arial" w:hAnsi="Arial" w:cs="Arial"/>
          <w:b/>
          <w:sz w:val="28"/>
          <w:szCs w:val="24"/>
        </w:rPr>
      </w:pPr>
      <w:r w:rsidRPr="00BD4E62">
        <w:rPr>
          <w:rFonts w:ascii="Arial" w:hAnsi="Arial" w:cs="Arial"/>
          <w:b/>
          <w:sz w:val="28"/>
          <w:szCs w:val="24"/>
        </w:rPr>
        <w:t>Marketing Management</w:t>
      </w:r>
    </w:p>
    <w:p w14:paraId="71EE36A0" w14:textId="77777777" w:rsidR="00DE0637" w:rsidRPr="00BD4E62" w:rsidRDefault="00DE0637" w:rsidP="00DE0637">
      <w:pPr>
        <w:spacing w:line="480" w:lineRule="auto"/>
        <w:jc w:val="center"/>
        <w:rPr>
          <w:rFonts w:ascii="Arial" w:hAnsi="Arial" w:cs="Arial"/>
          <w:b/>
          <w:sz w:val="28"/>
          <w:szCs w:val="24"/>
        </w:rPr>
      </w:pPr>
      <w:r w:rsidRPr="00BD4E62">
        <w:rPr>
          <w:rFonts w:ascii="Arial" w:hAnsi="Arial" w:cs="Arial"/>
          <w:b/>
          <w:sz w:val="28"/>
          <w:szCs w:val="24"/>
        </w:rPr>
        <w:t>LCMB7024</w:t>
      </w:r>
    </w:p>
    <w:p w14:paraId="5AB29A93" w14:textId="77777777" w:rsidR="00DE0637" w:rsidRPr="00BD4E62" w:rsidRDefault="00DE0637" w:rsidP="00DE0637">
      <w:pPr>
        <w:spacing w:line="480" w:lineRule="auto"/>
        <w:jc w:val="center"/>
        <w:rPr>
          <w:rFonts w:ascii="Arial" w:hAnsi="Arial" w:cs="Arial"/>
          <w:b/>
          <w:sz w:val="28"/>
          <w:szCs w:val="24"/>
          <w:lang w:val="en-GB"/>
        </w:rPr>
      </w:pPr>
      <w:r w:rsidRPr="00BD4E62">
        <w:rPr>
          <w:rFonts w:ascii="Arial" w:hAnsi="Arial" w:cs="Arial"/>
          <w:b/>
          <w:sz w:val="28"/>
          <w:szCs w:val="24"/>
        </w:rPr>
        <w:t xml:space="preserve">Lecturers: Laila </w:t>
      </w:r>
      <w:proofErr w:type="spellStart"/>
      <w:r w:rsidRPr="00BD4E62">
        <w:rPr>
          <w:rFonts w:ascii="Arial" w:hAnsi="Arial" w:cs="Arial"/>
          <w:b/>
          <w:sz w:val="28"/>
          <w:szCs w:val="24"/>
        </w:rPr>
        <w:t>Maazouz</w:t>
      </w:r>
      <w:proofErr w:type="spellEnd"/>
      <w:r w:rsidRPr="00BD4E62">
        <w:rPr>
          <w:rFonts w:ascii="Arial" w:hAnsi="Arial" w:cs="Arial"/>
          <w:b/>
          <w:sz w:val="28"/>
          <w:szCs w:val="24"/>
        </w:rPr>
        <w:t xml:space="preserve">, Dian </w:t>
      </w:r>
      <w:proofErr w:type="spellStart"/>
      <w:r w:rsidRPr="00BD4E62">
        <w:rPr>
          <w:rFonts w:ascii="Arial" w:hAnsi="Arial" w:cs="Arial"/>
          <w:b/>
          <w:sz w:val="28"/>
          <w:szCs w:val="24"/>
        </w:rPr>
        <w:t>Mayasari</w:t>
      </w:r>
      <w:proofErr w:type="spellEnd"/>
    </w:p>
    <w:p w14:paraId="10E0DC63" w14:textId="77777777" w:rsidR="00391304" w:rsidRPr="00BD4E62" w:rsidRDefault="00391304" w:rsidP="002B0891">
      <w:pPr>
        <w:spacing w:line="480" w:lineRule="auto"/>
        <w:jc w:val="both"/>
        <w:rPr>
          <w:rFonts w:ascii="Arial" w:hAnsi="Arial" w:cs="Arial"/>
          <w:b/>
          <w:sz w:val="28"/>
          <w:szCs w:val="24"/>
          <w:lang w:val="en-GB"/>
        </w:rPr>
      </w:pPr>
    </w:p>
    <w:p w14:paraId="1D73736C" w14:textId="77777777" w:rsidR="00391304" w:rsidRPr="00BD4E62" w:rsidRDefault="00E21940" w:rsidP="00DE0637">
      <w:pPr>
        <w:spacing w:line="480" w:lineRule="auto"/>
        <w:jc w:val="center"/>
        <w:rPr>
          <w:rFonts w:ascii="Arial" w:hAnsi="Arial" w:cs="Arial"/>
          <w:b/>
          <w:i/>
          <w:szCs w:val="24"/>
          <w:lang w:val="en-GB"/>
        </w:rPr>
      </w:pPr>
      <w:r w:rsidRPr="00BD4E62">
        <w:rPr>
          <w:rFonts w:ascii="Arial" w:hAnsi="Arial" w:cs="Arial"/>
          <w:b/>
          <w:i/>
          <w:szCs w:val="24"/>
        </w:rPr>
        <w:t>[</w:t>
      </w:r>
      <w:r w:rsidR="00DE0637" w:rsidRPr="00BD4E62">
        <w:rPr>
          <w:rFonts w:ascii="Arial" w:hAnsi="Arial" w:cs="Arial"/>
          <w:b/>
          <w:i/>
          <w:szCs w:val="24"/>
        </w:rPr>
        <w:t>Marketing Environment Analysis</w:t>
      </w:r>
      <w:r w:rsidRPr="00BD4E62">
        <w:rPr>
          <w:rFonts w:ascii="Arial" w:hAnsi="Arial" w:cs="Arial"/>
          <w:b/>
          <w:i/>
          <w:szCs w:val="24"/>
        </w:rPr>
        <w:t xml:space="preserve"> of Tesla (pioneer) and Toyota (Follower) Electric vehicles]</w:t>
      </w:r>
    </w:p>
    <w:p w14:paraId="6612048C" w14:textId="5149C725" w:rsidR="00E21940" w:rsidRPr="00BD4E62" w:rsidRDefault="00E21940" w:rsidP="002A78E0">
      <w:pPr>
        <w:spacing w:line="480" w:lineRule="auto"/>
        <w:jc w:val="center"/>
        <w:rPr>
          <w:rFonts w:ascii="Arial" w:hAnsi="Arial" w:cs="Arial"/>
          <w:b/>
          <w:sz w:val="28"/>
          <w:szCs w:val="24"/>
          <w:lang w:val="en-GB"/>
        </w:rPr>
      </w:pPr>
      <w:r w:rsidRPr="00BD4E62">
        <w:rPr>
          <w:rFonts w:ascii="Arial" w:hAnsi="Arial" w:cs="Arial"/>
          <w:b/>
          <w:noProof/>
          <w:sz w:val="28"/>
          <w:szCs w:val="24"/>
          <w:lang w:val="en-GB" w:eastAsia="en-GB"/>
        </w:rPr>
        <w:drawing>
          <wp:inline distT="0" distB="0" distL="0" distR="0" wp14:anchorId="31F407E7" wp14:editId="79DFFA10">
            <wp:extent cx="2598567" cy="1059098"/>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599068" cy="1059302"/>
                    </a:xfrm>
                    <a:prstGeom prst="rect">
                      <a:avLst/>
                    </a:prstGeom>
                    <a:noFill/>
                    <a:ln w="9525">
                      <a:noFill/>
                      <a:miter lim="800000"/>
                      <a:headEnd/>
                      <a:tailEnd/>
                    </a:ln>
                  </pic:spPr>
                </pic:pic>
              </a:graphicData>
            </a:graphic>
          </wp:inline>
        </w:drawing>
      </w:r>
    </w:p>
    <w:p w14:paraId="5C455955" w14:textId="4610708F" w:rsidR="00DE0637" w:rsidRPr="00BD4E62" w:rsidRDefault="00DE0637" w:rsidP="00E21940">
      <w:pPr>
        <w:spacing w:line="480" w:lineRule="auto"/>
        <w:jc w:val="center"/>
        <w:rPr>
          <w:rFonts w:ascii="Arial" w:hAnsi="Arial" w:cs="Arial"/>
          <w:b/>
          <w:sz w:val="28"/>
          <w:szCs w:val="24"/>
          <w:lang w:val="en-GB"/>
        </w:rPr>
      </w:pPr>
      <w:r w:rsidRPr="00BD4E62">
        <w:rPr>
          <w:rFonts w:ascii="Arial" w:hAnsi="Arial" w:cs="Arial"/>
          <w:b/>
          <w:sz w:val="28"/>
          <w:szCs w:val="24"/>
          <w:lang w:val="en-GB"/>
        </w:rPr>
        <w:t xml:space="preserve">SID: </w:t>
      </w:r>
      <w:r w:rsidR="002A78E0">
        <w:rPr>
          <w:rFonts w:ascii="Arial" w:hAnsi="Arial" w:cs="Arial"/>
          <w:b/>
          <w:sz w:val="28"/>
          <w:szCs w:val="24"/>
          <w:lang w:val="en-GB"/>
        </w:rPr>
        <w:t>2532864</w:t>
      </w:r>
    </w:p>
    <w:p w14:paraId="6B80EFFD" w14:textId="50F266DA" w:rsidR="00391304" w:rsidRPr="00BD4E62" w:rsidRDefault="00DE0637" w:rsidP="00DE0637">
      <w:pPr>
        <w:spacing w:line="480" w:lineRule="auto"/>
        <w:jc w:val="center"/>
        <w:rPr>
          <w:rFonts w:ascii="Arial" w:hAnsi="Arial" w:cs="Arial"/>
          <w:b/>
          <w:sz w:val="28"/>
          <w:szCs w:val="24"/>
          <w:lang w:val="en-GB"/>
        </w:rPr>
      </w:pPr>
      <w:r w:rsidRPr="00BD4E62">
        <w:rPr>
          <w:rFonts w:ascii="Arial" w:hAnsi="Arial" w:cs="Arial"/>
          <w:b/>
          <w:sz w:val="28"/>
          <w:szCs w:val="24"/>
          <w:lang w:val="en-GB"/>
        </w:rPr>
        <w:t xml:space="preserve">Date: </w:t>
      </w:r>
      <w:r w:rsidR="002A78E0">
        <w:rPr>
          <w:rFonts w:ascii="Arial" w:hAnsi="Arial" w:cs="Arial"/>
          <w:b/>
          <w:sz w:val="28"/>
          <w:szCs w:val="24"/>
          <w:lang w:val="en-GB"/>
        </w:rPr>
        <w:t>25/05/26</w:t>
      </w:r>
    </w:p>
    <w:p w14:paraId="4C839C25" w14:textId="116D2DD7" w:rsidR="00DE0637" w:rsidRPr="00BD4E62" w:rsidRDefault="002A78E0" w:rsidP="00DE0637">
      <w:pPr>
        <w:spacing w:line="480" w:lineRule="auto"/>
        <w:jc w:val="center"/>
        <w:rPr>
          <w:rFonts w:ascii="Arial" w:hAnsi="Arial" w:cs="Arial"/>
          <w:sz w:val="24"/>
          <w:szCs w:val="24"/>
          <w:lang w:val="en-GB"/>
        </w:rPr>
      </w:pPr>
      <w:r>
        <w:rPr>
          <w:rFonts w:ascii="Arial" w:hAnsi="Arial" w:cs="Arial"/>
          <w:sz w:val="24"/>
          <w:szCs w:val="24"/>
          <w:lang w:val="en-GB"/>
        </w:rPr>
        <w:t>Name ADEBOWALE MUNIRU AKANBI</w:t>
      </w:r>
    </w:p>
    <w:p w14:paraId="700A0C2F" w14:textId="77777777" w:rsidR="00391304" w:rsidRPr="00BD4E62" w:rsidRDefault="00391304" w:rsidP="002B0891">
      <w:pPr>
        <w:spacing w:line="480" w:lineRule="auto"/>
        <w:jc w:val="both"/>
        <w:rPr>
          <w:rFonts w:ascii="Arial" w:hAnsi="Arial" w:cs="Arial"/>
          <w:sz w:val="24"/>
          <w:szCs w:val="24"/>
          <w:lang w:val="en-GB"/>
        </w:rPr>
      </w:pPr>
    </w:p>
    <w:sdt>
      <w:sdtPr>
        <w:rPr>
          <w:rFonts w:ascii="Arial" w:eastAsiaTheme="minorEastAsia" w:hAnsi="Arial" w:cs="Arial"/>
          <w:b w:val="0"/>
          <w:bCs w:val="0"/>
          <w:color w:val="auto"/>
          <w:sz w:val="24"/>
          <w:szCs w:val="24"/>
        </w:rPr>
        <w:id w:val="625883955"/>
        <w:docPartObj>
          <w:docPartGallery w:val="Table of Contents"/>
          <w:docPartUnique/>
        </w:docPartObj>
      </w:sdtPr>
      <w:sdtContent>
        <w:p w14:paraId="4C82519F" w14:textId="77777777" w:rsidR="00CD248A" w:rsidRPr="00BD4E62" w:rsidRDefault="00CD248A" w:rsidP="00CD248A">
          <w:pPr>
            <w:pStyle w:val="TOCHeading"/>
            <w:jc w:val="center"/>
            <w:rPr>
              <w:rFonts w:ascii="Arial" w:hAnsi="Arial" w:cs="Arial"/>
              <w:sz w:val="24"/>
              <w:szCs w:val="24"/>
            </w:rPr>
          </w:pPr>
          <w:r w:rsidRPr="00BD4E62">
            <w:rPr>
              <w:rFonts w:ascii="Arial" w:hAnsi="Arial" w:cs="Arial"/>
              <w:sz w:val="24"/>
              <w:szCs w:val="24"/>
            </w:rPr>
            <w:t>Table of Contents</w:t>
          </w:r>
        </w:p>
        <w:p w14:paraId="3E8225D7" w14:textId="77777777" w:rsidR="001E4320" w:rsidRPr="00955D5C" w:rsidRDefault="00D35A84" w:rsidP="001E4320">
          <w:pPr>
            <w:pStyle w:val="TOC1"/>
            <w:tabs>
              <w:tab w:val="right" w:leader="dot" w:pos="9350"/>
            </w:tabs>
            <w:spacing w:line="480" w:lineRule="auto"/>
            <w:jc w:val="both"/>
            <w:rPr>
              <w:rFonts w:ascii="Arial" w:hAnsi="Arial" w:cs="Arial"/>
              <w:noProof/>
              <w:sz w:val="24"/>
              <w:szCs w:val="24"/>
            </w:rPr>
          </w:pPr>
          <w:r w:rsidRPr="00955D5C">
            <w:rPr>
              <w:rFonts w:ascii="Arial" w:hAnsi="Arial" w:cs="Arial"/>
              <w:sz w:val="24"/>
              <w:szCs w:val="24"/>
            </w:rPr>
            <w:fldChar w:fldCharType="begin"/>
          </w:r>
          <w:r w:rsidR="00CD248A" w:rsidRPr="00955D5C">
            <w:rPr>
              <w:rFonts w:ascii="Arial" w:hAnsi="Arial" w:cs="Arial"/>
              <w:sz w:val="24"/>
              <w:szCs w:val="24"/>
            </w:rPr>
            <w:instrText xml:space="preserve"> TOC \o "1-3" \h \z \u </w:instrText>
          </w:r>
          <w:r w:rsidRPr="00955D5C">
            <w:rPr>
              <w:rFonts w:ascii="Arial" w:hAnsi="Arial" w:cs="Arial"/>
              <w:sz w:val="24"/>
              <w:szCs w:val="24"/>
            </w:rPr>
            <w:fldChar w:fldCharType="separate"/>
          </w:r>
          <w:hyperlink w:anchor="_Toc229647783" w:history="1">
            <w:r w:rsidR="001E4320" w:rsidRPr="00955D5C">
              <w:rPr>
                <w:rStyle w:val="Hyperlink"/>
                <w:rFonts w:ascii="Arial" w:hAnsi="Arial" w:cs="Arial"/>
                <w:noProof/>
                <w:sz w:val="24"/>
                <w:szCs w:val="24"/>
                <w:lang w:val="en-GB"/>
              </w:rPr>
              <w:t>Introduction</w:t>
            </w:r>
            <w:r w:rsidR="001E4320" w:rsidRPr="00955D5C">
              <w:rPr>
                <w:rFonts w:ascii="Arial" w:hAnsi="Arial" w:cs="Arial"/>
                <w:noProof/>
                <w:webHidden/>
                <w:sz w:val="24"/>
                <w:szCs w:val="24"/>
              </w:rPr>
              <w:tab/>
            </w:r>
            <w:r w:rsidR="001E4320" w:rsidRPr="00955D5C">
              <w:rPr>
                <w:rFonts w:ascii="Arial" w:hAnsi="Arial" w:cs="Arial"/>
                <w:noProof/>
                <w:webHidden/>
                <w:sz w:val="24"/>
                <w:szCs w:val="24"/>
              </w:rPr>
              <w:fldChar w:fldCharType="begin"/>
            </w:r>
            <w:r w:rsidR="001E4320" w:rsidRPr="00955D5C">
              <w:rPr>
                <w:rFonts w:ascii="Arial" w:hAnsi="Arial" w:cs="Arial"/>
                <w:noProof/>
                <w:webHidden/>
                <w:sz w:val="24"/>
                <w:szCs w:val="24"/>
              </w:rPr>
              <w:instrText xml:space="preserve"> PAGEREF _Toc229647783 \h </w:instrText>
            </w:r>
            <w:r w:rsidR="001E4320" w:rsidRPr="00955D5C">
              <w:rPr>
                <w:rFonts w:ascii="Arial" w:hAnsi="Arial" w:cs="Arial"/>
                <w:noProof/>
                <w:webHidden/>
                <w:sz w:val="24"/>
                <w:szCs w:val="24"/>
              </w:rPr>
            </w:r>
            <w:r w:rsidR="001E4320" w:rsidRPr="00955D5C">
              <w:rPr>
                <w:rFonts w:ascii="Arial" w:hAnsi="Arial" w:cs="Arial"/>
                <w:noProof/>
                <w:webHidden/>
                <w:sz w:val="24"/>
                <w:szCs w:val="24"/>
              </w:rPr>
              <w:fldChar w:fldCharType="separate"/>
            </w:r>
            <w:r w:rsidR="001E4320" w:rsidRPr="00955D5C">
              <w:rPr>
                <w:rFonts w:ascii="Arial" w:hAnsi="Arial" w:cs="Arial"/>
                <w:noProof/>
                <w:webHidden/>
                <w:sz w:val="24"/>
                <w:szCs w:val="24"/>
              </w:rPr>
              <w:t>3</w:t>
            </w:r>
            <w:r w:rsidR="001E4320" w:rsidRPr="00955D5C">
              <w:rPr>
                <w:rFonts w:ascii="Arial" w:hAnsi="Arial" w:cs="Arial"/>
                <w:noProof/>
                <w:webHidden/>
                <w:sz w:val="24"/>
                <w:szCs w:val="24"/>
              </w:rPr>
              <w:fldChar w:fldCharType="end"/>
            </w:r>
          </w:hyperlink>
        </w:p>
        <w:p w14:paraId="21F28438" w14:textId="77777777" w:rsidR="001E4320" w:rsidRPr="00955D5C" w:rsidRDefault="001E4320" w:rsidP="001E4320">
          <w:pPr>
            <w:pStyle w:val="TOC2"/>
            <w:tabs>
              <w:tab w:val="right" w:leader="dot" w:pos="9350"/>
            </w:tabs>
            <w:spacing w:line="480" w:lineRule="auto"/>
            <w:jc w:val="both"/>
            <w:rPr>
              <w:rFonts w:ascii="Arial" w:hAnsi="Arial" w:cs="Arial"/>
              <w:noProof/>
              <w:sz w:val="24"/>
              <w:szCs w:val="24"/>
            </w:rPr>
          </w:pPr>
          <w:hyperlink w:anchor="_Toc229647784" w:history="1">
            <w:r w:rsidRPr="00955D5C">
              <w:rPr>
                <w:rStyle w:val="Hyperlink"/>
                <w:rFonts w:ascii="Arial" w:hAnsi="Arial" w:cs="Arial"/>
                <w:noProof/>
                <w:sz w:val="24"/>
                <w:szCs w:val="24"/>
                <w:lang w:val="en-GB"/>
              </w:rPr>
              <w:t>A brief overview of the Companies</w:t>
            </w:r>
            <w:r w:rsidRPr="00955D5C">
              <w:rPr>
                <w:rFonts w:ascii="Arial" w:hAnsi="Arial" w:cs="Arial"/>
                <w:noProof/>
                <w:webHidden/>
                <w:sz w:val="24"/>
                <w:szCs w:val="24"/>
              </w:rPr>
              <w:tab/>
            </w:r>
            <w:r w:rsidRPr="00955D5C">
              <w:rPr>
                <w:rFonts w:ascii="Arial" w:hAnsi="Arial" w:cs="Arial"/>
                <w:noProof/>
                <w:webHidden/>
                <w:sz w:val="24"/>
                <w:szCs w:val="24"/>
              </w:rPr>
              <w:fldChar w:fldCharType="begin"/>
            </w:r>
            <w:r w:rsidRPr="00955D5C">
              <w:rPr>
                <w:rFonts w:ascii="Arial" w:hAnsi="Arial" w:cs="Arial"/>
                <w:noProof/>
                <w:webHidden/>
                <w:sz w:val="24"/>
                <w:szCs w:val="24"/>
              </w:rPr>
              <w:instrText xml:space="preserve"> PAGEREF _Toc229647784 \h </w:instrText>
            </w:r>
            <w:r w:rsidRPr="00955D5C">
              <w:rPr>
                <w:rFonts w:ascii="Arial" w:hAnsi="Arial" w:cs="Arial"/>
                <w:noProof/>
                <w:webHidden/>
                <w:sz w:val="24"/>
                <w:szCs w:val="24"/>
              </w:rPr>
            </w:r>
            <w:r w:rsidRPr="00955D5C">
              <w:rPr>
                <w:rFonts w:ascii="Arial" w:hAnsi="Arial" w:cs="Arial"/>
                <w:noProof/>
                <w:webHidden/>
                <w:sz w:val="24"/>
                <w:szCs w:val="24"/>
              </w:rPr>
              <w:fldChar w:fldCharType="separate"/>
            </w:r>
            <w:r w:rsidRPr="00955D5C">
              <w:rPr>
                <w:rFonts w:ascii="Arial" w:hAnsi="Arial" w:cs="Arial"/>
                <w:noProof/>
                <w:webHidden/>
                <w:sz w:val="24"/>
                <w:szCs w:val="24"/>
              </w:rPr>
              <w:t>4</w:t>
            </w:r>
            <w:r w:rsidRPr="00955D5C">
              <w:rPr>
                <w:rFonts w:ascii="Arial" w:hAnsi="Arial" w:cs="Arial"/>
                <w:noProof/>
                <w:webHidden/>
                <w:sz w:val="24"/>
                <w:szCs w:val="24"/>
              </w:rPr>
              <w:fldChar w:fldCharType="end"/>
            </w:r>
          </w:hyperlink>
        </w:p>
        <w:p w14:paraId="6FC72D63" w14:textId="77777777" w:rsidR="001E4320" w:rsidRPr="00955D5C" w:rsidRDefault="001E4320" w:rsidP="001E4320">
          <w:pPr>
            <w:pStyle w:val="TOC1"/>
            <w:tabs>
              <w:tab w:val="right" w:leader="dot" w:pos="9350"/>
            </w:tabs>
            <w:spacing w:line="480" w:lineRule="auto"/>
            <w:jc w:val="both"/>
            <w:rPr>
              <w:rFonts w:ascii="Arial" w:hAnsi="Arial" w:cs="Arial"/>
              <w:noProof/>
              <w:sz w:val="24"/>
              <w:szCs w:val="24"/>
            </w:rPr>
          </w:pPr>
          <w:hyperlink w:anchor="_Toc229647785" w:history="1">
            <w:r w:rsidRPr="00955D5C">
              <w:rPr>
                <w:rStyle w:val="Hyperlink"/>
                <w:rFonts w:ascii="Arial" w:hAnsi="Arial" w:cs="Arial"/>
                <w:noProof/>
                <w:sz w:val="24"/>
                <w:szCs w:val="24"/>
                <w:lang w:val="en-GB"/>
              </w:rPr>
              <w:t>Task 1</w:t>
            </w:r>
            <w:r w:rsidRPr="00955D5C">
              <w:rPr>
                <w:rFonts w:ascii="Arial" w:hAnsi="Arial" w:cs="Arial"/>
                <w:noProof/>
                <w:webHidden/>
                <w:sz w:val="24"/>
                <w:szCs w:val="24"/>
              </w:rPr>
              <w:tab/>
            </w:r>
            <w:r w:rsidRPr="00955D5C">
              <w:rPr>
                <w:rFonts w:ascii="Arial" w:hAnsi="Arial" w:cs="Arial"/>
                <w:noProof/>
                <w:webHidden/>
                <w:sz w:val="24"/>
                <w:szCs w:val="24"/>
              </w:rPr>
              <w:fldChar w:fldCharType="begin"/>
            </w:r>
            <w:r w:rsidRPr="00955D5C">
              <w:rPr>
                <w:rFonts w:ascii="Arial" w:hAnsi="Arial" w:cs="Arial"/>
                <w:noProof/>
                <w:webHidden/>
                <w:sz w:val="24"/>
                <w:szCs w:val="24"/>
              </w:rPr>
              <w:instrText xml:space="preserve"> PAGEREF _Toc229647785 \h </w:instrText>
            </w:r>
            <w:r w:rsidRPr="00955D5C">
              <w:rPr>
                <w:rFonts w:ascii="Arial" w:hAnsi="Arial" w:cs="Arial"/>
                <w:noProof/>
                <w:webHidden/>
                <w:sz w:val="24"/>
                <w:szCs w:val="24"/>
              </w:rPr>
            </w:r>
            <w:r w:rsidRPr="00955D5C">
              <w:rPr>
                <w:rFonts w:ascii="Arial" w:hAnsi="Arial" w:cs="Arial"/>
                <w:noProof/>
                <w:webHidden/>
                <w:sz w:val="24"/>
                <w:szCs w:val="24"/>
              </w:rPr>
              <w:fldChar w:fldCharType="separate"/>
            </w:r>
            <w:r w:rsidRPr="00955D5C">
              <w:rPr>
                <w:rFonts w:ascii="Arial" w:hAnsi="Arial" w:cs="Arial"/>
                <w:noProof/>
                <w:webHidden/>
                <w:sz w:val="24"/>
                <w:szCs w:val="24"/>
              </w:rPr>
              <w:t>4</w:t>
            </w:r>
            <w:r w:rsidRPr="00955D5C">
              <w:rPr>
                <w:rFonts w:ascii="Arial" w:hAnsi="Arial" w:cs="Arial"/>
                <w:noProof/>
                <w:webHidden/>
                <w:sz w:val="24"/>
                <w:szCs w:val="24"/>
              </w:rPr>
              <w:fldChar w:fldCharType="end"/>
            </w:r>
          </w:hyperlink>
        </w:p>
        <w:p w14:paraId="47250F06" w14:textId="77777777" w:rsidR="001E4320" w:rsidRPr="00955D5C" w:rsidRDefault="001E4320" w:rsidP="001E4320">
          <w:pPr>
            <w:pStyle w:val="TOC1"/>
            <w:tabs>
              <w:tab w:val="right" w:leader="dot" w:pos="9350"/>
            </w:tabs>
            <w:spacing w:line="480" w:lineRule="auto"/>
            <w:jc w:val="both"/>
            <w:rPr>
              <w:rFonts w:ascii="Arial" w:hAnsi="Arial" w:cs="Arial"/>
              <w:noProof/>
              <w:sz w:val="24"/>
              <w:szCs w:val="24"/>
            </w:rPr>
          </w:pPr>
          <w:hyperlink w:anchor="_Toc229647786" w:history="1">
            <w:r w:rsidRPr="00955D5C">
              <w:rPr>
                <w:rStyle w:val="Hyperlink"/>
                <w:rFonts w:ascii="Arial" w:hAnsi="Arial" w:cs="Arial"/>
                <w:noProof/>
                <w:sz w:val="24"/>
                <w:szCs w:val="24"/>
                <w:lang w:val="en-GB"/>
              </w:rPr>
              <w:t>Macro-Marketing Environmental Analysis</w:t>
            </w:r>
            <w:r w:rsidRPr="00955D5C">
              <w:rPr>
                <w:rFonts w:ascii="Arial" w:hAnsi="Arial" w:cs="Arial"/>
                <w:noProof/>
                <w:webHidden/>
                <w:sz w:val="24"/>
                <w:szCs w:val="24"/>
              </w:rPr>
              <w:tab/>
            </w:r>
            <w:r w:rsidRPr="00955D5C">
              <w:rPr>
                <w:rFonts w:ascii="Arial" w:hAnsi="Arial" w:cs="Arial"/>
                <w:noProof/>
                <w:webHidden/>
                <w:sz w:val="24"/>
                <w:szCs w:val="24"/>
              </w:rPr>
              <w:fldChar w:fldCharType="begin"/>
            </w:r>
            <w:r w:rsidRPr="00955D5C">
              <w:rPr>
                <w:rFonts w:ascii="Arial" w:hAnsi="Arial" w:cs="Arial"/>
                <w:noProof/>
                <w:webHidden/>
                <w:sz w:val="24"/>
                <w:szCs w:val="24"/>
              </w:rPr>
              <w:instrText xml:space="preserve"> PAGEREF _Toc229647786 \h </w:instrText>
            </w:r>
            <w:r w:rsidRPr="00955D5C">
              <w:rPr>
                <w:rFonts w:ascii="Arial" w:hAnsi="Arial" w:cs="Arial"/>
                <w:noProof/>
                <w:webHidden/>
                <w:sz w:val="24"/>
                <w:szCs w:val="24"/>
              </w:rPr>
            </w:r>
            <w:r w:rsidRPr="00955D5C">
              <w:rPr>
                <w:rFonts w:ascii="Arial" w:hAnsi="Arial" w:cs="Arial"/>
                <w:noProof/>
                <w:webHidden/>
                <w:sz w:val="24"/>
                <w:szCs w:val="24"/>
              </w:rPr>
              <w:fldChar w:fldCharType="separate"/>
            </w:r>
            <w:r w:rsidRPr="00955D5C">
              <w:rPr>
                <w:rFonts w:ascii="Arial" w:hAnsi="Arial" w:cs="Arial"/>
                <w:noProof/>
                <w:webHidden/>
                <w:sz w:val="24"/>
                <w:szCs w:val="24"/>
              </w:rPr>
              <w:t>4</w:t>
            </w:r>
            <w:r w:rsidRPr="00955D5C">
              <w:rPr>
                <w:rFonts w:ascii="Arial" w:hAnsi="Arial" w:cs="Arial"/>
                <w:noProof/>
                <w:webHidden/>
                <w:sz w:val="24"/>
                <w:szCs w:val="24"/>
              </w:rPr>
              <w:fldChar w:fldCharType="end"/>
            </w:r>
          </w:hyperlink>
        </w:p>
        <w:p w14:paraId="73BE2DC5" w14:textId="77777777" w:rsidR="001E4320" w:rsidRPr="00955D5C" w:rsidRDefault="001E4320" w:rsidP="001E4320">
          <w:pPr>
            <w:pStyle w:val="TOC2"/>
            <w:tabs>
              <w:tab w:val="right" w:leader="dot" w:pos="9350"/>
            </w:tabs>
            <w:spacing w:line="480" w:lineRule="auto"/>
            <w:jc w:val="both"/>
            <w:rPr>
              <w:rFonts w:ascii="Arial" w:hAnsi="Arial" w:cs="Arial"/>
              <w:noProof/>
              <w:sz w:val="24"/>
              <w:szCs w:val="24"/>
            </w:rPr>
          </w:pPr>
          <w:hyperlink w:anchor="_Toc229647787" w:history="1">
            <w:r w:rsidRPr="00955D5C">
              <w:rPr>
                <w:rStyle w:val="Hyperlink"/>
                <w:rFonts w:ascii="Arial" w:hAnsi="Arial" w:cs="Arial"/>
                <w:noProof/>
                <w:sz w:val="24"/>
                <w:szCs w:val="24"/>
                <w:lang w:val="en-GB"/>
              </w:rPr>
              <w:t>Technological factors</w:t>
            </w:r>
            <w:r w:rsidRPr="00955D5C">
              <w:rPr>
                <w:rFonts w:ascii="Arial" w:hAnsi="Arial" w:cs="Arial"/>
                <w:noProof/>
                <w:webHidden/>
                <w:sz w:val="24"/>
                <w:szCs w:val="24"/>
              </w:rPr>
              <w:tab/>
            </w:r>
            <w:r w:rsidRPr="00955D5C">
              <w:rPr>
                <w:rFonts w:ascii="Arial" w:hAnsi="Arial" w:cs="Arial"/>
                <w:noProof/>
                <w:webHidden/>
                <w:sz w:val="24"/>
                <w:szCs w:val="24"/>
              </w:rPr>
              <w:fldChar w:fldCharType="begin"/>
            </w:r>
            <w:r w:rsidRPr="00955D5C">
              <w:rPr>
                <w:rFonts w:ascii="Arial" w:hAnsi="Arial" w:cs="Arial"/>
                <w:noProof/>
                <w:webHidden/>
                <w:sz w:val="24"/>
                <w:szCs w:val="24"/>
              </w:rPr>
              <w:instrText xml:space="preserve"> PAGEREF _Toc229647787 \h </w:instrText>
            </w:r>
            <w:r w:rsidRPr="00955D5C">
              <w:rPr>
                <w:rFonts w:ascii="Arial" w:hAnsi="Arial" w:cs="Arial"/>
                <w:noProof/>
                <w:webHidden/>
                <w:sz w:val="24"/>
                <w:szCs w:val="24"/>
              </w:rPr>
            </w:r>
            <w:r w:rsidRPr="00955D5C">
              <w:rPr>
                <w:rFonts w:ascii="Arial" w:hAnsi="Arial" w:cs="Arial"/>
                <w:noProof/>
                <w:webHidden/>
                <w:sz w:val="24"/>
                <w:szCs w:val="24"/>
              </w:rPr>
              <w:fldChar w:fldCharType="separate"/>
            </w:r>
            <w:r w:rsidRPr="00955D5C">
              <w:rPr>
                <w:rFonts w:ascii="Arial" w:hAnsi="Arial" w:cs="Arial"/>
                <w:noProof/>
                <w:webHidden/>
                <w:sz w:val="24"/>
                <w:szCs w:val="24"/>
              </w:rPr>
              <w:t>5</w:t>
            </w:r>
            <w:r w:rsidRPr="00955D5C">
              <w:rPr>
                <w:rFonts w:ascii="Arial" w:hAnsi="Arial" w:cs="Arial"/>
                <w:noProof/>
                <w:webHidden/>
                <w:sz w:val="24"/>
                <w:szCs w:val="24"/>
              </w:rPr>
              <w:fldChar w:fldCharType="end"/>
            </w:r>
          </w:hyperlink>
        </w:p>
        <w:p w14:paraId="61EEE18A" w14:textId="77777777" w:rsidR="001E4320" w:rsidRPr="00955D5C" w:rsidRDefault="001E4320" w:rsidP="001E4320">
          <w:pPr>
            <w:pStyle w:val="TOC2"/>
            <w:tabs>
              <w:tab w:val="right" w:leader="dot" w:pos="9350"/>
            </w:tabs>
            <w:spacing w:line="480" w:lineRule="auto"/>
            <w:jc w:val="both"/>
            <w:rPr>
              <w:rFonts w:ascii="Arial" w:hAnsi="Arial" w:cs="Arial"/>
              <w:noProof/>
              <w:sz w:val="24"/>
              <w:szCs w:val="24"/>
            </w:rPr>
          </w:pPr>
          <w:hyperlink w:anchor="_Toc229647788" w:history="1">
            <w:r w:rsidRPr="00955D5C">
              <w:rPr>
                <w:rStyle w:val="Hyperlink"/>
                <w:rFonts w:ascii="Arial" w:hAnsi="Arial" w:cs="Arial"/>
                <w:noProof/>
                <w:sz w:val="24"/>
                <w:szCs w:val="24"/>
                <w:lang w:val="en-GB"/>
              </w:rPr>
              <w:t>Environmental and Legal Factors</w:t>
            </w:r>
            <w:r w:rsidRPr="00955D5C">
              <w:rPr>
                <w:rFonts w:ascii="Arial" w:hAnsi="Arial" w:cs="Arial"/>
                <w:noProof/>
                <w:webHidden/>
                <w:sz w:val="24"/>
                <w:szCs w:val="24"/>
              </w:rPr>
              <w:tab/>
            </w:r>
            <w:r w:rsidRPr="00955D5C">
              <w:rPr>
                <w:rFonts w:ascii="Arial" w:hAnsi="Arial" w:cs="Arial"/>
                <w:noProof/>
                <w:webHidden/>
                <w:sz w:val="24"/>
                <w:szCs w:val="24"/>
              </w:rPr>
              <w:fldChar w:fldCharType="begin"/>
            </w:r>
            <w:r w:rsidRPr="00955D5C">
              <w:rPr>
                <w:rFonts w:ascii="Arial" w:hAnsi="Arial" w:cs="Arial"/>
                <w:noProof/>
                <w:webHidden/>
                <w:sz w:val="24"/>
                <w:szCs w:val="24"/>
              </w:rPr>
              <w:instrText xml:space="preserve"> PAGEREF _Toc229647788 \h </w:instrText>
            </w:r>
            <w:r w:rsidRPr="00955D5C">
              <w:rPr>
                <w:rFonts w:ascii="Arial" w:hAnsi="Arial" w:cs="Arial"/>
                <w:noProof/>
                <w:webHidden/>
                <w:sz w:val="24"/>
                <w:szCs w:val="24"/>
              </w:rPr>
            </w:r>
            <w:r w:rsidRPr="00955D5C">
              <w:rPr>
                <w:rFonts w:ascii="Arial" w:hAnsi="Arial" w:cs="Arial"/>
                <w:noProof/>
                <w:webHidden/>
                <w:sz w:val="24"/>
                <w:szCs w:val="24"/>
              </w:rPr>
              <w:fldChar w:fldCharType="separate"/>
            </w:r>
            <w:r w:rsidRPr="00955D5C">
              <w:rPr>
                <w:rFonts w:ascii="Arial" w:hAnsi="Arial" w:cs="Arial"/>
                <w:noProof/>
                <w:webHidden/>
                <w:sz w:val="24"/>
                <w:szCs w:val="24"/>
              </w:rPr>
              <w:t>8</w:t>
            </w:r>
            <w:r w:rsidRPr="00955D5C">
              <w:rPr>
                <w:rFonts w:ascii="Arial" w:hAnsi="Arial" w:cs="Arial"/>
                <w:noProof/>
                <w:webHidden/>
                <w:sz w:val="24"/>
                <w:szCs w:val="24"/>
              </w:rPr>
              <w:fldChar w:fldCharType="end"/>
            </w:r>
          </w:hyperlink>
        </w:p>
        <w:p w14:paraId="244F5875" w14:textId="77777777" w:rsidR="001E4320" w:rsidRPr="00955D5C" w:rsidRDefault="001E4320" w:rsidP="001E4320">
          <w:pPr>
            <w:pStyle w:val="TOC2"/>
            <w:tabs>
              <w:tab w:val="right" w:leader="dot" w:pos="9350"/>
            </w:tabs>
            <w:spacing w:line="480" w:lineRule="auto"/>
            <w:jc w:val="both"/>
            <w:rPr>
              <w:rFonts w:ascii="Arial" w:hAnsi="Arial" w:cs="Arial"/>
              <w:noProof/>
              <w:sz w:val="24"/>
              <w:szCs w:val="24"/>
            </w:rPr>
          </w:pPr>
          <w:hyperlink w:anchor="_Toc229647789" w:history="1">
            <w:r w:rsidRPr="00955D5C">
              <w:rPr>
                <w:rStyle w:val="Hyperlink"/>
                <w:rFonts w:ascii="Arial" w:hAnsi="Arial" w:cs="Arial"/>
                <w:noProof/>
                <w:sz w:val="24"/>
                <w:szCs w:val="24"/>
                <w:lang w:val="en-GB"/>
              </w:rPr>
              <w:t>Porter’s 5 forces – Competition in the automobile industry</w:t>
            </w:r>
            <w:r w:rsidRPr="00955D5C">
              <w:rPr>
                <w:rFonts w:ascii="Arial" w:hAnsi="Arial" w:cs="Arial"/>
                <w:noProof/>
                <w:webHidden/>
                <w:sz w:val="24"/>
                <w:szCs w:val="24"/>
              </w:rPr>
              <w:tab/>
            </w:r>
            <w:r w:rsidRPr="00955D5C">
              <w:rPr>
                <w:rFonts w:ascii="Arial" w:hAnsi="Arial" w:cs="Arial"/>
                <w:noProof/>
                <w:webHidden/>
                <w:sz w:val="24"/>
                <w:szCs w:val="24"/>
              </w:rPr>
              <w:fldChar w:fldCharType="begin"/>
            </w:r>
            <w:r w:rsidRPr="00955D5C">
              <w:rPr>
                <w:rFonts w:ascii="Arial" w:hAnsi="Arial" w:cs="Arial"/>
                <w:noProof/>
                <w:webHidden/>
                <w:sz w:val="24"/>
                <w:szCs w:val="24"/>
              </w:rPr>
              <w:instrText xml:space="preserve"> PAGEREF _Toc229647789 \h </w:instrText>
            </w:r>
            <w:r w:rsidRPr="00955D5C">
              <w:rPr>
                <w:rFonts w:ascii="Arial" w:hAnsi="Arial" w:cs="Arial"/>
                <w:noProof/>
                <w:webHidden/>
                <w:sz w:val="24"/>
                <w:szCs w:val="24"/>
              </w:rPr>
            </w:r>
            <w:r w:rsidRPr="00955D5C">
              <w:rPr>
                <w:rFonts w:ascii="Arial" w:hAnsi="Arial" w:cs="Arial"/>
                <w:noProof/>
                <w:webHidden/>
                <w:sz w:val="24"/>
                <w:szCs w:val="24"/>
              </w:rPr>
              <w:fldChar w:fldCharType="separate"/>
            </w:r>
            <w:r w:rsidRPr="00955D5C">
              <w:rPr>
                <w:rFonts w:ascii="Arial" w:hAnsi="Arial" w:cs="Arial"/>
                <w:noProof/>
                <w:webHidden/>
                <w:sz w:val="24"/>
                <w:szCs w:val="24"/>
              </w:rPr>
              <w:t>10</w:t>
            </w:r>
            <w:r w:rsidRPr="00955D5C">
              <w:rPr>
                <w:rFonts w:ascii="Arial" w:hAnsi="Arial" w:cs="Arial"/>
                <w:noProof/>
                <w:webHidden/>
                <w:sz w:val="24"/>
                <w:szCs w:val="24"/>
              </w:rPr>
              <w:fldChar w:fldCharType="end"/>
            </w:r>
          </w:hyperlink>
        </w:p>
        <w:p w14:paraId="13013482" w14:textId="77777777" w:rsidR="001E4320" w:rsidRPr="00955D5C" w:rsidRDefault="001E4320" w:rsidP="001E4320">
          <w:pPr>
            <w:pStyle w:val="TOC2"/>
            <w:tabs>
              <w:tab w:val="right" w:leader="dot" w:pos="9350"/>
            </w:tabs>
            <w:spacing w:line="480" w:lineRule="auto"/>
            <w:jc w:val="both"/>
            <w:rPr>
              <w:rFonts w:ascii="Arial" w:hAnsi="Arial" w:cs="Arial"/>
              <w:noProof/>
              <w:sz w:val="24"/>
              <w:szCs w:val="24"/>
            </w:rPr>
          </w:pPr>
          <w:hyperlink w:anchor="_Toc229647790" w:history="1">
            <w:r w:rsidRPr="00955D5C">
              <w:rPr>
                <w:rStyle w:val="Hyperlink"/>
                <w:rFonts w:ascii="Arial" w:hAnsi="Arial" w:cs="Arial"/>
                <w:noProof/>
                <w:sz w:val="24"/>
                <w:szCs w:val="24"/>
                <w:lang w:val="en-GB"/>
              </w:rPr>
              <w:t>Comparison of how these external forces influence each company’s competitive position</w:t>
            </w:r>
            <w:r w:rsidRPr="00955D5C">
              <w:rPr>
                <w:rFonts w:ascii="Arial" w:hAnsi="Arial" w:cs="Arial"/>
                <w:noProof/>
                <w:webHidden/>
                <w:sz w:val="24"/>
                <w:szCs w:val="24"/>
              </w:rPr>
              <w:tab/>
            </w:r>
            <w:r w:rsidRPr="00955D5C">
              <w:rPr>
                <w:rFonts w:ascii="Arial" w:hAnsi="Arial" w:cs="Arial"/>
                <w:noProof/>
                <w:webHidden/>
                <w:sz w:val="24"/>
                <w:szCs w:val="24"/>
              </w:rPr>
              <w:fldChar w:fldCharType="begin"/>
            </w:r>
            <w:r w:rsidRPr="00955D5C">
              <w:rPr>
                <w:rFonts w:ascii="Arial" w:hAnsi="Arial" w:cs="Arial"/>
                <w:noProof/>
                <w:webHidden/>
                <w:sz w:val="24"/>
                <w:szCs w:val="24"/>
              </w:rPr>
              <w:instrText xml:space="preserve"> PAGEREF _Toc229647790 \h </w:instrText>
            </w:r>
            <w:r w:rsidRPr="00955D5C">
              <w:rPr>
                <w:rFonts w:ascii="Arial" w:hAnsi="Arial" w:cs="Arial"/>
                <w:noProof/>
                <w:webHidden/>
                <w:sz w:val="24"/>
                <w:szCs w:val="24"/>
              </w:rPr>
            </w:r>
            <w:r w:rsidRPr="00955D5C">
              <w:rPr>
                <w:rFonts w:ascii="Arial" w:hAnsi="Arial" w:cs="Arial"/>
                <w:noProof/>
                <w:webHidden/>
                <w:sz w:val="24"/>
                <w:szCs w:val="24"/>
              </w:rPr>
              <w:fldChar w:fldCharType="separate"/>
            </w:r>
            <w:r w:rsidRPr="00955D5C">
              <w:rPr>
                <w:rFonts w:ascii="Arial" w:hAnsi="Arial" w:cs="Arial"/>
                <w:noProof/>
                <w:webHidden/>
                <w:sz w:val="24"/>
                <w:szCs w:val="24"/>
              </w:rPr>
              <w:t>11</w:t>
            </w:r>
            <w:r w:rsidRPr="00955D5C">
              <w:rPr>
                <w:rFonts w:ascii="Arial" w:hAnsi="Arial" w:cs="Arial"/>
                <w:noProof/>
                <w:webHidden/>
                <w:sz w:val="24"/>
                <w:szCs w:val="24"/>
              </w:rPr>
              <w:fldChar w:fldCharType="end"/>
            </w:r>
          </w:hyperlink>
        </w:p>
        <w:p w14:paraId="304814F4" w14:textId="77777777" w:rsidR="001E4320" w:rsidRPr="00955D5C" w:rsidRDefault="001E4320" w:rsidP="001E4320">
          <w:pPr>
            <w:pStyle w:val="TOC1"/>
            <w:tabs>
              <w:tab w:val="right" w:leader="dot" w:pos="9350"/>
            </w:tabs>
            <w:spacing w:line="480" w:lineRule="auto"/>
            <w:jc w:val="both"/>
            <w:rPr>
              <w:rFonts w:ascii="Arial" w:hAnsi="Arial" w:cs="Arial"/>
              <w:noProof/>
              <w:sz w:val="24"/>
              <w:szCs w:val="24"/>
            </w:rPr>
          </w:pPr>
          <w:hyperlink w:anchor="_Toc229647791" w:history="1">
            <w:r w:rsidRPr="00955D5C">
              <w:rPr>
                <w:rStyle w:val="Hyperlink"/>
                <w:rFonts w:ascii="Arial" w:hAnsi="Arial" w:cs="Arial"/>
                <w:noProof/>
                <w:sz w:val="24"/>
                <w:szCs w:val="24"/>
                <w:lang w:val="en-GB"/>
              </w:rPr>
              <w:t>Task 2</w:t>
            </w:r>
            <w:r w:rsidRPr="00955D5C">
              <w:rPr>
                <w:rFonts w:ascii="Arial" w:hAnsi="Arial" w:cs="Arial"/>
                <w:noProof/>
                <w:webHidden/>
                <w:sz w:val="24"/>
                <w:szCs w:val="24"/>
              </w:rPr>
              <w:tab/>
            </w:r>
            <w:r w:rsidRPr="00955D5C">
              <w:rPr>
                <w:rFonts w:ascii="Arial" w:hAnsi="Arial" w:cs="Arial"/>
                <w:noProof/>
                <w:webHidden/>
                <w:sz w:val="24"/>
                <w:szCs w:val="24"/>
              </w:rPr>
              <w:fldChar w:fldCharType="begin"/>
            </w:r>
            <w:r w:rsidRPr="00955D5C">
              <w:rPr>
                <w:rFonts w:ascii="Arial" w:hAnsi="Arial" w:cs="Arial"/>
                <w:noProof/>
                <w:webHidden/>
                <w:sz w:val="24"/>
                <w:szCs w:val="24"/>
              </w:rPr>
              <w:instrText xml:space="preserve"> PAGEREF _Toc229647791 \h </w:instrText>
            </w:r>
            <w:r w:rsidRPr="00955D5C">
              <w:rPr>
                <w:rFonts w:ascii="Arial" w:hAnsi="Arial" w:cs="Arial"/>
                <w:noProof/>
                <w:webHidden/>
                <w:sz w:val="24"/>
                <w:szCs w:val="24"/>
              </w:rPr>
            </w:r>
            <w:r w:rsidRPr="00955D5C">
              <w:rPr>
                <w:rFonts w:ascii="Arial" w:hAnsi="Arial" w:cs="Arial"/>
                <w:noProof/>
                <w:webHidden/>
                <w:sz w:val="24"/>
                <w:szCs w:val="24"/>
              </w:rPr>
              <w:fldChar w:fldCharType="separate"/>
            </w:r>
            <w:r w:rsidRPr="00955D5C">
              <w:rPr>
                <w:rFonts w:ascii="Arial" w:hAnsi="Arial" w:cs="Arial"/>
                <w:noProof/>
                <w:webHidden/>
                <w:sz w:val="24"/>
                <w:szCs w:val="24"/>
              </w:rPr>
              <w:t>12</w:t>
            </w:r>
            <w:r w:rsidRPr="00955D5C">
              <w:rPr>
                <w:rFonts w:ascii="Arial" w:hAnsi="Arial" w:cs="Arial"/>
                <w:noProof/>
                <w:webHidden/>
                <w:sz w:val="24"/>
                <w:szCs w:val="24"/>
              </w:rPr>
              <w:fldChar w:fldCharType="end"/>
            </w:r>
          </w:hyperlink>
        </w:p>
        <w:p w14:paraId="5858912E" w14:textId="77777777" w:rsidR="001E4320" w:rsidRPr="00955D5C" w:rsidRDefault="001E4320" w:rsidP="001E4320">
          <w:pPr>
            <w:pStyle w:val="TOC1"/>
            <w:tabs>
              <w:tab w:val="right" w:leader="dot" w:pos="9350"/>
            </w:tabs>
            <w:spacing w:line="480" w:lineRule="auto"/>
            <w:jc w:val="both"/>
            <w:rPr>
              <w:rFonts w:ascii="Arial" w:hAnsi="Arial" w:cs="Arial"/>
              <w:noProof/>
              <w:sz w:val="24"/>
              <w:szCs w:val="24"/>
            </w:rPr>
          </w:pPr>
          <w:hyperlink w:anchor="_Toc229647792" w:history="1">
            <w:r w:rsidRPr="00955D5C">
              <w:rPr>
                <w:rStyle w:val="Hyperlink"/>
                <w:rFonts w:ascii="Arial" w:hAnsi="Arial" w:cs="Arial"/>
                <w:noProof/>
                <w:sz w:val="24"/>
                <w:szCs w:val="24"/>
                <w:lang w:val="en-GB"/>
              </w:rPr>
              <w:t>The strategic Responses of the Organisations to the identified macro-environmental factors</w:t>
            </w:r>
            <w:r w:rsidRPr="00955D5C">
              <w:rPr>
                <w:rFonts w:ascii="Arial" w:hAnsi="Arial" w:cs="Arial"/>
                <w:noProof/>
                <w:webHidden/>
                <w:sz w:val="24"/>
                <w:szCs w:val="24"/>
              </w:rPr>
              <w:tab/>
            </w:r>
            <w:r w:rsidRPr="00955D5C">
              <w:rPr>
                <w:rFonts w:ascii="Arial" w:hAnsi="Arial" w:cs="Arial"/>
                <w:noProof/>
                <w:webHidden/>
                <w:sz w:val="24"/>
                <w:szCs w:val="24"/>
              </w:rPr>
              <w:fldChar w:fldCharType="begin"/>
            </w:r>
            <w:r w:rsidRPr="00955D5C">
              <w:rPr>
                <w:rFonts w:ascii="Arial" w:hAnsi="Arial" w:cs="Arial"/>
                <w:noProof/>
                <w:webHidden/>
                <w:sz w:val="24"/>
                <w:szCs w:val="24"/>
              </w:rPr>
              <w:instrText xml:space="preserve"> PAGEREF _Toc229647792 \h </w:instrText>
            </w:r>
            <w:r w:rsidRPr="00955D5C">
              <w:rPr>
                <w:rFonts w:ascii="Arial" w:hAnsi="Arial" w:cs="Arial"/>
                <w:noProof/>
                <w:webHidden/>
                <w:sz w:val="24"/>
                <w:szCs w:val="24"/>
              </w:rPr>
            </w:r>
            <w:r w:rsidRPr="00955D5C">
              <w:rPr>
                <w:rFonts w:ascii="Arial" w:hAnsi="Arial" w:cs="Arial"/>
                <w:noProof/>
                <w:webHidden/>
                <w:sz w:val="24"/>
                <w:szCs w:val="24"/>
              </w:rPr>
              <w:fldChar w:fldCharType="separate"/>
            </w:r>
            <w:r w:rsidRPr="00955D5C">
              <w:rPr>
                <w:rFonts w:ascii="Arial" w:hAnsi="Arial" w:cs="Arial"/>
                <w:noProof/>
                <w:webHidden/>
                <w:sz w:val="24"/>
                <w:szCs w:val="24"/>
              </w:rPr>
              <w:t>12</w:t>
            </w:r>
            <w:r w:rsidRPr="00955D5C">
              <w:rPr>
                <w:rFonts w:ascii="Arial" w:hAnsi="Arial" w:cs="Arial"/>
                <w:noProof/>
                <w:webHidden/>
                <w:sz w:val="24"/>
                <w:szCs w:val="24"/>
              </w:rPr>
              <w:fldChar w:fldCharType="end"/>
            </w:r>
          </w:hyperlink>
        </w:p>
        <w:p w14:paraId="58C688EC" w14:textId="77777777" w:rsidR="001E4320" w:rsidRPr="00955D5C" w:rsidRDefault="001E4320" w:rsidP="001E4320">
          <w:pPr>
            <w:pStyle w:val="TOC2"/>
            <w:tabs>
              <w:tab w:val="right" w:leader="dot" w:pos="9350"/>
            </w:tabs>
            <w:spacing w:line="480" w:lineRule="auto"/>
            <w:jc w:val="both"/>
            <w:rPr>
              <w:rFonts w:ascii="Arial" w:hAnsi="Arial" w:cs="Arial"/>
              <w:noProof/>
              <w:sz w:val="24"/>
              <w:szCs w:val="24"/>
            </w:rPr>
          </w:pPr>
          <w:hyperlink w:anchor="_Toc229647793" w:history="1">
            <w:r w:rsidRPr="00955D5C">
              <w:rPr>
                <w:rStyle w:val="Hyperlink"/>
                <w:rFonts w:ascii="Arial" w:hAnsi="Arial" w:cs="Arial"/>
                <w:noProof/>
                <w:sz w:val="24"/>
                <w:szCs w:val="24"/>
                <w:lang w:val="en-GB"/>
              </w:rPr>
              <w:t>Tesla vs Toyota Technological strategic responses</w:t>
            </w:r>
            <w:r w:rsidRPr="00955D5C">
              <w:rPr>
                <w:rFonts w:ascii="Arial" w:hAnsi="Arial" w:cs="Arial"/>
                <w:noProof/>
                <w:webHidden/>
                <w:sz w:val="24"/>
                <w:szCs w:val="24"/>
              </w:rPr>
              <w:tab/>
            </w:r>
            <w:r w:rsidRPr="00955D5C">
              <w:rPr>
                <w:rFonts w:ascii="Arial" w:hAnsi="Arial" w:cs="Arial"/>
                <w:noProof/>
                <w:webHidden/>
                <w:sz w:val="24"/>
                <w:szCs w:val="24"/>
              </w:rPr>
              <w:fldChar w:fldCharType="begin"/>
            </w:r>
            <w:r w:rsidRPr="00955D5C">
              <w:rPr>
                <w:rFonts w:ascii="Arial" w:hAnsi="Arial" w:cs="Arial"/>
                <w:noProof/>
                <w:webHidden/>
                <w:sz w:val="24"/>
                <w:szCs w:val="24"/>
              </w:rPr>
              <w:instrText xml:space="preserve"> PAGEREF _Toc229647793 \h </w:instrText>
            </w:r>
            <w:r w:rsidRPr="00955D5C">
              <w:rPr>
                <w:rFonts w:ascii="Arial" w:hAnsi="Arial" w:cs="Arial"/>
                <w:noProof/>
                <w:webHidden/>
                <w:sz w:val="24"/>
                <w:szCs w:val="24"/>
              </w:rPr>
            </w:r>
            <w:r w:rsidRPr="00955D5C">
              <w:rPr>
                <w:rFonts w:ascii="Arial" w:hAnsi="Arial" w:cs="Arial"/>
                <w:noProof/>
                <w:webHidden/>
                <w:sz w:val="24"/>
                <w:szCs w:val="24"/>
              </w:rPr>
              <w:fldChar w:fldCharType="separate"/>
            </w:r>
            <w:r w:rsidRPr="00955D5C">
              <w:rPr>
                <w:rFonts w:ascii="Arial" w:hAnsi="Arial" w:cs="Arial"/>
                <w:noProof/>
                <w:webHidden/>
                <w:sz w:val="24"/>
                <w:szCs w:val="24"/>
              </w:rPr>
              <w:t>12</w:t>
            </w:r>
            <w:r w:rsidRPr="00955D5C">
              <w:rPr>
                <w:rFonts w:ascii="Arial" w:hAnsi="Arial" w:cs="Arial"/>
                <w:noProof/>
                <w:webHidden/>
                <w:sz w:val="24"/>
                <w:szCs w:val="24"/>
              </w:rPr>
              <w:fldChar w:fldCharType="end"/>
            </w:r>
          </w:hyperlink>
        </w:p>
        <w:p w14:paraId="537F9F33" w14:textId="77777777" w:rsidR="001E4320" w:rsidRPr="00955D5C" w:rsidRDefault="001E4320" w:rsidP="001E4320">
          <w:pPr>
            <w:pStyle w:val="TOC2"/>
            <w:tabs>
              <w:tab w:val="right" w:leader="dot" w:pos="9350"/>
            </w:tabs>
            <w:spacing w:line="480" w:lineRule="auto"/>
            <w:jc w:val="both"/>
            <w:rPr>
              <w:rFonts w:ascii="Arial" w:hAnsi="Arial" w:cs="Arial"/>
              <w:noProof/>
              <w:sz w:val="24"/>
              <w:szCs w:val="24"/>
            </w:rPr>
          </w:pPr>
          <w:hyperlink w:anchor="_Toc229647794" w:history="1">
            <w:r w:rsidRPr="00955D5C">
              <w:rPr>
                <w:rStyle w:val="Hyperlink"/>
                <w:rFonts w:ascii="Arial" w:hAnsi="Arial" w:cs="Arial"/>
                <w:noProof/>
                <w:sz w:val="24"/>
                <w:szCs w:val="24"/>
                <w:lang w:val="en-GB"/>
              </w:rPr>
              <w:t>Tesla vs Toyota environmental/Legal strategic responses</w:t>
            </w:r>
            <w:r w:rsidRPr="00955D5C">
              <w:rPr>
                <w:rFonts w:ascii="Arial" w:hAnsi="Arial" w:cs="Arial"/>
                <w:noProof/>
                <w:webHidden/>
                <w:sz w:val="24"/>
                <w:szCs w:val="24"/>
              </w:rPr>
              <w:tab/>
            </w:r>
            <w:r w:rsidRPr="00955D5C">
              <w:rPr>
                <w:rFonts w:ascii="Arial" w:hAnsi="Arial" w:cs="Arial"/>
                <w:noProof/>
                <w:webHidden/>
                <w:sz w:val="24"/>
                <w:szCs w:val="24"/>
              </w:rPr>
              <w:fldChar w:fldCharType="begin"/>
            </w:r>
            <w:r w:rsidRPr="00955D5C">
              <w:rPr>
                <w:rFonts w:ascii="Arial" w:hAnsi="Arial" w:cs="Arial"/>
                <w:noProof/>
                <w:webHidden/>
                <w:sz w:val="24"/>
                <w:szCs w:val="24"/>
              </w:rPr>
              <w:instrText xml:space="preserve"> PAGEREF _Toc229647794 \h </w:instrText>
            </w:r>
            <w:r w:rsidRPr="00955D5C">
              <w:rPr>
                <w:rFonts w:ascii="Arial" w:hAnsi="Arial" w:cs="Arial"/>
                <w:noProof/>
                <w:webHidden/>
                <w:sz w:val="24"/>
                <w:szCs w:val="24"/>
              </w:rPr>
            </w:r>
            <w:r w:rsidRPr="00955D5C">
              <w:rPr>
                <w:rFonts w:ascii="Arial" w:hAnsi="Arial" w:cs="Arial"/>
                <w:noProof/>
                <w:webHidden/>
                <w:sz w:val="24"/>
                <w:szCs w:val="24"/>
              </w:rPr>
              <w:fldChar w:fldCharType="separate"/>
            </w:r>
            <w:r w:rsidRPr="00955D5C">
              <w:rPr>
                <w:rFonts w:ascii="Arial" w:hAnsi="Arial" w:cs="Arial"/>
                <w:noProof/>
                <w:webHidden/>
                <w:sz w:val="24"/>
                <w:szCs w:val="24"/>
              </w:rPr>
              <w:t>15</w:t>
            </w:r>
            <w:r w:rsidRPr="00955D5C">
              <w:rPr>
                <w:rFonts w:ascii="Arial" w:hAnsi="Arial" w:cs="Arial"/>
                <w:noProof/>
                <w:webHidden/>
                <w:sz w:val="24"/>
                <w:szCs w:val="24"/>
              </w:rPr>
              <w:fldChar w:fldCharType="end"/>
            </w:r>
          </w:hyperlink>
        </w:p>
        <w:p w14:paraId="620B3CB8" w14:textId="77777777" w:rsidR="001E4320" w:rsidRPr="00955D5C" w:rsidRDefault="001E4320" w:rsidP="001E4320">
          <w:pPr>
            <w:pStyle w:val="TOC1"/>
            <w:tabs>
              <w:tab w:val="right" w:leader="dot" w:pos="9350"/>
            </w:tabs>
            <w:spacing w:line="480" w:lineRule="auto"/>
            <w:jc w:val="both"/>
            <w:rPr>
              <w:rFonts w:ascii="Arial" w:hAnsi="Arial" w:cs="Arial"/>
              <w:noProof/>
              <w:sz w:val="24"/>
              <w:szCs w:val="24"/>
            </w:rPr>
          </w:pPr>
          <w:hyperlink w:anchor="_Toc229647795" w:history="1">
            <w:r w:rsidRPr="00955D5C">
              <w:rPr>
                <w:rStyle w:val="Hyperlink"/>
                <w:rFonts w:ascii="Arial" w:hAnsi="Arial" w:cs="Arial"/>
                <w:noProof/>
                <w:sz w:val="24"/>
                <w:szCs w:val="24"/>
                <w:lang w:val="en-GB"/>
              </w:rPr>
              <w:t>Conclusion</w:t>
            </w:r>
            <w:r w:rsidRPr="00955D5C">
              <w:rPr>
                <w:rFonts w:ascii="Arial" w:hAnsi="Arial" w:cs="Arial"/>
                <w:noProof/>
                <w:webHidden/>
                <w:sz w:val="24"/>
                <w:szCs w:val="24"/>
              </w:rPr>
              <w:tab/>
            </w:r>
            <w:r w:rsidRPr="00955D5C">
              <w:rPr>
                <w:rFonts w:ascii="Arial" w:hAnsi="Arial" w:cs="Arial"/>
                <w:noProof/>
                <w:webHidden/>
                <w:sz w:val="24"/>
                <w:szCs w:val="24"/>
              </w:rPr>
              <w:fldChar w:fldCharType="begin"/>
            </w:r>
            <w:r w:rsidRPr="00955D5C">
              <w:rPr>
                <w:rFonts w:ascii="Arial" w:hAnsi="Arial" w:cs="Arial"/>
                <w:noProof/>
                <w:webHidden/>
                <w:sz w:val="24"/>
                <w:szCs w:val="24"/>
              </w:rPr>
              <w:instrText xml:space="preserve"> PAGEREF _Toc229647795 \h </w:instrText>
            </w:r>
            <w:r w:rsidRPr="00955D5C">
              <w:rPr>
                <w:rFonts w:ascii="Arial" w:hAnsi="Arial" w:cs="Arial"/>
                <w:noProof/>
                <w:webHidden/>
                <w:sz w:val="24"/>
                <w:szCs w:val="24"/>
              </w:rPr>
            </w:r>
            <w:r w:rsidRPr="00955D5C">
              <w:rPr>
                <w:rFonts w:ascii="Arial" w:hAnsi="Arial" w:cs="Arial"/>
                <w:noProof/>
                <w:webHidden/>
                <w:sz w:val="24"/>
                <w:szCs w:val="24"/>
              </w:rPr>
              <w:fldChar w:fldCharType="separate"/>
            </w:r>
            <w:r w:rsidRPr="00955D5C">
              <w:rPr>
                <w:rFonts w:ascii="Arial" w:hAnsi="Arial" w:cs="Arial"/>
                <w:noProof/>
                <w:webHidden/>
                <w:sz w:val="24"/>
                <w:szCs w:val="24"/>
              </w:rPr>
              <w:t>17</w:t>
            </w:r>
            <w:r w:rsidRPr="00955D5C">
              <w:rPr>
                <w:rFonts w:ascii="Arial" w:hAnsi="Arial" w:cs="Arial"/>
                <w:noProof/>
                <w:webHidden/>
                <w:sz w:val="24"/>
                <w:szCs w:val="24"/>
              </w:rPr>
              <w:fldChar w:fldCharType="end"/>
            </w:r>
          </w:hyperlink>
        </w:p>
        <w:p w14:paraId="64254CD6" w14:textId="77777777" w:rsidR="001E4320" w:rsidRPr="00955D5C" w:rsidRDefault="001E4320" w:rsidP="001E4320">
          <w:pPr>
            <w:pStyle w:val="TOC1"/>
            <w:tabs>
              <w:tab w:val="right" w:leader="dot" w:pos="9350"/>
            </w:tabs>
            <w:spacing w:line="480" w:lineRule="auto"/>
            <w:jc w:val="both"/>
            <w:rPr>
              <w:rFonts w:ascii="Arial" w:hAnsi="Arial" w:cs="Arial"/>
              <w:noProof/>
              <w:sz w:val="24"/>
              <w:szCs w:val="24"/>
            </w:rPr>
          </w:pPr>
          <w:hyperlink w:anchor="_Toc229647796" w:history="1">
            <w:r w:rsidRPr="00955D5C">
              <w:rPr>
                <w:rStyle w:val="Hyperlink"/>
                <w:rFonts w:ascii="Arial" w:hAnsi="Arial" w:cs="Arial"/>
                <w:noProof/>
                <w:sz w:val="24"/>
                <w:szCs w:val="24"/>
                <w:lang w:val="en-GB"/>
              </w:rPr>
              <w:t>References</w:t>
            </w:r>
            <w:r w:rsidRPr="00955D5C">
              <w:rPr>
                <w:rFonts w:ascii="Arial" w:hAnsi="Arial" w:cs="Arial"/>
                <w:noProof/>
                <w:webHidden/>
                <w:sz w:val="24"/>
                <w:szCs w:val="24"/>
              </w:rPr>
              <w:tab/>
            </w:r>
            <w:r w:rsidRPr="00955D5C">
              <w:rPr>
                <w:rFonts w:ascii="Arial" w:hAnsi="Arial" w:cs="Arial"/>
                <w:noProof/>
                <w:webHidden/>
                <w:sz w:val="24"/>
                <w:szCs w:val="24"/>
              </w:rPr>
              <w:fldChar w:fldCharType="begin"/>
            </w:r>
            <w:r w:rsidRPr="00955D5C">
              <w:rPr>
                <w:rFonts w:ascii="Arial" w:hAnsi="Arial" w:cs="Arial"/>
                <w:noProof/>
                <w:webHidden/>
                <w:sz w:val="24"/>
                <w:szCs w:val="24"/>
              </w:rPr>
              <w:instrText xml:space="preserve"> PAGEREF _Toc229647796 \h </w:instrText>
            </w:r>
            <w:r w:rsidRPr="00955D5C">
              <w:rPr>
                <w:rFonts w:ascii="Arial" w:hAnsi="Arial" w:cs="Arial"/>
                <w:noProof/>
                <w:webHidden/>
                <w:sz w:val="24"/>
                <w:szCs w:val="24"/>
              </w:rPr>
            </w:r>
            <w:r w:rsidRPr="00955D5C">
              <w:rPr>
                <w:rFonts w:ascii="Arial" w:hAnsi="Arial" w:cs="Arial"/>
                <w:noProof/>
                <w:webHidden/>
                <w:sz w:val="24"/>
                <w:szCs w:val="24"/>
              </w:rPr>
              <w:fldChar w:fldCharType="separate"/>
            </w:r>
            <w:r w:rsidRPr="00955D5C">
              <w:rPr>
                <w:rFonts w:ascii="Arial" w:hAnsi="Arial" w:cs="Arial"/>
                <w:noProof/>
                <w:webHidden/>
                <w:sz w:val="24"/>
                <w:szCs w:val="24"/>
              </w:rPr>
              <w:t>17</w:t>
            </w:r>
            <w:r w:rsidRPr="00955D5C">
              <w:rPr>
                <w:rFonts w:ascii="Arial" w:hAnsi="Arial" w:cs="Arial"/>
                <w:noProof/>
                <w:webHidden/>
                <w:sz w:val="24"/>
                <w:szCs w:val="24"/>
              </w:rPr>
              <w:fldChar w:fldCharType="end"/>
            </w:r>
          </w:hyperlink>
        </w:p>
        <w:p w14:paraId="0601A076" w14:textId="77777777" w:rsidR="00CD248A" w:rsidRPr="00955D5C" w:rsidRDefault="00D35A84" w:rsidP="001E4320">
          <w:pPr>
            <w:spacing w:line="480" w:lineRule="auto"/>
            <w:jc w:val="both"/>
            <w:rPr>
              <w:rFonts w:ascii="Arial" w:hAnsi="Arial" w:cs="Arial"/>
              <w:sz w:val="24"/>
              <w:szCs w:val="24"/>
            </w:rPr>
          </w:pPr>
          <w:r w:rsidRPr="00955D5C">
            <w:rPr>
              <w:rFonts w:ascii="Arial" w:hAnsi="Arial" w:cs="Arial"/>
              <w:sz w:val="24"/>
              <w:szCs w:val="24"/>
            </w:rPr>
            <w:fldChar w:fldCharType="end"/>
          </w:r>
        </w:p>
      </w:sdtContent>
    </w:sdt>
    <w:p w14:paraId="077585DE" w14:textId="77777777" w:rsidR="00391304" w:rsidRPr="00BD4E62" w:rsidRDefault="00391304" w:rsidP="00CD248A">
      <w:pPr>
        <w:spacing w:line="480" w:lineRule="auto"/>
        <w:jc w:val="center"/>
        <w:rPr>
          <w:rFonts w:ascii="Arial" w:hAnsi="Arial" w:cs="Arial"/>
          <w:sz w:val="24"/>
          <w:szCs w:val="24"/>
          <w:lang w:val="en-GB"/>
        </w:rPr>
      </w:pPr>
    </w:p>
    <w:p w14:paraId="429D5590" w14:textId="77777777" w:rsidR="00391304" w:rsidRPr="00BD4E62" w:rsidRDefault="00391304" w:rsidP="002B0891">
      <w:pPr>
        <w:spacing w:line="480" w:lineRule="auto"/>
        <w:jc w:val="both"/>
        <w:rPr>
          <w:rFonts w:ascii="Arial" w:hAnsi="Arial" w:cs="Arial"/>
          <w:sz w:val="24"/>
          <w:szCs w:val="24"/>
          <w:lang w:val="en-GB"/>
        </w:rPr>
      </w:pPr>
    </w:p>
    <w:p w14:paraId="28E84CD5" w14:textId="77777777" w:rsidR="00391304" w:rsidRPr="00BD4E62" w:rsidRDefault="00391304" w:rsidP="002B0891">
      <w:pPr>
        <w:spacing w:line="480" w:lineRule="auto"/>
        <w:jc w:val="both"/>
        <w:rPr>
          <w:rFonts w:ascii="Arial" w:hAnsi="Arial" w:cs="Arial"/>
          <w:sz w:val="24"/>
          <w:szCs w:val="24"/>
          <w:lang w:val="en-GB"/>
        </w:rPr>
      </w:pPr>
    </w:p>
    <w:p w14:paraId="72D840D9" w14:textId="77777777" w:rsidR="00391304" w:rsidRPr="00BD4E62" w:rsidRDefault="00391304" w:rsidP="002B0891">
      <w:pPr>
        <w:spacing w:line="480" w:lineRule="auto"/>
        <w:jc w:val="both"/>
        <w:rPr>
          <w:rFonts w:ascii="Arial" w:hAnsi="Arial" w:cs="Arial"/>
          <w:sz w:val="24"/>
          <w:szCs w:val="24"/>
          <w:lang w:val="en-GB"/>
        </w:rPr>
      </w:pPr>
    </w:p>
    <w:p w14:paraId="6D3CAAE2" w14:textId="77777777" w:rsidR="00391304" w:rsidRPr="00BD4E62" w:rsidRDefault="00391304" w:rsidP="002B0891">
      <w:pPr>
        <w:spacing w:line="480" w:lineRule="auto"/>
        <w:jc w:val="both"/>
        <w:rPr>
          <w:rFonts w:ascii="Arial" w:hAnsi="Arial" w:cs="Arial"/>
          <w:sz w:val="24"/>
          <w:szCs w:val="24"/>
          <w:lang w:val="en-GB"/>
        </w:rPr>
      </w:pPr>
    </w:p>
    <w:p w14:paraId="4B748913" w14:textId="77777777" w:rsidR="00391304" w:rsidRPr="00BD4E62" w:rsidRDefault="00391304" w:rsidP="002B0891">
      <w:pPr>
        <w:spacing w:line="480" w:lineRule="auto"/>
        <w:jc w:val="both"/>
        <w:rPr>
          <w:rFonts w:ascii="Arial" w:hAnsi="Arial" w:cs="Arial"/>
          <w:sz w:val="24"/>
          <w:szCs w:val="24"/>
          <w:lang w:val="en-GB"/>
        </w:rPr>
      </w:pPr>
    </w:p>
    <w:p w14:paraId="50BB8A2C" w14:textId="77777777" w:rsidR="00391304" w:rsidRPr="00BD4E62" w:rsidRDefault="00391304" w:rsidP="002B0891">
      <w:pPr>
        <w:spacing w:line="480" w:lineRule="auto"/>
        <w:jc w:val="both"/>
        <w:rPr>
          <w:rFonts w:ascii="Arial" w:hAnsi="Arial" w:cs="Arial"/>
          <w:sz w:val="24"/>
          <w:szCs w:val="24"/>
          <w:lang w:val="en-GB"/>
        </w:rPr>
      </w:pPr>
    </w:p>
    <w:p w14:paraId="45B0A5E2" w14:textId="77777777" w:rsidR="00391304" w:rsidRPr="00BD4E62" w:rsidRDefault="00391304" w:rsidP="002B0891">
      <w:pPr>
        <w:spacing w:line="480" w:lineRule="auto"/>
        <w:jc w:val="both"/>
        <w:rPr>
          <w:rFonts w:ascii="Arial" w:hAnsi="Arial" w:cs="Arial"/>
          <w:sz w:val="24"/>
          <w:szCs w:val="24"/>
          <w:lang w:val="en-GB"/>
        </w:rPr>
      </w:pPr>
    </w:p>
    <w:p w14:paraId="24D89829" w14:textId="77777777" w:rsidR="00391304" w:rsidRPr="00BD4E62" w:rsidRDefault="00391304" w:rsidP="002B0891">
      <w:pPr>
        <w:spacing w:line="480" w:lineRule="auto"/>
        <w:jc w:val="both"/>
        <w:rPr>
          <w:rFonts w:ascii="Arial" w:hAnsi="Arial" w:cs="Arial"/>
          <w:sz w:val="24"/>
          <w:szCs w:val="24"/>
          <w:lang w:val="en-GB"/>
        </w:rPr>
      </w:pPr>
    </w:p>
    <w:p w14:paraId="24521432" w14:textId="77777777" w:rsidR="00391304" w:rsidRPr="00BD4E62" w:rsidRDefault="00391304" w:rsidP="002B0891">
      <w:pPr>
        <w:spacing w:line="480" w:lineRule="auto"/>
        <w:jc w:val="both"/>
        <w:rPr>
          <w:rFonts w:ascii="Arial" w:hAnsi="Arial" w:cs="Arial"/>
          <w:sz w:val="24"/>
          <w:szCs w:val="24"/>
          <w:lang w:val="en-GB"/>
        </w:rPr>
      </w:pPr>
    </w:p>
    <w:p w14:paraId="7BDD7796" w14:textId="77777777" w:rsidR="00391304" w:rsidRPr="00BD4E62" w:rsidRDefault="00391304" w:rsidP="002B0891">
      <w:pPr>
        <w:spacing w:line="480" w:lineRule="auto"/>
        <w:jc w:val="both"/>
        <w:rPr>
          <w:rFonts w:ascii="Arial" w:hAnsi="Arial" w:cs="Arial"/>
          <w:sz w:val="24"/>
          <w:szCs w:val="24"/>
          <w:lang w:val="en-GB"/>
        </w:rPr>
      </w:pPr>
    </w:p>
    <w:p w14:paraId="7A41A2E2" w14:textId="77777777" w:rsidR="00391304" w:rsidRPr="00BD4E62" w:rsidRDefault="00391304" w:rsidP="002B0891">
      <w:pPr>
        <w:spacing w:line="480" w:lineRule="auto"/>
        <w:jc w:val="both"/>
        <w:rPr>
          <w:rFonts w:ascii="Arial" w:hAnsi="Arial" w:cs="Arial"/>
          <w:sz w:val="24"/>
          <w:szCs w:val="24"/>
          <w:lang w:val="en-GB"/>
        </w:rPr>
      </w:pPr>
    </w:p>
    <w:p w14:paraId="4312BFCC" w14:textId="77777777" w:rsidR="00391304" w:rsidRPr="00BD4E62" w:rsidRDefault="00391304" w:rsidP="002B0891">
      <w:pPr>
        <w:spacing w:line="480" w:lineRule="auto"/>
        <w:jc w:val="both"/>
        <w:rPr>
          <w:rFonts w:ascii="Arial" w:hAnsi="Arial" w:cs="Arial"/>
          <w:sz w:val="24"/>
          <w:szCs w:val="24"/>
          <w:lang w:val="en-GB"/>
        </w:rPr>
      </w:pPr>
    </w:p>
    <w:p w14:paraId="4154CD26" w14:textId="77777777" w:rsidR="00391304" w:rsidRDefault="00391304" w:rsidP="002B0891">
      <w:pPr>
        <w:spacing w:line="480" w:lineRule="auto"/>
        <w:jc w:val="both"/>
        <w:rPr>
          <w:rFonts w:ascii="Arial" w:hAnsi="Arial" w:cs="Arial"/>
          <w:sz w:val="24"/>
          <w:szCs w:val="24"/>
          <w:lang w:val="en-GB"/>
        </w:rPr>
      </w:pPr>
    </w:p>
    <w:p w14:paraId="6D4F150D" w14:textId="77777777" w:rsidR="00B659A8" w:rsidRDefault="00B659A8" w:rsidP="002B0891">
      <w:pPr>
        <w:spacing w:line="480" w:lineRule="auto"/>
        <w:jc w:val="both"/>
        <w:rPr>
          <w:rFonts w:ascii="Arial" w:hAnsi="Arial" w:cs="Arial"/>
          <w:sz w:val="24"/>
          <w:szCs w:val="24"/>
          <w:lang w:val="en-GB"/>
        </w:rPr>
      </w:pPr>
    </w:p>
    <w:p w14:paraId="0DE7834B" w14:textId="77777777" w:rsidR="00B659A8" w:rsidRDefault="00B659A8" w:rsidP="002B0891">
      <w:pPr>
        <w:spacing w:line="480" w:lineRule="auto"/>
        <w:jc w:val="both"/>
        <w:rPr>
          <w:rFonts w:ascii="Arial" w:hAnsi="Arial" w:cs="Arial"/>
          <w:sz w:val="24"/>
          <w:szCs w:val="24"/>
          <w:lang w:val="en-GB"/>
        </w:rPr>
      </w:pPr>
    </w:p>
    <w:p w14:paraId="05A4998F" w14:textId="77777777" w:rsidR="00B659A8" w:rsidRPr="00BD4E62" w:rsidRDefault="00B659A8" w:rsidP="002B0891">
      <w:pPr>
        <w:spacing w:line="480" w:lineRule="auto"/>
        <w:jc w:val="both"/>
        <w:rPr>
          <w:rFonts w:ascii="Arial" w:hAnsi="Arial" w:cs="Arial"/>
          <w:sz w:val="24"/>
          <w:szCs w:val="24"/>
          <w:lang w:val="en-GB"/>
        </w:rPr>
      </w:pPr>
    </w:p>
    <w:p w14:paraId="16A3B71A" w14:textId="77777777" w:rsidR="00391304" w:rsidRPr="00BD4E62" w:rsidRDefault="00391304" w:rsidP="002B0891">
      <w:pPr>
        <w:spacing w:line="480" w:lineRule="auto"/>
        <w:jc w:val="both"/>
        <w:rPr>
          <w:rFonts w:ascii="Arial" w:hAnsi="Arial" w:cs="Arial"/>
          <w:sz w:val="24"/>
          <w:szCs w:val="24"/>
          <w:lang w:val="en-GB"/>
        </w:rPr>
      </w:pPr>
    </w:p>
    <w:p w14:paraId="21B4241C" w14:textId="77777777" w:rsidR="00391304" w:rsidRPr="00BD4E62" w:rsidRDefault="00391304" w:rsidP="002B0891">
      <w:pPr>
        <w:spacing w:line="480" w:lineRule="auto"/>
        <w:jc w:val="both"/>
        <w:rPr>
          <w:rFonts w:ascii="Arial" w:hAnsi="Arial" w:cs="Arial"/>
          <w:sz w:val="24"/>
          <w:szCs w:val="24"/>
          <w:lang w:val="en-GB"/>
        </w:rPr>
      </w:pPr>
    </w:p>
    <w:p w14:paraId="16D9FA7A" w14:textId="77777777" w:rsidR="00391304" w:rsidRPr="00BD4E62" w:rsidRDefault="00CD248A" w:rsidP="001E4320">
      <w:pPr>
        <w:pStyle w:val="Heading1"/>
        <w:rPr>
          <w:rFonts w:ascii="Arial" w:hAnsi="Arial" w:cs="Arial"/>
          <w:sz w:val="24"/>
          <w:szCs w:val="24"/>
          <w:lang w:val="en-GB"/>
        </w:rPr>
      </w:pPr>
      <w:bookmarkStart w:id="0" w:name="_Toc229647783"/>
      <w:r w:rsidRPr="00BD4E62">
        <w:rPr>
          <w:rFonts w:ascii="Arial" w:hAnsi="Arial" w:cs="Arial"/>
          <w:sz w:val="24"/>
          <w:szCs w:val="24"/>
          <w:lang w:val="en-GB"/>
        </w:rPr>
        <w:t>Introduction</w:t>
      </w:r>
      <w:bookmarkEnd w:id="0"/>
      <w:r w:rsidRPr="00BD4E62">
        <w:rPr>
          <w:rFonts w:ascii="Arial" w:hAnsi="Arial" w:cs="Arial"/>
          <w:sz w:val="24"/>
          <w:szCs w:val="24"/>
          <w:lang w:val="en-GB"/>
        </w:rPr>
        <w:t xml:space="preserve"> </w:t>
      </w:r>
    </w:p>
    <w:p w14:paraId="436AC58E" w14:textId="77777777" w:rsidR="00CD248A" w:rsidRPr="00BD4E62" w:rsidRDefault="009A7204" w:rsidP="002B0891">
      <w:pPr>
        <w:spacing w:line="480" w:lineRule="auto"/>
        <w:jc w:val="both"/>
        <w:rPr>
          <w:rFonts w:ascii="Arial" w:hAnsi="Arial" w:cs="Arial"/>
          <w:sz w:val="24"/>
          <w:szCs w:val="24"/>
        </w:rPr>
      </w:pPr>
      <w:r w:rsidRPr="00BD4E62">
        <w:rPr>
          <w:rFonts w:ascii="Arial" w:hAnsi="Arial" w:cs="Arial"/>
          <w:sz w:val="24"/>
          <w:szCs w:val="24"/>
          <w:lang w:val="en-GB"/>
        </w:rPr>
        <w:t xml:space="preserve">This report aims to evaluate the </w:t>
      </w:r>
      <w:r w:rsidR="00F868D5" w:rsidRPr="00BD4E62">
        <w:rPr>
          <w:rFonts w:ascii="Arial" w:hAnsi="Arial" w:cs="Arial"/>
          <w:sz w:val="24"/>
          <w:szCs w:val="24"/>
          <w:lang w:val="en-GB"/>
        </w:rPr>
        <w:t xml:space="preserve">impact of </w:t>
      </w:r>
      <w:r w:rsidRPr="00BD4E62">
        <w:rPr>
          <w:rFonts w:ascii="Arial" w:hAnsi="Arial" w:cs="Arial"/>
          <w:sz w:val="24"/>
          <w:szCs w:val="24"/>
          <w:lang w:val="en-GB"/>
        </w:rPr>
        <w:t>macro-</w:t>
      </w:r>
      <w:r w:rsidR="00F868D5" w:rsidRPr="00BD4E62">
        <w:rPr>
          <w:rFonts w:ascii="Arial" w:hAnsi="Arial" w:cs="Arial"/>
          <w:sz w:val="24"/>
          <w:szCs w:val="24"/>
          <w:lang w:val="en-GB"/>
        </w:rPr>
        <w:t>environmental factors on some of the leading automak</w:t>
      </w:r>
      <w:r w:rsidR="001B5686" w:rsidRPr="00BD4E62">
        <w:rPr>
          <w:rFonts w:ascii="Arial" w:hAnsi="Arial" w:cs="Arial"/>
          <w:sz w:val="24"/>
          <w:szCs w:val="24"/>
          <w:lang w:val="en-GB"/>
        </w:rPr>
        <w:t xml:space="preserve">ers in the automotive industry. </w:t>
      </w:r>
      <w:r w:rsidR="00CB552B" w:rsidRPr="00BD4E62">
        <w:rPr>
          <w:rFonts w:ascii="Arial" w:hAnsi="Arial" w:cs="Arial"/>
          <w:sz w:val="24"/>
          <w:szCs w:val="24"/>
          <w:lang w:val="en-GB"/>
        </w:rPr>
        <w:t xml:space="preserve">The macro-marketing environment </w:t>
      </w:r>
      <w:r w:rsidR="00C636DC" w:rsidRPr="00BD4E62">
        <w:rPr>
          <w:rFonts w:ascii="Arial" w:hAnsi="Arial" w:cs="Arial"/>
          <w:sz w:val="24"/>
          <w:szCs w:val="24"/>
          <w:lang w:val="en-GB"/>
        </w:rPr>
        <w:t xml:space="preserve">and </w:t>
      </w:r>
      <w:r w:rsidR="00C636DC" w:rsidRPr="00BD4E62">
        <w:rPr>
          <w:rFonts w:ascii="Arial" w:hAnsi="Arial" w:cs="Arial"/>
          <w:sz w:val="24"/>
          <w:szCs w:val="24"/>
          <w:lang w:val="en-GB"/>
        </w:rPr>
        <w:lastRenderedPageBreak/>
        <w:t xml:space="preserve">factors influence management’s strategic decision-making particularly within the automotive industry. They shape </w:t>
      </w:r>
      <w:r w:rsidR="007E62D5" w:rsidRPr="00BD4E62">
        <w:rPr>
          <w:rFonts w:ascii="Arial" w:hAnsi="Arial" w:cs="Arial"/>
          <w:sz w:val="24"/>
          <w:szCs w:val="24"/>
          <w:lang w:val="en-GB"/>
        </w:rPr>
        <w:t xml:space="preserve">creativity, innovation, market competitiveness and consume demands. Evaluating the </w:t>
      </w:r>
      <w:r w:rsidR="007E62D5" w:rsidRPr="00BD4E62">
        <w:rPr>
          <w:rFonts w:ascii="Arial" w:hAnsi="Arial" w:cs="Arial"/>
          <w:sz w:val="24"/>
          <w:szCs w:val="24"/>
        </w:rPr>
        <w:t>macro marketing environment of the industry will help to recognize the opportunities and threats and improve innovation capabilities</w:t>
      </w:r>
      <w:r w:rsidR="002E7D76" w:rsidRPr="00BD4E62">
        <w:rPr>
          <w:rFonts w:ascii="Arial" w:hAnsi="Arial" w:cs="Arial"/>
          <w:sz w:val="24"/>
          <w:szCs w:val="24"/>
        </w:rPr>
        <w:t xml:space="preserve">, including </w:t>
      </w:r>
      <w:r w:rsidR="007E62D5" w:rsidRPr="00BD4E62">
        <w:rPr>
          <w:rFonts w:ascii="Arial" w:hAnsi="Arial" w:cs="Arial"/>
          <w:sz w:val="24"/>
          <w:szCs w:val="24"/>
        </w:rPr>
        <w:t>sustained competitive advantage</w:t>
      </w:r>
      <w:r w:rsidR="002E7D76" w:rsidRPr="00BD4E62">
        <w:rPr>
          <w:rFonts w:ascii="Arial" w:hAnsi="Arial" w:cs="Arial"/>
          <w:sz w:val="24"/>
          <w:szCs w:val="24"/>
        </w:rPr>
        <w:t xml:space="preserve"> (Kotler and Keller, 2016). </w:t>
      </w:r>
    </w:p>
    <w:p w14:paraId="7229AB01" w14:textId="77777777" w:rsidR="00740634" w:rsidRPr="00BD4E62" w:rsidRDefault="00740634" w:rsidP="002B0891">
      <w:pPr>
        <w:spacing w:line="480" w:lineRule="auto"/>
        <w:jc w:val="both"/>
        <w:rPr>
          <w:rFonts w:ascii="Arial" w:hAnsi="Arial" w:cs="Arial"/>
          <w:sz w:val="24"/>
          <w:szCs w:val="24"/>
          <w:lang w:val="en-GB"/>
        </w:rPr>
      </w:pPr>
      <w:r w:rsidRPr="00BD4E62">
        <w:rPr>
          <w:rFonts w:ascii="Arial" w:hAnsi="Arial" w:cs="Arial"/>
          <w:sz w:val="24"/>
          <w:szCs w:val="24"/>
        </w:rPr>
        <w:t xml:space="preserve">In this report, Tesla is </w:t>
      </w:r>
      <w:proofErr w:type="spellStart"/>
      <w:r w:rsidRPr="00BD4E62">
        <w:rPr>
          <w:rFonts w:ascii="Arial" w:hAnsi="Arial" w:cs="Arial"/>
          <w:sz w:val="24"/>
          <w:szCs w:val="24"/>
        </w:rPr>
        <w:t>analysed</w:t>
      </w:r>
      <w:proofErr w:type="spellEnd"/>
      <w:r w:rsidRPr="00BD4E62">
        <w:rPr>
          <w:rFonts w:ascii="Arial" w:hAnsi="Arial" w:cs="Arial"/>
          <w:sz w:val="24"/>
          <w:szCs w:val="24"/>
        </w:rPr>
        <w:t xml:space="preserve"> as the pioneering organization of electric vehicle</w:t>
      </w:r>
      <w:r w:rsidR="0069063B" w:rsidRPr="00BD4E62">
        <w:rPr>
          <w:rFonts w:ascii="Arial" w:hAnsi="Arial" w:cs="Arial"/>
          <w:sz w:val="24"/>
          <w:szCs w:val="24"/>
        </w:rPr>
        <w:t xml:space="preserve">, while Toyota is </w:t>
      </w:r>
      <w:proofErr w:type="spellStart"/>
      <w:r w:rsidR="0069063B" w:rsidRPr="00BD4E62">
        <w:rPr>
          <w:rFonts w:ascii="Arial" w:hAnsi="Arial" w:cs="Arial"/>
          <w:sz w:val="24"/>
          <w:szCs w:val="24"/>
        </w:rPr>
        <w:t>analysed</w:t>
      </w:r>
      <w:proofErr w:type="spellEnd"/>
      <w:r w:rsidR="0069063B" w:rsidRPr="00BD4E62">
        <w:rPr>
          <w:rFonts w:ascii="Arial" w:hAnsi="Arial" w:cs="Arial"/>
          <w:sz w:val="24"/>
          <w:szCs w:val="24"/>
        </w:rPr>
        <w:t xml:space="preserve"> as the follower organization in electric vehicle</w:t>
      </w:r>
      <w:r w:rsidR="00A70FB7" w:rsidRPr="00BD4E62">
        <w:rPr>
          <w:rFonts w:ascii="Arial" w:hAnsi="Arial" w:cs="Arial"/>
          <w:sz w:val="24"/>
          <w:szCs w:val="24"/>
        </w:rPr>
        <w:t>s (EVs)</w:t>
      </w:r>
      <w:r w:rsidR="0069063B" w:rsidRPr="00BD4E62">
        <w:rPr>
          <w:rFonts w:ascii="Arial" w:hAnsi="Arial" w:cs="Arial"/>
          <w:sz w:val="24"/>
          <w:szCs w:val="24"/>
        </w:rPr>
        <w:t xml:space="preserve"> segment within the automotive industry. </w:t>
      </w:r>
      <w:r w:rsidR="00A70FB7" w:rsidRPr="00BD4E62">
        <w:rPr>
          <w:rFonts w:ascii="Arial" w:hAnsi="Arial" w:cs="Arial"/>
          <w:sz w:val="24"/>
          <w:szCs w:val="24"/>
        </w:rPr>
        <w:t xml:space="preserve">Both the environmental and technological factors are </w:t>
      </w:r>
      <w:proofErr w:type="spellStart"/>
      <w:r w:rsidR="00A70FB7" w:rsidRPr="00BD4E62">
        <w:rPr>
          <w:rFonts w:ascii="Arial" w:hAnsi="Arial" w:cs="Arial"/>
          <w:sz w:val="24"/>
          <w:szCs w:val="24"/>
        </w:rPr>
        <w:t>analysed</w:t>
      </w:r>
      <w:proofErr w:type="spellEnd"/>
      <w:r w:rsidR="00A70FB7" w:rsidRPr="00BD4E62">
        <w:rPr>
          <w:rFonts w:ascii="Arial" w:hAnsi="Arial" w:cs="Arial"/>
          <w:sz w:val="24"/>
          <w:szCs w:val="24"/>
        </w:rPr>
        <w:t xml:space="preserve"> using suitable macro environmental</w:t>
      </w:r>
      <w:r w:rsidR="001D2314" w:rsidRPr="00BD4E62">
        <w:rPr>
          <w:rFonts w:ascii="Arial" w:hAnsi="Arial" w:cs="Arial"/>
          <w:sz w:val="24"/>
          <w:szCs w:val="24"/>
        </w:rPr>
        <w:t xml:space="preserve"> tools assessing</w:t>
      </w:r>
      <w:r w:rsidR="00A70FB7" w:rsidRPr="00BD4E62">
        <w:rPr>
          <w:rFonts w:ascii="Arial" w:hAnsi="Arial" w:cs="Arial"/>
          <w:sz w:val="24"/>
          <w:szCs w:val="24"/>
        </w:rPr>
        <w:t xml:space="preserve"> their </w:t>
      </w:r>
      <w:r w:rsidR="001D2314" w:rsidRPr="00BD4E62">
        <w:rPr>
          <w:rFonts w:ascii="Arial" w:hAnsi="Arial" w:cs="Arial"/>
          <w:sz w:val="24"/>
          <w:szCs w:val="24"/>
        </w:rPr>
        <w:t>competitive</w:t>
      </w:r>
      <w:r w:rsidR="00A70FB7" w:rsidRPr="00BD4E62">
        <w:rPr>
          <w:rFonts w:ascii="Arial" w:hAnsi="Arial" w:cs="Arial"/>
          <w:sz w:val="24"/>
          <w:szCs w:val="24"/>
        </w:rPr>
        <w:t xml:space="preserve"> position includin</w:t>
      </w:r>
      <w:r w:rsidR="001D2314" w:rsidRPr="00BD4E62">
        <w:rPr>
          <w:rFonts w:ascii="Arial" w:hAnsi="Arial" w:cs="Arial"/>
          <w:sz w:val="24"/>
          <w:szCs w:val="24"/>
        </w:rPr>
        <w:t xml:space="preserve">g </w:t>
      </w:r>
      <w:r w:rsidR="00A70FB7" w:rsidRPr="00BD4E62">
        <w:rPr>
          <w:rFonts w:ascii="Arial" w:hAnsi="Arial" w:cs="Arial"/>
          <w:sz w:val="24"/>
          <w:szCs w:val="24"/>
        </w:rPr>
        <w:t>how they create both opportunities and threats within the industry</w:t>
      </w:r>
      <w:r w:rsidR="001D2314" w:rsidRPr="00BD4E62">
        <w:rPr>
          <w:rFonts w:ascii="Arial" w:hAnsi="Arial" w:cs="Arial"/>
          <w:sz w:val="24"/>
          <w:szCs w:val="24"/>
        </w:rPr>
        <w:t xml:space="preserve">. In the second part, this report demonstrates how the two </w:t>
      </w:r>
      <w:proofErr w:type="spellStart"/>
      <w:r w:rsidR="001D2314" w:rsidRPr="00BD4E62">
        <w:rPr>
          <w:rFonts w:ascii="Arial" w:hAnsi="Arial" w:cs="Arial"/>
          <w:sz w:val="24"/>
          <w:szCs w:val="24"/>
        </w:rPr>
        <w:t>organisations</w:t>
      </w:r>
      <w:proofErr w:type="spellEnd"/>
      <w:r w:rsidR="001D2314" w:rsidRPr="00BD4E62">
        <w:rPr>
          <w:rFonts w:ascii="Arial" w:hAnsi="Arial" w:cs="Arial"/>
          <w:sz w:val="24"/>
          <w:szCs w:val="24"/>
        </w:rPr>
        <w:t xml:space="preserve"> responded strategically to the constantly changing macro marketing environment, how they seek to improve and sustain their competitive advantage. </w:t>
      </w:r>
    </w:p>
    <w:p w14:paraId="43923E13" w14:textId="77777777" w:rsidR="00391304" w:rsidRPr="00BD4E62" w:rsidRDefault="00697CD2" w:rsidP="001E4320">
      <w:pPr>
        <w:pStyle w:val="Heading2"/>
        <w:rPr>
          <w:rFonts w:ascii="Arial" w:hAnsi="Arial" w:cs="Arial"/>
          <w:b/>
          <w:sz w:val="24"/>
          <w:szCs w:val="24"/>
          <w:u w:val="single"/>
          <w:lang w:val="en-GB"/>
        </w:rPr>
      </w:pPr>
      <w:bookmarkStart w:id="1" w:name="_Toc229647784"/>
      <w:r w:rsidRPr="00BD4E62">
        <w:rPr>
          <w:rFonts w:ascii="Arial" w:hAnsi="Arial" w:cs="Arial"/>
          <w:b/>
          <w:sz w:val="24"/>
          <w:szCs w:val="24"/>
          <w:u w:val="single"/>
          <w:lang w:val="en-GB"/>
        </w:rPr>
        <w:t>A brief overview of the Companies</w:t>
      </w:r>
      <w:bookmarkEnd w:id="1"/>
      <w:r w:rsidRPr="00BD4E62">
        <w:rPr>
          <w:rFonts w:ascii="Arial" w:hAnsi="Arial" w:cs="Arial"/>
          <w:b/>
          <w:sz w:val="24"/>
          <w:szCs w:val="24"/>
          <w:u w:val="single"/>
          <w:lang w:val="en-GB"/>
        </w:rPr>
        <w:t xml:space="preserve"> </w:t>
      </w:r>
    </w:p>
    <w:p w14:paraId="5C642A5B" w14:textId="77777777" w:rsidR="00697CD2" w:rsidRPr="00BD4E62" w:rsidRDefault="00FA3CFD" w:rsidP="002B0891">
      <w:pPr>
        <w:spacing w:line="480" w:lineRule="auto"/>
        <w:jc w:val="both"/>
        <w:rPr>
          <w:rFonts w:ascii="Arial" w:hAnsi="Arial" w:cs="Arial"/>
          <w:b/>
          <w:sz w:val="24"/>
          <w:szCs w:val="24"/>
          <w:lang w:val="en-GB"/>
        </w:rPr>
      </w:pPr>
      <w:r w:rsidRPr="00BD4E62">
        <w:rPr>
          <w:rFonts w:ascii="Arial" w:hAnsi="Arial" w:cs="Arial"/>
          <w:b/>
          <w:sz w:val="24"/>
          <w:szCs w:val="24"/>
          <w:lang w:val="en-GB"/>
        </w:rPr>
        <w:t>Tesla Inc. (Tesla)</w:t>
      </w:r>
    </w:p>
    <w:p w14:paraId="09B9BB88" w14:textId="77777777" w:rsidR="00FA3CFD" w:rsidRPr="00BD4E62" w:rsidRDefault="00FA3CFD" w:rsidP="002B0891">
      <w:pPr>
        <w:spacing w:line="480" w:lineRule="auto"/>
        <w:jc w:val="both"/>
        <w:rPr>
          <w:rFonts w:ascii="Arial" w:hAnsi="Arial" w:cs="Arial"/>
          <w:sz w:val="24"/>
          <w:szCs w:val="24"/>
          <w:lang w:val="en-GB"/>
        </w:rPr>
      </w:pPr>
      <w:r w:rsidRPr="00BD4E62">
        <w:rPr>
          <w:rFonts w:ascii="Arial" w:hAnsi="Arial" w:cs="Arial"/>
          <w:sz w:val="24"/>
          <w:szCs w:val="24"/>
          <w:lang w:val="en-GB"/>
        </w:rPr>
        <w:t xml:space="preserve">Tesla has emerged as the pioneering organisation in the EVs market given its early focus and investment on </w:t>
      </w:r>
      <w:r w:rsidR="003C466B" w:rsidRPr="00BD4E62">
        <w:rPr>
          <w:rFonts w:ascii="Arial" w:hAnsi="Arial" w:cs="Arial"/>
          <w:sz w:val="24"/>
          <w:szCs w:val="24"/>
          <w:lang w:val="en-GB"/>
        </w:rPr>
        <w:t xml:space="preserve">self-driving vehicles, battery-electric vehicles. And integrated system technology. </w:t>
      </w:r>
      <w:r w:rsidR="00130E40" w:rsidRPr="00BD4E62">
        <w:rPr>
          <w:rFonts w:ascii="Arial" w:hAnsi="Arial" w:cs="Arial"/>
          <w:sz w:val="24"/>
          <w:szCs w:val="24"/>
          <w:lang w:val="en-GB"/>
        </w:rPr>
        <w:t>Tesla innovation was disruptive, causing consumer</w:t>
      </w:r>
      <w:r w:rsidR="00EF7E30" w:rsidRPr="00BD4E62">
        <w:rPr>
          <w:rFonts w:ascii="Arial" w:hAnsi="Arial" w:cs="Arial"/>
          <w:sz w:val="24"/>
          <w:szCs w:val="24"/>
          <w:lang w:val="en-GB"/>
        </w:rPr>
        <w:t xml:space="preserve"> paradigm shift from low-performance alternative perceptions to technologically advanced products and premium alternative to the existing low performance and environmentally unsustainable options </w:t>
      </w:r>
      <w:r w:rsidR="005A1B23" w:rsidRPr="00BD4E62">
        <w:rPr>
          <w:rFonts w:ascii="Arial" w:hAnsi="Arial" w:cs="Arial"/>
          <w:sz w:val="24"/>
          <w:szCs w:val="24"/>
          <w:lang w:val="en-GB"/>
        </w:rPr>
        <w:t>(</w:t>
      </w:r>
      <w:proofErr w:type="spellStart"/>
      <w:r w:rsidR="005A1B23" w:rsidRPr="00BD4E62">
        <w:rPr>
          <w:rFonts w:ascii="Arial" w:hAnsi="Arial" w:cs="Arial"/>
          <w:sz w:val="24"/>
          <w:szCs w:val="24"/>
          <w:lang w:val="en-GB"/>
        </w:rPr>
        <w:t>Lüdeke</w:t>
      </w:r>
      <w:proofErr w:type="spellEnd"/>
      <w:r w:rsidR="005A1B23" w:rsidRPr="00BD4E62">
        <w:rPr>
          <w:rFonts w:ascii="Cambria Math" w:hAnsi="Cambria Math" w:cs="Cambria Math"/>
          <w:sz w:val="24"/>
          <w:szCs w:val="24"/>
          <w:lang w:val="en-GB"/>
        </w:rPr>
        <w:t>‐</w:t>
      </w:r>
      <w:r w:rsidR="005A1B23" w:rsidRPr="00BD4E62">
        <w:rPr>
          <w:rFonts w:ascii="Arial" w:hAnsi="Arial" w:cs="Arial"/>
          <w:sz w:val="24"/>
          <w:szCs w:val="24"/>
          <w:lang w:val="en-GB"/>
        </w:rPr>
        <w:t xml:space="preserve">Freund, </w:t>
      </w:r>
      <w:proofErr w:type="spellStart"/>
      <w:r w:rsidR="005A1B23" w:rsidRPr="00BD4E62">
        <w:rPr>
          <w:rFonts w:ascii="Arial" w:hAnsi="Arial" w:cs="Arial"/>
          <w:sz w:val="24"/>
          <w:szCs w:val="24"/>
          <w:lang w:val="en-GB"/>
        </w:rPr>
        <w:t>Carroux</w:t>
      </w:r>
      <w:proofErr w:type="spellEnd"/>
      <w:r w:rsidR="005A1B23" w:rsidRPr="00BD4E62">
        <w:rPr>
          <w:rFonts w:ascii="Arial" w:hAnsi="Arial" w:cs="Arial"/>
          <w:sz w:val="24"/>
          <w:szCs w:val="24"/>
          <w:lang w:val="en-GB"/>
        </w:rPr>
        <w:t xml:space="preserve"> and Joyce, 2019). </w:t>
      </w:r>
    </w:p>
    <w:p w14:paraId="355BF50C" w14:textId="77777777" w:rsidR="00BA593C" w:rsidRPr="00BD4E62" w:rsidRDefault="00BA593C" w:rsidP="002B0891">
      <w:pPr>
        <w:spacing w:line="480" w:lineRule="auto"/>
        <w:jc w:val="both"/>
        <w:rPr>
          <w:rFonts w:ascii="Arial" w:hAnsi="Arial" w:cs="Arial"/>
          <w:b/>
          <w:sz w:val="24"/>
          <w:szCs w:val="24"/>
          <w:lang w:val="en-GB"/>
        </w:rPr>
      </w:pPr>
      <w:r w:rsidRPr="00BD4E62">
        <w:rPr>
          <w:rFonts w:ascii="Arial" w:hAnsi="Arial" w:cs="Arial"/>
          <w:b/>
          <w:sz w:val="24"/>
          <w:szCs w:val="24"/>
          <w:lang w:val="en-GB"/>
        </w:rPr>
        <w:t>Toyota Inc.</w:t>
      </w:r>
      <w:r w:rsidR="005658A9" w:rsidRPr="00BD4E62">
        <w:rPr>
          <w:rFonts w:ascii="Arial" w:hAnsi="Arial" w:cs="Arial"/>
          <w:b/>
          <w:sz w:val="24"/>
          <w:szCs w:val="24"/>
          <w:lang w:val="en-GB"/>
        </w:rPr>
        <w:t xml:space="preserve"> (Toyota)</w:t>
      </w:r>
    </w:p>
    <w:p w14:paraId="23D4A062" w14:textId="77777777" w:rsidR="00BA593C" w:rsidRDefault="00BA593C" w:rsidP="002B0891">
      <w:pPr>
        <w:spacing w:line="480" w:lineRule="auto"/>
        <w:jc w:val="both"/>
        <w:rPr>
          <w:rFonts w:ascii="Arial" w:hAnsi="Arial" w:cs="Arial"/>
          <w:sz w:val="24"/>
          <w:szCs w:val="24"/>
          <w:lang w:val="en-GB"/>
        </w:rPr>
      </w:pPr>
      <w:r w:rsidRPr="00BD4E62">
        <w:rPr>
          <w:rFonts w:ascii="Arial" w:hAnsi="Arial" w:cs="Arial"/>
          <w:sz w:val="24"/>
          <w:szCs w:val="24"/>
          <w:lang w:val="en-GB"/>
        </w:rPr>
        <w:lastRenderedPageBreak/>
        <w:t>On the other hand,</w:t>
      </w:r>
      <w:r w:rsidR="00F64854" w:rsidRPr="00BD4E62">
        <w:rPr>
          <w:rFonts w:ascii="Arial" w:hAnsi="Arial" w:cs="Arial"/>
          <w:sz w:val="24"/>
          <w:szCs w:val="24"/>
          <w:lang w:val="en-GB"/>
        </w:rPr>
        <w:t xml:space="preserve"> </w:t>
      </w:r>
      <w:r w:rsidR="00000553" w:rsidRPr="00BD4E62">
        <w:rPr>
          <w:rFonts w:ascii="Arial" w:hAnsi="Arial" w:cs="Arial"/>
          <w:sz w:val="24"/>
          <w:szCs w:val="24"/>
          <w:lang w:val="en-GB"/>
        </w:rPr>
        <w:t xml:space="preserve">Toyota is a follower organisation to Tesla in battery-electric vehicle sector of the industry. </w:t>
      </w:r>
      <w:r w:rsidR="00446442" w:rsidRPr="00BD4E62">
        <w:rPr>
          <w:rFonts w:ascii="Arial" w:hAnsi="Arial" w:cs="Arial"/>
          <w:sz w:val="24"/>
          <w:szCs w:val="24"/>
          <w:lang w:val="en-GB"/>
        </w:rPr>
        <w:t>According to Wells and Nieuwenhuis (2021), while Toyota pioneered the hybrid vehicle technology</w:t>
      </w:r>
      <w:r w:rsidR="007876C1" w:rsidRPr="00BD4E62">
        <w:rPr>
          <w:rFonts w:ascii="Arial" w:hAnsi="Arial" w:cs="Arial"/>
          <w:sz w:val="24"/>
          <w:szCs w:val="24"/>
          <w:lang w:val="en-GB"/>
        </w:rPr>
        <w:t xml:space="preserve"> through introducing the Prius</w:t>
      </w:r>
      <w:r w:rsidR="00446442" w:rsidRPr="00BD4E62">
        <w:rPr>
          <w:rFonts w:ascii="Arial" w:hAnsi="Arial" w:cs="Arial"/>
          <w:sz w:val="24"/>
          <w:szCs w:val="24"/>
          <w:lang w:val="en-GB"/>
        </w:rPr>
        <w:t>, the company was cautious towards inve</w:t>
      </w:r>
      <w:r w:rsidR="007876C1" w:rsidRPr="00BD4E62">
        <w:rPr>
          <w:rFonts w:ascii="Arial" w:hAnsi="Arial" w:cs="Arial"/>
          <w:sz w:val="24"/>
          <w:szCs w:val="24"/>
          <w:lang w:val="en-GB"/>
        </w:rPr>
        <w:t xml:space="preserve">sting in full electric vehicles. However, it was forced into investing in battery-electric vehicle technologies, with Tesla already taking the pioneering role. </w:t>
      </w:r>
    </w:p>
    <w:p w14:paraId="2F198CF8" w14:textId="77777777" w:rsidR="001E4320" w:rsidRPr="00BD4E62" w:rsidRDefault="001E4320" w:rsidP="001E4320">
      <w:pPr>
        <w:pStyle w:val="Heading1"/>
        <w:rPr>
          <w:rFonts w:ascii="Arial" w:hAnsi="Arial" w:cs="Arial"/>
          <w:sz w:val="24"/>
          <w:szCs w:val="24"/>
          <w:lang w:val="en-GB"/>
        </w:rPr>
      </w:pPr>
      <w:bookmarkStart w:id="2" w:name="_Toc229647785"/>
      <w:r>
        <w:rPr>
          <w:rFonts w:ascii="Arial" w:hAnsi="Arial" w:cs="Arial"/>
          <w:sz w:val="24"/>
          <w:szCs w:val="24"/>
          <w:lang w:val="en-GB"/>
        </w:rPr>
        <w:t>Task 1</w:t>
      </w:r>
      <w:bookmarkEnd w:id="2"/>
      <w:r>
        <w:rPr>
          <w:rFonts w:ascii="Arial" w:hAnsi="Arial" w:cs="Arial"/>
          <w:sz w:val="24"/>
          <w:szCs w:val="24"/>
          <w:lang w:val="en-GB"/>
        </w:rPr>
        <w:t xml:space="preserve"> </w:t>
      </w:r>
    </w:p>
    <w:p w14:paraId="0241D6DF" w14:textId="77777777" w:rsidR="00BA593C" w:rsidRPr="00BD4E62" w:rsidRDefault="007876C1" w:rsidP="001E4320">
      <w:pPr>
        <w:pStyle w:val="Heading1"/>
        <w:rPr>
          <w:rFonts w:ascii="Arial" w:hAnsi="Arial" w:cs="Arial"/>
          <w:b w:val="0"/>
          <w:sz w:val="24"/>
          <w:szCs w:val="24"/>
          <w:lang w:val="en-GB"/>
        </w:rPr>
      </w:pPr>
      <w:bookmarkStart w:id="3" w:name="_Toc229647786"/>
      <w:r w:rsidRPr="00BD4E62">
        <w:rPr>
          <w:rFonts w:ascii="Arial" w:hAnsi="Arial" w:cs="Arial"/>
          <w:b w:val="0"/>
          <w:sz w:val="24"/>
          <w:szCs w:val="24"/>
          <w:lang w:val="en-GB"/>
        </w:rPr>
        <w:t>Macro-Marketing Environmental Analysis</w:t>
      </w:r>
      <w:bookmarkEnd w:id="3"/>
    </w:p>
    <w:p w14:paraId="32DCD525" w14:textId="77777777" w:rsidR="00391304" w:rsidRPr="00BD4E62" w:rsidRDefault="007876C1" w:rsidP="002B0891">
      <w:pPr>
        <w:spacing w:line="480" w:lineRule="auto"/>
        <w:jc w:val="both"/>
        <w:rPr>
          <w:rFonts w:ascii="Arial" w:hAnsi="Arial" w:cs="Arial"/>
          <w:sz w:val="24"/>
          <w:szCs w:val="24"/>
          <w:lang w:val="en-GB"/>
        </w:rPr>
      </w:pPr>
      <w:r w:rsidRPr="00BD4E62">
        <w:rPr>
          <w:rFonts w:ascii="Arial" w:hAnsi="Arial" w:cs="Arial"/>
          <w:sz w:val="24"/>
          <w:szCs w:val="24"/>
          <w:lang w:val="en-GB"/>
        </w:rPr>
        <w:t>The PESTLE analysis framework is adopted to analyse the macro-environmental factors impacting the organisational strategy particularly the technological, environmental and legal factors which have increasingly influence</w:t>
      </w:r>
      <w:r w:rsidR="009D5508" w:rsidRPr="00BD4E62">
        <w:rPr>
          <w:rFonts w:ascii="Arial" w:hAnsi="Arial" w:cs="Arial"/>
          <w:sz w:val="24"/>
          <w:szCs w:val="24"/>
          <w:lang w:val="en-GB"/>
        </w:rPr>
        <w:t>d</w:t>
      </w:r>
      <w:r w:rsidRPr="00BD4E62">
        <w:rPr>
          <w:rFonts w:ascii="Arial" w:hAnsi="Arial" w:cs="Arial"/>
          <w:sz w:val="24"/>
          <w:szCs w:val="24"/>
          <w:lang w:val="en-GB"/>
        </w:rPr>
        <w:t xml:space="preserve"> strategic decision-</w:t>
      </w:r>
      <w:r w:rsidR="009D5508" w:rsidRPr="00BD4E62">
        <w:rPr>
          <w:rFonts w:ascii="Arial" w:hAnsi="Arial" w:cs="Arial"/>
          <w:sz w:val="24"/>
          <w:szCs w:val="24"/>
          <w:lang w:val="en-GB"/>
        </w:rPr>
        <w:t xml:space="preserve">making within the industry (Johnson et al., 2020). </w:t>
      </w:r>
      <w:r w:rsidR="00925068" w:rsidRPr="00BD4E62">
        <w:rPr>
          <w:rFonts w:ascii="Arial" w:hAnsi="Arial" w:cs="Arial"/>
          <w:sz w:val="24"/>
          <w:szCs w:val="24"/>
          <w:lang w:val="en-GB"/>
        </w:rPr>
        <w:t xml:space="preserve">This study focuses more on the technological, environmental and legal factors impacting these companies as the world moves towards sustainable transportation. </w:t>
      </w:r>
    </w:p>
    <w:p w14:paraId="5CE9C5C2" w14:textId="77777777" w:rsidR="00391304" w:rsidRPr="00BD4E62" w:rsidRDefault="00513FA6" w:rsidP="001E4320">
      <w:pPr>
        <w:pStyle w:val="Heading2"/>
        <w:rPr>
          <w:rFonts w:ascii="Arial" w:hAnsi="Arial" w:cs="Arial"/>
          <w:sz w:val="24"/>
          <w:szCs w:val="24"/>
          <w:u w:val="single"/>
          <w:lang w:val="en-GB"/>
        </w:rPr>
      </w:pPr>
      <w:bookmarkStart w:id="4" w:name="_Toc229647787"/>
      <w:r w:rsidRPr="00BD4E62">
        <w:rPr>
          <w:rFonts w:ascii="Arial" w:hAnsi="Arial" w:cs="Arial"/>
          <w:sz w:val="24"/>
          <w:szCs w:val="24"/>
          <w:u w:val="single"/>
          <w:lang w:val="en-GB"/>
        </w:rPr>
        <w:t>Technological factors</w:t>
      </w:r>
      <w:bookmarkEnd w:id="4"/>
      <w:r w:rsidRPr="00BD4E62">
        <w:rPr>
          <w:rFonts w:ascii="Arial" w:hAnsi="Arial" w:cs="Arial"/>
          <w:sz w:val="24"/>
          <w:szCs w:val="24"/>
          <w:u w:val="single"/>
          <w:lang w:val="en-GB"/>
        </w:rPr>
        <w:t xml:space="preserve"> </w:t>
      </w:r>
    </w:p>
    <w:p w14:paraId="0F5481BD" w14:textId="77777777" w:rsidR="00391304" w:rsidRPr="00BD4E62" w:rsidRDefault="002C31AD" w:rsidP="002B0891">
      <w:pPr>
        <w:spacing w:line="480" w:lineRule="auto"/>
        <w:jc w:val="both"/>
        <w:rPr>
          <w:rFonts w:ascii="Arial" w:hAnsi="Arial" w:cs="Arial"/>
          <w:sz w:val="24"/>
          <w:szCs w:val="24"/>
          <w:lang w:val="en-GB"/>
        </w:rPr>
      </w:pPr>
      <w:r w:rsidRPr="00BD4E62">
        <w:rPr>
          <w:rFonts w:ascii="Arial" w:hAnsi="Arial" w:cs="Arial"/>
          <w:sz w:val="24"/>
          <w:szCs w:val="24"/>
          <w:lang w:val="en-GB"/>
        </w:rPr>
        <w:t xml:space="preserve">This is one of the critical factors influencing the EVs sector and the industry players such as Tesla and Toyota. They include, artificial intelligence, digital manufacturing, </w:t>
      </w:r>
      <w:r w:rsidR="00163269" w:rsidRPr="00BD4E62">
        <w:rPr>
          <w:rFonts w:ascii="Arial" w:hAnsi="Arial" w:cs="Arial"/>
          <w:sz w:val="24"/>
          <w:szCs w:val="24"/>
          <w:lang w:val="en-GB"/>
        </w:rPr>
        <w:t>battery technology, autonomous driving technologies, integrating intelligent connectivity, modular production</w:t>
      </w:r>
      <w:r w:rsidR="0094591C" w:rsidRPr="00BD4E62">
        <w:rPr>
          <w:rFonts w:ascii="Arial" w:hAnsi="Arial" w:cs="Arial"/>
          <w:sz w:val="24"/>
          <w:szCs w:val="24"/>
          <w:lang w:val="en-GB"/>
        </w:rPr>
        <w:t xml:space="preserve">, and costs reductions (Baines, Fill and Rosengren, 2019). These factors have impacted both pioneering and following companies in terms of competitive rivalry, </w:t>
      </w:r>
      <w:r w:rsidR="00243937" w:rsidRPr="00BD4E62">
        <w:rPr>
          <w:rFonts w:ascii="Arial" w:hAnsi="Arial" w:cs="Arial"/>
          <w:sz w:val="24"/>
          <w:szCs w:val="24"/>
          <w:lang w:val="en-GB"/>
        </w:rPr>
        <w:t xml:space="preserve">expectations of the consumers and strategic decision-making. </w:t>
      </w:r>
    </w:p>
    <w:p w14:paraId="3801F678" w14:textId="77777777" w:rsidR="00391304" w:rsidRPr="00BD4E62" w:rsidRDefault="00243937" w:rsidP="002B0891">
      <w:pPr>
        <w:spacing w:line="480" w:lineRule="auto"/>
        <w:jc w:val="both"/>
        <w:rPr>
          <w:rFonts w:ascii="Arial" w:hAnsi="Arial" w:cs="Arial"/>
          <w:sz w:val="24"/>
          <w:szCs w:val="24"/>
          <w:lang w:val="en-GB"/>
        </w:rPr>
      </w:pPr>
      <w:r w:rsidRPr="00BD4E62">
        <w:rPr>
          <w:rFonts w:ascii="Arial" w:hAnsi="Arial" w:cs="Arial"/>
          <w:sz w:val="24"/>
          <w:szCs w:val="24"/>
          <w:lang w:val="en-GB"/>
        </w:rPr>
        <w:lastRenderedPageBreak/>
        <w:t>For Tesla, technological factors and technological advances create substantial opportunities for the company to differentiate its products and services from the followers</w:t>
      </w:r>
      <w:r w:rsidR="007F6F7C" w:rsidRPr="00BD4E62">
        <w:rPr>
          <w:rFonts w:ascii="Arial" w:hAnsi="Arial" w:cs="Arial"/>
          <w:sz w:val="24"/>
          <w:szCs w:val="24"/>
          <w:lang w:val="en-GB"/>
        </w:rPr>
        <w:t xml:space="preserve"> or other traditional automakers</w:t>
      </w:r>
      <w:r w:rsidRPr="00BD4E62">
        <w:rPr>
          <w:rFonts w:ascii="Arial" w:hAnsi="Arial" w:cs="Arial"/>
          <w:sz w:val="24"/>
          <w:szCs w:val="24"/>
          <w:lang w:val="en-GB"/>
        </w:rPr>
        <w:t xml:space="preserve">. According to </w:t>
      </w:r>
      <w:r w:rsidR="00BB7FE1" w:rsidRPr="00BD4E62">
        <w:rPr>
          <w:rFonts w:ascii="Arial" w:hAnsi="Arial" w:cs="Arial"/>
          <w:sz w:val="24"/>
          <w:szCs w:val="24"/>
          <w:lang w:val="en-GB"/>
        </w:rPr>
        <w:t xml:space="preserve">Stringham, Miller and Clark (2019), </w:t>
      </w:r>
      <w:r w:rsidR="007F6F7C" w:rsidRPr="00BD4E62">
        <w:rPr>
          <w:rFonts w:ascii="Arial" w:hAnsi="Arial" w:cs="Arial"/>
          <w:sz w:val="24"/>
          <w:szCs w:val="24"/>
          <w:lang w:val="en-GB"/>
        </w:rPr>
        <w:t xml:space="preserve">Tesla has currently integrated AI, excellent battery innovation and software engineering technologies into its business model, which have been used to achieve market leadership, </w:t>
      </w:r>
      <w:r w:rsidR="00B238F0" w:rsidRPr="00BD4E62">
        <w:rPr>
          <w:rFonts w:ascii="Arial" w:hAnsi="Arial" w:cs="Arial"/>
          <w:sz w:val="24"/>
          <w:szCs w:val="24"/>
          <w:lang w:val="en-GB"/>
        </w:rPr>
        <w:t xml:space="preserve">effective product differentiation and sustained competitive advantage. </w:t>
      </w:r>
    </w:p>
    <w:p w14:paraId="3E592605" w14:textId="77777777" w:rsidR="00B238F0" w:rsidRPr="00BD4E62" w:rsidRDefault="00B238F0" w:rsidP="002B0891">
      <w:pPr>
        <w:spacing w:line="480" w:lineRule="auto"/>
        <w:jc w:val="both"/>
        <w:rPr>
          <w:rFonts w:ascii="Arial" w:hAnsi="Arial" w:cs="Arial"/>
          <w:b/>
          <w:sz w:val="24"/>
          <w:szCs w:val="24"/>
          <w:u w:val="single"/>
          <w:lang w:val="en-GB"/>
        </w:rPr>
      </w:pPr>
      <w:r w:rsidRPr="00BD4E62">
        <w:rPr>
          <w:rFonts w:ascii="Arial" w:hAnsi="Arial" w:cs="Arial"/>
          <w:b/>
          <w:sz w:val="24"/>
          <w:szCs w:val="24"/>
          <w:u w:val="single"/>
          <w:lang w:val="en-GB"/>
        </w:rPr>
        <w:t>Opportunities for Tesla</w:t>
      </w:r>
    </w:p>
    <w:p w14:paraId="7D147224" w14:textId="77777777" w:rsidR="00391304" w:rsidRPr="00BD4E62" w:rsidRDefault="00B238F0" w:rsidP="002B0891">
      <w:pPr>
        <w:spacing w:line="480" w:lineRule="auto"/>
        <w:jc w:val="both"/>
        <w:rPr>
          <w:rFonts w:ascii="Arial" w:hAnsi="Arial" w:cs="Arial"/>
          <w:sz w:val="24"/>
          <w:szCs w:val="24"/>
          <w:lang w:val="en-GB"/>
        </w:rPr>
      </w:pPr>
      <w:r w:rsidRPr="00BD4E62">
        <w:rPr>
          <w:rFonts w:ascii="Arial" w:hAnsi="Arial" w:cs="Arial"/>
          <w:sz w:val="24"/>
          <w:szCs w:val="24"/>
          <w:lang w:val="en-GB"/>
        </w:rPr>
        <w:t xml:space="preserve">Technological advances in lithium-ion battery technology have been leveraged by Tesla to create and benefit advanced charging and superior driving range by the vehicles compared to its rivals, which has strengthened the brand positioning in the EVs sector (Ives, 2020). The Tesla’s over-the-air software updates did not just built new innovation capabilities and differentiation but also improve the customer experience, delivering competitive advantage in customer services. </w:t>
      </w:r>
      <w:r w:rsidR="00EE0E87" w:rsidRPr="00BD4E62">
        <w:rPr>
          <w:rFonts w:ascii="Arial" w:hAnsi="Arial" w:cs="Arial"/>
          <w:sz w:val="24"/>
          <w:szCs w:val="24"/>
          <w:lang w:val="en-GB"/>
        </w:rPr>
        <w:t xml:space="preserve">Unlike the traditional model, </w:t>
      </w:r>
      <w:r w:rsidR="00F83826" w:rsidRPr="00BD4E62">
        <w:rPr>
          <w:rFonts w:ascii="Arial" w:hAnsi="Arial" w:cs="Arial"/>
          <w:sz w:val="24"/>
          <w:szCs w:val="24"/>
          <w:lang w:val="en-GB"/>
        </w:rPr>
        <w:t xml:space="preserve">Tesla’s direct-to-consumer sales model is supported by advanced technology and it has significantly disrupted the existing customer relationship management within the automotive industry. </w:t>
      </w:r>
      <w:r w:rsidR="00527240" w:rsidRPr="00BD4E62">
        <w:rPr>
          <w:rFonts w:ascii="Arial" w:hAnsi="Arial" w:cs="Arial"/>
          <w:sz w:val="24"/>
          <w:szCs w:val="24"/>
          <w:lang w:val="en-GB"/>
        </w:rPr>
        <w:t>It has also disrupted the traditional dealership model, enabling the company to actively control and manage customer engagement, pricing, branding and customer services in a more effective manner when compared with rivals (Dyer, Godfrey and Jensen, 2020).</w:t>
      </w:r>
    </w:p>
    <w:p w14:paraId="146BD79A" w14:textId="77777777" w:rsidR="00527240" w:rsidRPr="001E4320" w:rsidRDefault="00527240" w:rsidP="002B0891">
      <w:pPr>
        <w:spacing w:line="480" w:lineRule="auto"/>
        <w:jc w:val="both"/>
        <w:rPr>
          <w:rFonts w:ascii="Arial" w:hAnsi="Arial" w:cs="Arial"/>
          <w:sz w:val="24"/>
          <w:szCs w:val="24"/>
          <w:u w:val="single"/>
          <w:lang w:val="en-GB"/>
        </w:rPr>
      </w:pPr>
      <w:r w:rsidRPr="001E4320">
        <w:rPr>
          <w:rFonts w:ascii="Arial" w:hAnsi="Arial" w:cs="Arial"/>
          <w:b/>
          <w:sz w:val="24"/>
          <w:szCs w:val="24"/>
          <w:u w:val="single"/>
          <w:lang w:val="en-GB"/>
        </w:rPr>
        <w:t>Threats</w:t>
      </w:r>
    </w:p>
    <w:p w14:paraId="083AE07A" w14:textId="77777777" w:rsidR="00391304" w:rsidRPr="00BD4E62" w:rsidRDefault="001D6587" w:rsidP="002B0891">
      <w:pPr>
        <w:spacing w:line="480" w:lineRule="auto"/>
        <w:jc w:val="both"/>
        <w:rPr>
          <w:rFonts w:ascii="Arial" w:hAnsi="Arial" w:cs="Arial"/>
          <w:sz w:val="24"/>
          <w:szCs w:val="24"/>
          <w:lang w:val="en-GB"/>
        </w:rPr>
      </w:pPr>
      <w:r w:rsidRPr="00BD4E62">
        <w:rPr>
          <w:rFonts w:ascii="Arial" w:hAnsi="Arial" w:cs="Arial"/>
          <w:sz w:val="24"/>
          <w:szCs w:val="24"/>
          <w:lang w:val="en-GB"/>
        </w:rPr>
        <w:lastRenderedPageBreak/>
        <w:t xml:space="preserve">Despite the numerous benefits of the advanced technological factors in EVs industry, Tesla face threats such as increased competitive pressure, difficulty maintaining its superiority in the EVs sector. According to Dyer et al (2020), </w:t>
      </w:r>
      <w:r w:rsidR="005B16F7" w:rsidRPr="00BD4E62">
        <w:rPr>
          <w:rFonts w:ascii="Arial" w:hAnsi="Arial" w:cs="Arial"/>
          <w:sz w:val="24"/>
          <w:szCs w:val="24"/>
          <w:lang w:val="en-GB"/>
        </w:rPr>
        <w:t xml:space="preserve">rapid technological advances have increased competitive pressure among the leading players in the EVs automakers with strong investment in research and development to maintain superiority and differentiate their offerings to the consumers. </w:t>
      </w:r>
      <w:r w:rsidR="00F906DA" w:rsidRPr="00BD4E62">
        <w:rPr>
          <w:rFonts w:ascii="Arial" w:hAnsi="Arial" w:cs="Arial"/>
          <w:sz w:val="24"/>
          <w:szCs w:val="24"/>
          <w:lang w:val="en-GB"/>
        </w:rPr>
        <w:t xml:space="preserve">Secondly, Tesla’s EVs’ advanced software systems have been exposed to strategic threats of cyber security and more stringent regulatory scrutiny particularly for the </w:t>
      </w:r>
      <w:r w:rsidR="000B7066" w:rsidRPr="00BD4E62">
        <w:rPr>
          <w:rFonts w:ascii="Arial" w:hAnsi="Arial" w:cs="Arial"/>
          <w:sz w:val="24"/>
          <w:szCs w:val="24"/>
          <w:lang w:val="en-GB"/>
        </w:rPr>
        <w:t>self-driving vehicles. This amount to higher risk of brand reputational damage in case of technological malfunctioning.</w:t>
      </w:r>
    </w:p>
    <w:p w14:paraId="55C25E45" w14:textId="77777777" w:rsidR="00391304" w:rsidRPr="00BD4E62" w:rsidRDefault="000B7066" w:rsidP="002B0891">
      <w:pPr>
        <w:spacing w:line="480" w:lineRule="auto"/>
        <w:jc w:val="both"/>
        <w:rPr>
          <w:rFonts w:ascii="Arial" w:hAnsi="Arial" w:cs="Arial"/>
          <w:sz w:val="24"/>
          <w:szCs w:val="24"/>
          <w:lang w:val="en-GB"/>
        </w:rPr>
      </w:pPr>
      <w:r w:rsidRPr="00BD4E62">
        <w:rPr>
          <w:rFonts w:ascii="Arial" w:hAnsi="Arial" w:cs="Arial"/>
          <w:sz w:val="24"/>
          <w:szCs w:val="24"/>
          <w:lang w:val="en-GB"/>
        </w:rPr>
        <w:t xml:space="preserve">For Toyota, </w:t>
      </w:r>
      <w:r w:rsidR="00533699" w:rsidRPr="00BD4E62">
        <w:rPr>
          <w:rFonts w:ascii="Arial" w:hAnsi="Arial" w:cs="Arial"/>
          <w:sz w:val="24"/>
          <w:szCs w:val="24"/>
          <w:lang w:val="en-GB"/>
        </w:rPr>
        <w:t xml:space="preserve">the technological factors affecting the EVs such as battery technology, autonomous driving technologies, connectivity etc initially posed threats to the company owing to its focus on hybrid vehicles unlike full EVs. At the beginning, Toyota’s competitive position in the full EVs was also limited by Tesla’s </w:t>
      </w:r>
      <w:r w:rsidR="00357BC1" w:rsidRPr="00BD4E62">
        <w:rPr>
          <w:rFonts w:ascii="Arial" w:hAnsi="Arial" w:cs="Arial"/>
          <w:sz w:val="24"/>
          <w:szCs w:val="24"/>
          <w:lang w:val="en-GB"/>
        </w:rPr>
        <w:t>disruptive fully EVs gaining global EV adoption and leadership within the segment (Wells and Nieuwenhuis, 2021).</w:t>
      </w:r>
    </w:p>
    <w:p w14:paraId="1CA74E84" w14:textId="77777777" w:rsidR="00391304" w:rsidRPr="001E4320" w:rsidRDefault="00357BC1" w:rsidP="002B0891">
      <w:pPr>
        <w:spacing w:line="480" w:lineRule="auto"/>
        <w:jc w:val="both"/>
        <w:rPr>
          <w:rFonts w:ascii="Arial" w:hAnsi="Arial" w:cs="Arial"/>
          <w:sz w:val="24"/>
          <w:szCs w:val="24"/>
          <w:u w:val="single"/>
          <w:lang w:val="en-GB"/>
        </w:rPr>
      </w:pPr>
      <w:r w:rsidRPr="001E4320">
        <w:rPr>
          <w:rFonts w:ascii="Arial" w:hAnsi="Arial" w:cs="Arial"/>
          <w:b/>
          <w:sz w:val="24"/>
          <w:szCs w:val="24"/>
          <w:u w:val="single"/>
          <w:lang w:val="en-GB"/>
        </w:rPr>
        <w:t>Opportunities</w:t>
      </w:r>
      <w:r w:rsidRPr="001E4320">
        <w:rPr>
          <w:rFonts w:ascii="Arial" w:hAnsi="Arial" w:cs="Arial"/>
          <w:sz w:val="24"/>
          <w:szCs w:val="24"/>
          <w:u w:val="single"/>
          <w:lang w:val="en-GB"/>
        </w:rPr>
        <w:t xml:space="preserve">: </w:t>
      </w:r>
    </w:p>
    <w:p w14:paraId="597BE270" w14:textId="77777777" w:rsidR="00357BC1" w:rsidRPr="00BD4E62" w:rsidRDefault="009C0EF8" w:rsidP="002B0891">
      <w:pPr>
        <w:spacing w:line="480" w:lineRule="auto"/>
        <w:jc w:val="both"/>
        <w:rPr>
          <w:rFonts w:ascii="Arial" w:hAnsi="Arial" w:cs="Arial"/>
          <w:sz w:val="24"/>
          <w:szCs w:val="24"/>
          <w:lang w:val="en-GB"/>
        </w:rPr>
      </w:pPr>
      <w:r w:rsidRPr="00BD4E62">
        <w:rPr>
          <w:rFonts w:ascii="Arial" w:hAnsi="Arial" w:cs="Arial"/>
          <w:sz w:val="24"/>
          <w:szCs w:val="24"/>
          <w:lang w:val="en-GB"/>
        </w:rPr>
        <w:t xml:space="preserve">As a follower, Toyota promptly responded in spite of the challenges by increasing investment in </w:t>
      </w:r>
      <w:r w:rsidR="004033B3" w:rsidRPr="00BD4E62">
        <w:rPr>
          <w:rFonts w:ascii="Arial" w:hAnsi="Arial" w:cs="Arial"/>
          <w:sz w:val="24"/>
          <w:szCs w:val="24"/>
          <w:lang w:val="en-GB"/>
        </w:rPr>
        <w:t>solid-state battery technology in its EV</w:t>
      </w:r>
      <w:r w:rsidR="00F158A7" w:rsidRPr="00BD4E62">
        <w:rPr>
          <w:rFonts w:ascii="Arial" w:hAnsi="Arial" w:cs="Arial"/>
          <w:sz w:val="24"/>
          <w:szCs w:val="24"/>
          <w:lang w:val="en-GB"/>
        </w:rPr>
        <w:t xml:space="preserve">s which potentially have better vehicle range, charging speed and durability (Johnson et al., 2020). </w:t>
      </w:r>
      <w:r w:rsidR="00361551" w:rsidRPr="00BD4E62">
        <w:rPr>
          <w:rFonts w:ascii="Arial" w:hAnsi="Arial" w:cs="Arial"/>
          <w:sz w:val="24"/>
          <w:szCs w:val="24"/>
          <w:lang w:val="en-GB"/>
        </w:rPr>
        <w:t xml:space="preserve">Also, Toyota has explored opportunities in the rapid technological advances by leveraging its extensive operational capabilities, strong reputation for production efficiency and reliability to compete and expand its EV production on a global scale. It continues to gain </w:t>
      </w:r>
      <w:r w:rsidR="00361551" w:rsidRPr="00BD4E62">
        <w:rPr>
          <w:rFonts w:ascii="Arial" w:hAnsi="Arial" w:cs="Arial"/>
          <w:sz w:val="24"/>
          <w:szCs w:val="24"/>
          <w:lang w:val="en-GB"/>
        </w:rPr>
        <w:lastRenderedPageBreak/>
        <w:t xml:space="preserve">competitive advantage for its positive brand image and reliability in other segments of the automotive sectors. </w:t>
      </w:r>
    </w:p>
    <w:p w14:paraId="00AABD48" w14:textId="77777777" w:rsidR="0022414A" w:rsidRPr="001E4320" w:rsidRDefault="0022414A" w:rsidP="002B0891">
      <w:pPr>
        <w:spacing w:line="480" w:lineRule="auto"/>
        <w:jc w:val="both"/>
        <w:rPr>
          <w:rFonts w:ascii="Arial" w:hAnsi="Arial" w:cs="Arial"/>
          <w:sz w:val="24"/>
          <w:szCs w:val="24"/>
          <w:u w:val="single"/>
          <w:lang w:val="en-GB"/>
        </w:rPr>
      </w:pPr>
      <w:r w:rsidRPr="001E4320">
        <w:rPr>
          <w:rFonts w:ascii="Arial" w:hAnsi="Arial" w:cs="Arial"/>
          <w:b/>
          <w:sz w:val="24"/>
          <w:szCs w:val="24"/>
          <w:u w:val="single"/>
          <w:lang w:val="en-GB"/>
        </w:rPr>
        <w:t>Threats</w:t>
      </w:r>
    </w:p>
    <w:p w14:paraId="312C176C" w14:textId="77777777" w:rsidR="00391304" w:rsidRPr="00BD4E62" w:rsidRDefault="00C80C1D" w:rsidP="002B0891">
      <w:pPr>
        <w:spacing w:line="480" w:lineRule="auto"/>
        <w:jc w:val="both"/>
        <w:rPr>
          <w:rFonts w:ascii="Arial" w:hAnsi="Arial" w:cs="Arial"/>
          <w:sz w:val="24"/>
          <w:szCs w:val="24"/>
          <w:lang w:val="en-GB"/>
        </w:rPr>
      </w:pPr>
      <w:r w:rsidRPr="00BD4E62">
        <w:rPr>
          <w:rFonts w:ascii="Arial" w:hAnsi="Arial" w:cs="Arial"/>
          <w:sz w:val="24"/>
          <w:szCs w:val="24"/>
          <w:lang w:val="en-GB"/>
        </w:rPr>
        <w:t>Toyota’s innovation process to adapt to the constant technological advances in the EVs can be described as rather slow when compared to Tesla – the pioneering organisation</w:t>
      </w:r>
      <w:r w:rsidR="005B0B3C" w:rsidRPr="00BD4E62">
        <w:rPr>
          <w:rFonts w:ascii="Arial" w:hAnsi="Arial" w:cs="Arial"/>
          <w:sz w:val="24"/>
          <w:szCs w:val="24"/>
          <w:lang w:val="en-GB"/>
        </w:rPr>
        <w:t xml:space="preserve">. Evidence suggests that </w:t>
      </w:r>
      <w:r w:rsidR="009707D9" w:rsidRPr="00BD4E62">
        <w:rPr>
          <w:rFonts w:ascii="Arial" w:hAnsi="Arial" w:cs="Arial"/>
          <w:sz w:val="24"/>
          <w:szCs w:val="24"/>
          <w:lang w:val="en-GB"/>
        </w:rPr>
        <w:t xml:space="preserve">traditional automotive companies usually find it hard to adapt quickly to disruptive technological transformation </w:t>
      </w:r>
      <w:r w:rsidR="00F05BCB" w:rsidRPr="00BD4E62">
        <w:rPr>
          <w:rFonts w:ascii="Arial" w:hAnsi="Arial" w:cs="Arial"/>
          <w:sz w:val="24"/>
          <w:szCs w:val="24"/>
          <w:lang w:val="en-GB"/>
        </w:rPr>
        <w:t xml:space="preserve">because of the existing investments, </w:t>
      </w:r>
      <w:r w:rsidR="00742413" w:rsidRPr="00BD4E62">
        <w:rPr>
          <w:rFonts w:ascii="Arial" w:hAnsi="Arial" w:cs="Arial"/>
          <w:sz w:val="24"/>
          <w:szCs w:val="24"/>
          <w:lang w:val="en-GB"/>
        </w:rPr>
        <w:t xml:space="preserve">legacy systems, and their existing strategic cultures (Kotler and Keller, 2019). Hence, Tesla has continued to sustain market leadership, stronger competitive advantage, market share and market positioning. </w:t>
      </w:r>
    </w:p>
    <w:p w14:paraId="038B60C8" w14:textId="77777777" w:rsidR="00391304" w:rsidRPr="00BD4E62" w:rsidRDefault="00742413" w:rsidP="001E4320">
      <w:pPr>
        <w:pStyle w:val="Heading2"/>
        <w:rPr>
          <w:rFonts w:ascii="Arial" w:hAnsi="Arial" w:cs="Arial"/>
          <w:b/>
          <w:sz w:val="24"/>
          <w:szCs w:val="24"/>
          <w:lang w:val="en-GB"/>
        </w:rPr>
      </w:pPr>
      <w:bookmarkStart w:id="5" w:name="_Toc229647788"/>
      <w:r w:rsidRPr="00BD4E62">
        <w:rPr>
          <w:rFonts w:ascii="Arial" w:hAnsi="Arial" w:cs="Arial"/>
          <w:b/>
          <w:sz w:val="24"/>
          <w:szCs w:val="24"/>
          <w:lang w:val="en-GB"/>
        </w:rPr>
        <w:t>Environmental and Legal Factors</w:t>
      </w:r>
      <w:bookmarkEnd w:id="5"/>
    </w:p>
    <w:p w14:paraId="150C8FC5" w14:textId="77777777" w:rsidR="00391304" w:rsidRPr="00BD4E62" w:rsidRDefault="00884E03" w:rsidP="002B0891">
      <w:pPr>
        <w:spacing w:line="480" w:lineRule="auto"/>
        <w:jc w:val="both"/>
        <w:rPr>
          <w:rFonts w:ascii="Arial" w:hAnsi="Arial" w:cs="Arial"/>
          <w:sz w:val="24"/>
          <w:szCs w:val="24"/>
          <w:lang w:val="en-GB"/>
        </w:rPr>
      </w:pPr>
      <w:r w:rsidRPr="00BD4E62">
        <w:rPr>
          <w:rFonts w:ascii="Arial" w:hAnsi="Arial" w:cs="Arial"/>
          <w:sz w:val="24"/>
          <w:szCs w:val="24"/>
          <w:lang w:val="en-GB"/>
        </w:rPr>
        <w:t>The increasing global concerns on carbon emissions, increasing environmental regulations, new emission standards by the government and carbon emission standards are cri</w:t>
      </w:r>
      <w:r w:rsidR="007D4788" w:rsidRPr="00BD4E62">
        <w:rPr>
          <w:rFonts w:ascii="Arial" w:hAnsi="Arial" w:cs="Arial"/>
          <w:sz w:val="24"/>
          <w:szCs w:val="24"/>
          <w:lang w:val="en-GB"/>
        </w:rPr>
        <w:t xml:space="preserve">tical issues driving the organisations’ strategic decision-making. According to Baines, Fill and Rosengren (2019), all government globally have introduced stricter environmental regulations to manage environmental degradations, climate change issues and reduce pollutions by setting new carbon emissions standards and </w:t>
      </w:r>
      <w:r w:rsidR="001B06B0" w:rsidRPr="00BD4E62">
        <w:rPr>
          <w:rFonts w:ascii="Arial" w:hAnsi="Arial" w:cs="Arial"/>
          <w:sz w:val="24"/>
          <w:szCs w:val="24"/>
          <w:lang w:val="en-GB"/>
        </w:rPr>
        <w:t xml:space="preserve">targets. These factors have impacted both Tesla and Toyota in diverse ways </w:t>
      </w:r>
      <w:r w:rsidR="00F47CCC" w:rsidRPr="00BD4E62">
        <w:rPr>
          <w:rFonts w:ascii="Arial" w:hAnsi="Arial" w:cs="Arial"/>
          <w:sz w:val="24"/>
          <w:szCs w:val="24"/>
          <w:lang w:val="en-GB"/>
        </w:rPr>
        <w:t>as following.</w:t>
      </w:r>
    </w:p>
    <w:p w14:paraId="1DF42FC1" w14:textId="77777777" w:rsidR="000B45C6" w:rsidRPr="00BD4E62" w:rsidRDefault="000B45C6" w:rsidP="002B0891">
      <w:pPr>
        <w:spacing w:line="480" w:lineRule="auto"/>
        <w:jc w:val="both"/>
        <w:rPr>
          <w:rFonts w:ascii="Arial" w:hAnsi="Arial" w:cs="Arial"/>
          <w:sz w:val="24"/>
          <w:szCs w:val="24"/>
          <w:lang w:val="en-GB"/>
        </w:rPr>
      </w:pPr>
    </w:p>
    <w:p w14:paraId="3BD8BD44" w14:textId="77777777" w:rsidR="000B45C6" w:rsidRDefault="000B45C6" w:rsidP="002B0891">
      <w:pPr>
        <w:spacing w:line="480" w:lineRule="auto"/>
        <w:jc w:val="both"/>
        <w:rPr>
          <w:rFonts w:ascii="Arial" w:hAnsi="Arial" w:cs="Arial"/>
          <w:sz w:val="24"/>
          <w:szCs w:val="24"/>
          <w:lang w:val="en-GB"/>
        </w:rPr>
      </w:pPr>
    </w:p>
    <w:p w14:paraId="04E1BA1A" w14:textId="77777777" w:rsidR="001E4320" w:rsidRPr="00BD4E62" w:rsidRDefault="001E4320" w:rsidP="002B0891">
      <w:pPr>
        <w:spacing w:line="480" w:lineRule="auto"/>
        <w:jc w:val="both"/>
        <w:rPr>
          <w:rFonts w:ascii="Arial" w:hAnsi="Arial" w:cs="Arial"/>
          <w:sz w:val="24"/>
          <w:szCs w:val="24"/>
          <w:lang w:val="en-GB"/>
        </w:rPr>
      </w:pPr>
    </w:p>
    <w:p w14:paraId="62AD31E3" w14:textId="77777777" w:rsidR="00BD4E62" w:rsidRPr="00BD4E62" w:rsidRDefault="00BD4E62" w:rsidP="002B0891">
      <w:pPr>
        <w:spacing w:line="480" w:lineRule="auto"/>
        <w:jc w:val="both"/>
        <w:rPr>
          <w:rFonts w:ascii="Arial" w:hAnsi="Arial" w:cs="Arial"/>
          <w:b/>
          <w:sz w:val="24"/>
          <w:szCs w:val="24"/>
          <w:lang w:val="en-GB"/>
        </w:rPr>
      </w:pPr>
      <w:r w:rsidRPr="00BD4E62">
        <w:rPr>
          <w:rFonts w:ascii="Arial" w:hAnsi="Arial" w:cs="Arial"/>
          <w:b/>
          <w:sz w:val="24"/>
          <w:szCs w:val="24"/>
          <w:lang w:val="en-GB"/>
        </w:rPr>
        <w:lastRenderedPageBreak/>
        <w:t>Effect on Tesla</w:t>
      </w:r>
    </w:p>
    <w:p w14:paraId="295FC561" w14:textId="77777777" w:rsidR="000B45C6" w:rsidRPr="00BD4E62" w:rsidRDefault="000B45C6" w:rsidP="002B0891">
      <w:pPr>
        <w:spacing w:line="480" w:lineRule="auto"/>
        <w:jc w:val="both"/>
        <w:rPr>
          <w:rFonts w:ascii="Arial" w:hAnsi="Arial" w:cs="Arial"/>
          <w:sz w:val="24"/>
          <w:szCs w:val="24"/>
          <w:lang w:val="en-GB"/>
        </w:rPr>
      </w:pPr>
      <w:r w:rsidRPr="00BD4E62">
        <w:rPr>
          <w:rFonts w:ascii="Arial" w:hAnsi="Arial" w:cs="Arial"/>
          <w:b/>
          <w:sz w:val="24"/>
          <w:szCs w:val="24"/>
          <w:lang w:val="en-GB"/>
        </w:rPr>
        <w:t>Opportunities</w:t>
      </w:r>
      <w:r w:rsidRPr="00BD4E62">
        <w:rPr>
          <w:rFonts w:ascii="Arial" w:hAnsi="Arial" w:cs="Arial"/>
          <w:sz w:val="24"/>
          <w:szCs w:val="24"/>
          <w:lang w:val="en-GB"/>
        </w:rPr>
        <w:t xml:space="preserve"> </w:t>
      </w:r>
    </w:p>
    <w:p w14:paraId="5A23F400" w14:textId="77777777" w:rsidR="00F47CCC" w:rsidRPr="00BD4E62" w:rsidRDefault="00F47CCC" w:rsidP="002B0891">
      <w:pPr>
        <w:spacing w:line="480" w:lineRule="auto"/>
        <w:jc w:val="both"/>
        <w:rPr>
          <w:rFonts w:ascii="Arial" w:hAnsi="Arial" w:cs="Arial"/>
          <w:sz w:val="24"/>
          <w:szCs w:val="24"/>
          <w:lang w:val="en-GB"/>
        </w:rPr>
      </w:pPr>
      <w:r w:rsidRPr="00BD4E62">
        <w:rPr>
          <w:rFonts w:ascii="Arial" w:hAnsi="Arial" w:cs="Arial"/>
          <w:sz w:val="24"/>
          <w:szCs w:val="24"/>
          <w:lang w:val="en-GB"/>
        </w:rPr>
        <w:t xml:space="preserve">On Tesla, </w:t>
      </w:r>
      <w:r w:rsidR="00D97521" w:rsidRPr="00BD4E62">
        <w:rPr>
          <w:rFonts w:ascii="Arial" w:hAnsi="Arial" w:cs="Arial"/>
          <w:sz w:val="24"/>
          <w:szCs w:val="24"/>
          <w:lang w:val="en-GB"/>
        </w:rPr>
        <w:t>the company’s business model aligns with sustainability goals cre</w:t>
      </w:r>
      <w:r w:rsidR="00050DC9" w:rsidRPr="00BD4E62">
        <w:rPr>
          <w:rFonts w:ascii="Arial" w:hAnsi="Arial" w:cs="Arial"/>
          <w:sz w:val="24"/>
          <w:szCs w:val="24"/>
          <w:lang w:val="en-GB"/>
        </w:rPr>
        <w:t>ating substantial opportunities and empowering its strategic competitive positioning (</w:t>
      </w:r>
      <w:proofErr w:type="spellStart"/>
      <w:r w:rsidR="00050DC9" w:rsidRPr="00BD4E62">
        <w:rPr>
          <w:rFonts w:ascii="Arial" w:hAnsi="Arial" w:cs="Arial"/>
          <w:sz w:val="24"/>
          <w:szCs w:val="24"/>
          <w:lang w:val="en-GB"/>
        </w:rPr>
        <w:t>Lüdeke</w:t>
      </w:r>
      <w:proofErr w:type="spellEnd"/>
      <w:r w:rsidR="00050DC9" w:rsidRPr="00BD4E62">
        <w:rPr>
          <w:rFonts w:ascii="Cambria Math" w:hAnsi="Cambria Math" w:cs="Cambria Math"/>
          <w:sz w:val="24"/>
          <w:szCs w:val="24"/>
          <w:lang w:val="en-GB"/>
        </w:rPr>
        <w:t>‐</w:t>
      </w:r>
      <w:r w:rsidR="00050DC9" w:rsidRPr="00BD4E62">
        <w:rPr>
          <w:rFonts w:ascii="Arial" w:hAnsi="Arial" w:cs="Arial"/>
          <w:sz w:val="24"/>
          <w:szCs w:val="24"/>
          <w:lang w:val="en-GB"/>
        </w:rPr>
        <w:t xml:space="preserve">Freund, </w:t>
      </w:r>
      <w:proofErr w:type="spellStart"/>
      <w:r w:rsidR="00050DC9" w:rsidRPr="00BD4E62">
        <w:rPr>
          <w:rFonts w:ascii="Arial" w:hAnsi="Arial" w:cs="Arial"/>
          <w:sz w:val="24"/>
          <w:szCs w:val="24"/>
          <w:lang w:val="en-GB"/>
        </w:rPr>
        <w:t>Carroux</w:t>
      </w:r>
      <w:proofErr w:type="spellEnd"/>
      <w:r w:rsidR="00050DC9" w:rsidRPr="00BD4E62">
        <w:rPr>
          <w:rFonts w:ascii="Arial" w:hAnsi="Arial" w:cs="Arial"/>
          <w:sz w:val="24"/>
          <w:szCs w:val="24"/>
          <w:lang w:val="en-GB"/>
        </w:rPr>
        <w:t xml:space="preserve"> and Joyce, 2019). For instance, government supportive policies such as the tax credits, </w:t>
      </w:r>
      <w:r w:rsidR="004D651D" w:rsidRPr="00BD4E62">
        <w:rPr>
          <w:rFonts w:ascii="Arial" w:hAnsi="Arial" w:cs="Arial"/>
          <w:sz w:val="24"/>
          <w:szCs w:val="24"/>
          <w:lang w:val="en-GB"/>
        </w:rPr>
        <w:t xml:space="preserve">charging infrastructure and subsidies for EVs have greatly benefitted Tesla profitability especially in markets such as Europe, China, and the US, supporting rapid adoption of the EVs (Dyer et al, 2020). </w:t>
      </w:r>
      <w:r w:rsidR="000B45C6" w:rsidRPr="00BD4E62">
        <w:rPr>
          <w:rFonts w:ascii="Arial" w:hAnsi="Arial" w:cs="Arial"/>
          <w:sz w:val="24"/>
          <w:szCs w:val="24"/>
          <w:lang w:val="en-GB"/>
        </w:rPr>
        <w:t>The increasing environmental awareness regarding carbon emissions have significantly improved Tesla’s reputation as a sustainable organisation which strengthened investor confidence and customer loyalty. This is more applicable to environmentally conscious consumers (</w:t>
      </w:r>
      <w:proofErr w:type="spellStart"/>
      <w:r w:rsidR="000B45C6" w:rsidRPr="00BD4E62">
        <w:rPr>
          <w:rFonts w:ascii="Arial" w:hAnsi="Arial" w:cs="Arial"/>
          <w:sz w:val="24"/>
          <w:szCs w:val="24"/>
          <w:lang w:val="en-GB"/>
        </w:rPr>
        <w:t>Lüdeke</w:t>
      </w:r>
      <w:proofErr w:type="spellEnd"/>
      <w:r w:rsidR="000B45C6" w:rsidRPr="00BD4E62">
        <w:rPr>
          <w:rFonts w:ascii="Cambria Math" w:hAnsi="Cambria Math" w:cs="Cambria Math"/>
          <w:sz w:val="24"/>
          <w:szCs w:val="24"/>
          <w:lang w:val="en-GB"/>
        </w:rPr>
        <w:t>‐</w:t>
      </w:r>
      <w:r w:rsidR="000B45C6" w:rsidRPr="00BD4E62">
        <w:rPr>
          <w:rFonts w:ascii="Arial" w:hAnsi="Arial" w:cs="Arial"/>
          <w:sz w:val="24"/>
          <w:szCs w:val="24"/>
          <w:lang w:val="en-GB"/>
        </w:rPr>
        <w:t xml:space="preserve">Freund, </w:t>
      </w:r>
      <w:proofErr w:type="spellStart"/>
      <w:r w:rsidR="000B45C6" w:rsidRPr="00BD4E62">
        <w:rPr>
          <w:rFonts w:ascii="Arial" w:hAnsi="Arial" w:cs="Arial"/>
          <w:sz w:val="24"/>
          <w:szCs w:val="24"/>
          <w:lang w:val="en-GB"/>
        </w:rPr>
        <w:t>Carroux</w:t>
      </w:r>
      <w:proofErr w:type="spellEnd"/>
      <w:r w:rsidR="000B45C6" w:rsidRPr="00BD4E62">
        <w:rPr>
          <w:rFonts w:ascii="Arial" w:hAnsi="Arial" w:cs="Arial"/>
          <w:sz w:val="24"/>
          <w:szCs w:val="24"/>
          <w:lang w:val="en-GB"/>
        </w:rPr>
        <w:t xml:space="preserve"> and Joyce, 2019).</w:t>
      </w:r>
    </w:p>
    <w:p w14:paraId="30549511" w14:textId="77777777" w:rsidR="002B0891" w:rsidRPr="00BD4E62" w:rsidRDefault="000B45C6" w:rsidP="001E5527">
      <w:pPr>
        <w:spacing w:line="480" w:lineRule="auto"/>
        <w:jc w:val="both"/>
        <w:rPr>
          <w:rFonts w:ascii="Arial" w:hAnsi="Arial" w:cs="Arial"/>
          <w:b/>
          <w:sz w:val="24"/>
          <w:szCs w:val="24"/>
          <w:lang w:val="en-GB"/>
        </w:rPr>
      </w:pPr>
      <w:r w:rsidRPr="00BD4E62">
        <w:rPr>
          <w:rFonts w:ascii="Arial" w:hAnsi="Arial" w:cs="Arial"/>
          <w:b/>
          <w:sz w:val="24"/>
          <w:szCs w:val="24"/>
          <w:lang w:val="en-GB"/>
        </w:rPr>
        <w:t>T</w:t>
      </w:r>
      <w:r w:rsidR="001E5527" w:rsidRPr="00BD4E62">
        <w:rPr>
          <w:rFonts w:ascii="Arial" w:hAnsi="Arial" w:cs="Arial"/>
          <w:b/>
          <w:sz w:val="24"/>
          <w:szCs w:val="24"/>
          <w:lang w:val="en-GB"/>
        </w:rPr>
        <w:t>hreats</w:t>
      </w:r>
    </w:p>
    <w:p w14:paraId="37E78AB0" w14:textId="77777777" w:rsidR="002B0891" w:rsidRPr="00BD4E62" w:rsidRDefault="001E5527" w:rsidP="00172C30">
      <w:pPr>
        <w:spacing w:line="480" w:lineRule="auto"/>
        <w:jc w:val="both"/>
        <w:rPr>
          <w:rFonts w:ascii="Arial" w:hAnsi="Arial" w:cs="Arial"/>
          <w:sz w:val="24"/>
          <w:szCs w:val="24"/>
          <w:lang w:val="en-GB"/>
        </w:rPr>
      </w:pPr>
      <w:r w:rsidRPr="00BD4E62">
        <w:rPr>
          <w:rFonts w:ascii="Arial" w:hAnsi="Arial" w:cs="Arial"/>
          <w:sz w:val="24"/>
          <w:szCs w:val="24"/>
          <w:lang w:val="en-GB"/>
        </w:rPr>
        <w:t xml:space="preserve">Environmental and legal factors have also posed threats to Tesla in diverse aspects. Tesla was critiqued for its approach to lithium extraction and battery production thereby raising concerns regarding its ethical sourcing practices and sustainable disposal or recycling of battery (Johnson et al., 2020). Also, new government regulations on consumer safety, autonomous driving, sustainable battery recycling or disposal and labour practices may lead to operational complexities and difficulty in compliance to </w:t>
      </w:r>
      <w:r w:rsidR="00172C30" w:rsidRPr="00BD4E62">
        <w:rPr>
          <w:rFonts w:ascii="Arial" w:hAnsi="Arial" w:cs="Arial"/>
          <w:sz w:val="24"/>
          <w:szCs w:val="24"/>
          <w:lang w:val="en-GB"/>
        </w:rPr>
        <w:t>numerous rapidly changing international regulations. This also increased costs (Johnson et al., 2020).</w:t>
      </w:r>
    </w:p>
    <w:p w14:paraId="48C04FCA" w14:textId="77777777" w:rsidR="002B0891" w:rsidRPr="00BD4E62" w:rsidRDefault="002B0891">
      <w:pPr>
        <w:rPr>
          <w:rFonts w:ascii="Arial" w:hAnsi="Arial" w:cs="Arial"/>
          <w:sz w:val="24"/>
          <w:szCs w:val="24"/>
          <w:lang w:val="en-GB"/>
        </w:rPr>
      </w:pPr>
    </w:p>
    <w:p w14:paraId="14C1C7A9" w14:textId="77777777" w:rsidR="00172C30" w:rsidRPr="00BD4E62" w:rsidRDefault="00172C30">
      <w:pPr>
        <w:rPr>
          <w:rFonts w:ascii="Arial" w:hAnsi="Arial" w:cs="Arial"/>
          <w:sz w:val="24"/>
          <w:szCs w:val="24"/>
          <w:lang w:val="en-GB"/>
        </w:rPr>
      </w:pPr>
    </w:p>
    <w:p w14:paraId="6915589D" w14:textId="77777777" w:rsidR="002B0891" w:rsidRPr="00BD4E62" w:rsidRDefault="00BD4E62" w:rsidP="008B1EBE">
      <w:pPr>
        <w:spacing w:line="480" w:lineRule="auto"/>
        <w:jc w:val="both"/>
        <w:rPr>
          <w:rFonts w:ascii="Arial" w:hAnsi="Arial" w:cs="Arial"/>
          <w:b/>
          <w:sz w:val="24"/>
          <w:szCs w:val="24"/>
          <w:lang w:val="en-GB"/>
        </w:rPr>
      </w:pPr>
      <w:r w:rsidRPr="00BD4E62">
        <w:rPr>
          <w:rFonts w:ascii="Arial" w:hAnsi="Arial" w:cs="Arial"/>
          <w:b/>
          <w:sz w:val="24"/>
          <w:szCs w:val="24"/>
          <w:lang w:val="en-GB"/>
        </w:rPr>
        <w:t>Effect</w:t>
      </w:r>
      <w:r w:rsidR="00172C30" w:rsidRPr="00BD4E62">
        <w:rPr>
          <w:rFonts w:ascii="Arial" w:hAnsi="Arial" w:cs="Arial"/>
          <w:b/>
          <w:sz w:val="24"/>
          <w:szCs w:val="24"/>
          <w:lang w:val="en-GB"/>
        </w:rPr>
        <w:t xml:space="preserve"> on T</w:t>
      </w:r>
      <w:r w:rsidRPr="00BD4E62">
        <w:rPr>
          <w:rFonts w:ascii="Arial" w:hAnsi="Arial" w:cs="Arial"/>
          <w:b/>
          <w:sz w:val="24"/>
          <w:szCs w:val="24"/>
          <w:lang w:val="en-GB"/>
        </w:rPr>
        <w:t>oyota</w:t>
      </w:r>
    </w:p>
    <w:p w14:paraId="72F55E0B" w14:textId="77777777" w:rsidR="005529E4" w:rsidRPr="00B659A8" w:rsidRDefault="005529E4" w:rsidP="008B1EBE">
      <w:pPr>
        <w:spacing w:line="480" w:lineRule="auto"/>
        <w:jc w:val="both"/>
        <w:rPr>
          <w:rFonts w:ascii="Arial" w:hAnsi="Arial" w:cs="Arial"/>
          <w:b/>
          <w:sz w:val="24"/>
          <w:szCs w:val="24"/>
          <w:u w:val="single"/>
          <w:lang w:val="en-GB"/>
        </w:rPr>
      </w:pPr>
      <w:r w:rsidRPr="00B659A8">
        <w:rPr>
          <w:rFonts w:ascii="Arial" w:hAnsi="Arial" w:cs="Arial"/>
          <w:b/>
          <w:sz w:val="24"/>
          <w:szCs w:val="24"/>
          <w:u w:val="single"/>
          <w:lang w:val="en-GB"/>
        </w:rPr>
        <w:t xml:space="preserve">Opportunities </w:t>
      </w:r>
    </w:p>
    <w:p w14:paraId="4A25B220" w14:textId="77777777" w:rsidR="005529E4" w:rsidRDefault="0044070B" w:rsidP="008B1EBE">
      <w:pPr>
        <w:spacing w:line="480" w:lineRule="auto"/>
        <w:jc w:val="both"/>
        <w:rPr>
          <w:rFonts w:ascii="Arial" w:hAnsi="Arial" w:cs="Arial"/>
          <w:b/>
          <w:sz w:val="24"/>
          <w:szCs w:val="24"/>
          <w:lang w:val="en-GB"/>
        </w:rPr>
      </w:pPr>
      <w:r>
        <w:rPr>
          <w:rFonts w:ascii="Arial" w:hAnsi="Arial" w:cs="Arial"/>
          <w:sz w:val="24"/>
          <w:szCs w:val="24"/>
          <w:lang w:val="en-GB"/>
        </w:rPr>
        <w:t>While the environmental and legal factors have had their fair share of challenges</w:t>
      </w:r>
      <w:r w:rsidR="003335BD">
        <w:rPr>
          <w:rFonts w:ascii="Arial" w:hAnsi="Arial" w:cs="Arial"/>
          <w:sz w:val="24"/>
          <w:szCs w:val="24"/>
          <w:lang w:val="en-GB"/>
        </w:rPr>
        <w:t xml:space="preserve"> on its operations</w:t>
      </w:r>
      <w:r>
        <w:rPr>
          <w:rFonts w:ascii="Arial" w:hAnsi="Arial" w:cs="Arial"/>
          <w:sz w:val="24"/>
          <w:szCs w:val="24"/>
          <w:lang w:val="en-GB"/>
        </w:rPr>
        <w:t xml:space="preserve">, Toyota </w:t>
      </w:r>
      <w:r w:rsidR="003335BD">
        <w:rPr>
          <w:rFonts w:ascii="Arial" w:hAnsi="Arial" w:cs="Arial"/>
          <w:sz w:val="24"/>
          <w:szCs w:val="24"/>
          <w:lang w:val="en-GB"/>
        </w:rPr>
        <w:t xml:space="preserve">have leveraged its strong global operations and financial position to ensure compliance with environmental regulation and scale EV production. According to Kotler and Keller (2019), </w:t>
      </w:r>
      <w:r w:rsidR="00184B4B">
        <w:rPr>
          <w:rFonts w:ascii="Arial" w:hAnsi="Arial" w:cs="Arial"/>
          <w:sz w:val="24"/>
          <w:szCs w:val="24"/>
          <w:lang w:val="en-GB"/>
        </w:rPr>
        <w:t xml:space="preserve">Toyota has invested in alternative fuel technology as well as sustainable manufacturing to drive and support future </w:t>
      </w:r>
      <w:r w:rsidR="00A03978">
        <w:rPr>
          <w:rFonts w:ascii="Arial" w:hAnsi="Arial" w:cs="Arial"/>
          <w:sz w:val="24"/>
          <w:szCs w:val="24"/>
          <w:lang w:val="en-GB"/>
        </w:rPr>
        <w:t xml:space="preserve">market competitive advantage. Toyota also has opportunities in diversified product portfolio thereby supporting agility and resilient technological transition </w:t>
      </w:r>
    </w:p>
    <w:p w14:paraId="232F3F48" w14:textId="77777777" w:rsidR="00BD4E62" w:rsidRPr="00B659A8" w:rsidRDefault="005529E4" w:rsidP="008B1EBE">
      <w:pPr>
        <w:spacing w:line="480" w:lineRule="auto"/>
        <w:jc w:val="both"/>
        <w:rPr>
          <w:rFonts w:ascii="Arial" w:hAnsi="Arial" w:cs="Arial"/>
          <w:sz w:val="24"/>
          <w:szCs w:val="24"/>
          <w:u w:val="single"/>
          <w:lang w:val="en-GB"/>
        </w:rPr>
      </w:pPr>
      <w:r w:rsidRPr="00B659A8">
        <w:rPr>
          <w:rFonts w:ascii="Arial" w:hAnsi="Arial" w:cs="Arial"/>
          <w:b/>
          <w:sz w:val="24"/>
          <w:szCs w:val="24"/>
          <w:u w:val="single"/>
          <w:lang w:val="en-GB"/>
        </w:rPr>
        <w:t xml:space="preserve">Threats </w:t>
      </w:r>
    </w:p>
    <w:p w14:paraId="669B75D6" w14:textId="77777777" w:rsidR="002B0891" w:rsidRDefault="008B1EBE" w:rsidP="008B1EBE">
      <w:pPr>
        <w:spacing w:line="480" w:lineRule="auto"/>
        <w:jc w:val="both"/>
        <w:rPr>
          <w:rFonts w:ascii="Arial" w:hAnsi="Arial" w:cs="Arial"/>
          <w:sz w:val="24"/>
          <w:szCs w:val="24"/>
          <w:lang w:val="en-GB"/>
        </w:rPr>
      </w:pPr>
      <w:r>
        <w:rPr>
          <w:rFonts w:ascii="Arial" w:hAnsi="Arial" w:cs="Arial"/>
          <w:sz w:val="24"/>
          <w:szCs w:val="24"/>
          <w:lang w:val="en-GB"/>
        </w:rPr>
        <w:t>Initially, Toyota enjoyed strong market leadership in hybrid technology, being positioned as a</w:t>
      </w:r>
      <w:r w:rsidR="00FE12EC">
        <w:rPr>
          <w:rFonts w:ascii="Arial" w:hAnsi="Arial" w:cs="Arial"/>
          <w:sz w:val="24"/>
          <w:szCs w:val="24"/>
          <w:lang w:val="en-GB"/>
        </w:rPr>
        <w:t>n</w:t>
      </w:r>
      <w:r>
        <w:rPr>
          <w:rFonts w:ascii="Arial" w:hAnsi="Arial" w:cs="Arial"/>
          <w:sz w:val="24"/>
          <w:szCs w:val="24"/>
          <w:lang w:val="en-GB"/>
        </w:rPr>
        <w:t xml:space="preserve"> environmentally responsible automaker via its Toyota P</w:t>
      </w:r>
      <w:r w:rsidR="00FE12EC">
        <w:rPr>
          <w:rFonts w:ascii="Arial" w:hAnsi="Arial" w:cs="Arial"/>
          <w:sz w:val="24"/>
          <w:szCs w:val="24"/>
          <w:lang w:val="en-GB"/>
        </w:rPr>
        <w:t xml:space="preserve">rius, thereby having strategic competitive advantage through the environmental regulations before the rapid transition into </w:t>
      </w:r>
      <w:r w:rsidR="00FE12EC" w:rsidRPr="00FE12EC">
        <w:rPr>
          <w:rFonts w:ascii="Arial" w:hAnsi="Arial" w:cs="Arial"/>
          <w:sz w:val="24"/>
          <w:szCs w:val="24"/>
          <w:lang w:val="en-GB"/>
        </w:rPr>
        <w:t>battery-electric vehicles (Wells and Nieuwenhuis, 2021).</w:t>
      </w:r>
      <w:r w:rsidR="00FE12EC">
        <w:rPr>
          <w:rFonts w:ascii="Arial" w:hAnsi="Arial" w:cs="Arial"/>
          <w:sz w:val="24"/>
          <w:szCs w:val="24"/>
          <w:lang w:val="en-GB"/>
        </w:rPr>
        <w:t xml:space="preserve"> With the government </w:t>
      </w:r>
      <w:r w:rsidR="005529E4">
        <w:rPr>
          <w:rFonts w:ascii="Arial" w:hAnsi="Arial" w:cs="Arial"/>
          <w:sz w:val="24"/>
          <w:szCs w:val="24"/>
          <w:lang w:val="en-GB"/>
        </w:rPr>
        <w:t>giving</w:t>
      </w:r>
      <w:r w:rsidR="00FE12EC">
        <w:rPr>
          <w:rFonts w:ascii="Arial" w:hAnsi="Arial" w:cs="Arial"/>
          <w:sz w:val="24"/>
          <w:szCs w:val="24"/>
          <w:lang w:val="en-GB"/>
        </w:rPr>
        <w:t xml:space="preserve"> strong focus to full electric vehicles over hybrid technology, Toyota have faced strategic pressures based on its slower transition from hybrid to full </w:t>
      </w:r>
      <w:r w:rsidR="00FE12EC" w:rsidRPr="00FE12EC">
        <w:rPr>
          <w:rFonts w:ascii="Arial" w:hAnsi="Arial" w:cs="Arial"/>
          <w:sz w:val="24"/>
          <w:szCs w:val="24"/>
          <w:lang w:val="en-GB"/>
        </w:rPr>
        <w:t>battery-electric vehicles</w:t>
      </w:r>
      <w:r w:rsidR="00FE12EC">
        <w:rPr>
          <w:rFonts w:ascii="Arial" w:hAnsi="Arial" w:cs="Arial"/>
          <w:sz w:val="24"/>
          <w:szCs w:val="24"/>
          <w:lang w:val="en-GB"/>
        </w:rPr>
        <w:t xml:space="preserve"> as a follower</w:t>
      </w:r>
      <w:r w:rsidR="008E589B">
        <w:rPr>
          <w:rFonts w:ascii="Arial" w:hAnsi="Arial" w:cs="Arial"/>
          <w:sz w:val="24"/>
          <w:szCs w:val="24"/>
          <w:lang w:val="en-GB"/>
        </w:rPr>
        <w:t xml:space="preserve"> (Wells and Nieuwenhuis, </w:t>
      </w:r>
      <w:r w:rsidR="006E12F8">
        <w:rPr>
          <w:rFonts w:ascii="Arial" w:hAnsi="Arial" w:cs="Arial"/>
          <w:sz w:val="24"/>
          <w:szCs w:val="24"/>
          <w:lang w:val="en-GB"/>
        </w:rPr>
        <w:t xml:space="preserve">2021). </w:t>
      </w:r>
    </w:p>
    <w:p w14:paraId="750473EC" w14:textId="77777777" w:rsidR="0078297E" w:rsidRDefault="0078297E" w:rsidP="008B1EBE">
      <w:pPr>
        <w:spacing w:line="480" w:lineRule="auto"/>
        <w:jc w:val="both"/>
        <w:rPr>
          <w:rFonts w:ascii="Arial" w:hAnsi="Arial" w:cs="Arial"/>
          <w:b/>
          <w:sz w:val="24"/>
          <w:szCs w:val="24"/>
          <w:lang w:val="en-GB"/>
        </w:rPr>
      </w:pPr>
    </w:p>
    <w:p w14:paraId="46E01520" w14:textId="77777777" w:rsidR="0078297E" w:rsidRDefault="0078297E" w:rsidP="008B1EBE">
      <w:pPr>
        <w:spacing w:line="480" w:lineRule="auto"/>
        <w:jc w:val="both"/>
        <w:rPr>
          <w:rFonts w:ascii="Arial" w:hAnsi="Arial" w:cs="Arial"/>
          <w:b/>
          <w:sz w:val="24"/>
          <w:szCs w:val="24"/>
          <w:lang w:val="en-GB"/>
        </w:rPr>
      </w:pPr>
    </w:p>
    <w:p w14:paraId="1D975826" w14:textId="77777777" w:rsidR="006E12F8" w:rsidRPr="006E12F8" w:rsidRDefault="006E12F8" w:rsidP="001E4320">
      <w:pPr>
        <w:pStyle w:val="Heading2"/>
        <w:rPr>
          <w:rFonts w:ascii="Arial" w:hAnsi="Arial" w:cs="Arial"/>
          <w:b/>
          <w:sz w:val="24"/>
          <w:szCs w:val="24"/>
          <w:lang w:val="en-GB"/>
        </w:rPr>
      </w:pPr>
      <w:bookmarkStart w:id="6" w:name="_Toc229647789"/>
      <w:r w:rsidRPr="006E12F8">
        <w:rPr>
          <w:rFonts w:ascii="Arial" w:hAnsi="Arial" w:cs="Arial"/>
          <w:b/>
          <w:sz w:val="24"/>
          <w:szCs w:val="24"/>
          <w:lang w:val="en-GB"/>
        </w:rPr>
        <w:lastRenderedPageBreak/>
        <w:t>Porter’s 5 forces</w:t>
      </w:r>
      <w:r w:rsidR="00EA154C">
        <w:rPr>
          <w:rFonts w:ascii="Arial" w:hAnsi="Arial" w:cs="Arial"/>
          <w:b/>
          <w:sz w:val="24"/>
          <w:szCs w:val="24"/>
          <w:lang w:val="en-GB"/>
        </w:rPr>
        <w:t xml:space="preserve"> – Competition in the automobile industry</w:t>
      </w:r>
      <w:bookmarkEnd w:id="6"/>
    </w:p>
    <w:tbl>
      <w:tblPr>
        <w:tblStyle w:val="TableGrid"/>
        <w:tblW w:w="10506" w:type="dxa"/>
        <w:tblLook w:val="04A0" w:firstRow="1" w:lastRow="0" w:firstColumn="1" w:lastColumn="0" w:noHBand="0" w:noVBand="1"/>
      </w:tblPr>
      <w:tblGrid>
        <w:gridCol w:w="4361"/>
        <w:gridCol w:w="6145"/>
      </w:tblGrid>
      <w:tr w:rsidR="005F2958" w14:paraId="4B9D83C7" w14:textId="77777777" w:rsidTr="005F2958">
        <w:trPr>
          <w:trHeight w:val="619"/>
        </w:trPr>
        <w:tc>
          <w:tcPr>
            <w:tcW w:w="4361" w:type="dxa"/>
          </w:tcPr>
          <w:p w14:paraId="521D7661" w14:textId="77777777" w:rsidR="005F2958" w:rsidRPr="005F2958" w:rsidRDefault="005F2958" w:rsidP="00286C83">
            <w:pPr>
              <w:tabs>
                <w:tab w:val="left" w:pos="1549"/>
              </w:tabs>
              <w:spacing w:line="480" w:lineRule="auto"/>
              <w:rPr>
                <w:rFonts w:ascii="Arial" w:hAnsi="Arial" w:cs="Arial"/>
                <w:b/>
                <w:lang w:val="en-GB"/>
              </w:rPr>
            </w:pPr>
            <w:r w:rsidRPr="005F2958">
              <w:rPr>
                <w:rFonts w:ascii="Arial" w:hAnsi="Arial" w:cs="Arial"/>
                <w:b/>
                <w:lang w:val="en-GB"/>
              </w:rPr>
              <w:t xml:space="preserve">Porters 5 forces </w:t>
            </w:r>
          </w:p>
        </w:tc>
        <w:tc>
          <w:tcPr>
            <w:tcW w:w="6145" w:type="dxa"/>
          </w:tcPr>
          <w:p w14:paraId="4F535981" w14:textId="77777777" w:rsidR="005F2958" w:rsidRDefault="005F2958" w:rsidP="00286C83">
            <w:pPr>
              <w:tabs>
                <w:tab w:val="left" w:pos="1549"/>
              </w:tabs>
              <w:spacing w:line="480" w:lineRule="auto"/>
              <w:rPr>
                <w:rFonts w:ascii="Arial" w:hAnsi="Arial" w:cs="Arial"/>
                <w:lang w:val="en-GB"/>
              </w:rPr>
            </w:pPr>
            <w:r w:rsidRPr="005F2958">
              <w:rPr>
                <w:rFonts w:ascii="Arial" w:hAnsi="Arial" w:cs="Arial"/>
                <w:b/>
                <w:lang w:val="en-GB"/>
              </w:rPr>
              <w:t>Explanations</w:t>
            </w:r>
          </w:p>
        </w:tc>
      </w:tr>
      <w:tr w:rsidR="005F2958" w14:paraId="5FCDBE51" w14:textId="77777777" w:rsidTr="005F2958">
        <w:trPr>
          <w:trHeight w:val="487"/>
        </w:trPr>
        <w:tc>
          <w:tcPr>
            <w:tcW w:w="4361" w:type="dxa"/>
          </w:tcPr>
          <w:p w14:paraId="74D541EE" w14:textId="77777777" w:rsidR="005F2958" w:rsidRPr="005F2958" w:rsidRDefault="005F2958" w:rsidP="00286C83">
            <w:pPr>
              <w:tabs>
                <w:tab w:val="left" w:pos="1549"/>
              </w:tabs>
              <w:spacing w:line="360" w:lineRule="auto"/>
              <w:rPr>
                <w:rFonts w:ascii="Arial" w:hAnsi="Arial" w:cs="Arial"/>
                <w:sz w:val="24"/>
                <w:szCs w:val="24"/>
                <w:lang w:val="en-GB"/>
              </w:rPr>
            </w:pPr>
            <w:r w:rsidRPr="005F2958">
              <w:rPr>
                <w:rFonts w:ascii="Arial" w:hAnsi="Arial" w:cs="Arial"/>
                <w:sz w:val="24"/>
                <w:szCs w:val="24"/>
                <w:lang w:val="en-GB"/>
              </w:rPr>
              <w:t>Threat of entrants – Moderate</w:t>
            </w:r>
          </w:p>
        </w:tc>
        <w:tc>
          <w:tcPr>
            <w:tcW w:w="6145" w:type="dxa"/>
          </w:tcPr>
          <w:p w14:paraId="344F4318" w14:textId="77777777" w:rsidR="005F2958" w:rsidRPr="005F2958" w:rsidRDefault="005F2958" w:rsidP="00286C83">
            <w:pPr>
              <w:tabs>
                <w:tab w:val="left" w:pos="1549"/>
              </w:tabs>
              <w:spacing w:line="360" w:lineRule="auto"/>
              <w:rPr>
                <w:rFonts w:ascii="Arial" w:hAnsi="Arial" w:cs="Arial"/>
                <w:sz w:val="24"/>
                <w:szCs w:val="24"/>
                <w:lang w:val="en-GB"/>
              </w:rPr>
            </w:pPr>
            <w:r>
              <w:rPr>
                <w:rFonts w:ascii="Arial" w:hAnsi="Arial" w:cs="Arial"/>
                <w:sz w:val="24"/>
                <w:szCs w:val="24"/>
                <w:lang w:val="en-GB"/>
              </w:rPr>
              <w:t xml:space="preserve">The factors contributing these threats are complex regulatory standards, technological complexity, </w:t>
            </w:r>
            <w:r w:rsidR="00C84204">
              <w:rPr>
                <w:rFonts w:ascii="Arial" w:hAnsi="Arial" w:cs="Arial"/>
                <w:sz w:val="24"/>
                <w:szCs w:val="24"/>
                <w:lang w:val="en-GB"/>
              </w:rPr>
              <w:t xml:space="preserve">and high capital requirements serving as barriers for new entrants </w:t>
            </w:r>
            <w:r w:rsidR="00C84204" w:rsidRPr="00C84204">
              <w:rPr>
                <w:rFonts w:ascii="Arial" w:hAnsi="Arial" w:cs="Arial"/>
                <w:sz w:val="24"/>
                <w:szCs w:val="24"/>
                <w:lang w:val="en-GB"/>
              </w:rPr>
              <w:t>(Johnson et al., 2020).</w:t>
            </w:r>
          </w:p>
        </w:tc>
      </w:tr>
      <w:tr w:rsidR="005F2958" w14:paraId="60CFE50D" w14:textId="77777777" w:rsidTr="005F2958">
        <w:trPr>
          <w:trHeight w:val="487"/>
        </w:trPr>
        <w:tc>
          <w:tcPr>
            <w:tcW w:w="4361" w:type="dxa"/>
          </w:tcPr>
          <w:p w14:paraId="730B1804" w14:textId="77777777" w:rsidR="005F2958" w:rsidRPr="005F2958" w:rsidRDefault="005F2958" w:rsidP="00286C83">
            <w:pPr>
              <w:tabs>
                <w:tab w:val="left" w:pos="1549"/>
              </w:tabs>
              <w:spacing w:line="360" w:lineRule="auto"/>
              <w:rPr>
                <w:rFonts w:ascii="Arial" w:hAnsi="Arial" w:cs="Arial"/>
                <w:sz w:val="24"/>
                <w:szCs w:val="24"/>
                <w:lang w:val="en-GB"/>
              </w:rPr>
            </w:pPr>
            <w:r w:rsidRPr="005F2958">
              <w:rPr>
                <w:rFonts w:ascii="Arial" w:hAnsi="Arial" w:cs="Arial"/>
                <w:sz w:val="24"/>
                <w:szCs w:val="24"/>
                <w:lang w:val="en-GB"/>
              </w:rPr>
              <w:t>Bargaining Power of Buyers</w:t>
            </w:r>
            <w:r w:rsidR="00C84204">
              <w:rPr>
                <w:rFonts w:ascii="Arial" w:hAnsi="Arial" w:cs="Arial"/>
                <w:sz w:val="24"/>
                <w:szCs w:val="24"/>
                <w:lang w:val="en-GB"/>
              </w:rPr>
              <w:t xml:space="preserve"> – Moderate</w:t>
            </w:r>
          </w:p>
        </w:tc>
        <w:tc>
          <w:tcPr>
            <w:tcW w:w="6145" w:type="dxa"/>
          </w:tcPr>
          <w:p w14:paraId="0BA5558E" w14:textId="77777777" w:rsidR="005F2958" w:rsidRPr="005F2958" w:rsidRDefault="00C84204" w:rsidP="00286C83">
            <w:pPr>
              <w:tabs>
                <w:tab w:val="left" w:pos="1549"/>
              </w:tabs>
              <w:spacing w:line="360" w:lineRule="auto"/>
              <w:rPr>
                <w:rFonts w:ascii="Arial" w:hAnsi="Arial" w:cs="Arial"/>
                <w:sz w:val="24"/>
                <w:szCs w:val="24"/>
                <w:lang w:val="en-GB"/>
              </w:rPr>
            </w:pPr>
            <w:r>
              <w:rPr>
                <w:rFonts w:ascii="Arial" w:hAnsi="Arial" w:cs="Arial"/>
                <w:sz w:val="24"/>
                <w:szCs w:val="24"/>
                <w:lang w:val="en-GB"/>
              </w:rPr>
              <w:t xml:space="preserve">Buyers can compare pricing, battery range, features and sustainability performance of the EV brands </w:t>
            </w:r>
            <w:r w:rsidRPr="00C84204">
              <w:rPr>
                <w:rFonts w:ascii="Arial" w:hAnsi="Arial" w:cs="Arial"/>
                <w:sz w:val="24"/>
                <w:szCs w:val="24"/>
                <w:lang w:val="en-GB"/>
              </w:rPr>
              <w:t>(Kotler and Keller, 2019).</w:t>
            </w:r>
            <w:r>
              <w:rPr>
                <w:rFonts w:ascii="Arial" w:hAnsi="Arial" w:cs="Arial"/>
                <w:sz w:val="24"/>
                <w:szCs w:val="24"/>
                <w:lang w:val="en-GB"/>
              </w:rPr>
              <w:t xml:space="preserve"> However, </w:t>
            </w:r>
            <w:r w:rsidR="00DA10E8">
              <w:rPr>
                <w:rFonts w:ascii="Arial" w:hAnsi="Arial" w:cs="Arial"/>
                <w:sz w:val="24"/>
                <w:szCs w:val="24"/>
                <w:lang w:val="en-GB"/>
              </w:rPr>
              <w:t xml:space="preserve">while Tesla I premium brand with low bargaining power, Toyota seeks affordability, quality and reliability with consumers having high bargaining power. </w:t>
            </w:r>
          </w:p>
        </w:tc>
      </w:tr>
      <w:tr w:rsidR="005F2958" w14:paraId="4B1EA03F" w14:textId="77777777" w:rsidTr="005F2958">
        <w:trPr>
          <w:trHeight w:val="487"/>
        </w:trPr>
        <w:tc>
          <w:tcPr>
            <w:tcW w:w="4361" w:type="dxa"/>
          </w:tcPr>
          <w:p w14:paraId="229313F8" w14:textId="77777777" w:rsidR="005F2958" w:rsidRPr="005F2958" w:rsidRDefault="005F2958" w:rsidP="00286C83">
            <w:pPr>
              <w:tabs>
                <w:tab w:val="left" w:pos="1549"/>
              </w:tabs>
              <w:spacing w:line="360" w:lineRule="auto"/>
              <w:rPr>
                <w:rFonts w:ascii="Arial" w:hAnsi="Arial" w:cs="Arial"/>
                <w:sz w:val="24"/>
                <w:szCs w:val="24"/>
                <w:lang w:val="en-GB"/>
              </w:rPr>
            </w:pPr>
            <w:r w:rsidRPr="005F2958">
              <w:rPr>
                <w:rFonts w:ascii="Arial" w:hAnsi="Arial" w:cs="Arial"/>
                <w:sz w:val="24"/>
                <w:szCs w:val="24"/>
                <w:lang w:val="en-GB"/>
              </w:rPr>
              <w:t>Bargaining Power of Suppliers</w:t>
            </w:r>
            <w:r w:rsidR="00286C83">
              <w:rPr>
                <w:rFonts w:ascii="Arial" w:hAnsi="Arial" w:cs="Arial"/>
                <w:sz w:val="24"/>
                <w:szCs w:val="24"/>
                <w:lang w:val="en-GB"/>
              </w:rPr>
              <w:t xml:space="preserve"> – High </w:t>
            </w:r>
          </w:p>
        </w:tc>
        <w:tc>
          <w:tcPr>
            <w:tcW w:w="6145" w:type="dxa"/>
          </w:tcPr>
          <w:p w14:paraId="7F71C850" w14:textId="77777777" w:rsidR="005F2958" w:rsidRPr="005F2958" w:rsidRDefault="00547899" w:rsidP="00725185">
            <w:pPr>
              <w:tabs>
                <w:tab w:val="left" w:pos="1549"/>
              </w:tabs>
              <w:spacing w:line="360" w:lineRule="auto"/>
              <w:rPr>
                <w:rFonts w:ascii="Arial" w:hAnsi="Arial" w:cs="Arial"/>
                <w:sz w:val="24"/>
                <w:szCs w:val="24"/>
                <w:lang w:val="en-GB"/>
              </w:rPr>
            </w:pPr>
            <w:r>
              <w:rPr>
                <w:rFonts w:ascii="Arial" w:hAnsi="Arial" w:cs="Arial"/>
                <w:sz w:val="24"/>
                <w:szCs w:val="24"/>
                <w:lang w:val="en-GB"/>
              </w:rPr>
              <w:t xml:space="preserve">There is </w:t>
            </w:r>
            <w:r w:rsidR="005D09E1" w:rsidRPr="005D09E1">
              <w:rPr>
                <w:rFonts w:ascii="Arial" w:hAnsi="Arial" w:cs="Arial"/>
                <w:sz w:val="24"/>
                <w:szCs w:val="24"/>
                <w:lang w:val="en-GB"/>
              </w:rPr>
              <w:t>limited global availability of cobalt, lithium, rare earth</w:t>
            </w:r>
            <w:r w:rsidR="005D09E1">
              <w:rPr>
                <w:rFonts w:ascii="Arial" w:hAnsi="Arial" w:cs="Arial"/>
                <w:sz w:val="24"/>
                <w:szCs w:val="24"/>
                <w:lang w:val="en-GB"/>
              </w:rPr>
              <w:t xml:space="preserve"> and other sustainable materials needed for producing EV</w:t>
            </w:r>
            <w:r w:rsidR="002C576B">
              <w:rPr>
                <w:rFonts w:ascii="Arial" w:hAnsi="Arial" w:cs="Arial"/>
                <w:sz w:val="24"/>
                <w:szCs w:val="24"/>
                <w:lang w:val="en-GB"/>
              </w:rPr>
              <w:t>s. For Tesla</w:t>
            </w:r>
            <w:r w:rsidR="00725185">
              <w:rPr>
                <w:rFonts w:ascii="Arial" w:hAnsi="Arial" w:cs="Arial"/>
                <w:sz w:val="24"/>
                <w:szCs w:val="24"/>
                <w:lang w:val="en-GB"/>
              </w:rPr>
              <w:t>,</w:t>
            </w:r>
            <w:r w:rsidR="002C576B">
              <w:rPr>
                <w:rFonts w:ascii="Arial" w:hAnsi="Arial" w:cs="Arial"/>
                <w:sz w:val="24"/>
                <w:szCs w:val="24"/>
                <w:lang w:val="en-GB"/>
              </w:rPr>
              <w:t xml:space="preserve"> this </w:t>
            </w:r>
            <w:r w:rsidR="00725185">
              <w:rPr>
                <w:rFonts w:ascii="Arial" w:hAnsi="Arial" w:cs="Arial"/>
                <w:sz w:val="24"/>
                <w:szCs w:val="24"/>
                <w:lang w:val="en-GB"/>
              </w:rPr>
              <w:t xml:space="preserve">is </w:t>
            </w:r>
            <w:r w:rsidR="002C576B">
              <w:rPr>
                <w:rFonts w:ascii="Arial" w:hAnsi="Arial" w:cs="Arial"/>
                <w:sz w:val="24"/>
                <w:szCs w:val="24"/>
                <w:lang w:val="en-GB"/>
              </w:rPr>
              <w:t xml:space="preserve">moderate through investing in battery production and </w:t>
            </w:r>
            <w:r w:rsidR="002C576B" w:rsidRPr="002C576B">
              <w:rPr>
                <w:rFonts w:ascii="Arial" w:hAnsi="Arial" w:cs="Arial"/>
                <w:sz w:val="24"/>
                <w:szCs w:val="24"/>
                <w:lang w:val="en-GB"/>
              </w:rPr>
              <w:t>vertical integration</w:t>
            </w:r>
            <w:r w:rsidR="002C576B">
              <w:rPr>
                <w:rFonts w:ascii="Arial" w:hAnsi="Arial" w:cs="Arial"/>
                <w:sz w:val="24"/>
                <w:szCs w:val="24"/>
                <w:lang w:val="en-GB"/>
              </w:rPr>
              <w:t xml:space="preserve">. However, Toyota relies on global supplier networks making the threat strong </w:t>
            </w:r>
            <w:r w:rsidR="002C576B" w:rsidRPr="002C576B">
              <w:rPr>
                <w:rFonts w:ascii="Arial" w:hAnsi="Arial" w:cs="Arial"/>
                <w:sz w:val="24"/>
                <w:szCs w:val="24"/>
                <w:lang w:val="en-GB"/>
              </w:rPr>
              <w:t>(Baines, Fill and Rosengren, 2019).</w:t>
            </w:r>
          </w:p>
        </w:tc>
      </w:tr>
      <w:tr w:rsidR="005F2958" w14:paraId="48F69858" w14:textId="77777777" w:rsidTr="005F2958">
        <w:trPr>
          <w:trHeight w:val="509"/>
        </w:trPr>
        <w:tc>
          <w:tcPr>
            <w:tcW w:w="4361" w:type="dxa"/>
          </w:tcPr>
          <w:p w14:paraId="70F65C0A" w14:textId="77777777" w:rsidR="005F2958" w:rsidRPr="005F2958" w:rsidRDefault="005F2958" w:rsidP="00286C83">
            <w:pPr>
              <w:tabs>
                <w:tab w:val="left" w:pos="1549"/>
              </w:tabs>
              <w:spacing w:line="360" w:lineRule="auto"/>
              <w:rPr>
                <w:rFonts w:ascii="Arial" w:hAnsi="Arial" w:cs="Arial"/>
                <w:sz w:val="24"/>
                <w:szCs w:val="24"/>
                <w:lang w:val="en-GB"/>
              </w:rPr>
            </w:pPr>
            <w:r w:rsidRPr="005F2958">
              <w:rPr>
                <w:rFonts w:ascii="Arial" w:hAnsi="Arial" w:cs="Arial"/>
                <w:sz w:val="24"/>
                <w:szCs w:val="24"/>
                <w:lang w:val="en-GB"/>
              </w:rPr>
              <w:t>Threat of Substitutes</w:t>
            </w:r>
            <w:r w:rsidR="00AD750E">
              <w:rPr>
                <w:rFonts w:ascii="Arial" w:hAnsi="Arial" w:cs="Arial"/>
                <w:sz w:val="24"/>
                <w:szCs w:val="24"/>
                <w:lang w:val="en-GB"/>
              </w:rPr>
              <w:t xml:space="preserve"> – Moderate </w:t>
            </w:r>
          </w:p>
        </w:tc>
        <w:tc>
          <w:tcPr>
            <w:tcW w:w="6145" w:type="dxa"/>
          </w:tcPr>
          <w:p w14:paraId="3635CC97" w14:textId="77777777" w:rsidR="005F2958" w:rsidRPr="005F2958" w:rsidRDefault="00C07263" w:rsidP="005D1CA6">
            <w:pPr>
              <w:tabs>
                <w:tab w:val="left" w:pos="1549"/>
              </w:tabs>
              <w:spacing w:line="360" w:lineRule="auto"/>
              <w:rPr>
                <w:rFonts w:ascii="Arial" w:hAnsi="Arial" w:cs="Arial"/>
                <w:sz w:val="24"/>
                <w:szCs w:val="24"/>
                <w:lang w:val="en-GB"/>
              </w:rPr>
            </w:pPr>
            <w:r>
              <w:rPr>
                <w:rFonts w:ascii="Arial" w:hAnsi="Arial" w:cs="Arial"/>
                <w:sz w:val="24"/>
                <w:szCs w:val="24"/>
                <w:lang w:val="en-GB"/>
              </w:rPr>
              <w:t>There are several other alternative transport system including micromobility, ride-sharing, public transport</w:t>
            </w:r>
            <w:r w:rsidR="00AB20E4">
              <w:rPr>
                <w:rFonts w:ascii="Arial" w:hAnsi="Arial" w:cs="Arial"/>
                <w:sz w:val="24"/>
                <w:szCs w:val="24"/>
                <w:lang w:val="en-GB"/>
              </w:rPr>
              <w:t xml:space="preserve"> etc. </w:t>
            </w:r>
            <w:r w:rsidR="005D1CA6">
              <w:rPr>
                <w:rFonts w:ascii="Arial" w:hAnsi="Arial" w:cs="Arial"/>
                <w:sz w:val="24"/>
                <w:szCs w:val="24"/>
                <w:lang w:val="en-GB"/>
              </w:rPr>
              <w:t>Future environmental policies may further encourage this urban transport system in a more sustainable manner.</w:t>
            </w:r>
          </w:p>
        </w:tc>
      </w:tr>
      <w:tr w:rsidR="005F2958" w14:paraId="3DFE218A" w14:textId="77777777" w:rsidTr="005F2958">
        <w:trPr>
          <w:trHeight w:val="487"/>
        </w:trPr>
        <w:tc>
          <w:tcPr>
            <w:tcW w:w="4361" w:type="dxa"/>
          </w:tcPr>
          <w:p w14:paraId="373F397E" w14:textId="77777777" w:rsidR="005F2958" w:rsidRPr="005F2958" w:rsidRDefault="005F2958" w:rsidP="00286C83">
            <w:pPr>
              <w:tabs>
                <w:tab w:val="left" w:pos="1549"/>
              </w:tabs>
              <w:spacing w:line="360" w:lineRule="auto"/>
              <w:rPr>
                <w:rFonts w:ascii="Arial" w:hAnsi="Arial" w:cs="Arial"/>
                <w:sz w:val="24"/>
                <w:szCs w:val="24"/>
                <w:lang w:val="en-GB"/>
              </w:rPr>
            </w:pPr>
            <w:r w:rsidRPr="005F2958">
              <w:rPr>
                <w:rFonts w:ascii="Arial" w:hAnsi="Arial" w:cs="Arial"/>
                <w:sz w:val="24"/>
                <w:szCs w:val="24"/>
                <w:lang w:val="en-GB"/>
              </w:rPr>
              <w:t xml:space="preserve">Competitive rivalry </w:t>
            </w:r>
            <w:r w:rsidR="00AD750E">
              <w:rPr>
                <w:rFonts w:ascii="Arial" w:hAnsi="Arial" w:cs="Arial"/>
                <w:sz w:val="24"/>
                <w:szCs w:val="24"/>
                <w:lang w:val="en-GB"/>
              </w:rPr>
              <w:t>–</w:t>
            </w:r>
            <w:r w:rsidR="00C07263">
              <w:rPr>
                <w:rFonts w:ascii="Arial" w:hAnsi="Arial" w:cs="Arial"/>
                <w:sz w:val="24"/>
                <w:szCs w:val="24"/>
                <w:lang w:val="en-GB"/>
              </w:rPr>
              <w:t xml:space="preserve"> </w:t>
            </w:r>
            <w:r w:rsidR="00903174">
              <w:rPr>
                <w:rFonts w:ascii="Arial" w:hAnsi="Arial" w:cs="Arial"/>
                <w:sz w:val="24"/>
                <w:szCs w:val="24"/>
                <w:lang w:val="en-GB"/>
              </w:rPr>
              <w:t xml:space="preserve">Very </w:t>
            </w:r>
            <w:r w:rsidR="00C07263">
              <w:rPr>
                <w:rFonts w:ascii="Arial" w:hAnsi="Arial" w:cs="Arial"/>
                <w:sz w:val="24"/>
                <w:szCs w:val="24"/>
                <w:lang w:val="en-GB"/>
              </w:rPr>
              <w:t>H</w:t>
            </w:r>
            <w:r w:rsidR="00AD750E">
              <w:rPr>
                <w:rFonts w:ascii="Arial" w:hAnsi="Arial" w:cs="Arial"/>
                <w:sz w:val="24"/>
                <w:szCs w:val="24"/>
                <w:lang w:val="en-GB"/>
              </w:rPr>
              <w:t xml:space="preserve">igh </w:t>
            </w:r>
          </w:p>
        </w:tc>
        <w:tc>
          <w:tcPr>
            <w:tcW w:w="6145" w:type="dxa"/>
          </w:tcPr>
          <w:p w14:paraId="0F8D623B" w14:textId="77777777" w:rsidR="005F2958" w:rsidRPr="005F2958" w:rsidRDefault="00903174" w:rsidP="00286C83">
            <w:pPr>
              <w:tabs>
                <w:tab w:val="left" w:pos="1549"/>
              </w:tabs>
              <w:spacing w:line="360" w:lineRule="auto"/>
              <w:rPr>
                <w:rFonts w:ascii="Arial" w:hAnsi="Arial" w:cs="Arial"/>
                <w:sz w:val="24"/>
                <w:szCs w:val="24"/>
                <w:lang w:val="en-GB"/>
              </w:rPr>
            </w:pPr>
            <w:r>
              <w:rPr>
                <w:rFonts w:ascii="Arial" w:hAnsi="Arial" w:cs="Arial"/>
                <w:sz w:val="24"/>
                <w:szCs w:val="24"/>
                <w:lang w:val="en-GB"/>
              </w:rPr>
              <w:t>Rapidly increasing EV adoption and increased global demands have intensified rivalry amongst the global EV</w:t>
            </w:r>
            <w:r w:rsidR="00276BCB">
              <w:rPr>
                <w:rFonts w:ascii="Arial" w:hAnsi="Arial" w:cs="Arial"/>
                <w:sz w:val="24"/>
                <w:szCs w:val="24"/>
                <w:lang w:val="en-GB"/>
              </w:rPr>
              <w:t xml:space="preserve"> manufacturers. With Tesla enjoying the pioneering advantage, other followers like Toyota have also intensified investment and rivalry in R&amp;D, brand recognition, distribution networks, etc </w:t>
            </w:r>
            <w:r w:rsidR="00E14F85">
              <w:rPr>
                <w:rFonts w:ascii="Arial" w:hAnsi="Arial" w:cs="Arial"/>
                <w:sz w:val="24"/>
                <w:szCs w:val="24"/>
                <w:lang w:val="en-GB"/>
              </w:rPr>
              <w:t xml:space="preserve">(Dyer et al., </w:t>
            </w:r>
            <w:r w:rsidR="00E14F85">
              <w:rPr>
                <w:rFonts w:ascii="Arial" w:hAnsi="Arial" w:cs="Arial"/>
                <w:sz w:val="24"/>
                <w:szCs w:val="24"/>
                <w:lang w:val="en-GB"/>
              </w:rPr>
              <w:lastRenderedPageBreak/>
              <w:t>2020).</w:t>
            </w:r>
          </w:p>
        </w:tc>
      </w:tr>
    </w:tbl>
    <w:p w14:paraId="59597623" w14:textId="77777777" w:rsidR="006E12F8" w:rsidRDefault="006E12F8" w:rsidP="006E12F8">
      <w:pPr>
        <w:tabs>
          <w:tab w:val="left" w:pos="1549"/>
        </w:tabs>
        <w:spacing w:line="480" w:lineRule="auto"/>
        <w:jc w:val="both"/>
        <w:rPr>
          <w:rFonts w:ascii="Arial" w:hAnsi="Arial" w:cs="Arial"/>
          <w:lang w:val="en-GB"/>
        </w:rPr>
      </w:pPr>
    </w:p>
    <w:p w14:paraId="5815EFBC" w14:textId="77777777" w:rsidR="006E12F8" w:rsidRPr="00E36684" w:rsidRDefault="00CC78E9" w:rsidP="001E4320">
      <w:pPr>
        <w:pStyle w:val="Heading2"/>
        <w:rPr>
          <w:rFonts w:ascii="Arial" w:hAnsi="Arial" w:cs="Arial"/>
          <w:b/>
          <w:sz w:val="24"/>
          <w:szCs w:val="24"/>
          <w:lang w:val="en-GB"/>
        </w:rPr>
      </w:pPr>
      <w:bookmarkStart w:id="7" w:name="_Toc229647790"/>
      <w:r>
        <w:rPr>
          <w:rFonts w:ascii="Arial" w:hAnsi="Arial" w:cs="Arial"/>
          <w:b/>
          <w:sz w:val="24"/>
          <w:szCs w:val="24"/>
          <w:lang w:val="en-GB"/>
        </w:rPr>
        <w:t>Comparison of h</w:t>
      </w:r>
      <w:r w:rsidR="00E36684" w:rsidRPr="00E36684">
        <w:rPr>
          <w:rFonts w:ascii="Arial" w:hAnsi="Arial" w:cs="Arial"/>
          <w:b/>
          <w:sz w:val="24"/>
          <w:szCs w:val="24"/>
          <w:lang w:val="en-GB"/>
        </w:rPr>
        <w:t>ow these external forces influence each company’s competitive position</w:t>
      </w:r>
      <w:bookmarkEnd w:id="7"/>
    </w:p>
    <w:p w14:paraId="5C9AE306" w14:textId="77777777" w:rsidR="006E12F8" w:rsidRPr="00E36684" w:rsidRDefault="00CC78E9" w:rsidP="006E12F8">
      <w:pPr>
        <w:tabs>
          <w:tab w:val="left" w:pos="1549"/>
        </w:tabs>
        <w:spacing w:line="480" w:lineRule="auto"/>
        <w:jc w:val="both"/>
        <w:rPr>
          <w:rFonts w:ascii="Arial" w:hAnsi="Arial" w:cs="Arial"/>
          <w:sz w:val="24"/>
          <w:szCs w:val="24"/>
          <w:lang w:val="en-GB"/>
        </w:rPr>
      </w:pPr>
      <w:r>
        <w:rPr>
          <w:rFonts w:ascii="Arial" w:hAnsi="Arial" w:cs="Arial"/>
          <w:sz w:val="24"/>
          <w:szCs w:val="24"/>
          <w:lang w:val="en-GB"/>
        </w:rPr>
        <w:t xml:space="preserve">As a pioneering organisation, Tesla’s strategy </w:t>
      </w:r>
      <w:r w:rsidR="00550B5F">
        <w:rPr>
          <w:rFonts w:ascii="Arial" w:hAnsi="Arial" w:cs="Arial"/>
          <w:sz w:val="24"/>
          <w:szCs w:val="24"/>
          <w:lang w:val="en-GB"/>
        </w:rPr>
        <w:t xml:space="preserve">have consistently created competitive advantage. Its pioneering strategy involves technological differentiation, innovation leadership in EV industry and sustainability positioning. In addition, </w:t>
      </w:r>
      <w:r w:rsidR="00984B77">
        <w:rPr>
          <w:rFonts w:ascii="Arial" w:hAnsi="Arial" w:cs="Arial"/>
          <w:sz w:val="24"/>
          <w:szCs w:val="24"/>
          <w:lang w:val="en-GB"/>
        </w:rPr>
        <w:t>Tesla employed proactive strategic approaches to environmental and technological transformation, helping to improve its competitive positioning within the sector (Stringham et al</w:t>
      </w:r>
      <w:r w:rsidR="00984B77" w:rsidRPr="00984B77">
        <w:rPr>
          <w:rFonts w:ascii="Arial" w:hAnsi="Arial" w:cs="Arial"/>
          <w:sz w:val="24"/>
          <w:szCs w:val="24"/>
          <w:lang w:val="en-GB"/>
        </w:rPr>
        <w:t>, 2019).</w:t>
      </w:r>
    </w:p>
    <w:p w14:paraId="3D045451" w14:textId="77777777" w:rsidR="006E12F8" w:rsidRDefault="00984B77" w:rsidP="006E12F8">
      <w:pPr>
        <w:tabs>
          <w:tab w:val="left" w:pos="1549"/>
        </w:tabs>
        <w:spacing w:line="480" w:lineRule="auto"/>
        <w:jc w:val="both"/>
        <w:rPr>
          <w:rFonts w:ascii="Arial" w:hAnsi="Arial" w:cs="Arial"/>
          <w:sz w:val="24"/>
          <w:szCs w:val="24"/>
          <w:lang w:val="en-GB"/>
        </w:rPr>
      </w:pPr>
      <w:r>
        <w:rPr>
          <w:rFonts w:ascii="Arial" w:hAnsi="Arial" w:cs="Arial"/>
          <w:sz w:val="24"/>
          <w:szCs w:val="24"/>
          <w:lang w:val="en-GB"/>
        </w:rPr>
        <w:t xml:space="preserve">On other hand, </w:t>
      </w:r>
      <w:r w:rsidR="002054EB">
        <w:rPr>
          <w:rFonts w:ascii="Arial" w:hAnsi="Arial" w:cs="Arial"/>
          <w:sz w:val="24"/>
          <w:szCs w:val="24"/>
          <w:lang w:val="en-GB"/>
        </w:rPr>
        <w:t xml:space="preserve">Toyota uses followers positioning approach in the </w:t>
      </w:r>
      <w:r w:rsidR="002054EB" w:rsidRPr="002054EB">
        <w:rPr>
          <w:rFonts w:ascii="Arial" w:hAnsi="Arial" w:cs="Arial"/>
          <w:sz w:val="24"/>
          <w:szCs w:val="24"/>
          <w:lang w:val="en-GB"/>
        </w:rPr>
        <w:t>ba</w:t>
      </w:r>
      <w:r w:rsidR="002054EB">
        <w:rPr>
          <w:rFonts w:ascii="Arial" w:hAnsi="Arial" w:cs="Arial"/>
          <w:sz w:val="24"/>
          <w:szCs w:val="24"/>
          <w:lang w:val="en-GB"/>
        </w:rPr>
        <w:t>ttery-electric vehicle market. This undermined its competitive positioning at the beginning.</w:t>
      </w:r>
      <w:r w:rsidR="00C16CB9">
        <w:rPr>
          <w:rFonts w:ascii="Arial" w:hAnsi="Arial" w:cs="Arial"/>
          <w:sz w:val="24"/>
          <w:szCs w:val="24"/>
          <w:lang w:val="en-GB"/>
        </w:rPr>
        <w:t xml:space="preserve"> However, Toyota has leveraged </w:t>
      </w:r>
      <w:r w:rsidR="00487CA1">
        <w:rPr>
          <w:rFonts w:ascii="Arial" w:hAnsi="Arial" w:cs="Arial"/>
          <w:sz w:val="24"/>
          <w:szCs w:val="24"/>
          <w:lang w:val="en-GB"/>
        </w:rPr>
        <w:t>its brand capabilities and resources to build new innovation capabilities in full EVs. Its current strategic competitive advantage</w:t>
      </w:r>
      <w:r w:rsidR="0047102C">
        <w:rPr>
          <w:rFonts w:ascii="Arial" w:hAnsi="Arial" w:cs="Arial"/>
          <w:sz w:val="24"/>
          <w:szCs w:val="24"/>
          <w:lang w:val="en-GB"/>
        </w:rPr>
        <w:t xml:space="preserve">s include manufacturing scale, operational efficiency and financial resources. Toyota also boasts strong global brand reputation in the </w:t>
      </w:r>
      <w:r w:rsidR="00112E69">
        <w:rPr>
          <w:rFonts w:ascii="Arial" w:hAnsi="Arial" w:cs="Arial"/>
          <w:sz w:val="24"/>
          <w:szCs w:val="24"/>
          <w:lang w:val="en-GB"/>
        </w:rPr>
        <w:t>automotive industry which is being leveraged to drive competitive advantage in the global EV</w:t>
      </w:r>
      <w:r w:rsidR="005A0963">
        <w:rPr>
          <w:rFonts w:ascii="Arial" w:hAnsi="Arial" w:cs="Arial"/>
          <w:sz w:val="24"/>
          <w:szCs w:val="24"/>
          <w:lang w:val="en-GB"/>
        </w:rPr>
        <w:t xml:space="preserve"> market (Wells and Nieuwenhuis, 2021).</w:t>
      </w:r>
    </w:p>
    <w:p w14:paraId="6A2379EB" w14:textId="77777777" w:rsidR="002B0891" w:rsidRDefault="00324FA0" w:rsidP="00BA5505">
      <w:pPr>
        <w:tabs>
          <w:tab w:val="left" w:pos="1549"/>
        </w:tabs>
        <w:spacing w:line="480" w:lineRule="auto"/>
        <w:jc w:val="both"/>
        <w:rPr>
          <w:rFonts w:ascii="Arial" w:hAnsi="Arial" w:cs="Arial"/>
          <w:sz w:val="24"/>
          <w:szCs w:val="24"/>
          <w:lang w:val="en-GB"/>
        </w:rPr>
      </w:pPr>
      <w:r>
        <w:rPr>
          <w:rFonts w:ascii="Arial" w:hAnsi="Arial" w:cs="Arial"/>
          <w:sz w:val="24"/>
          <w:szCs w:val="24"/>
          <w:lang w:val="en-GB"/>
        </w:rPr>
        <w:t xml:space="preserve">In terms of their competitive strategy, Tesla gains </w:t>
      </w:r>
      <w:r w:rsidR="005F260F">
        <w:rPr>
          <w:rFonts w:ascii="Arial" w:hAnsi="Arial" w:cs="Arial"/>
          <w:sz w:val="24"/>
          <w:szCs w:val="24"/>
          <w:lang w:val="en-GB"/>
        </w:rPr>
        <w:t>competitive advantage through brand differentiation</w:t>
      </w:r>
      <w:r w:rsidR="00B95DDA">
        <w:rPr>
          <w:rFonts w:ascii="Arial" w:hAnsi="Arial" w:cs="Arial"/>
          <w:sz w:val="24"/>
          <w:szCs w:val="24"/>
          <w:lang w:val="en-GB"/>
        </w:rPr>
        <w:t xml:space="preserve">, sustainability positioning </w:t>
      </w:r>
      <w:r w:rsidR="005F260F">
        <w:rPr>
          <w:rFonts w:ascii="Arial" w:hAnsi="Arial" w:cs="Arial"/>
          <w:sz w:val="24"/>
          <w:szCs w:val="24"/>
          <w:lang w:val="en-GB"/>
        </w:rPr>
        <w:t xml:space="preserve">and excellent innovation capabilities. It also benefits from first-mover </w:t>
      </w:r>
      <w:r w:rsidR="00B95DDA">
        <w:rPr>
          <w:rFonts w:ascii="Arial" w:hAnsi="Arial" w:cs="Arial"/>
          <w:sz w:val="24"/>
          <w:szCs w:val="24"/>
          <w:lang w:val="en-GB"/>
        </w:rPr>
        <w:t xml:space="preserve">advantages. Conversely, Toyota gains competitive advantage </w:t>
      </w:r>
      <w:r w:rsidR="007D31FB">
        <w:rPr>
          <w:rFonts w:ascii="Arial" w:hAnsi="Arial" w:cs="Arial"/>
          <w:sz w:val="24"/>
          <w:szCs w:val="24"/>
          <w:lang w:val="en-GB"/>
        </w:rPr>
        <w:t xml:space="preserve">through </w:t>
      </w:r>
      <w:r w:rsidR="007C7C1A">
        <w:rPr>
          <w:rFonts w:ascii="Arial" w:hAnsi="Arial" w:cs="Arial"/>
          <w:sz w:val="24"/>
          <w:szCs w:val="24"/>
          <w:lang w:val="en-GB"/>
        </w:rPr>
        <w:t xml:space="preserve">global market penetration capabilities and operational excellence. Also, Toyota as a follower organisation with strong adaptive capabilities and strong strategic resources is well positioned to seek strategic transformation and gain sustained competitive advantage in the future </w:t>
      </w:r>
      <w:r w:rsidR="003612D2">
        <w:rPr>
          <w:rFonts w:ascii="Arial" w:hAnsi="Arial" w:cs="Arial"/>
          <w:sz w:val="24"/>
          <w:szCs w:val="24"/>
          <w:lang w:val="en-GB"/>
        </w:rPr>
        <w:t xml:space="preserve">(Dyer et al, 2020). </w:t>
      </w:r>
    </w:p>
    <w:p w14:paraId="6E092C0C" w14:textId="77777777" w:rsidR="00BA5505" w:rsidRDefault="00BA5505" w:rsidP="001E4320">
      <w:pPr>
        <w:pStyle w:val="Heading1"/>
        <w:rPr>
          <w:rFonts w:ascii="Arial" w:hAnsi="Arial" w:cs="Arial"/>
          <w:sz w:val="24"/>
          <w:szCs w:val="24"/>
          <w:lang w:val="en-GB"/>
        </w:rPr>
      </w:pPr>
      <w:bookmarkStart w:id="8" w:name="_Toc229647791"/>
      <w:r>
        <w:rPr>
          <w:rFonts w:ascii="Arial" w:hAnsi="Arial" w:cs="Arial"/>
          <w:sz w:val="24"/>
          <w:szCs w:val="24"/>
          <w:lang w:val="en-GB"/>
        </w:rPr>
        <w:lastRenderedPageBreak/>
        <w:t>Task 2</w:t>
      </w:r>
      <w:bookmarkEnd w:id="8"/>
      <w:r>
        <w:rPr>
          <w:rFonts w:ascii="Arial" w:hAnsi="Arial" w:cs="Arial"/>
          <w:sz w:val="24"/>
          <w:szCs w:val="24"/>
          <w:lang w:val="en-GB"/>
        </w:rPr>
        <w:t xml:space="preserve"> </w:t>
      </w:r>
    </w:p>
    <w:p w14:paraId="70EBB5FA" w14:textId="77777777" w:rsidR="0043402F" w:rsidRPr="00647F01" w:rsidRDefault="00647F01" w:rsidP="001E4320">
      <w:pPr>
        <w:pStyle w:val="Heading1"/>
        <w:rPr>
          <w:rFonts w:ascii="Arial" w:hAnsi="Arial" w:cs="Arial"/>
          <w:b w:val="0"/>
          <w:sz w:val="24"/>
          <w:szCs w:val="24"/>
          <w:lang w:val="en-GB"/>
        </w:rPr>
      </w:pPr>
      <w:bookmarkStart w:id="9" w:name="_Toc229647792"/>
      <w:r w:rsidRPr="00647F01">
        <w:rPr>
          <w:rFonts w:ascii="Arial" w:hAnsi="Arial" w:cs="Arial"/>
          <w:b w:val="0"/>
          <w:sz w:val="24"/>
          <w:szCs w:val="24"/>
          <w:lang w:val="en-GB"/>
        </w:rPr>
        <w:t>The strategic Responses of the Organisations to the identified macro-environmental factors</w:t>
      </w:r>
      <w:bookmarkEnd w:id="9"/>
    </w:p>
    <w:p w14:paraId="1DB12E22" w14:textId="77777777" w:rsidR="002B0891" w:rsidRDefault="008D510C" w:rsidP="008B1EBE">
      <w:pPr>
        <w:spacing w:line="480" w:lineRule="auto"/>
        <w:jc w:val="both"/>
        <w:rPr>
          <w:rFonts w:ascii="Arial" w:hAnsi="Arial" w:cs="Arial"/>
          <w:sz w:val="24"/>
          <w:szCs w:val="24"/>
          <w:lang w:val="en-GB"/>
        </w:rPr>
      </w:pPr>
      <w:r>
        <w:rPr>
          <w:rFonts w:ascii="Arial" w:hAnsi="Arial" w:cs="Arial"/>
          <w:sz w:val="24"/>
          <w:szCs w:val="24"/>
          <w:lang w:val="en-GB"/>
        </w:rPr>
        <w:t xml:space="preserve">This section evaluates the strategic responses of both the pioneering and follower organisations based on the diverse technological, environmental and legal factors identified in task 1. </w:t>
      </w:r>
    </w:p>
    <w:p w14:paraId="3143A100" w14:textId="77777777" w:rsidR="008D510C" w:rsidRPr="00647EB4" w:rsidRDefault="00647EB4" w:rsidP="001E4320">
      <w:pPr>
        <w:pStyle w:val="Heading2"/>
        <w:rPr>
          <w:rFonts w:ascii="Arial" w:hAnsi="Arial" w:cs="Arial"/>
          <w:sz w:val="24"/>
          <w:szCs w:val="24"/>
          <w:u w:val="single"/>
          <w:lang w:val="en-GB"/>
        </w:rPr>
      </w:pPr>
      <w:bookmarkStart w:id="10" w:name="_Toc229647793"/>
      <w:r w:rsidRPr="00647EB4">
        <w:rPr>
          <w:rFonts w:ascii="Arial" w:hAnsi="Arial" w:cs="Arial"/>
          <w:sz w:val="24"/>
          <w:szCs w:val="24"/>
          <w:u w:val="single"/>
          <w:lang w:val="en-GB"/>
        </w:rPr>
        <w:t>Tesla</w:t>
      </w:r>
      <w:r>
        <w:rPr>
          <w:rFonts w:ascii="Arial" w:hAnsi="Arial" w:cs="Arial"/>
          <w:sz w:val="24"/>
          <w:szCs w:val="24"/>
          <w:u w:val="single"/>
          <w:lang w:val="en-GB"/>
        </w:rPr>
        <w:t xml:space="preserve"> vs Toyota</w:t>
      </w:r>
      <w:r w:rsidRPr="00647EB4">
        <w:rPr>
          <w:rFonts w:ascii="Arial" w:hAnsi="Arial" w:cs="Arial"/>
          <w:sz w:val="24"/>
          <w:szCs w:val="24"/>
          <w:u w:val="single"/>
          <w:lang w:val="en-GB"/>
        </w:rPr>
        <w:t xml:space="preserve"> Technological strategic responses</w:t>
      </w:r>
      <w:bookmarkEnd w:id="10"/>
    </w:p>
    <w:p w14:paraId="0A843DE4" w14:textId="77777777" w:rsidR="006012E5" w:rsidRDefault="00647EB4" w:rsidP="008B1EBE">
      <w:pPr>
        <w:spacing w:line="480" w:lineRule="auto"/>
        <w:jc w:val="both"/>
        <w:rPr>
          <w:rFonts w:ascii="Arial" w:hAnsi="Arial" w:cs="Arial"/>
          <w:sz w:val="24"/>
          <w:szCs w:val="24"/>
          <w:lang w:val="en-GB"/>
        </w:rPr>
      </w:pPr>
      <w:r w:rsidRPr="00647EB4">
        <w:rPr>
          <w:rFonts w:ascii="Arial" w:hAnsi="Arial" w:cs="Arial"/>
          <w:sz w:val="24"/>
          <w:szCs w:val="24"/>
          <w:lang w:val="en-GB"/>
        </w:rPr>
        <w:t>Aggressive innovation-driven strategy</w:t>
      </w:r>
      <w:r>
        <w:rPr>
          <w:rFonts w:ascii="Arial" w:hAnsi="Arial" w:cs="Arial"/>
          <w:sz w:val="24"/>
          <w:szCs w:val="24"/>
          <w:lang w:val="en-GB"/>
        </w:rPr>
        <w:t xml:space="preserve"> – in response to the technological disruption and advancement, Tesla implemented an aggressive innovation-driven strategy. It implemented </w:t>
      </w:r>
      <w:r w:rsidRPr="00647EB4">
        <w:rPr>
          <w:rFonts w:ascii="Arial" w:hAnsi="Arial" w:cs="Arial"/>
          <w:sz w:val="24"/>
          <w:szCs w:val="24"/>
          <w:lang w:val="en-GB"/>
        </w:rPr>
        <w:t>artificial intelligence integration</w:t>
      </w:r>
      <w:r>
        <w:rPr>
          <w:rFonts w:ascii="Arial" w:hAnsi="Arial" w:cs="Arial"/>
          <w:sz w:val="24"/>
          <w:szCs w:val="24"/>
          <w:lang w:val="en-GB"/>
        </w:rPr>
        <w:t xml:space="preserve"> and battery innovation to gain competitive advantage. It also improve innovation capabilities in digital connectivity helping to differentiate its products and services within the sector (</w:t>
      </w:r>
      <w:r w:rsidRPr="00647EB4">
        <w:rPr>
          <w:rFonts w:ascii="Arial" w:hAnsi="Arial" w:cs="Arial"/>
          <w:sz w:val="24"/>
          <w:szCs w:val="24"/>
          <w:lang w:val="en-GB"/>
        </w:rPr>
        <w:t>Liu and Meng, 2023).</w:t>
      </w:r>
      <w:r w:rsidR="006012E5">
        <w:rPr>
          <w:rFonts w:ascii="Arial" w:hAnsi="Arial" w:cs="Arial"/>
          <w:sz w:val="24"/>
          <w:szCs w:val="24"/>
          <w:lang w:val="en-GB"/>
        </w:rPr>
        <w:t xml:space="preserve"> This strategic response supports the Porter’s differentiation strategy which has to do with creating premium and unique products and services through superior innovation (Porter, 1985).</w:t>
      </w:r>
    </w:p>
    <w:p w14:paraId="0E4712D9" w14:textId="77777777" w:rsidR="002B0891" w:rsidRDefault="006012E5" w:rsidP="008B1EBE">
      <w:pPr>
        <w:spacing w:line="480" w:lineRule="auto"/>
        <w:jc w:val="both"/>
        <w:rPr>
          <w:rFonts w:ascii="Arial" w:hAnsi="Arial" w:cs="Arial"/>
          <w:sz w:val="24"/>
          <w:szCs w:val="24"/>
          <w:lang w:val="en-GB"/>
        </w:rPr>
      </w:pPr>
      <w:r>
        <w:rPr>
          <w:rFonts w:ascii="Arial" w:hAnsi="Arial" w:cs="Arial"/>
          <w:sz w:val="24"/>
          <w:szCs w:val="24"/>
          <w:lang w:val="en-GB"/>
        </w:rPr>
        <w:t xml:space="preserve">Tesla’s </w:t>
      </w:r>
      <w:r w:rsidRPr="006012E5">
        <w:rPr>
          <w:rFonts w:ascii="Arial" w:hAnsi="Arial" w:cs="Arial"/>
          <w:sz w:val="24"/>
          <w:szCs w:val="24"/>
          <w:lang w:val="en-GB"/>
        </w:rPr>
        <w:t>Gigafactory operations</w:t>
      </w:r>
      <w:r>
        <w:rPr>
          <w:rFonts w:ascii="Arial" w:hAnsi="Arial" w:cs="Arial"/>
          <w:sz w:val="24"/>
          <w:szCs w:val="24"/>
          <w:lang w:val="en-GB"/>
        </w:rPr>
        <w:t xml:space="preserve"> expansion </w:t>
      </w:r>
      <w:r w:rsidR="00D77334">
        <w:rPr>
          <w:rFonts w:ascii="Arial" w:hAnsi="Arial" w:cs="Arial"/>
          <w:sz w:val="24"/>
          <w:szCs w:val="24"/>
          <w:lang w:val="en-GB"/>
        </w:rPr>
        <w:t>–</w:t>
      </w:r>
      <w:r>
        <w:rPr>
          <w:rFonts w:ascii="Arial" w:hAnsi="Arial" w:cs="Arial"/>
          <w:sz w:val="24"/>
          <w:szCs w:val="24"/>
          <w:lang w:val="en-GB"/>
        </w:rPr>
        <w:t xml:space="preserve"> </w:t>
      </w:r>
      <w:r w:rsidR="00D77334">
        <w:rPr>
          <w:rFonts w:ascii="Arial" w:hAnsi="Arial" w:cs="Arial"/>
          <w:sz w:val="24"/>
          <w:szCs w:val="24"/>
          <w:lang w:val="en-GB"/>
        </w:rPr>
        <w:t xml:space="preserve">This strategic response was aimed at strengthening product differentiation strategy, enabling the pioneering company to reduce its supplier dependency, improve efficiency of battery production and costs reduction across its EVs </w:t>
      </w:r>
      <w:proofErr w:type="spellStart"/>
      <w:r w:rsidR="00D77334">
        <w:rPr>
          <w:rFonts w:ascii="Arial" w:hAnsi="Arial" w:cs="Arial"/>
          <w:sz w:val="24"/>
          <w:szCs w:val="24"/>
          <w:lang w:val="en-GB"/>
        </w:rPr>
        <w:t>valuechain</w:t>
      </w:r>
      <w:proofErr w:type="spellEnd"/>
      <w:r w:rsidR="00D77334">
        <w:rPr>
          <w:rFonts w:ascii="Arial" w:hAnsi="Arial" w:cs="Arial"/>
          <w:sz w:val="24"/>
          <w:szCs w:val="24"/>
          <w:lang w:val="en-GB"/>
        </w:rPr>
        <w:t xml:space="preserve"> (Dyer et al., 2020). This evidenced </w:t>
      </w:r>
      <w:r w:rsidR="00462B12">
        <w:rPr>
          <w:rFonts w:ascii="Arial" w:hAnsi="Arial" w:cs="Arial"/>
          <w:sz w:val="24"/>
          <w:szCs w:val="24"/>
          <w:lang w:val="en-GB"/>
        </w:rPr>
        <w:t xml:space="preserve">Tesla’s strong investment in vertical integration and proprietary technology to differentiate its brand from the followers’. </w:t>
      </w:r>
    </w:p>
    <w:p w14:paraId="57AAB917" w14:textId="77777777" w:rsidR="001E4320" w:rsidRDefault="001E4320" w:rsidP="008B1EBE">
      <w:pPr>
        <w:spacing w:line="480" w:lineRule="auto"/>
        <w:jc w:val="both"/>
        <w:rPr>
          <w:rFonts w:ascii="Arial" w:hAnsi="Arial" w:cs="Arial"/>
          <w:sz w:val="24"/>
          <w:szCs w:val="24"/>
          <w:lang w:val="en-GB"/>
        </w:rPr>
      </w:pPr>
    </w:p>
    <w:p w14:paraId="4B8B9247" w14:textId="77777777" w:rsidR="001E4320" w:rsidRDefault="001E4320" w:rsidP="008B1EBE">
      <w:pPr>
        <w:spacing w:line="480" w:lineRule="auto"/>
        <w:jc w:val="both"/>
        <w:rPr>
          <w:rFonts w:ascii="Arial" w:hAnsi="Arial" w:cs="Arial"/>
          <w:sz w:val="24"/>
          <w:szCs w:val="24"/>
          <w:lang w:val="en-GB"/>
        </w:rPr>
      </w:pPr>
    </w:p>
    <w:p w14:paraId="44778F5A" w14:textId="77777777" w:rsidR="00462B12" w:rsidRPr="00462B12" w:rsidRDefault="00462B12" w:rsidP="008B1EBE">
      <w:pPr>
        <w:spacing w:line="480" w:lineRule="auto"/>
        <w:jc w:val="both"/>
        <w:rPr>
          <w:rFonts w:ascii="Arial" w:hAnsi="Arial" w:cs="Arial"/>
          <w:b/>
          <w:sz w:val="24"/>
          <w:szCs w:val="24"/>
          <w:lang w:val="en-GB"/>
        </w:rPr>
      </w:pPr>
      <w:r w:rsidRPr="00462B12">
        <w:rPr>
          <w:rFonts w:ascii="Arial" w:hAnsi="Arial" w:cs="Arial"/>
          <w:b/>
          <w:sz w:val="24"/>
          <w:szCs w:val="24"/>
          <w:lang w:val="en-GB"/>
        </w:rPr>
        <w:lastRenderedPageBreak/>
        <w:t>Ansoff’s Growth Matrix</w:t>
      </w:r>
    </w:p>
    <w:p w14:paraId="39C33634" w14:textId="77777777" w:rsidR="00D77334" w:rsidRPr="00E36684" w:rsidRDefault="00462B12" w:rsidP="00462B12">
      <w:pPr>
        <w:spacing w:line="480" w:lineRule="auto"/>
        <w:jc w:val="center"/>
        <w:rPr>
          <w:rFonts w:ascii="Arial" w:hAnsi="Arial" w:cs="Arial"/>
          <w:sz w:val="24"/>
          <w:szCs w:val="24"/>
          <w:lang w:val="en-GB"/>
        </w:rPr>
      </w:pPr>
      <w:r w:rsidRPr="00462B12">
        <w:rPr>
          <w:rFonts w:ascii="Arial" w:hAnsi="Arial" w:cs="Arial"/>
          <w:noProof/>
          <w:sz w:val="24"/>
          <w:szCs w:val="24"/>
          <w:lang w:val="en-GB"/>
        </w:rPr>
        <w:drawing>
          <wp:inline distT="0" distB="0" distL="0" distR="0" wp14:anchorId="0C50C50A" wp14:editId="50D86CAA">
            <wp:extent cx="3873926" cy="3848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88590" cy="3862666"/>
                    </a:xfrm>
                    <a:prstGeom prst="rect">
                      <a:avLst/>
                    </a:prstGeom>
                  </pic:spPr>
                </pic:pic>
              </a:graphicData>
            </a:graphic>
          </wp:inline>
        </w:drawing>
      </w:r>
    </w:p>
    <w:p w14:paraId="11033FD0" w14:textId="77777777" w:rsidR="002B0891" w:rsidRPr="00462B12" w:rsidRDefault="00462B12" w:rsidP="008B1EBE">
      <w:pPr>
        <w:spacing w:line="480" w:lineRule="auto"/>
        <w:jc w:val="both"/>
        <w:rPr>
          <w:rFonts w:ascii="Arial" w:hAnsi="Arial" w:cs="Arial"/>
          <w:sz w:val="24"/>
          <w:szCs w:val="24"/>
          <w:lang w:val="en-GB"/>
        </w:rPr>
      </w:pPr>
      <w:r w:rsidRPr="00462B12">
        <w:rPr>
          <w:rFonts w:ascii="Arial" w:hAnsi="Arial" w:cs="Arial"/>
          <w:sz w:val="24"/>
          <w:szCs w:val="24"/>
          <w:lang w:val="en-GB"/>
        </w:rPr>
        <w:t>Fig. 1</w:t>
      </w:r>
      <w:r>
        <w:rPr>
          <w:rFonts w:ascii="Arial" w:hAnsi="Arial" w:cs="Arial"/>
          <w:sz w:val="24"/>
          <w:szCs w:val="24"/>
          <w:lang w:val="en-GB"/>
        </w:rPr>
        <w:t>:</w:t>
      </w:r>
      <w:r w:rsidRPr="00462B12">
        <w:rPr>
          <w:rFonts w:ascii="Arial" w:hAnsi="Arial" w:cs="Arial"/>
          <w:sz w:val="24"/>
          <w:szCs w:val="24"/>
          <w:lang w:val="en-GB"/>
        </w:rPr>
        <w:t xml:space="preserve"> The Ansoff Matrix (Ansoff, 1960)</w:t>
      </w:r>
    </w:p>
    <w:p w14:paraId="44B3B6A6" w14:textId="77777777" w:rsidR="002B0891" w:rsidRDefault="00462B12" w:rsidP="008B1EBE">
      <w:pPr>
        <w:spacing w:line="480" w:lineRule="auto"/>
        <w:jc w:val="both"/>
        <w:rPr>
          <w:rFonts w:ascii="Arial" w:hAnsi="Arial" w:cs="Arial"/>
          <w:sz w:val="24"/>
          <w:szCs w:val="24"/>
          <w:lang w:val="en-GB"/>
        </w:rPr>
      </w:pPr>
      <w:r>
        <w:rPr>
          <w:rFonts w:ascii="Arial" w:hAnsi="Arial" w:cs="Arial"/>
          <w:sz w:val="24"/>
          <w:szCs w:val="24"/>
          <w:lang w:val="en-GB"/>
        </w:rPr>
        <w:t xml:space="preserve">Based on the Ansoff matrix, </w:t>
      </w:r>
      <w:r w:rsidR="004654B4">
        <w:rPr>
          <w:rFonts w:ascii="Arial" w:hAnsi="Arial" w:cs="Arial"/>
          <w:sz w:val="24"/>
          <w:szCs w:val="24"/>
          <w:lang w:val="en-GB"/>
        </w:rPr>
        <w:t>Tesla captures growth potentials mainly through the product development</w:t>
      </w:r>
      <w:r w:rsidR="009F1771">
        <w:rPr>
          <w:rFonts w:ascii="Arial" w:hAnsi="Arial" w:cs="Arial"/>
          <w:sz w:val="24"/>
          <w:szCs w:val="24"/>
          <w:lang w:val="en-GB"/>
        </w:rPr>
        <w:t xml:space="preserve"> strategy</w:t>
      </w:r>
      <w:r w:rsidR="00AE490B">
        <w:rPr>
          <w:rFonts w:ascii="Arial" w:hAnsi="Arial" w:cs="Arial"/>
          <w:sz w:val="24"/>
          <w:szCs w:val="24"/>
          <w:lang w:val="en-GB"/>
        </w:rPr>
        <w:t xml:space="preserve">. </w:t>
      </w:r>
      <w:r w:rsidR="0061068F">
        <w:rPr>
          <w:rFonts w:ascii="Arial" w:hAnsi="Arial" w:cs="Arial"/>
          <w:sz w:val="24"/>
          <w:szCs w:val="24"/>
          <w:lang w:val="en-GB"/>
        </w:rPr>
        <w:t xml:space="preserve">According to </w:t>
      </w:r>
      <w:proofErr w:type="spellStart"/>
      <w:r w:rsidR="0061068F">
        <w:rPr>
          <w:rFonts w:ascii="Arial" w:hAnsi="Arial" w:cs="Arial"/>
          <w:sz w:val="24"/>
          <w:szCs w:val="24"/>
          <w:lang w:val="en-GB"/>
        </w:rPr>
        <w:t>Bocken</w:t>
      </w:r>
      <w:proofErr w:type="spellEnd"/>
      <w:r w:rsidR="0061068F">
        <w:rPr>
          <w:rFonts w:ascii="Arial" w:hAnsi="Arial" w:cs="Arial"/>
          <w:sz w:val="24"/>
          <w:szCs w:val="24"/>
          <w:lang w:val="en-GB"/>
        </w:rPr>
        <w:t xml:space="preserve"> and </w:t>
      </w:r>
      <w:proofErr w:type="spellStart"/>
      <w:r w:rsidR="0061068F">
        <w:rPr>
          <w:rFonts w:ascii="Arial" w:hAnsi="Arial" w:cs="Arial"/>
          <w:sz w:val="24"/>
          <w:szCs w:val="24"/>
          <w:lang w:val="en-GB"/>
        </w:rPr>
        <w:t>Geradts</w:t>
      </w:r>
      <w:proofErr w:type="spellEnd"/>
      <w:r w:rsidR="0061068F">
        <w:rPr>
          <w:rFonts w:ascii="Arial" w:hAnsi="Arial" w:cs="Arial"/>
          <w:sz w:val="24"/>
          <w:szCs w:val="24"/>
          <w:lang w:val="en-GB"/>
        </w:rPr>
        <w:t xml:space="preserve"> (</w:t>
      </w:r>
      <w:r w:rsidR="0061068F" w:rsidRPr="0061068F">
        <w:rPr>
          <w:rFonts w:ascii="Arial" w:hAnsi="Arial" w:cs="Arial"/>
          <w:sz w:val="24"/>
          <w:szCs w:val="24"/>
          <w:lang w:val="en-GB"/>
        </w:rPr>
        <w:t>2020)</w:t>
      </w:r>
      <w:r w:rsidR="0061068F">
        <w:rPr>
          <w:rFonts w:ascii="Arial" w:hAnsi="Arial" w:cs="Arial"/>
          <w:sz w:val="24"/>
          <w:szCs w:val="24"/>
          <w:lang w:val="en-GB"/>
        </w:rPr>
        <w:t xml:space="preserve">, Tesla has launched technologically advanced and disruptive products in recent times, such as the </w:t>
      </w:r>
      <w:proofErr w:type="spellStart"/>
      <w:r w:rsidR="0061068F" w:rsidRPr="0061068F">
        <w:rPr>
          <w:rFonts w:ascii="Arial" w:hAnsi="Arial" w:cs="Arial"/>
          <w:sz w:val="24"/>
          <w:szCs w:val="24"/>
          <w:lang w:val="en-GB"/>
        </w:rPr>
        <w:t>Cybertruck</w:t>
      </w:r>
      <w:proofErr w:type="spellEnd"/>
      <w:r w:rsidR="0061068F">
        <w:rPr>
          <w:rFonts w:ascii="Arial" w:hAnsi="Arial" w:cs="Arial"/>
          <w:sz w:val="24"/>
          <w:szCs w:val="24"/>
          <w:lang w:val="en-GB"/>
        </w:rPr>
        <w:t>,</w:t>
      </w:r>
      <w:r w:rsidR="0061068F" w:rsidRPr="0061068F">
        <w:rPr>
          <w:rFonts w:ascii="Arial" w:hAnsi="Arial" w:cs="Arial"/>
          <w:sz w:val="24"/>
          <w:szCs w:val="24"/>
          <w:lang w:val="en-GB"/>
        </w:rPr>
        <w:t xml:space="preserve"> </w:t>
      </w:r>
      <w:r w:rsidR="0061068F">
        <w:rPr>
          <w:rFonts w:ascii="Arial" w:hAnsi="Arial" w:cs="Arial"/>
          <w:sz w:val="24"/>
          <w:szCs w:val="24"/>
          <w:lang w:val="en-GB"/>
        </w:rPr>
        <w:t xml:space="preserve">Full Self-Driving (FSD) systems, </w:t>
      </w:r>
      <w:r w:rsidR="0061068F" w:rsidRPr="0061068F">
        <w:rPr>
          <w:rFonts w:ascii="Arial" w:hAnsi="Arial" w:cs="Arial"/>
          <w:sz w:val="24"/>
          <w:szCs w:val="24"/>
          <w:lang w:val="en-GB"/>
        </w:rPr>
        <w:t>energy storage solutions</w:t>
      </w:r>
      <w:r w:rsidR="0061068F">
        <w:rPr>
          <w:rFonts w:ascii="Arial" w:hAnsi="Arial" w:cs="Arial"/>
          <w:sz w:val="24"/>
          <w:szCs w:val="24"/>
          <w:lang w:val="en-GB"/>
        </w:rPr>
        <w:t xml:space="preserve">, fast-charging solutions which are evidence of its product development strategy. </w:t>
      </w:r>
      <w:r w:rsidR="000539B5">
        <w:rPr>
          <w:rFonts w:ascii="Arial" w:hAnsi="Arial" w:cs="Arial"/>
          <w:sz w:val="24"/>
          <w:szCs w:val="24"/>
          <w:lang w:val="en-GB"/>
        </w:rPr>
        <w:t>These innovations did not just differentiate its products from others but also strengthened its customer value proposition for sustainability</w:t>
      </w:r>
      <w:r w:rsidR="00F618C5">
        <w:rPr>
          <w:rFonts w:ascii="Arial" w:hAnsi="Arial" w:cs="Arial"/>
          <w:sz w:val="24"/>
          <w:szCs w:val="24"/>
          <w:lang w:val="en-GB"/>
        </w:rPr>
        <w:t>, safety</w:t>
      </w:r>
      <w:r w:rsidR="000539B5">
        <w:rPr>
          <w:rFonts w:ascii="Arial" w:hAnsi="Arial" w:cs="Arial"/>
          <w:sz w:val="24"/>
          <w:szCs w:val="24"/>
          <w:lang w:val="en-GB"/>
        </w:rPr>
        <w:t xml:space="preserve"> and luxury. </w:t>
      </w:r>
    </w:p>
    <w:p w14:paraId="3D72DEF6" w14:textId="77777777" w:rsidR="002B0891" w:rsidRPr="00462B12" w:rsidRDefault="009427AB" w:rsidP="008B1EBE">
      <w:pPr>
        <w:spacing w:line="480" w:lineRule="auto"/>
        <w:jc w:val="both"/>
        <w:rPr>
          <w:rFonts w:ascii="Arial" w:hAnsi="Arial" w:cs="Arial"/>
          <w:sz w:val="24"/>
          <w:szCs w:val="24"/>
          <w:lang w:val="en-GB"/>
        </w:rPr>
      </w:pPr>
      <w:r>
        <w:rPr>
          <w:rFonts w:ascii="Arial" w:hAnsi="Arial" w:cs="Arial"/>
          <w:sz w:val="24"/>
          <w:szCs w:val="24"/>
          <w:lang w:val="en-GB"/>
        </w:rPr>
        <w:t xml:space="preserve">On other hand, </w:t>
      </w:r>
      <w:r w:rsidR="00C63122">
        <w:rPr>
          <w:rFonts w:ascii="Arial" w:hAnsi="Arial" w:cs="Arial"/>
          <w:sz w:val="24"/>
          <w:szCs w:val="24"/>
          <w:lang w:val="en-GB"/>
        </w:rPr>
        <w:t>as a follower, Toyota response to the technological transformation is different from Tesla. T</w:t>
      </w:r>
      <w:r w:rsidR="0054134A">
        <w:rPr>
          <w:rFonts w:ascii="Arial" w:hAnsi="Arial" w:cs="Arial"/>
          <w:sz w:val="24"/>
          <w:szCs w:val="24"/>
          <w:lang w:val="en-GB"/>
        </w:rPr>
        <w:t xml:space="preserve">oyota adopted a risk-controlled and adaptive technological </w:t>
      </w:r>
      <w:r w:rsidR="0054134A">
        <w:rPr>
          <w:rFonts w:ascii="Arial" w:hAnsi="Arial" w:cs="Arial"/>
          <w:sz w:val="24"/>
          <w:szCs w:val="24"/>
          <w:lang w:val="en-GB"/>
        </w:rPr>
        <w:lastRenderedPageBreak/>
        <w:t xml:space="preserve">approach, as it initially focused on fuel efficiency and hybrid technology other than rapid full battery-electric vehicles </w:t>
      </w:r>
      <w:r w:rsidR="0054134A" w:rsidRPr="0054134A">
        <w:rPr>
          <w:rFonts w:ascii="Arial" w:hAnsi="Arial" w:cs="Arial"/>
          <w:sz w:val="24"/>
          <w:szCs w:val="24"/>
          <w:lang w:val="en-GB"/>
        </w:rPr>
        <w:t>(Rothaermel, 2021).</w:t>
      </w:r>
      <w:r w:rsidR="0054134A">
        <w:rPr>
          <w:rFonts w:ascii="Arial" w:hAnsi="Arial" w:cs="Arial"/>
          <w:sz w:val="24"/>
          <w:szCs w:val="24"/>
          <w:lang w:val="en-GB"/>
        </w:rPr>
        <w:t xml:space="preserve"> Unlike Tesla, this Toyota strategy is focused on cost leadership and niche differentiation of the Porter’s generic strategic model (Porter, 1985). </w:t>
      </w:r>
    </w:p>
    <w:p w14:paraId="7AE06957" w14:textId="77777777" w:rsidR="002B0891" w:rsidRDefault="00740538" w:rsidP="008B1EBE">
      <w:pPr>
        <w:spacing w:line="480" w:lineRule="auto"/>
        <w:jc w:val="both"/>
        <w:rPr>
          <w:rFonts w:ascii="Arial" w:hAnsi="Arial" w:cs="Arial"/>
          <w:sz w:val="24"/>
          <w:szCs w:val="24"/>
          <w:lang w:val="en-GB"/>
        </w:rPr>
      </w:pPr>
      <w:r>
        <w:rPr>
          <w:rFonts w:ascii="Arial" w:hAnsi="Arial" w:cs="Arial"/>
          <w:sz w:val="24"/>
          <w:szCs w:val="24"/>
          <w:lang w:val="en-GB"/>
        </w:rPr>
        <w:t xml:space="preserve">Toyota Production System (TPS): the TPS is also leveraged by Toyota to support the industry transformation and incremental innovation. This also helps to lower its operational risks and competitive advantage through mass market, global market penetration </w:t>
      </w:r>
      <w:r w:rsidRPr="00740538">
        <w:rPr>
          <w:rFonts w:ascii="Arial" w:hAnsi="Arial" w:cs="Arial"/>
          <w:sz w:val="24"/>
          <w:szCs w:val="24"/>
          <w:lang w:val="en-GB"/>
        </w:rPr>
        <w:t>(Meyer, 2022).</w:t>
      </w:r>
      <w:r>
        <w:rPr>
          <w:rFonts w:ascii="Arial" w:hAnsi="Arial" w:cs="Arial"/>
          <w:sz w:val="24"/>
          <w:szCs w:val="24"/>
          <w:lang w:val="en-GB"/>
        </w:rPr>
        <w:t xml:space="preserve"> </w:t>
      </w:r>
    </w:p>
    <w:p w14:paraId="0E3636FA" w14:textId="77777777" w:rsidR="00120E33" w:rsidRPr="00462B12" w:rsidRDefault="00740538" w:rsidP="008B1EBE">
      <w:pPr>
        <w:spacing w:line="480" w:lineRule="auto"/>
        <w:jc w:val="both"/>
        <w:rPr>
          <w:rFonts w:ascii="Arial" w:hAnsi="Arial" w:cs="Arial"/>
          <w:sz w:val="24"/>
          <w:szCs w:val="24"/>
          <w:lang w:val="en-GB"/>
        </w:rPr>
      </w:pPr>
      <w:r w:rsidRPr="00740538">
        <w:rPr>
          <w:rFonts w:ascii="Arial" w:hAnsi="Arial" w:cs="Arial"/>
          <w:sz w:val="24"/>
          <w:szCs w:val="24"/>
          <w:lang w:val="en-GB"/>
        </w:rPr>
        <w:t>Lean manufacturing, and operational efficiency</w:t>
      </w:r>
      <w:r>
        <w:rPr>
          <w:rFonts w:ascii="Arial" w:hAnsi="Arial" w:cs="Arial"/>
          <w:sz w:val="24"/>
          <w:szCs w:val="24"/>
          <w:lang w:val="en-GB"/>
        </w:rPr>
        <w:t xml:space="preserve">: </w:t>
      </w:r>
      <w:r w:rsidR="002D6318">
        <w:rPr>
          <w:rFonts w:ascii="Arial" w:hAnsi="Arial" w:cs="Arial"/>
          <w:sz w:val="24"/>
          <w:szCs w:val="24"/>
          <w:lang w:val="en-GB"/>
        </w:rPr>
        <w:t xml:space="preserve">Toyota sustained profitability in EVs sector through operational efficiency and incremental innovation via lean manufacturing. </w:t>
      </w:r>
      <w:r w:rsidR="00600085">
        <w:rPr>
          <w:rFonts w:ascii="Arial" w:hAnsi="Arial" w:cs="Arial"/>
          <w:sz w:val="24"/>
          <w:szCs w:val="24"/>
          <w:lang w:val="en-GB"/>
        </w:rPr>
        <w:t>Additionally</w:t>
      </w:r>
      <w:r w:rsidR="004D3AD6">
        <w:rPr>
          <w:rFonts w:ascii="Arial" w:hAnsi="Arial" w:cs="Arial"/>
          <w:sz w:val="24"/>
          <w:szCs w:val="24"/>
          <w:lang w:val="en-GB"/>
        </w:rPr>
        <w:t>, as the macro</w:t>
      </w:r>
      <w:r w:rsidR="00712F72">
        <w:rPr>
          <w:rFonts w:ascii="Arial" w:hAnsi="Arial" w:cs="Arial"/>
          <w:sz w:val="24"/>
          <w:szCs w:val="24"/>
          <w:lang w:val="en-GB"/>
        </w:rPr>
        <w:t>-</w:t>
      </w:r>
      <w:r w:rsidR="004D3AD6">
        <w:rPr>
          <w:rFonts w:ascii="Arial" w:hAnsi="Arial" w:cs="Arial"/>
          <w:sz w:val="24"/>
          <w:szCs w:val="24"/>
          <w:lang w:val="en-GB"/>
        </w:rPr>
        <w:t xml:space="preserve">environmental factors increased, </w:t>
      </w:r>
      <w:r w:rsidR="00712F72">
        <w:rPr>
          <w:rFonts w:ascii="Arial" w:hAnsi="Arial" w:cs="Arial"/>
          <w:sz w:val="24"/>
          <w:szCs w:val="24"/>
          <w:lang w:val="en-GB"/>
        </w:rPr>
        <w:t>Toyota also re-</w:t>
      </w:r>
      <w:proofErr w:type="spellStart"/>
      <w:r w:rsidR="00712F72">
        <w:rPr>
          <w:rFonts w:ascii="Arial" w:hAnsi="Arial" w:cs="Arial"/>
          <w:sz w:val="24"/>
          <w:szCs w:val="24"/>
          <w:lang w:val="en-GB"/>
        </w:rPr>
        <w:t>strategised</w:t>
      </w:r>
      <w:proofErr w:type="spellEnd"/>
      <w:r w:rsidR="00712F72">
        <w:rPr>
          <w:rFonts w:ascii="Arial" w:hAnsi="Arial" w:cs="Arial"/>
          <w:sz w:val="24"/>
          <w:szCs w:val="24"/>
          <w:lang w:val="en-GB"/>
        </w:rPr>
        <w:t xml:space="preserve"> within the EV sector, improving its investment in solid-state battery technology and battery-electric vehicle production. Its response also include building new innovation capabilities in </w:t>
      </w:r>
      <w:r w:rsidR="00F86908">
        <w:rPr>
          <w:rFonts w:ascii="Arial" w:hAnsi="Arial" w:cs="Arial"/>
          <w:sz w:val="24"/>
          <w:szCs w:val="24"/>
          <w:lang w:val="en-GB"/>
        </w:rPr>
        <w:t xml:space="preserve">carbon neural technology and electrification solutions </w:t>
      </w:r>
    </w:p>
    <w:p w14:paraId="50E7DEC6" w14:textId="77777777" w:rsidR="00F966A1" w:rsidRPr="00647EB4" w:rsidRDefault="00F966A1" w:rsidP="001E4320">
      <w:pPr>
        <w:pStyle w:val="Heading2"/>
        <w:rPr>
          <w:rFonts w:ascii="Arial" w:hAnsi="Arial" w:cs="Arial"/>
          <w:sz w:val="24"/>
          <w:szCs w:val="24"/>
          <w:u w:val="single"/>
          <w:lang w:val="en-GB"/>
        </w:rPr>
      </w:pPr>
      <w:bookmarkStart w:id="11" w:name="_Toc229647794"/>
      <w:r w:rsidRPr="00647EB4">
        <w:rPr>
          <w:rFonts w:ascii="Arial" w:hAnsi="Arial" w:cs="Arial"/>
          <w:sz w:val="24"/>
          <w:szCs w:val="24"/>
          <w:u w:val="single"/>
          <w:lang w:val="en-GB"/>
        </w:rPr>
        <w:t>Tesla</w:t>
      </w:r>
      <w:r>
        <w:rPr>
          <w:rFonts w:ascii="Arial" w:hAnsi="Arial" w:cs="Arial"/>
          <w:sz w:val="24"/>
          <w:szCs w:val="24"/>
          <w:u w:val="single"/>
          <w:lang w:val="en-GB"/>
        </w:rPr>
        <w:t xml:space="preserve"> vs Toyota environmental/Legal </w:t>
      </w:r>
      <w:r w:rsidRPr="00647EB4">
        <w:rPr>
          <w:rFonts w:ascii="Arial" w:hAnsi="Arial" w:cs="Arial"/>
          <w:sz w:val="24"/>
          <w:szCs w:val="24"/>
          <w:u w:val="single"/>
          <w:lang w:val="en-GB"/>
        </w:rPr>
        <w:t>strategic responses</w:t>
      </w:r>
      <w:bookmarkEnd w:id="11"/>
    </w:p>
    <w:p w14:paraId="6A5A367B" w14:textId="77777777" w:rsidR="002B0891" w:rsidRDefault="00C92325" w:rsidP="00376B88">
      <w:pPr>
        <w:spacing w:line="480" w:lineRule="auto"/>
        <w:jc w:val="both"/>
        <w:rPr>
          <w:rFonts w:ascii="Arial" w:hAnsi="Arial" w:cs="Arial"/>
          <w:sz w:val="24"/>
          <w:szCs w:val="24"/>
          <w:lang w:val="en-GB"/>
        </w:rPr>
      </w:pPr>
      <w:r>
        <w:rPr>
          <w:rFonts w:ascii="Arial" w:hAnsi="Arial" w:cs="Arial"/>
          <w:sz w:val="24"/>
          <w:szCs w:val="24"/>
          <w:lang w:val="en-GB"/>
        </w:rPr>
        <w:t xml:space="preserve">In response to the changing legal and environmental factors, </w:t>
      </w:r>
      <w:r w:rsidR="00376B88">
        <w:rPr>
          <w:rFonts w:ascii="Arial" w:hAnsi="Arial" w:cs="Arial"/>
          <w:sz w:val="24"/>
          <w:szCs w:val="24"/>
          <w:lang w:val="en-GB"/>
        </w:rPr>
        <w:t xml:space="preserve">Tesla positioned itself as a sustainable energy organisation, strengthening </w:t>
      </w:r>
      <w:r w:rsidR="00174B48">
        <w:rPr>
          <w:rFonts w:ascii="Arial" w:hAnsi="Arial" w:cs="Arial"/>
          <w:sz w:val="24"/>
          <w:szCs w:val="24"/>
          <w:lang w:val="en-GB"/>
        </w:rPr>
        <w:t xml:space="preserve">its brand reputation and competitive advantage through differentiated products and services particularly </w:t>
      </w:r>
      <w:r w:rsidR="00B130FC">
        <w:rPr>
          <w:rFonts w:ascii="Arial" w:hAnsi="Arial" w:cs="Arial"/>
          <w:sz w:val="24"/>
          <w:szCs w:val="24"/>
          <w:lang w:val="en-GB"/>
        </w:rPr>
        <w:t xml:space="preserve">for the environmentally-conscious consumers </w:t>
      </w:r>
      <w:r w:rsidR="00B130FC" w:rsidRPr="00B130FC">
        <w:rPr>
          <w:rFonts w:ascii="Arial" w:hAnsi="Arial" w:cs="Arial"/>
          <w:sz w:val="24"/>
          <w:szCs w:val="24"/>
          <w:lang w:val="en-GB"/>
        </w:rPr>
        <w:t>(</w:t>
      </w:r>
      <w:proofErr w:type="spellStart"/>
      <w:r w:rsidR="00B130FC" w:rsidRPr="00B130FC">
        <w:rPr>
          <w:rFonts w:ascii="Arial" w:hAnsi="Arial" w:cs="Arial"/>
          <w:sz w:val="24"/>
          <w:szCs w:val="24"/>
          <w:lang w:val="en-GB"/>
        </w:rPr>
        <w:t>Bocken</w:t>
      </w:r>
      <w:proofErr w:type="spellEnd"/>
      <w:r w:rsidR="00B130FC" w:rsidRPr="00B130FC">
        <w:rPr>
          <w:rFonts w:ascii="Arial" w:hAnsi="Arial" w:cs="Arial"/>
          <w:sz w:val="24"/>
          <w:szCs w:val="24"/>
          <w:lang w:val="en-GB"/>
        </w:rPr>
        <w:t xml:space="preserve"> and </w:t>
      </w:r>
      <w:proofErr w:type="spellStart"/>
      <w:r w:rsidR="00B130FC" w:rsidRPr="00B130FC">
        <w:rPr>
          <w:rFonts w:ascii="Arial" w:hAnsi="Arial" w:cs="Arial"/>
          <w:sz w:val="24"/>
          <w:szCs w:val="24"/>
          <w:lang w:val="en-GB"/>
        </w:rPr>
        <w:t>Geradts</w:t>
      </w:r>
      <w:proofErr w:type="spellEnd"/>
      <w:r w:rsidR="00B130FC" w:rsidRPr="00B130FC">
        <w:rPr>
          <w:rFonts w:ascii="Arial" w:hAnsi="Arial" w:cs="Arial"/>
          <w:sz w:val="24"/>
          <w:szCs w:val="24"/>
          <w:lang w:val="en-GB"/>
        </w:rPr>
        <w:t>, 2020).</w:t>
      </w:r>
      <w:r w:rsidR="00B130FC">
        <w:rPr>
          <w:rFonts w:ascii="Arial" w:hAnsi="Arial" w:cs="Arial"/>
          <w:sz w:val="24"/>
          <w:szCs w:val="24"/>
          <w:lang w:val="en-GB"/>
        </w:rPr>
        <w:t xml:space="preserve"> </w:t>
      </w:r>
    </w:p>
    <w:p w14:paraId="21E903BF" w14:textId="77777777" w:rsidR="00B130FC" w:rsidRDefault="00B130FC" w:rsidP="00376B88">
      <w:pPr>
        <w:spacing w:line="480" w:lineRule="auto"/>
        <w:jc w:val="both"/>
        <w:rPr>
          <w:rFonts w:ascii="Arial" w:hAnsi="Arial" w:cs="Arial"/>
          <w:sz w:val="24"/>
          <w:szCs w:val="24"/>
          <w:lang w:val="en-GB"/>
        </w:rPr>
      </w:pPr>
      <w:r>
        <w:rPr>
          <w:rFonts w:ascii="Arial" w:hAnsi="Arial" w:cs="Arial"/>
          <w:sz w:val="24"/>
          <w:szCs w:val="24"/>
          <w:lang w:val="en-GB"/>
        </w:rPr>
        <w:t xml:space="preserve">Based on the </w:t>
      </w:r>
      <w:r w:rsidRPr="00B130FC">
        <w:rPr>
          <w:rFonts w:ascii="Arial" w:hAnsi="Arial" w:cs="Arial"/>
          <w:sz w:val="24"/>
          <w:szCs w:val="24"/>
          <w:lang w:val="en-GB"/>
        </w:rPr>
        <w:t>Porter’s Generic Strategies</w:t>
      </w:r>
      <w:r>
        <w:rPr>
          <w:rFonts w:ascii="Arial" w:hAnsi="Arial" w:cs="Arial"/>
          <w:sz w:val="24"/>
          <w:szCs w:val="24"/>
          <w:lang w:val="en-GB"/>
        </w:rPr>
        <w:t xml:space="preserve">, Tesla’s response aligns with the </w:t>
      </w:r>
      <w:r w:rsidR="00577F3A">
        <w:rPr>
          <w:rFonts w:ascii="Arial" w:hAnsi="Arial" w:cs="Arial"/>
          <w:sz w:val="24"/>
          <w:szCs w:val="24"/>
          <w:lang w:val="en-GB"/>
        </w:rPr>
        <w:t xml:space="preserve">differentiation strategy, focusing on environmentally-sustainable products which has become the bedrock of the brand identity. </w:t>
      </w:r>
      <w:r w:rsidR="00905880">
        <w:rPr>
          <w:rFonts w:ascii="Arial" w:hAnsi="Arial" w:cs="Arial"/>
          <w:sz w:val="24"/>
          <w:szCs w:val="24"/>
          <w:lang w:val="en-GB"/>
        </w:rPr>
        <w:t xml:space="preserve">Tesla’s sustainability branding influenced </w:t>
      </w:r>
      <w:r w:rsidR="00905880">
        <w:rPr>
          <w:rFonts w:ascii="Arial" w:hAnsi="Arial" w:cs="Arial"/>
          <w:sz w:val="24"/>
          <w:szCs w:val="24"/>
          <w:lang w:val="en-GB"/>
        </w:rPr>
        <w:lastRenderedPageBreak/>
        <w:t xml:space="preserve">emotional attachment with consumers, attracting environmentally-inclined investors and consumers, benefitting premium prices and positioned as alternatives to the traditional combustible engine vehicles </w:t>
      </w:r>
      <w:r w:rsidR="00905880" w:rsidRPr="00905880">
        <w:rPr>
          <w:rFonts w:ascii="Arial" w:hAnsi="Arial" w:cs="Arial"/>
          <w:sz w:val="24"/>
          <w:szCs w:val="24"/>
          <w:lang w:val="en-GB"/>
        </w:rPr>
        <w:t>(Chernev, 2020).</w:t>
      </w:r>
    </w:p>
    <w:p w14:paraId="034181EB" w14:textId="77777777" w:rsidR="009F1771" w:rsidRDefault="009F1771" w:rsidP="009F1771">
      <w:pPr>
        <w:spacing w:line="480" w:lineRule="auto"/>
        <w:jc w:val="both"/>
        <w:rPr>
          <w:rFonts w:ascii="Arial" w:hAnsi="Arial" w:cs="Arial"/>
          <w:sz w:val="24"/>
          <w:szCs w:val="24"/>
          <w:lang w:val="en-GB"/>
        </w:rPr>
      </w:pPr>
      <w:r>
        <w:rPr>
          <w:rFonts w:ascii="Arial" w:hAnsi="Arial" w:cs="Arial"/>
          <w:sz w:val="24"/>
          <w:szCs w:val="24"/>
          <w:lang w:val="en-GB"/>
        </w:rPr>
        <w:t xml:space="preserve">Using the Ansoff Matrix, Tesla responded to the legal and environmental </w:t>
      </w:r>
      <w:r w:rsidR="00D829FB">
        <w:rPr>
          <w:rFonts w:ascii="Arial" w:hAnsi="Arial" w:cs="Arial"/>
          <w:sz w:val="24"/>
          <w:szCs w:val="24"/>
          <w:lang w:val="en-GB"/>
        </w:rPr>
        <w:t>factors through market development strategy. Using market development strategy,</w:t>
      </w:r>
      <w:r>
        <w:rPr>
          <w:rFonts w:ascii="Arial" w:hAnsi="Arial" w:cs="Arial"/>
          <w:sz w:val="24"/>
          <w:szCs w:val="24"/>
          <w:lang w:val="en-GB"/>
        </w:rPr>
        <w:t xml:space="preserve"> Tesla has responded to the technological changes through expansion into new markets. According to Liu and Meng (2023), Tesla has gained market growth through rapid market expansion into new markets like Europe, and China, and other countries characterised by strong sustainability awareness and EV policies. It has also supported its localised products facilities with international charging infrastructures which was one of the barriers to adoption of EVs. This has in turns enhanced its global market penetration. </w:t>
      </w:r>
      <w:r w:rsidR="00D829FB">
        <w:rPr>
          <w:rFonts w:ascii="Arial" w:hAnsi="Arial" w:cs="Arial"/>
          <w:sz w:val="24"/>
          <w:szCs w:val="24"/>
          <w:lang w:val="en-GB"/>
        </w:rPr>
        <w:t>Nevertheless, Te</w:t>
      </w:r>
      <w:r w:rsidR="007D27AC">
        <w:rPr>
          <w:rFonts w:ascii="Arial" w:hAnsi="Arial" w:cs="Arial"/>
          <w:sz w:val="24"/>
          <w:szCs w:val="24"/>
          <w:lang w:val="en-GB"/>
        </w:rPr>
        <w:t xml:space="preserve">sla </w:t>
      </w:r>
      <w:r w:rsidR="00D829FB">
        <w:rPr>
          <w:rFonts w:ascii="Arial" w:hAnsi="Arial" w:cs="Arial"/>
          <w:sz w:val="24"/>
          <w:szCs w:val="24"/>
          <w:lang w:val="en-GB"/>
        </w:rPr>
        <w:t xml:space="preserve">continued to face increasing legal and environmental threats relating to </w:t>
      </w:r>
      <w:r w:rsidR="00F72241">
        <w:rPr>
          <w:rFonts w:ascii="Arial" w:hAnsi="Arial" w:cs="Arial"/>
          <w:sz w:val="24"/>
          <w:szCs w:val="24"/>
          <w:lang w:val="en-GB"/>
        </w:rPr>
        <w:t xml:space="preserve">data privacy, sustainability reporting, labour practices, lithium extraction, vehicle safety and </w:t>
      </w:r>
      <w:r w:rsidR="005F5F47">
        <w:rPr>
          <w:rFonts w:ascii="Arial" w:hAnsi="Arial" w:cs="Arial"/>
          <w:sz w:val="24"/>
          <w:szCs w:val="24"/>
          <w:lang w:val="en-GB"/>
        </w:rPr>
        <w:t xml:space="preserve">battery disposal (Grant, 2022). </w:t>
      </w:r>
      <w:r w:rsidR="007D27AC">
        <w:rPr>
          <w:rFonts w:ascii="Arial" w:hAnsi="Arial" w:cs="Arial"/>
          <w:sz w:val="24"/>
          <w:szCs w:val="24"/>
          <w:lang w:val="en-GB"/>
        </w:rPr>
        <w:t>This implies that it needs to continue to build new innovation capabilities for sustained competitive advantage and market leadership.</w:t>
      </w:r>
    </w:p>
    <w:p w14:paraId="0321CB73" w14:textId="77777777" w:rsidR="0078710E" w:rsidRPr="0078710E" w:rsidRDefault="00EC5CA4" w:rsidP="00376B88">
      <w:pPr>
        <w:spacing w:line="480" w:lineRule="auto"/>
        <w:jc w:val="both"/>
        <w:rPr>
          <w:rFonts w:ascii="Arial" w:hAnsi="Arial" w:cs="Arial"/>
          <w:sz w:val="24"/>
          <w:szCs w:val="24"/>
          <w:lang w:val="en-GB"/>
        </w:rPr>
      </w:pPr>
      <w:r>
        <w:rPr>
          <w:rFonts w:ascii="Arial" w:hAnsi="Arial" w:cs="Arial"/>
          <w:sz w:val="24"/>
          <w:szCs w:val="24"/>
          <w:lang w:val="en-GB"/>
        </w:rPr>
        <w:t xml:space="preserve">Toyota responded to environmental and legal pressures using different approaches to Tesla. </w:t>
      </w:r>
      <w:r w:rsidR="0078710E">
        <w:rPr>
          <w:rFonts w:ascii="Arial" w:hAnsi="Arial" w:cs="Arial"/>
          <w:sz w:val="24"/>
          <w:szCs w:val="24"/>
          <w:lang w:val="en-GB"/>
        </w:rPr>
        <w:t xml:space="preserve">For the Porter’s generic strategy, Toyota’s strategy aligns with </w:t>
      </w:r>
      <w:r w:rsidR="00A77BDC">
        <w:rPr>
          <w:rFonts w:ascii="Arial" w:hAnsi="Arial" w:cs="Arial"/>
          <w:sz w:val="24"/>
          <w:szCs w:val="24"/>
          <w:lang w:val="en-GB"/>
        </w:rPr>
        <w:t>niche market environmental differentiation and broad market cost leadership strategy in EV sector, helping to ensure affordability and reliability (Meyer, 2022). For instance, Toyota focused on environmentally-friendly EVs that are suitable for mass-market</w:t>
      </w:r>
      <w:r w:rsidR="005126CB">
        <w:rPr>
          <w:rFonts w:ascii="Arial" w:hAnsi="Arial" w:cs="Arial"/>
          <w:sz w:val="24"/>
          <w:szCs w:val="24"/>
          <w:lang w:val="en-GB"/>
        </w:rPr>
        <w:t>,</w:t>
      </w:r>
      <w:r w:rsidR="00A77BDC">
        <w:rPr>
          <w:rFonts w:ascii="Arial" w:hAnsi="Arial" w:cs="Arial"/>
          <w:sz w:val="24"/>
          <w:szCs w:val="24"/>
          <w:lang w:val="en-GB"/>
        </w:rPr>
        <w:t xml:space="preserve"> ensuring affordability and quality </w:t>
      </w:r>
      <w:r w:rsidR="00A77BDC" w:rsidRPr="00A77BDC">
        <w:rPr>
          <w:rFonts w:ascii="Arial" w:hAnsi="Arial" w:cs="Arial"/>
          <w:sz w:val="24"/>
          <w:szCs w:val="24"/>
          <w:lang w:val="en-GB"/>
        </w:rPr>
        <w:t>(Armstrong et al., 2020).</w:t>
      </w:r>
      <w:r w:rsidR="005126CB">
        <w:rPr>
          <w:rFonts w:ascii="Arial" w:hAnsi="Arial" w:cs="Arial"/>
          <w:sz w:val="24"/>
          <w:szCs w:val="24"/>
          <w:lang w:val="en-GB"/>
        </w:rPr>
        <w:t xml:space="preserve"> </w:t>
      </w:r>
    </w:p>
    <w:p w14:paraId="42869B4C" w14:textId="77777777" w:rsidR="00120E33" w:rsidRDefault="00120E33" w:rsidP="00120E33">
      <w:pPr>
        <w:spacing w:line="480" w:lineRule="auto"/>
        <w:jc w:val="both"/>
        <w:rPr>
          <w:rFonts w:ascii="Arial" w:hAnsi="Arial" w:cs="Arial"/>
          <w:sz w:val="24"/>
          <w:szCs w:val="24"/>
          <w:lang w:val="en-GB"/>
        </w:rPr>
      </w:pPr>
      <w:r>
        <w:rPr>
          <w:rFonts w:ascii="Arial" w:hAnsi="Arial" w:cs="Arial"/>
          <w:sz w:val="24"/>
          <w:szCs w:val="24"/>
          <w:lang w:val="en-GB"/>
        </w:rPr>
        <w:lastRenderedPageBreak/>
        <w:t xml:space="preserve">Using the </w:t>
      </w:r>
      <w:r w:rsidRPr="00F86908">
        <w:rPr>
          <w:rFonts w:ascii="Arial" w:hAnsi="Arial" w:cs="Arial"/>
          <w:sz w:val="24"/>
          <w:szCs w:val="24"/>
          <w:lang w:val="en-GB"/>
        </w:rPr>
        <w:t>Ansoff’s Growth Matrix</w:t>
      </w:r>
      <w:r>
        <w:rPr>
          <w:rFonts w:ascii="Arial" w:hAnsi="Arial" w:cs="Arial"/>
          <w:sz w:val="24"/>
          <w:szCs w:val="24"/>
          <w:lang w:val="en-GB"/>
        </w:rPr>
        <w:t xml:space="preserve">, these Toyota strategic response to the technological changes can be likened to both product development and diversification strategies. Toyota product development is evident in the production and commercialisation of the </w:t>
      </w:r>
      <w:proofErr w:type="spellStart"/>
      <w:r>
        <w:rPr>
          <w:rFonts w:ascii="Arial" w:hAnsi="Arial" w:cs="Arial"/>
          <w:sz w:val="24"/>
          <w:szCs w:val="24"/>
          <w:lang w:val="en-GB"/>
        </w:rPr>
        <w:t>bZ</w:t>
      </w:r>
      <w:proofErr w:type="spellEnd"/>
      <w:r>
        <w:rPr>
          <w:rFonts w:ascii="Arial" w:hAnsi="Arial" w:cs="Arial"/>
          <w:sz w:val="24"/>
          <w:szCs w:val="24"/>
          <w:lang w:val="en-GB"/>
        </w:rPr>
        <w:t xml:space="preserve"> series which are its EV models. This product expansion strategy lead to the development of those EV models. Toyota also diversified into </w:t>
      </w:r>
      <w:r w:rsidRPr="009261A1">
        <w:rPr>
          <w:rFonts w:ascii="Arial" w:hAnsi="Arial" w:cs="Arial"/>
          <w:sz w:val="24"/>
          <w:szCs w:val="24"/>
          <w:lang w:val="en-GB"/>
        </w:rPr>
        <w:t>hydrogen fuel-cell technologies</w:t>
      </w:r>
      <w:r>
        <w:rPr>
          <w:rFonts w:ascii="Arial" w:hAnsi="Arial" w:cs="Arial"/>
          <w:sz w:val="24"/>
          <w:szCs w:val="24"/>
          <w:lang w:val="en-GB"/>
        </w:rPr>
        <w:t xml:space="preserve"> and other mobility solutions; it leveraged on strategic partnerships unlike Tesla which utilised vertically integrated approach (Grant, 2022). </w:t>
      </w:r>
    </w:p>
    <w:p w14:paraId="41009D01" w14:textId="77777777" w:rsidR="002B0891" w:rsidRDefault="00B722FA" w:rsidP="001E4320">
      <w:pPr>
        <w:pStyle w:val="Heading1"/>
        <w:rPr>
          <w:rFonts w:ascii="Arial" w:hAnsi="Arial" w:cs="Arial"/>
          <w:lang w:val="en-GB"/>
        </w:rPr>
      </w:pPr>
      <w:bookmarkStart w:id="12" w:name="_Toc229647795"/>
      <w:r w:rsidRPr="00B722FA">
        <w:rPr>
          <w:rFonts w:ascii="Arial" w:hAnsi="Arial" w:cs="Arial"/>
          <w:b w:val="0"/>
          <w:lang w:val="en-GB"/>
        </w:rPr>
        <w:t>Conclusion</w:t>
      </w:r>
      <w:bookmarkEnd w:id="12"/>
    </w:p>
    <w:p w14:paraId="4F93FEDD" w14:textId="77777777" w:rsidR="00B722FA" w:rsidRDefault="00B722FA" w:rsidP="00B722FA">
      <w:pPr>
        <w:spacing w:line="480" w:lineRule="auto"/>
        <w:jc w:val="both"/>
        <w:rPr>
          <w:rFonts w:ascii="Arial" w:hAnsi="Arial" w:cs="Arial"/>
          <w:sz w:val="24"/>
          <w:szCs w:val="24"/>
          <w:lang w:val="en-GB"/>
        </w:rPr>
      </w:pPr>
      <w:r>
        <w:rPr>
          <w:rFonts w:ascii="Arial" w:hAnsi="Arial" w:cs="Arial"/>
          <w:sz w:val="24"/>
          <w:szCs w:val="24"/>
          <w:lang w:val="en-GB"/>
        </w:rPr>
        <w:t xml:space="preserve">On the whole, while Toyota utilised </w:t>
      </w:r>
      <w:r w:rsidRPr="00217E2A">
        <w:rPr>
          <w:rFonts w:ascii="Arial" w:hAnsi="Arial" w:cs="Arial"/>
          <w:sz w:val="24"/>
          <w:szCs w:val="24"/>
          <w:lang w:val="en-GB"/>
        </w:rPr>
        <w:t>alliance-based innovation strategies</w:t>
      </w:r>
      <w:r>
        <w:rPr>
          <w:rFonts w:ascii="Arial" w:hAnsi="Arial" w:cs="Arial"/>
          <w:sz w:val="24"/>
          <w:szCs w:val="24"/>
          <w:lang w:val="en-GB"/>
        </w:rPr>
        <w:t xml:space="preserve"> to reduce costs and mitigate rapid technological and environmental changes, Tesla utilised vertically integrated approach, reducing dependence on suppliers and sustaining its market differentiation strategy. While Toyota continues to maintain financial resilience, large scale manufacturing capability and strategic alliances, its cautious approach is relatively weakening its market leadership in the EV segment. Tesla’s </w:t>
      </w:r>
      <w:r w:rsidRPr="00B722FA">
        <w:rPr>
          <w:rFonts w:ascii="Arial" w:hAnsi="Arial" w:cs="Arial"/>
          <w:sz w:val="24"/>
          <w:szCs w:val="24"/>
          <w:lang w:val="en-GB"/>
        </w:rPr>
        <w:t>s</w:t>
      </w:r>
      <w:r>
        <w:rPr>
          <w:rFonts w:ascii="Arial" w:hAnsi="Arial" w:cs="Arial"/>
          <w:sz w:val="24"/>
          <w:szCs w:val="24"/>
          <w:lang w:val="en-GB"/>
        </w:rPr>
        <w:t xml:space="preserve">tronger sustainability branding continued to </w:t>
      </w:r>
      <w:r w:rsidR="0079111E" w:rsidRPr="00BD4E62">
        <w:rPr>
          <w:rFonts w:ascii="Arial" w:hAnsi="Arial" w:cs="Arial"/>
          <w:sz w:val="24"/>
          <w:szCs w:val="24"/>
          <w:lang w:val="en-GB"/>
        </w:rPr>
        <w:t xml:space="preserve">sustain </w:t>
      </w:r>
      <w:r w:rsidR="0079111E">
        <w:rPr>
          <w:rFonts w:ascii="Arial" w:hAnsi="Arial" w:cs="Arial"/>
          <w:sz w:val="24"/>
          <w:szCs w:val="24"/>
          <w:lang w:val="en-GB"/>
        </w:rPr>
        <w:t xml:space="preserve">its </w:t>
      </w:r>
      <w:r w:rsidR="0079111E" w:rsidRPr="00BD4E62">
        <w:rPr>
          <w:rFonts w:ascii="Arial" w:hAnsi="Arial" w:cs="Arial"/>
          <w:sz w:val="24"/>
          <w:szCs w:val="24"/>
          <w:lang w:val="en-GB"/>
        </w:rPr>
        <w:t>market leadership, stronger competitive advantage, market share and market positioning.</w:t>
      </w:r>
      <w:r w:rsidR="0079111E">
        <w:rPr>
          <w:rFonts w:ascii="Arial" w:hAnsi="Arial" w:cs="Arial"/>
          <w:sz w:val="24"/>
          <w:szCs w:val="24"/>
          <w:lang w:val="en-GB"/>
        </w:rPr>
        <w:t xml:space="preserve"> </w:t>
      </w:r>
    </w:p>
    <w:p w14:paraId="7BA53368" w14:textId="77777777" w:rsidR="001E4320" w:rsidRDefault="001E4320" w:rsidP="00B722FA">
      <w:pPr>
        <w:spacing w:line="480" w:lineRule="auto"/>
        <w:jc w:val="both"/>
        <w:rPr>
          <w:rFonts w:ascii="Arial" w:hAnsi="Arial" w:cs="Arial"/>
          <w:sz w:val="24"/>
          <w:szCs w:val="24"/>
          <w:lang w:val="en-GB"/>
        </w:rPr>
      </w:pPr>
    </w:p>
    <w:p w14:paraId="0BB215CB" w14:textId="77777777" w:rsidR="001E4320" w:rsidRDefault="001E4320" w:rsidP="00B722FA">
      <w:pPr>
        <w:spacing w:line="480" w:lineRule="auto"/>
        <w:jc w:val="both"/>
        <w:rPr>
          <w:rFonts w:ascii="Arial" w:hAnsi="Arial" w:cs="Arial"/>
          <w:sz w:val="24"/>
          <w:szCs w:val="24"/>
          <w:lang w:val="en-GB"/>
        </w:rPr>
      </w:pPr>
    </w:p>
    <w:p w14:paraId="49FACDB5" w14:textId="77777777" w:rsidR="00B722FA" w:rsidRDefault="00B722FA" w:rsidP="00376B88">
      <w:pPr>
        <w:spacing w:line="480" w:lineRule="auto"/>
        <w:jc w:val="both"/>
        <w:rPr>
          <w:rFonts w:ascii="Arial" w:hAnsi="Arial" w:cs="Arial"/>
          <w:lang w:val="en-GB"/>
        </w:rPr>
      </w:pPr>
    </w:p>
    <w:p w14:paraId="35B2851A" w14:textId="77777777" w:rsidR="00B659A8" w:rsidRPr="00BD4E62" w:rsidRDefault="00B659A8" w:rsidP="00376B88">
      <w:pPr>
        <w:spacing w:line="480" w:lineRule="auto"/>
        <w:jc w:val="both"/>
        <w:rPr>
          <w:rFonts w:ascii="Arial" w:hAnsi="Arial" w:cs="Arial"/>
          <w:lang w:val="en-GB"/>
        </w:rPr>
      </w:pPr>
    </w:p>
    <w:p w14:paraId="1CA902F3" w14:textId="77777777" w:rsidR="002B0891" w:rsidRPr="004A375D" w:rsidRDefault="00D551C5" w:rsidP="004A375D">
      <w:pPr>
        <w:pStyle w:val="Heading1"/>
        <w:spacing w:line="360" w:lineRule="auto"/>
        <w:rPr>
          <w:rFonts w:ascii="Arial" w:hAnsi="Arial" w:cs="Arial"/>
          <w:sz w:val="24"/>
          <w:szCs w:val="24"/>
          <w:lang w:val="en-GB"/>
        </w:rPr>
      </w:pPr>
      <w:bookmarkStart w:id="13" w:name="_Toc229647796"/>
      <w:r w:rsidRPr="004A375D">
        <w:rPr>
          <w:rFonts w:ascii="Arial" w:hAnsi="Arial" w:cs="Arial"/>
          <w:b w:val="0"/>
          <w:sz w:val="24"/>
          <w:szCs w:val="24"/>
          <w:lang w:val="en-GB"/>
        </w:rPr>
        <w:lastRenderedPageBreak/>
        <w:t>References</w:t>
      </w:r>
      <w:bookmarkEnd w:id="13"/>
      <w:r w:rsidRPr="004A375D">
        <w:rPr>
          <w:rFonts w:ascii="Arial" w:hAnsi="Arial" w:cs="Arial"/>
          <w:sz w:val="24"/>
          <w:szCs w:val="24"/>
          <w:lang w:val="en-GB"/>
        </w:rPr>
        <w:t xml:space="preserve"> </w:t>
      </w:r>
    </w:p>
    <w:p w14:paraId="1AE2E937" w14:textId="77777777" w:rsidR="00C7413D" w:rsidRPr="004A375D" w:rsidRDefault="00C7413D" w:rsidP="004A375D">
      <w:pPr>
        <w:spacing w:line="360" w:lineRule="auto"/>
        <w:jc w:val="both"/>
        <w:rPr>
          <w:rFonts w:ascii="Arial" w:hAnsi="Arial" w:cs="Arial"/>
          <w:sz w:val="24"/>
          <w:szCs w:val="24"/>
          <w:lang w:val="en-GB"/>
        </w:rPr>
      </w:pPr>
      <w:r w:rsidRPr="004A375D">
        <w:rPr>
          <w:rFonts w:ascii="Arial" w:hAnsi="Arial" w:cs="Arial"/>
          <w:sz w:val="24"/>
          <w:szCs w:val="24"/>
          <w:lang w:val="en-GB"/>
        </w:rPr>
        <w:t xml:space="preserve"> Armstrong, G., Kotler, P., Harker, M. and Brennan, R. (2020) Marketing: An Introduction. 8th </w:t>
      </w:r>
      <w:r w:rsidR="00787485" w:rsidRPr="004A375D">
        <w:rPr>
          <w:rFonts w:ascii="Arial" w:hAnsi="Arial" w:cs="Arial"/>
          <w:sz w:val="24"/>
          <w:szCs w:val="24"/>
          <w:lang w:val="en-GB"/>
        </w:rPr>
        <w:t>edition</w:t>
      </w:r>
      <w:r w:rsidR="00926D61" w:rsidRPr="004A375D">
        <w:rPr>
          <w:rFonts w:ascii="Arial" w:hAnsi="Arial" w:cs="Arial"/>
          <w:sz w:val="24"/>
          <w:szCs w:val="24"/>
          <w:lang w:val="en-GB"/>
        </w:rPr>
        <w:t>. Harlow: Pearson Education.</w:t>
      </w:r>
    </w:p>
    <w:p w14:paraId="0E199AA8" w14:textId="77777777" w:rsidR="00861D68" w:rsidRPr="004A375D" w:rsidRDefault="00861D68" w:rsidP="004A375D">
      <w:pPr>
        <w:spacing w:line="360" w:lineRule="auto"/>
        <w:jc w:val="both"/>
        <w:rPr>
          <w:rFonts w:ascii="Arial" w:hAnsi="Arial" w:cs="Arial"/>
          <w:sz w:val="24"/>
          <w:szCs w:val="24"/>
          <w:lang w:val="en-GB"/>
        </w:rPr>
      </w:pPr>
      <w:r w:rsidRPr="004A375D">
        <w:rPr>
          <w:rFonts w:ascii="Arial" w:hAnsi="Arial" w:cs="Arial"/>
          <w:sz w:val="24"/>
          <w:szCs w:val="24"/>
          <w:lang w:val="en-GB"/>
        </w:rPr>
        <w:t xml:space="preserve">Baines, P., Fill, C. and Rosengren, S. (2019) Marketing. 5th </w:t>
      </w:r>
      <w:r w:rsidR="00787485" w:rsidRPr="004A375D">
        <w:rPr>
          <w:rFonts w:ascii="Arial" w:hAnsi="Arial" w:cs="Arial"/>
          <w:sz w:val="24"/>
          <w:szCs w:val="24"/>
          <w:lang w:val="en-GB"/>
        </w:rPr>
        <w:t>edition</w:t>
      </w:r>
      <w:r w:rsidRPr="004A375D">
        <w:rPr>
          <w:rFonts w:ascii="Arial" w:hAnsi="Arial" w:cs="Arial"/>
          <w:sz w:val="24"/>
          <w:szCs w:val="24"/>
          <w:lang w:val="en-GB"/>
        </w:rPr>
        <w:t>. Oxford: Oxford University Press.</w:t>
      </w:r>
    </w:p>
    <w:p w14:paraId="074ED0F0" w14:textId="77777777" w:rsidR="00C7413D" w:rsidRPr="004A375D" w:rsidRDefault="00C7413D" w:rsidP="004A375D">
      <w:pPr>
        <w:spacing w:line="360" w:lineRule="auto"/>
        <w:jc w:val="both"/>
        <w:rPr>
          <w:rFonts w:ascii="Arial" w:hAnsi="Arial" w:cs="Arial"/>
          <w:sz w:val="24"/>
          <w:szCs w:val="24"/>
          <w:lang w:val="en-GB"/>
        </w:rPr>
      </w:pPr>
      <w:proofErr w:type="spellStart"/>
      <w:r w:rsidRPr="004A375D">
        <w:rPr>
          <w:rFonts w:ascii="Arial" w:hAnsi="Arial" w:cs="Arial"/>
          <w:sz w:val="24"/>
          <w:szCs w:val="24"/>
          <w:lang w:val="en-GB"/>
        </w:rPr>
        <w:t>Bocken</w:t>
      </w:r>
      <w:proofErr w:type="spellEnd"/>
      <w:r w:rsidRPr="004A375D">
        <w:rPr>
          <w:rFonts w:ascii="Arial" w:hAnsi="Arial" w:cs="Arial"/>
          <w:sz w:val="24"/>
          <w:szCs w:val="24"/>
          <w:lang w:val="en-GB"/>
        </w:rPr>
        <w:t xml:space="preserve">, N. and </w:t>
      </w:r>
      <w:proofErr w:type="spellStart"/>
      <w:r w:rsidRPr="004A375D">
        <w:rPr>
          <w:rFonts w:ascii="Arial" w:hAnsi="Arial" w:cs="Arial"/>
          <w:sz w:val="24"/>
          <w:szCs w:val="24"/>
          <w:lang w:val="en-GB"/>
        </w:rPr>
        <w:t>Geradts</w:t>
      </w:r>
      <w:proofErr w:type="spellEnd"/>
      <w:r w:rsidRPr="004A375D">
        <w:rPr>
          <w:rFonts w:ascii="Arial" w:hAnsi="Arial" w:cs="Arial"/>
          <w:sz w:val="24"/>
          <w:szCs w:val="24"/>
          <w:lang w:val="en-GB"/>
        </w:rPr>
        <w:t>, T. (2020) ‘Barriers and drivers to sustainable business model innovation’, Organization an</w:t>
      </w:r>
      <w:r w:rsidR="00926D61" w:rsidRPr="004A375D">
        <w:rPr>
          <w:rFonts w:ascii="Arial" w:hAnsi="Arial" w:cs="Arial"/>
          <w:sz w:val="24"/>
          <w:szCs w:val="24"/>
          <w:lang w:val="en-GB"/>
        </w:rPr>
        <w:t>d Environment, 33(4), pp. 1–25.</w:t>
      </w:r>
    </w:p>
    <w:p w14:paraId="75B2399C" w14:textId="77777777" w:rsidR="00C7413D" w:rsidRPr="004A375D" w:rsidRDefault="00C7413D" w:rsidP="004A375D">
      <w:pPr>
        <w:spacing w:line="360" w:lineRule="auto"/>
        <w:jc w:val="both"/>
        <w:rPr>
          <w:rFonts w:ascii="Arial" w:hAnsi="Arial" w:cs="Arial"/>
          <w:sz w:val="24"/>
          <w:szCs w:val="24"/>
          <w:lang w:val="en-GB"/>
        </w:rPr>
      </w:pPr>
      <w:r w:rsidRPr="004A375D">
        <w:rPr>
          <w:rFonts w:ascii="Arial" w:hAnsi="Arial" w:cs="Arial"/>
          <w:sz w:val="24"/>
          <w:szCs w:val="24"/>
          <w:lang w:val="en-GB"/>
        </w:rPr>
        <w:t xml:space="preserve">Chernev, A. (2020) Strategic Marketing Management. 9th </w:t>
      </w:r>
      <w:r w:rsidR="00787485" w:rsidRPr="004A375D">
        <w:rPr>
          <w:rFonts w:ascii="Arial" w:hAnsi="Arial" w:cs="Arial"/>
          <w:sz w:val="24"/>
          <w:szCs w:val="24"/>
          <w:lang w:val="en-GB"/>
        </w:rPr>
        <w:t>edition</w:t>
      </w:r>
      <w:r w:rsidR="00926D61" w:rsidRPr="004A375D">
        <w:rPr>
          <w:rFonts w:ascii="Arial" w:hAnsi="Arial" w:cs="Arial"/>
          <w:sz w:val="24"/>
          <w:szCs w:val="24"/>
          <w:lang w:val="en-GB"/>
        </w:rPr>
        <w:t>. Chicago: Cerebellum Press.</w:t>
      </w:r>
    </w:p>
    <w:p w14:paraId="51591F3D" w14:textId="77777777" w:rsidR="00861D68" w:rsidRPr="004A375D" w:rsidRDefault="00861D68" w:rsidP="004A375D">
      <w:pPr>
        <w:spacing w:line="360" w:lineRule="auto"/>
        <w:jc w:val="both"/>
        <w:rPr>
          <w:rFonts w:ascii="Arial" w:hAnsi="Arial" w:cs="Arial"/>
          <w:sz w:val="24"/>
          <w:szCs w:val="24"/>
          <w:lang w:val="en-GB"/>
        </w:rPr>
      </w:pPr>
      <w:r w:rsidRPr="004A375D">
        <w:rPr>
          <w:rFonts w:ascii="Arial" w:hAnsi="Arial" w:cs="Arial"/>
          <w:sz w:val="24"/>
          <w:szCs w:val="24"/>
          <w:lang w:val="en-GB"/>
        </w:rPr>
        <w:t xml:space="preserve">Dyer, J.H., Godfrey, P., Jensen, R. and Bryce, D. (2020) Strategic Management: Concepts and Cases. 3rd </w:t>
      </w:r>
      <w:r w:rsidR="00787485" w:rsidRPr="004A375D">
        <w:rPr>
          <w:rFonts w:ascii="Arial" w:hAnsi="Arial" w:cs="Arial"/>
          <w:sz w:val="24"/>
          <w:szCs w:val="24"/>
          <w:lang w:val="en-GB"/>
        </w:rPr>
        <w:t>edition</w:t>
      </w:r>
      <w:r w:rsidRPr="004A375D">
        <w:rPr>
          <w:rFonts w:ascii="Arial" w:hAnsi="Arial" w:cs="Arial"/>
          <w:sz w:val="24"/>
          <w:szCs w:val="24"/>
          <w:lang w:val="en-GB"/>
        </w:rPr>
        <w:t>. Hoboken: Wiley.</w:t>
      </w:r>
    </w:p>
    <w:p w14:paraId="631053E1" w14:textId="77777777" w:rsidR="00C7413D" w:rsidRPr="004A375D" w:rsidRDefault="00C7413D" w:rsidP="004A375D">
      <w:pPr>
        <w:spacing w:line="360" w:lineRule="auto"/>
        <w:jc w:val="both"/>
        <w:rPr>
          <w:rFonts w:ascii="Arial" w:hAnsi="Arial" w:cs="Arial"/>
          <w:sz w:val="24"/>
          <w:szCs w:val="24"/>
          <w:lang w:val="en-GB"/>
        </w:rPr>
      </w:pPr>
      <w:r w:rsidRPr="004A375D">
        <w:rPr>
          <w:rFonts w:ascii="Arial" w:hAnsi="Arial" w:cs="Arial"/>
          <w:sz w:val="24"/>
          <w:szCs w:val="24"/>
          <w:lang w:val="en-GB"/>
        </w:rPr>
        <w:t>Grant, R.M. (2022) Contemporary Strategy Analysis. 1</w:t>
      </w:r>
      <w:r w:rsidR="00926D61" w:rsidRPr="004A375D">
        <w:rPr>
          <w:rFonts w:ascii="Arial" w:hAnsi="Arial" w:cs="Arial"/>
          <w:sz w:val="24"/>
          <w:szCs w:val="24"/>
          <w:lang w:val="en-GB"/>
        </w:rPr>
        <w:t xml:space="preserve">1th </w:t>
      </w:r>
      <w:r w:rsidR="00787485" w:rsidRPr="004A375D">
        <w:rPr>
          <w:rFonts w:ascii="Arial" w:hAnsi="Arial" w:cs="Arial"/>
          <w:sz w:val="24"/>
          <w:szCs w:val="24"/>
          <w:lang w:val="en-GB"/>
        </w:rPr>
        <w:t>edition</w:t>
      </w:r>
      <w:r w:rsidR="00926D61" w:rsidRPr="004A375D">
        <w:rPr>
          <w:rFonts w:ascii="Arial" w:hAnsi="Arial" w:cs="Arial"/>
          <w:sz w:val="24"/>
          <w:szCs w:val="24"/>
          <w:lang w:val="en-GB"/>
        </w:rPr>
        <w:t>. Hoboken: Wiley.</w:t>
      </w:r>
    </w:p>
    <w:p w14:paraId="046ECE16" w14:textId="77777777" w:rsidR="00C7413D" w:rsidRPr="004A375D" w:rsidRDefault="00C7413D" w:rsidP="004A375D">
      <w:pPr>
        <w:spacing w:line="360" w:lineRule="auto"/>
        <w:jc w:val="both"/>
        <w:rPr>
          <w:rFonts w:ascii="Arial" w:hAnsi="Arial" w:cs="Arial"/>
          <w:sz w:val="24"/>
          <w:szCs w:val="24"/>
          <w:lang w:val="en-GB"/>
        </w:rPr>
      </w:pPr>
      <w:r w:rsidRPr="004A375D">
        <w:rPr>
          <w:rFonts w:ascii="Arial" w:hAnsi="Arial" w:cs="Arial"/>
          <w:sz w:val="24"/>
          <w:szCs w:val="24"/>
          <w:lang w:val="en-GB"/>
        </w:rPr>
        <w:t>Hill, C., Schilling, M. and Jones, G. (2021) Strategic Management Theory. 14th</w:t>
      </w:r>
      <w:r w:rsidR="00926D61" w:rsidRPr="004A375D">
        <w:rPr>
          <w:rFonts w:ascii="Arial" w:hAnsi="Arial" w:cs="Arial"/>
          <w:sz w:val="24"/>
          <w:szCs w:val="24"/>
          <w:lang w:val="en-GB"/>
        </w:rPr>
        <w:t xml:space="preserve"> </w:t>
      </w:r>
      <w:r w:rsidR="00787485" w:rsidRPr="004A375D">
        <w:rPr>
          <w:rFonts w:ascii="Arial" w:hAnsi="Arial" w:cs="Arial"/>
          <w:sz w:val="24"/>
          <w:szCs w:val="24"/>
          <w:lang w:val="en-GB"/>
        </w:rPr>
        <w:t>edition</w:t>
      </w:r>
      <w:r w:rsidR="00926D61" w:rsidRPr="004A375D">
        <w:rPr>
          <w:rFonts w:ascii="Arial" w:hAnsi="Arial" w:cs="Arial"/>
          <w:sz w:val="24"/>
          <w:szCs w:val="24"/>
          <w:lang w:val="en-GB"/>
        </w:rPr>
        <w:t>. Boston: Cengage Learning.</w:t>
      </w:r>
    </w:p>
    <w:p w14:paraId="29E4D253" w14:textId="77777777" w:rsidR="00861D68" w:rsidRPr="004A375D" w:rsidRDefault="00861D68" w:rsidP="004A375D">
      <w:pPr>
        <w:spacing w:line="360" w:lineRule="auto"/>
        <w:jc w:val="both"/>
        <w:rPr>
          <w:rFonts w:ascii="Arial" w:hAnsi="Arial" w:cs="Arial"/>
          <w:sz w:val="24"/>
          <w:szCs w:val="24"/>
          <w:lang w:val="en-GB"/>
        </w:rPr>
      </w:pPr>
      <w:r w:rsidRPr="004A375D">
        <w:rPr>
          <w:rFonts w:ascii="Arial" w:hAnsi="Arial" w:cs="Arial"/>
          <w:sz w:val="24"/>
          <w:szCs w:val="24"/>
          <w:lang w:val="en-GB"/>
        </w:rPr>
        <w:t>Ives, D. (2020) Tesla and the EV Revolution: The Disruption of the Auto Industry. New York: Columbia Business Publishing.</w:t>
      </w:r>
    </w:p>
    <w:p w14:paraId="4A6573B2" w14:textId="77777777" w:rsidR="00861D68" w:rsidRPr="004A375D" w:rsidRDefault="00861D68" w:rsidP="004A375D">
      <w:pPr>
        <w:spacing w:line="360" w:lineRule="auto"/>
        <w:jc w:val="both"/>
        <w:rPr>
          <w:rFonts w:ascii="Arial" w:hAnsi="Arial" w:cs="Arial"/>
          <w:sz w:val="24"/>
          <w:szCs w:val="24"/>
          <w:lang w:val="en-GB"/>
        </w:rPr>
      </w:pPr>
      <w:r w:rsidRPr="004A375D">
        <w:rPr>
          <w:rFonts w:ascii="Arial" w:hAnsi="Arial" w:cs="Arial"/>
          <w:sz w:val="24"/>
          <w:szCs w:val="24"/>
          <w:lang w:val="en-GB"/>
        </w:rPr>
        <w:t xml:space="preserve">Johnson, G., Scholes, K. and Whittington, R. (2020) Exploring Strategy. 12th </w:t>
      </w:r>
      <w:r w:rsidR="00787485" w:rsidRPr="004A375D">
        <w:rPr>
          <w:rFonts w:ascii="Arial" w:hAnsi="Arial" w:cs="Arial"/>
          <w:sz w:val="24"/>
          <w:szCs w:val="24"/>
          <w:lang w:val="en-GB"/>
        </w:rPr>
        <w:t>edition</w:t>
      </w:r>
      <w:r w:rsidRPr="004A375D">
        <w:rPr>
          <w:rFonts w:ascii="Arial" w:hAnsi="Arial" w:cs="Arial"/>
          <w:sz w:val="24"/>
          <w:szCs w:val="24"/>
          <w:lang w:val="en-GB"/>
        </w:rPr>
        <w:t>. Harlow: Pearson Education.</w:t>
      </w:r>
    </w:p>
    <w:p w14:paraId="311460B0" w14:textId="77777777" w:rsidR="00861D68" w:rsidRPr="004A375D" w:rsidRDefault="00861D68" w:rsidP="004A375D">
      <w:pPr>
        <w:spacing w:line="360" w:lineRule="auto"/>
        <w:jc w:val="both"/>
        <w:rPr>
          <w:rFonts w:ascii="Arial" w:hAnsi="Arial" w:cs="Arial"/>
          <w:sz w:val="24"/>
          <w:szCs w:val="24"/>
          <w:lang w:val="en-GB"/>
        </w:rPr>
      </w:pPr>
      <w:r w:rsidRPr="004A375D">
        <w:rPr>
          <w:rFonts w:ascii="Arial" w:hAnsi="Arial" w:cs="Arial"/>
          <w:sz w:val="24"/>
          <w:szCs w:val="24"/>
          <w:lang w:val="en-GB"/>
        </w:rPr>
        <w:t xml:space="preserve">Kotler, P. and Keller, K.L. (2019) Marketing Management. 15th </w:t>
      </w:r>
      <w:r w:rsidR="00787485" w:rsidRPr="004A375D">
        <w:rPr>
          <w:rFonts w:ascii="Arial" w:hAnsi="Arial" w:cs="Arial"/>
          <w:sz w:val="24"/>
          <w:szCs w:val="24"/>
          <w:lang w:val="en-GB"/>
        </w:rPr>
        <w:t>edition</w:t>
      </w:r>
      <w:r w:rsidRPr="004A375D">
        <w:rPr>
          <w:rFonts w:ascii="Arial" w:hAnsi="Arial" w:cs="Arial"/>
          <w:sz w:val="24"/>
          <w:szCs w:val="24"/>
          <w:lang w:val="en-GB"/>
        </w:rPr>
        <w:t>. Harlow: Pearson Education.</w:t>
      </w:r>
    </w:p>
    <w:p w14:paraId="75CDFE6D" w14:textId="77777777" w:rsidR="00C7413D" w:rsidRPr="004A375D" w:rsidRDefault="00C7413D" w:rsidP="004A375D">
      <w:pPr>
        <w:spacing w:line="360" w:lineRule="auto"/>
        <w:jc w:val="both"/>
        <w:rPr>
          <w:rFonts w:ascii="Arial" w:hAnsi="Arial" w:cs="Arial"/>
          <w:sz w:val="24"/>
          <w:szCs w:val="24"/>
          <w:lang w:val="en-GB"/>
        </w:rPr>
      </w:pPr>
      <w:r w:rsidRPr="004A375D">
        <w:rPr>
          <w:rFonts w:ascii="Arial" w:hAnsi="Arial" w:cs="Arial"/>
          <w:sz w:val="24"/>
          <w:szCs w:val="24"/>
          <w:lang w:val="en-GB"/>
        </w:rPr>
        <w:t>Liu, Y. and Meng, Q. (2023) ‘Strategic expansion and competitive advantage in the electric vehicle industry’, Journal of Bu</w:t>
      </w:r>
      <w:r w:rsidR="00926D61" w:rsidRPr="004A375D">
        <w:rPr>
          <w:rFonts w:ascii="Arial" w:hAnsi="Arial" w:cs="Arial"/>
          <w:sz w:val="24"/>
          <w:szCs w:val="24"/>
          <w:lang w:val="en-GB"/>
        </w:rPr>
        <w:t>siness Research, 164, pp. 1–12.</w:t>
      </w:r>
    </w:p>
    <w:p w14:paraId="7AA6882A" w14:textId="77777777" w:rsidR="00861D68" w:rsidRPr="004A375D" w:rsidRDefault="00861D68" w:rsidP="004A375D">
      <w:pPr>
        <w:spacing w:line="360" w:lineRule="auto"/>
        <w:jc w:val="both"/>
        <w:rPr>
          <w:rFonts w:ascii="Arial" w:hAnsi="Arial" w:cs="Arial"/>
          <w:sz w:val="24"/>
          <w:szCs w:val="24"/>
          <w:lang w:val="en-GB"/>
        </w:rPr>
      </w:pPr>
      <w:proofErr w:type="spellStart"/>
      <w:r w:rsidRPr="004A375D">
        <w:rPr>
          <w:rFonts w:ascii="Arial" w:hAnsi="Arial" w:cs="Arial"/>
          <w:sz w:val="24"/>
          <w:szCs w:val="24"/>
          <w:lang w:val="en-GB"/>
        </w:rPr>
        <w:t>Lüdeke</w:t>
      </w:r>
      <w:proofErr w:type="spellEnd"/>
      <w:r w:rsidRPr="004A375D">
        <w:rPr>
          <w:rFonts w:ascii="Cambria Math" w:hAnsi="Cambria Math" w:cs="Cambria Math"/>
          <w:sz w:val="24"/>
          <w:szCs w:val="24"/>
          <w:lang w:val="en-GB"/>
        </w:rPr>
        <w:t>‐</w:t>
      </w:r>
      <w:r w:rsidRPr="004A375D">
        <w:rPr>
          <w:rFonts w:ascii="Arial" w:hAnsi="Arial" w:cs="Arial"/>
          <w:sz w:val="24"/>
          <w:szCs w:val="24"/>
          <w:lang w:val="en-GB"/>
        </w:rPr>
        <w:t xml:space="preserve">Freund, F., </w:t>
      </w:r>
      <w:proofErr w:type="spellStart"/>
      <w:r w:rsidRPr="004A375D">
        <w:rPr>
          <w:rFonts w:ascii="Arial" w:hAnsi="Arial" w:cs="Arial"/>
          <w:sz w:val="24"/>
          <w:szCs w:val="24"/>
          <w:lang w:val="en-GB"/>
        </w:rPr>
        <w:t>Carroux</w:t>
      </w:r>
      <w:proofErr w:type="spellEnd"/>
      <w:r w:rsidRPr="004A375D">
        <w:rPr>
          <w:rFonts w:ascii="Arial" w:hAnsi="Arial" w:cs="Arial"/>
          <w:sz w:val="24"/>
          <w:szCs w:val="24"/>
          <w:lang w:val="en-GB"/>
        </w:rPr>
        <w:t>, S. and Joyce, A. (2019) ‘The sustainable business model pattern taxonomy’, Sustainability, 11(17), pp. 1–29.</w:t>
      </w:r>
    </w:p>
    <w:p w14:paraId="61C2BB1A" w14:textId="77777777" w:rsidR="00C7413D" w:rsidRPr="004A375D" w:rsidRDefault="00C7413D" w:rsidP="004A375D">
      <w:pPr>
        <w:spacing w:line="360" w:lineRule="auto"/>
        <w:jc w:val="both"/>
        <w:rPr>
          <w:rFonts w:ascii="Arial" w:hAnsi="Arial" w:cs="Arial"/>
          <w:sz w:val="24"/>
          <w:szCs w:val="24"/>
          <w:lang w:val="en-GB"/>
        </w:rPr>
      </w:pPr>
      <w:r w:rsidRPr="004A375D">
        <w:rPr>
          <w:rFonts w:ascii="Arial" w:hAnsi="Arial" w:cs="Arial"/>
          <w:sz w:val="24"/>
          <w:szCs w:val="24"/>
          <w:lang w:val="en-GB"/>
        </w:rPr>
        <w:lastRenderedPageBreak/>
        <w:t xml:space="preserve">Meyer, K. (2022) ‘Innovation strategies in the global automobile industry’, International Journal of Automotive Technology and </w:t>
      </w:r>
      <w:r w:rsidR="00926D61" w:rsidRPr="004A375D">
        <w:rPr>
          <w:rFonts w:ascii="Arial" w:hAnsi="Arial" w:cs="Arial"/>
          <w:sz w:val="24"/>
          <w:szCs w:val="24"/>
          <w:lang w:val="en-GB"/>
        </w:rPr>
        <w:t>Management, 22(3), pp. 215–231.</w:t>
      </w:r>
    </w:p>
    <w:p w14:paraId="0690BA6D" w14:textId="77777777" w:rsidR="00C7413D" w:rsidRPr="004A375D" w:rsidRDefault="00C7413D" w:rsidP="004A375D">
      <w:pPr>
        <w:spacing w:line="360" w:lineRule="auto"/>
        <w:jc w:val="both"/>
        <w:rPr>
          <w:rFonts w:ascii="Arial" w:hAnsi="Arial" w:cs="Arial"/>
          <w:sz w:val="24"/>
          <w:szCs w:val="24"/>
          <w:lang w:val="en-GB"/>
        </w:rPr>
      </w:pPr>
      <w:r w:rsidRPr="004A375D">
        <w:rPr>
          <w:rFonts w:ascii="Arial" w:hAnsi="Arial" w:cs="Arial"/>
          <w:sz w:val="24"/>
          <w:szCs w:val="24"/>
          <w:lang w:val="en-GB"/>
        </w:rPr>
        <w:t>Porter, M.E. (1985) Competitive Advantage: Creating and Sustaining Superior Per</w:t>
      </w:r>
      <w:r w:rsidR="00926D61" w:rsidRPr="004A375D">
        <w:rPr>
          <w:rFonts w:ascii="Arial" w:hAnsi="Arial" w:cs="Arial"/>
          <w:sz w:val="24"/>
          <w:szCs w:val="24"/>
          <w:lang w:val="en-GB"/>
        </w:rPr>
        <w:t>formance. New York: Free Press.</w:t>
      </w:r>
    </w:p>
    <w:p w14:paraId="794CA33D" w14:textId="77777777" w:rsidR="00C7413D" w:rsidRPr="004A375D" w:rsidRDefault="00C7413D" w:rsidP="004A375D">
      <w:pPr>
        <w:spacing w:line="360" w:lineRule="auto"/>
        <w:jc w:val="both"/>
        <w:rPr>
          <w:rFonts w:ascii="Arial" w:hAnsi="Arial" w:cs="Arial"/>
          <w:sz w:val="24"/>
          <w:szCs w:val="24"/>
          <w:lang w:val="en-GB"/>
        </w:rPr>
      </w:pPr>
      <w:r w:rsidRPr="004A375D">
        <w:rPr>
          <w:rFonts w:ascii="Arial" w:hAnsi="Arial" w:cs="Arial"/>
          <w:sz w:val="24"/>
          <w:szCs w:val="24"/>
          <w:lang w:val="en-GB"/>
        </w:rPr>
        <w:t xml:space="preserve">Rothaermel, F.T. (2021) Strategic Management. 5th </w:t>
      </w:r>
      <w:r w:rsidR="00787485" w:rsidRPr="004A375D">
        <w:rPr>
          <w:rFonts w:ascii="Arial" w:hAnsi="Arial" w:cs="Arial"/>
          <w:sz w:val="24"/>
          <w:szCs w:val="24"/>
          <w:lang w:val="en-GB"/>
        </w:rPr>
        <w:t>edition</w:t>
      </w:r>
      <w:r w:rsidRPr="004A375D">
        <w:rPr>
          <w:rFonts w:ascii="Arial" w:hAnsi="Arial" w:cs="Arial"/>
          <w:sz w:val="24"/>
          <w:szCs w:val="24"/>
          <w:lang w:val="en-GB"/>
        </w:rPr>
        <w:t>. New Yor</w:t>
      </w:r>
      <w:r w:rsidR="00926D61" w:rsidRPr="004A375D">
        <w:rPr>
          <w:rFonts w:ascii="Arial" w:hAnsi="Arial" w:cs="Arial"/>
          <w:sz w:val="24"/>
          <w:szCs w:val="24"/>
          <w:lang w:val="en-GB"/>
        </w:rPr>
        <w:t>k: McGraw-Hill Education.</w:t>
      </w:r>
    </w:p>
    <w:p w14:paraId="0C1F4B7B" w14:textId="77777777" w:rsidR="00861D68" w:rsidRPr="004A375D" w:rsidRDefault="00861D68" w:rsidP="004A375D">
      <w:pPr>
        <w:spacing w:line="360" w:lineRule="auto"/>
        <w:jc w:val="both"/>
        <w:rPr>
          <w:rFonts w:ascii="Arial" w:hAnsi="Arial" w:cs="Arial"/>
          <w:sz w:val="24"/>
          <w:szCs w:val="24"/>
          <w:lang w:val="en-GB"/>
        </w:rPr>
      </w:pPr>
      <w:r w:rsidRPr="004A375D">
        <w:rPr>
          <w:rFonts w:ascii="Arial" w:hAnsi="Arial" w:cs="Arial"/>
          <w:sz w:val="24"/>
          <w:szCs w:val="24"/>
          <w:lang w:val="en-GB"/>
        </w:rPr>
        <w:t>Stringham, E., Miller, J. and Clark, J. (2019) ‘Overcoming barriers to entry in an established industry: Tesla Motors’, California Management Review, 57(4), pp. 85–103.</w:t>
      </w:r>
    </w:p>
    <w:p w14:paraId="279F6BF3" w14:textId="77777777" w:rsidR="00C7413D" w:rsidRPr="004A375D" w:rsidRDefault="00C7413D" w:rsidP="004A375D">
      <w:pPr>
        <w:spacing w:line="360" w:lineRule="auto"/>
        <w:jc w:val="both"/>
        <w:rPr>
          <w:rFonts w:ascii="Arial" w:hAnsi="Arial" w:cs="Arial"/>
          <w:sz w:val="24"/>
          <w:szCs w:val="24"/>
          <w:lang w:val="en-GB"/>
        </w:rPr>
      </w:pPr>
      <w:r w:rsidRPr="004A375D">
        <w:rPr>
          <w:rFonts w:ascii="Arial" w:hAnsi="Arial" w:cs="Arial"/>
          <w:sz w:val="24"/>
          <w:szCs w:val="24"/>
          <w:lang w:val="en-GB"/>
        </w:rPr>
        <w:t>Teece, D.J. (2020) ‘Business models and dynamic capabilities’, Long R</w:t>
      </w:r>
      <w:r w:rsidR="00926D61" w:rsidRPr="004A375D">
        <w:rPr>
          <w:rFonts w:ascii="Arial" w:hAnsi="Arial" w:cs="Arial"/>
          <w:sz w:val="24"/>
          <w:szCs w:val="24"/>
          <w:lang w:val="en-GB"/>
        </w:rPr>
        <w:t>ange Planning, 53(4), pp. 1–10.</w:t>
      </w:r>
    </w:p>
    <w:p w14:paraId="29FD20F2" w14:textId="77777777" w:rsidR="00022679" w:rsidRPr="004A375D" w:rsidRDefault="00022679" w:rsidP="004A375D">
      <w:pPr>
        <w:spacing w:line="360" w:lineRule="auto"/>
        <w:jc w:val="both"/>
        <w:rPr>
          <w:rFonts w:ascii="Arial" w:hAnsi="Arial" w:cs="Arial"/>
          <w:sz w:val="24"/>
          <w:szCs w:val="24"/>
          <w:lang w:val="en-GB"/>
        </w:rPr>
      </w:pPr>
      <w:r w:rsidRPr="004A375D">
        <w:rPr>
          <w:rFonts w:ascii="Arial" w:hAnsi="Arial" w:cs="Arial"/>
          <w:sz w:val="24"/>
          <w:szCs w:val="24"/>
          <w:lang w:val="en-GB"/>
        </w:rPr>
        <w:t>Tesla Inc. (2025) Tesla Impact Report 2024. Austin: Tesla Inc. Available at: https://www.tesla.com/impact (Accessed: 14/05/2026).</w:t>
      </w:r>
    </w:p>
    <w:p w14:paraId="6EE5AB51" w14:textId="77777777" w:rsidR="00022679" w:rsidRPr="004A375D" w:rsidRDefault="00022679" w:rsidP="004A375D">
      <w:pPr>
        <w:spacing w:line="360" w:lineRule="auto"/>
        <w:jc w:val="both"/>
        <w:rPr>
          <w:rFonts w:ascii="Arial" w:hAnsi="Arial" w:cs="Arial"/>
          <w:sz w:val="24"/>
          <w:szCs w:val="24"/>
          <w:lang w:val="en-GB"/>
        </w:rPr>
      </w:pPr>
      <w:r w:rsidRPr="004A375D">
        <w:rPr>
          <w:rFonts w:ascii="Arial" w:hAnsi="Arial" w:cs="Arial"/>
          <w:sz w:val="24"/>
          <w:szCs w:val="24"/>
          <w:lang w:val="en-GB"/>
        </w:rPr>
        <w:t>Toyota Motor Corporation (2025) Toyota Sustainability Data Book 2024. Toyota City: Toyota Motor Corporation. Available at: https://global.toyota/en/sustainability/report/sdb/</w:t>
      </w:r>
    </w:p>
    <w:p w14:paraId="7BEA4699" w14:textId="77777777" w:rsidR="00022679" w:rsidRPr="004A375D" w:rsidRDefault="00022679" w:rsidP="004A375D">
      <w:pPr>
        <w:spacing w:line="360" w:lineRule="auto"/>
        <w:jc w:val="both"/>
        <w:rPr>
          <w:rFonts w:ascii="Arial" w:hAnsi="Arial" w:cs="Arial"/>
          <w:sz w:val="24"/>
          <w:szCs w:val="24"/>
          <w:lang w:val="en-GB"/>
        </w:rPr>
      </w:pPr>
      <w:r w:rsidRPr="004A375D">
        <w:rPr>
          <w:rFonts w:ascii="Arial" w:hAnsi="Arial" w:cs="Arial"/>
          <w:sz w:val="24"/>
          <w:szCs w:val="24"/>
          <w:lang w:val="en-GB"/>
        </w:rPr>
        <w:t xml:space="preserve"> (Accessed: 11/05/2026).</w:t>
      </w:r>
    </w:p>
    <w:p w14:paraId="65A3454E" w14:textId="77777777" w:rsidR="008556FA" w:rsidRPr="004A375D" w:rsidRDefault="008556FA" w:rsidP="004A375D">
      <w:pPr>
        <w:spacing w:line="360" w:lineRule="auto"/>
        <w:jc w:val="both"/>
        <w:rPr>
          <w:rFonts w:ascii="Arial" w:hAnsi="Arial" w:cs="Arial"/>
          <w:sz w:val="24"/>
          <w:szCs w:val="24"/>
          <w:lang w:val="en-GB"/>
        </w:rPr>
      </w:pPr>
      <w:r w:rsidRPr="004A375D">
        <w:rPr>
          <w:rFonts w:ascii="Arial" w:hAnsi="Arial" w:cs="Arial"/>
          <w:sz w:val="24"/>
          <w:szCs w:val="24"/>
          <w:lang w:val="en-GB"/>
        </w:rPr>
        <w:t>Wells, P. and Nieuwenhuis, P. (2021) The Automotive Industry and the Environment. Cambridge: Woodhead Publishing.</w:t>
      </w:r>
    </w:p>
    <w:p w14:paraId="43A6A690" w14:textId="77777777" w:rsidR="00D551C5" w:rsidRPr="004A375D" w:rsidRDefault="00C7413D" w:rsidP="004A375D">
      <w:pPr>
        <w:spacing w:line="360" w:lineRule="auto"/>
        <w:jc w:val="both"/>
        <w:rPr>
          <w:rFonts w:ascii="Arial" w:hAnsi="Arial" w:cs="Arial"/>
          <w:sz w:val="24"/>
          <w:szCs w:val="24"/>
          <w:lang w:val="en-GB"/>
        </w:rPr>
      </w:pPr>
      <w:r w:rsidRPr="004A375D">
        <w:rPr>
          <w:rFonts w:ascii="Arial" w:hAnsi="Arial" w:cs="Arial"/>
          <w:sz w:val="24"/>
          <w:szCs w:val="24"/>
          <w:lang w:val="en-GB"/>
        </w:rPr>
        <w:t xml:space="preserve">West, D., Ford, J. and Ibrahim, E. (2021) Strategic Marketing. 4th </w:t>
      </w:r>
      <w:r w:rsidR="00787485" w:rsidRPr="004A375D">
        <w:rPr>
          <w:rFonts w:ascii="Arial" w:hAnsi="Arial" w:cs="Arial"/>
          <w:sz w:val="24"/>
          <w:szCs w:val="24"/>
          <w:lang w:val="en-GB"/>
        </w:rPr>
        <w:t>edition</w:t>
      </w:r>
      <w:r w:rsidRPr="004A375D">
        <w:rPr>
          <w:rFonts w:ascii="Arial" w:hAnsi="Arial" w:cs="Arial"/>
          <w:sz w:val="24"/>
          <w:szCs w:val="24"/>
          <w:lang w:val="en-GB"/>
        </w:rPr>
        <w:t>. Oxford: Oxford University Press.</w:t>
      </w:r>
    </w:p>
    <w:p w14:paraId="6B50CB5C" w14:textId="77777777" w:rsidR="002B0891" w:rsidRPr="00926D61" w:rsidRDefault="002B0891" w:rsidP="00376B88">
      <w:pPr>
        <w:spacing w:line="480" w:lineRule="auto"/>
        <w:jc w:val="both"/>
        <w:rPr>
          <w:rFonts w:ascii="Arial" w:hAnsi="Arial" w:cs="Arial"/>
          <w:sz w:val="24"/>
          <w:szCs w:val="24"/>
          <w:lang w:val="en-GB"/>
        </w:rPr>
      </w:pPr>
    </w:p>
    <w:p w14:paraId="15967B97" w14:textId="77777777" w:rsidR="002B0891" w:rsidRPr="00926D61" w:rsidRDefault="002B0891">
      <w:pPr>
        <w:rPr>
          <w:rFonts w:ascii="Arial" w:hAnsi="Arial" w:cs="Arial"/>
          <w:sz w:val="24"/>
          <w:szCs w:val="24"/>
          <w:lang w:val="en-GB"/>
        </w:rPr>
      </w:pPr>
    </w:p>
    <w:p w14:paraId="49100A60" w14:textId="77777777" w:rsidR="002B0891" w:rsidRPr="00926D61" w:rsidRDefault="002B0891">
      <w:pPr>
        <w:rPr>
          <w:rFonts w:ascii="Arial" w:hAnsi="Arial" w:cs="Arial"/>
          <w:sz w:val="24"/>
          <w:szCs w:val="24"/>
          <w:lang w:val="en-GB"/>
        </w:rPr>
      </w:pPr>
    </w:p>
    <w:p w14:paraId="076AD966" w14:textId="77777777" w:rsidR="002B0891" w:rsidRPr="00926D61" w:rsidRDefault="002B0891">
      <w:pPr>
        <w:rPr>
          <w:rFonts w:ascii="Arial" w:hAnsi="Arial" w:cs="Arial"/>
          <w:sz w:val="24"/>
          <w:szCs w:val="24"/>
          <w:lang w:val="en-GB"/>
        </w:rPr>
      </w:pPr>
    </w:p>
    <w:p w14:paraId="2922CD56" w14:textId="77777777" w:rsidR="002B0891" w:rsidRPr="00926D61" w:rsidRDefault="002B0891">
      <w:pPr>
        <w:rPr>
          <w:rFonts w:ascii="Arial" w:hAnsi="Arial" w:cs="Arial"/>
          <w:sz w:val="24"/>
          <w:szCs w:val="24"/>
          <w:lang w:val="en-GB"/>
        </w:rPr>
      </w:pPr>
    </w:p>
    <w:sectPr w:rsidR="002B0891" w:rsidRPr="00926D61" w:rsidSect="007A2A1F">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5B170" w14:textId="77777777" w:rsidR="001C502E" w:rsidRDefault="001C502E" w:rsidP="00CD248A">
      <w:pPr>
        <w:spacing w:after="0" w:line="240" w:lineRule="auto"/>
      </w:pPr>
      <w:r>
        <w:separator/>
      </w:r>
    </w:p>
  </w:endnote>
  <w:endnote w:type="continuationSeparator" w:id="0">
    <w:p w14:paraId="6A3BD9B1" w14:textId="77777777" w:rsidR="001C502E" w:rsidRDefault="001C502E" w:rsidP="00CD2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5883954"/>
      <w:docPartObj>
        <w:docPartGallery w:val="Page Numbers (Bottom of Page)"/>
        <w:docPartUnique/>
      </w:docPartObj>
    </w:sdtPr>
    <w:sdtContent>
      <w:p w14:paraId="0A0E3DB3" w14:textId="77777777" w:rsidR="00543B8A" w:rsidRDefault="00543B8A">
        <w:pPr>
          <w:pStyle w:val="Footer"/>
          <w:jc w:val="center"/>
        </w:pPr>
        <w:r>
          <w:fldChar w:fldCharType="begin"/>
        </w:r>
        <w:r>
          <w:instrText xml:space="preserve"> PAGE   \* MERGEFORMAT </w:instrText>
        </w:r>
        <w:r>
          <w:fldChar w:fldCharType="separate"/>
        </w:r>
        <w:r w:rsidR="004A375D">
          <w:rPr>
            <w:noProof/>
          </w:rPr>
          <w:t>18</w:t>
        </w:r>
        <w:r>
          <w:rPr>
            <w:noProof/>
          </w:rPr>
          <w:fldChar w:fldCharType="end"/>
        </w:r>
      </w:p>
    </w:sdtContent>
  </w:sdt>
  <w:p w14:paraId="5F61A696" w14:textId="77777777" w:rsidR="00543B8A" w:rsidRDefault="00543B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77975" w14:textId="77777777" w:rsidR="001C502E" w:rsidRDefault="001C502E" w:rsidP="00CD248A">
      <w:pPr>
        <w:spacing w:after="0" w:line="240" w:lineRule="auto"/>
      </w:pPr>
      <w:r>
        <w:separator/>
      </w:r>
    </w:p>
  </w:footnote>
  <w:footnote w:type="continuationSeparator" w:id="0">
    <w:p w14:paraId="565F4064" w14:textId="77777777" w:rsidR="001C502E" w:rsidRDefault="001C502E" w:rsidP="00CD24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891"/>
    <w:rsid w:val="00000553"/>
    <w:rsid w:val="00022679"/>
    <w:rsid w:val="00050DC9"/>
    <w:rsid w:val="000539B5"/>
    <w:rsid w:val="000B45C6"/>
    <w:rsid w:val="000B7066"/>
    <w:rsid w:val="000D099D"/>
    <w:rsid w:val="00112CF6"/>
    <w:rsid w:val="00112E69"/>
    <w:rsid w:val="00120E33"/>
    <w:rsid w:val="00130E40"/>
    <w:rsid w:val="00163269"/>
    <w:rsid w:val="00172C30"/>
    <w:rsid w:val="00174B48"/>
    <w:rsid w:val="00184B4B"/>
    <w:rsid w:val="001A200B"/>
    <w:rsid w:val="001B06B0"/>
    <w:rsid w:val="001B5686"/>
    <w:rsid w:val="001C502E"/>
    <w:rsid w:val="001D2314"/>
    <w:rsid w:val="001D6587"/>
    <w:rsid w:val="001E4320"/>
    <w:rsid w:val="001E5527"/>
    <w:rsid w:val="002054EB"/>
    <w:rsid w:val="00217E2A"/>
    <w:rsid w:val="0022414A"/>
    <w:rsid w:val="002322A7"/>
    <w:rsid w:val="002334E6"/>
    <w:rsid w:val="00243937"/>
    <w:rsid w:val="00276BCB"/>
    <w:rsid w:val="00286C83"/>
    <w:rsid w:val="002A78E0"/>
    <w:rsid w:val="002B0891"/>
    <w:rsid w:val="002C31AD"/>
    <w:rsid w:val="002C576B"/>
    <w:rsid w:val="002D6318"/>
    <w:rsid w:val="002E7D76"/>
    <w:rsid w:val="00324FA0"/>
    <w:rsid w:val="0032784D"/>
    <w:rsid w:val="003335BD"/>
    <w:rsid w:val="00357BC1"/>
    <w:rsid w:val="003612D2"/>
    <w:rsid w:val="00361551"/>
    <w:rsid w:val="00376B88"/>
    <w:rsid w:val="00391304"/>
    <w:rsid w:val="0039243E"/>
    <w:rsid w:val="003C466B"/>
    <w:rsid w:val="003E1811"/>
    <w:rsid w:val="004033B3"/>
    <w:rsid w:val="0043402F"/>
    <w:rsid w:val="004373A0"/>
    <w:rsid w:val="0044070B"/>
    <w:rsid w:val="00446442"/>
    <w:rsid w:val="00462B12"/>
    <w:rsid w:val="004654B4"/>
    <w:rsid w:val="0047102C"/>
    <w:rsid w:val="00487CA1"/>
    <w:rsid w:val="004A375D"/>
    <w:rsid w:val="004C008A"/>
    <w:rsid w:val="004D3AD6"/>
    <w:rsid w:val="004D651D"/>
    <w:rsid w:val="004F2BCE"/>
    <w:rsid w:val="005126CB"/>
    <w:rsid w:val="00513FA6"/>
    <w:rsid w:val="00527240"/>
    <w:rsid w:val="00533699"/>
    <w:rsid w:val="0054134A"/>
    <w:rsid w:val="00543B8A"/>
    <w:rsid w:val="00547899"/>
    <w:rsid w:val="00550B5F"/>
    <w:rsid w:val="005529E4"/>
    <w:rsid w:val="005658A9"/>
    <w:rsid w:val="00577F3A"/>
    <w:rsid w:val="005A0963"/>
    <w:rsid w:val="005A1B23"/>
    <w:rsid w:val="005B0B3C"/>
    <w:rsid w:val="005B16F7"/>
    <w:rsid w:val="005D0149"/>
    <w:rsid w:val="005D09E1"/>
    <w:rsid w:val="005D1CA6"/>
    <w:rsid w:val="005D439A"/>
    <w:rsid w:val="005F260F"/>
    <w:rsid w:val="005F2958"/>
    <w:rsid w:val="005F5F47"/>
    <w:rsid w:val="00600085"/>
    <w:rsid w:val="006012E5"/>
    <w:rsid w:val="0061068F"/>
    <w:rsid w:val="00647EB4"/>
    <w:rsid w:val="00647F01"/>
    <w:rsid w:val="0069063B"/>
    <w:rsid w:val="00691DA1"/>
    <w:rsid w:val="00697CD2"/>
    <w:rsid w:val="006E12F8"/>
    <w:rsid w:val="00712F72"/>
    <w:rsid w:val="00725185"/>
    <w:rsid w:val="00740538"/>
    <w:rsid w:val="00740634"/>
    <w:rsid w:val="00741357"/>
    <w:rsid w:val="00742413"/>
    <w:rsid w:val="0078297E"/>
    <w:rsid w:val="0078710E"/>
    <w:rsid w:val="00787485"/>
    <w:rsid w:val="007876C1"/>
    <w:rsid w:val="0079111E"/>
    <w:rsid w:val="007A2A1F"/>
    <w:rsid w:val="007C7C1A"/>
    <w:rsid w:val="007D27AC"/>
    <w:rsid w:val="007D31FB"/>
    <w:rsid w:val="007D4788"/>
    <w:rsid w:val="007E62D5"/>
    <w:rsid w:val="007F6F7C"/>
    <w:rsid w:val="008556FA"/>
    <w:rsid w:val="00861D68"/>
    <w:rsid w:val="00884E03"/>
    <w:rsid w:val="008B1EBE"/>
    <w:rsid w:val="008C2B2B"/>
    <w:rsid w:val="008D510C"/>
    <w:rsid w:val="008E589B"/>
    <w:rsid w:val="00903174"/>
    <w:rsid w:val="00905880"/>
    <w:rsid w:val="00925068"/>
    <w:rsid w:val="009261A1"/>
    <w:rsid w:val="00926D61"/>
    <w:rsid w:val="009427AB"/>
    <w:rsid w:val="0094591C"/>
    <w:rsid w:val="00955D5C"/>
    <w:rsid w:val="009707D9"/>
    <w:rsid w:val="00984B77"/>
    <w:rsid w:val="009A66A2"/>
    <w:rsid w:val="009A7204"/>
    <w:rsid w:val="009C0EF8"/>
    <w:rsid w:val="009D5508"/>
    <w:rsid w:val="009E5251"/>
    <w:rsid w:val="009F1771"/>
    <w:rsid w:val="00A03978"/>
    <w:rsid w:val="00A70FB7"/>
    <w:rsid w:val="00A77BDC"/>
    <w:rsid w:val="00AB20E4"/>
    <w:rsid w:val="00AD750E"/>
    <w:rsid w:val="00AE490B"/>
    <w:rsid w:val="00B130FC"/>
    <w:rsid w:val="00B238F0"/>
    <w:rsid w:val="00B659A8"/>
    <w:rsid w:val="00B722FA"/>
    <w:rsid w:val="00B93DFE"/>
    <w:rsid w:val="00B95DDA"/>
    <w:rsid w:val="00BA5505"/>
    <w:rsid w:val="00BA593C"/>
    <w:rsid w:val="00BB7FE1"/>
    <w:rsid w:val="00BD4E62"/>
    <w:rsid w:val="00C07263"/>
    <w:rsid w:val="00C16CB9"/>
    <w:rsid w:val="00C27A4A"/>
    <w:rsid w:val="00C3130F"/>
    <w:rsid w:val="00C63122"/>
    <w:rsid w:val="00C636DC"/>
    <w:rsid w:val="00C7413D"/>
    <w:rsid w:val="00C80C1D"/>
    <w:rsid w:val="00C84204"/>
    <w:rsid w:val="00C84357"/>
    <w:rsid w:val="00C92325"/>
    <w:rsid w:val="00CB552B"/>
    <w:rsid w:val="00CC78E9"/>
    <w:rsid w:val="00CD248A"/>
    <w:rsid w:val="00D35A84"/>
    <w:rsid w:val="00D551C5"/>
    <w:rsid w:val="00D561EE"/>
    <w:rsid w:val="00D77334"/>
    <w:rsid w:val="00D829FB"/>
    <w:rsid w:val="00D97521"/>
    <w:rsid w:val="00DA10E8"/>
    <w:rsid w:val="00DC19C6"/>
    <w:rsid w:val="00DE0637"/>
    <w:rsid w:val="00E14F85"/>
    <w:rsid w:val="00E21940"/>
    <w:rsid w:val="00E36684"/>
    <w:rsid w:val="00E74662"/>
    <w:rsid w:val="00EA154C"/>
    <w:rsid w:val="00EC5CA4"/>
    <w:rsid w:val="00EE0E87"/>
    <w:rsid w:val="00EF7E30"/>
    <w:rsid w:val="00F05BCB"/>
    <w:rsid w:val="00F158A7"/>
    <w:rsid w:val="00F47CCC"/>
    <w:rsid w:val="00F618C5"/>
    <w:rsid w:val="00F64854"/>
    <w:rsid w:val="00F72241"/>
    <w:rsid w:val="00F83826"/>
    <w:rsid w:val="00F868D5"/>
    <w:rsid w:val="00F86908"/>
    <w:rsid w:val="00F906DA"/>
    <w:rsid w:val="00F966A1"/>
    <w:rsid w:val="00FA3CFD"/>
    <w:rsid w:val="00FE12EC"/>
    <w:rsid w:val="00FE20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D611C"/>
  <w15:docId w15:val="{30FD5E9C-0E49-4576-8F51-C65B29780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2A1F"/>
  </w:style>
  <w:style w:type="paragraph" w:styleId="Heading1">
    <w:name w:val="heading 1"/>
    <w:basedOn w:val="Normal"/>
    <w:next w:val="Normal"/>
    <w:link w:val="Heading1Char"/>
    <w:uiPriority w:val="9"/>
    <w:qFormat/>
    <w:rsid w:val="00CD24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1E432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0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0637"/>
    <w:rPr>
      <w:rFonts w:ascii="Tahoma" w:hAnsi="Tahoma" w:cs="Tahoma"/>
      <w:sz w:val="16"/>
      <w:szCs w:val="16"/>
    </w:rPr>
  </w:style>
  <w:style w:type="paragraph" w:styleId="Header">
    <w:name w:val="header"/>
    <w:basedOn w:val="Normal"/>
    <w:link w:val="HeaderChar"/>
    <w:uiPriority w:val="99"/>
    <w:semiHidden/>
    <w:unhideWhenUsed/>
    <w:rsid w:val="00CD248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D248A"/>
  </w:style>
  <w:style w:type="paragraph" w:styleId="Footer">
    <w:name w:val="footer"/>
    <w:basedOn w:val="Normal"/>
    <w:link w:val="FooterChar"/>
    <w:uiPriority w:val="99"/>
    <w:unhideWhenUsed/>
    <w:rsid w:val="00CD24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248A"/>
  </w:style>
  <w:style w:type="character" w:customStyle="1" w:styleId="Heading1Char">
    <w:name w:val="Heading 1 Char"/>
    <w:basedOn w:val="DefaultParagraphFont"/>
    <w:link w:val="Heading1"/>
    <w:uiPriority w:val="9"/>
    <w:rsid w:val="00CD248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CD248A"/>
    <w:pPr>
      <w:outlineLvl w:val="9"/>
    </w:pPr>
  </w:style>
  <w:style w:type="table" w:styleId="TableGrid">
    <w:name w:val="Table Grid"/>
    <w:basedOn w:val="TableNormal"/>
    <w:uiPriority w:val="59"/>
    <w:rsid w:val="005F2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1E4320"/>
    <w:rPr>
      <w:rFonts w:asciiTheme="majorHAnsi" w:eastAsiaTheme="majorEastAsia" w:hAnsiTheme="majorHAnsi" w:cstheme="majorBidi"/>
      <w:color w:val="365F91" w:themeColor="accent1" w:themeShade="BF"/>
      <w:sz w:val="26"/>
      <w:szCs w:val="26"/>
    </w:rPr>
  </w:style>
  <w:style w:type="paragraph" w:styleId="TOC1">
    <w:name w:val="toc 1"/>
    <w:basedOn w:val="Normal"/>
    <w:next w:val="Normal"/>
    <w:autoRedefine/>
    <w:uiPriority w:val="39"/>
    <w:unhideWhenUsed/>
    <w:rsid w:val="001E4320"/>
    <w:pPr>
      <w:spacing w:after="100"/>
    </w:pPr>
  </w:style>
  <w:style w:type="paragraph" w:styleId="TOC2">
    <w:name w:val="toc 2"/>
    <w:basedOn w:val="Normal"/>
    <w:next w:val="Normal"/>
    <w:autoRedefine/>
    <w:uiPriority w:val="39"/>
    <w:unhideWhenUsed/>
    <w:rsid w:val="001E4320"/>
    <w:pPr>
      <w:spacing w:after="100"/>
      <w:ind w:left="220"/>
    </w:pPr>
  </w:style>
  <w:style w:type="character" w:styleId="Hyperlink">
    <w:name w:val="Hyperlink"/>
    <w:basedOn w:val="DefaultParagraphFont"/>
    <w:uiPriority w:val="99"/>
    <w:unhideWhenUsed/>
    <w:rsid w:val="001E432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578337">
      <w:bodyDiv w:val="1"/>
      <w:marLeft w:val="0"/>
      <w:marRight w:val="0"/>
      <w:marTop w:val="0"/>
      <w:marBottom w:val="0"/>
      <w:divBdr>
        <w:top w:val="none" w:sz="0" w:space="0" w:color="auto"/>
        <w:left w:val="none" w:sz="0" w:space="0" w:color="auto"/>
        <w:bottom w:val="none" w:sz="0" w:space="0" w:color="auto"/>
        <w:right w:val="none" w:sz="0" w:space="0" w:color="auto"/>
      </w:divBdr>
      <w:divsChild>
        <w:div w:id="1787849309">
          <w:marLeft w:val="0"/>
          <w:marRight w:val="0"/>
          <w:marTop w:val="0"/>
          <w:marBottom w:val="0"/>
          <w:divBdr>
            <w:top w:val="none" w:sz="0" w:space="0" w:color="auto"/>
            <w:left w:val="none" w:sz="0" w:space="0" w:color="auto"/>
            <w:bottom w:val="none" w:sz="0" w:space="0" w:color="auto"/>
            <w:right w:val="none" w:sz="0" w:space="0" w:color="auto"/>
          </w:divBdr>
          <w:divsChild>
            <w:div w:id="346099969">
              <w:marLeft w:val="0"/>
              <w:marRight w:val="0"/>
              <w:marTop w:val="0"/>
              <w:marBottom w:val="0"/>
              <w:divBdr>
                <w:top w:val="none" w:sz="0" w:space="0" w:color="auto"/>
                <w:left w:val="none" w:sz="0" w:space="0" w:color="auto"/>
                <w:bottom w:val="none" w:sz="0" w:space="0" w:color="auto"/>
                <w:right w:val="none" w:sz="0" w:space="0" w:color="auto"/>
              </w:divBdr>
              <w:divsChild>
                <w:div w:id="1021517460">
                  <w:marLeft w:val="0"/>
                  <w:marRight w:val="0"/>
                  <w:marTop w:val="0"/>
                  <w:marBottom w:val="0"/>
                  <w:divBdr>
                    <w:top w:val="none" w:sz="0" w:space="0" w:color="auto"/>
                    <w:left w:val="none" w:sz="0" w:space="0" w:color="auto"/>
                    <w:bottom w:val="none" w:sz="0" w:space="0" w:color="auto"/>
                    <w:right w:val="none" w:sz="0" w:space="0" w:color="auto"/>
                  </w:divBdr>
                  <w:divsChild>
                    <w:div w:id="13699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321231">
      <w:bodyDiv w:val="1"/>
      <w:marLeft w:val="0"/>
      <w:marRight w:val="0"/>
      <w:marTop w:val="0"/>
      <w:marBottom w:val="0"/>
      <w:divBdr>
        <w:top w:val="none" w:sz="0" w:space="0" w:color="auto"/>
        <w:left w:val="none" w:sz="0" w:space="0" w:color="auto"/>
        <w:bottom w:val="none" w:sz="0" w:space="0" w:color="auto"/>
        <w:right w:val="none" w:sz="0" w:space="0" w:color="auto"/>
      </w:divBdr>
      <w:divsChild>
        <w:div w:id="570585458">
          <w:marLeft w:val="0"/>
          <w:marRight w:val="0"/>
          <w:marTop w:val="0"/>
          <w:marBottom w:val="0"/>
          <w:divBdr>
            <w:top w:val="none" w:sz="0" w:space="0" w:color="auto"/>
            <w:left w:val="none" w:sz="0" w:space="0" w:color="auto"/>
            <w:bottom w:val="none" w:sz="0" w:space="0" w:color="auto"/>
            <w:right w:val="none" w:sz="0" w:space="0" w:color="auto"/>
          </w:divBdr>
          <w:divsChild>
            <w:div w:id="492375258">
              <w:marLeft w:val="0"/>
              <w:marRight w:val="0"/>
              <w:marTop w:val="0"/>
              <w:marBottom w:val="0"/>
              <w:divBdr>
                <w:top w:val="none" w:sz="0" w:space="0" w:color="auto"/>
                <w:left w:val="none" w:sz="0" w:space="0" w:color="auto"/>
                <w:bottom w:val="none" w:sz="0" w:space="0" w:color="auto"/>
                <w:right w:val="none" w:sz="0" w:space="0" w:color="auto"/>
              </w:divBdr>
              <w:divsChild>
                <w:div w:id="754978628">
                  <w:marLeft w:val="0"/>
                  <w:marRight w:val="0"/>
                  <w:marTop w:val="0"/>
                  <w:marBottom w:val="0"/>
                  <w:divBdr>
                    <w:top w:val="none" w:sz="0" w:space="0" w:color="auto"/>
                    <w:left w:val="none" w:sz="0" w:space="0" w:color="auto"/>
                    <w:bottom w:val="none" w:sz="0" w:space="0" w:color="auto"/>
                    <w:right w:val="none" w:sz="0" w:space="0" w:color="auto"/>
                  </w:divBdr>
                  <w:divsChild>
                    <w:div w:id="1060523144">
                      <w:marLeft w:val="0"/>
                      <w:marRight w:val="0"/>
                      <w:marTop w:val="0"/>
                      <w:marBottom w:val="0"/>
                      <w:divBdr>
                        <w:top w:val="none" w:sz="0" w:space="0" w:color="auto"/>
                        <w:left w:val="none" w:sz="0" w:space="0" w:color="auto"/>
                        <w:bottom w:val="none" w:sz="0" w:space="0" w:color="auto"/>
                        <w:right w:val="none" w:sz="0" w:space="0" w:color="auto"/>
                      </w:divBdr>
                      <w:divsChild>
                        <w:div w:id="81997732">
                          <w:marLeft w:val="0"/>
                          <w:marRight w:val="0"/>
                          <w:marTop w:val="0"/>
                          <w:marBottom w:val="0"/>
                          <w:divBdr>
                            <w:top w:val="none" w:sz="0" w:space="0" w:color="auto"/>
                            <w:left w:val="none" w:sz="0" w:space="0" w:color="auto"/>
                            <w:bottom w:val="none" w:sz="0" w:space="0" w:color="auto"/>
                            <w:right w:val="none" w:sz="0" w:space="0" w:color="auto"/>
                          </w:divBdr>
                          <w:divsChild>
                            <w:div w:id="596794841">
                              <w:marLeft w:val="0"/>
                              <w:marRight w:val="0"/>
                              <w:marTop w:val="0"/>
                              <w:marBottom w:val="0"/>
                              <w:divBdr>
                                <w:top w:val="none" w:sz="0" w:space="0" w:color="auto"/>
                                <w:left w:val="none" w:sz="0" w:space="0" w:color="auto"/>
                                <w:bottom w:val="none" w:sz="0" w:space="0" w:color="auto"/>
                                <w:right w:val="none" w:sz="0" w:space="0" w:color="auto"/>
                              </w:divBdr>
                              <w:divsChild>
                                <w:div w:id="482553256">
                                  <w:marLeft w:val="0"/>
                                  <w:marRight w:val="0"/>
                                  <w:marTop w:val="0"/>
                                  <w:marBottom w:val="0"/>
                                  <w:divBdr>
                                    <w:top w:val="none" w:sz="0" w:space="0" w:color="auto"/>
                                    <w:left w:val="none" w:sz="0" w:space="0" w:color="auto"/>
                                    <w:bottom w:val="none" w:sz="0" w:space="0" w:color="auto"/>
                                    <w:right w:val="none" w:sz="0" w:space="0" w:color="auto"/>
                                  </w:divBdr>
                                  <w:divsChild>
                                    <w:div w:id="952253488">
                                      <w:marLeft w:val="0"/>
                                      <w:marRight w:val="0"/>
                                      <w:marTop w:val="0"/>
                                      <w:marBottom w:val="0"/>
                                      <w:divBdr>
                                        <w:top w:val="none" w:sz="0" w:space="0" w:color="auto"/>
                                        <w:left w:val="none" w:sz="0" w:space="0" w:color="auto"/>
                                        <w:bottom w:val="none" w:sz="0" w:space="0" w:color="auto"/>
                                        <w:right w:val="none" w:sz="0" w:space="0" w:color="auto"/>
                                      </w:divBdr>
                                      <w:divsChild>
                                        <w:div w:id="1831093821">
                                          <w:marLeft w:val="0"/>
                                          <w:marRight w:val="0"/>
                                          <w:marTop w:val="0"/>
                                          <w:marBottom w:val="0"/>
                                          <w:divBdr>
                                            <w:top w:val="none" w:sz="0" w:space="0" w:color="auto"/>
                                            <w:left w:val="none" w:sz="0" w:space="0" w:color="auto"/>
                                            <w:bottom w:val="none" w:sz="0" w:space="0" w:color="auto"/>
                                            <w:right w:val="none" w:sz="0" w:space="0" w:color="auto"/>
                                          </w:divBdr>
                                          <w:divsChild>
                                            <w:div w:id="211362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1638393">
          <w:marLeft w:val="0"/>
          <w:marRight w:val="0"/>
          <w:marTop w:val="0"/>
          <w:marBottom w:val="0"/>
          <w:divBdr>
            <w:top w:val="none" w:sz="0" w:space="0" w:color="auto"/>
            <w:left w:val="none" w:sz="0" w:space="0" w:color="auto"/>
            <w:bottom w:val="none" w:sz="0" w:space="0" w:color="auto"/>
            <w:right w:val="none" w:sz="0" w:space="0" w:color="auto"/>
          </w:divBdr>
          <w:divsChild>
            <w:div w:id="1590039360">
              <w:marLeft w:val="0"/>
              <w:marRight w:val="0"/>
              <w:marTop w:val="0"/>
              <w:marBottom w:val="0"/>
              <w:divBdr>
                <w:top w:val="none" w:sz="0" w:space="0" w:color="auto"/>
                <w:left w:val="none" w:sz="0" w:space="0" w:color="auto"/>
                <w:bottom w:val="none" w:sz="0" w:space="0" w:color="auto"/>
                <w:right w:val="none" w:sz="0" w:space="0" w:color="auto"/>
              </w:divBdr>
              <w:divsChild>
                <w:div w:id="538399052">
                  <w:marLeft w:val="0"/>
                  <w:marRight w:val="0"/>
                  <w:marTop w:val="0"/>
                  <w:marBottom w:val="0"/>
                  <w:divBdr>
                    <w:top w:val="none" w:sz="0" w:space="0" w:color="auto"/>
                    <w:left w:val="none" w:sz="0" w:space="0" w:color="auto"/>
                    <w:bottom w:val="none" w:sz="0" w:space="0" w:color="auto"/>
                    <w:right w:val="none" w:sz="0" w:space="0" w:color="auto"/>
                  </w:divBdr>
                  <w:divsChild>
                    <w:div w:id="828985574">
                      <w:marLeft w:val="0"/>
                      <w:marRight w:val="0"/>
                      <w:marTop w:val="0"/>
                      <w:marBottom w:val="0"/>
                      <w:divBdr>
                        <w:top w:val="none" w:sz="0" w:space="0" w:color="auto"/>
                        <w:left w:val="none" w:sz="0" w:space="0" w:color="auto"/>
                        <w:bottom w:val="none" w:sz="0" w:space="0" w:color="auto"/>
                        <w:right w:val="none" w:sz="0" w:space="0" w:color="auto"/>
                      </w:divBdr>
                      <w:divsChild>
                        <w:div w:id="273220836">
                          <w:marLeft w:val="0"/>
                          <w:marRight w:val="0"/>
                          <w:marTop w:val="0"/>
                          <w:marBottom w:val="0"/>
                          <w:divBdr>
                            <w:top w:val="none" w:sz="0" w:space="0" w:color="auto"/>
                            <w:left w:val="none" w:sz="0" w:space="0" w:color="auto"/>
                            <w:bottom w:val="none" w:sz="0" w:space="0" w:color="auto"/>
                            <w:right w:val="none" w:sz="0" w:space="0" w:color="auto"/>
                          </w:divBdr>
                          <w:divsChild>
                            <w:div w:id="558249077">
                              <w:marLeft w:val="0"/>
                              <w:marRight w:val="0"/>
                              <w:marTop w:val="0"/>
                              <w:marBottom w:val="0"/>
                              <w:divBdr>
                                <w:top w:val="none" w:sz="0" w:space="0" w:color="auto"/>
                                <w:left w:val="none" w:sz="0" w:space="0" w:color="auto"/>
                                <w:bottom w:val="none" w:sz="0" w:space="0" w:color="auto"/>
                                <w:right w:val="none" w:sz="0" w:space="0" w:color="auto"/>
                              </w:divBdr>
                              <w:divsChild>
                                <w:div w:id="777797921">
                                  <w:marLeft w:val="0"/>
                                  <w:marRight w:val="0"/>
                                  <w:marTop w:val="0"/>
                                  <w:marBottom w:val="0"/>
                                  <w:divBdr>
                                    <w:top w:val="none" w:sz="0" w:space="0" w:color="auto"/>
                                    <w:left w:val="none" w:sz="0" w:space="0" w:color="auto"/>
                                    <w:bottom w:val="none" w:sz="0" w:space="0" w:color="auto"/>
                                    <w:right w:val="none" w:sz="0" w:space="0" w:color="auto"/>
                                  </w:divBdr>
                                  <w:divsChild>
                                    <w:div w:id="1587494254">
                                      <w:marLeft w:val="0"/>
                                      <w:marRight w:val="0"/>
                                      <w:marTop w:val="0"/>
                                      <w:marBottom w:val="0"/>
                                      <w:divBdr>
                                        <w:top w:val="none" w:sz="0" w:space="0" w:color="auto"/>
                                        <w:left w:val="none" w:sz="0" w:space="0" w:color="auto"/>
                                        <w:bottom w:val="none" w:sz="0" w:space="0" w:color="auto"/>
                                        <w:right w:val="none" w:sz="0" w:space="0" w:color="auto"/>
                                      </w:divBdr>
                                      <w:divsChild>
                                        <w:div w:id="1936159871">
                                          <w:marLeft w:val="0"/>
                                          <w:marRight w:val="0"/>
                                          <w:marTop w:val="0"/>
                                          <w:marBottom w:val="0"/>
                                          <w:divBdr>
                                            <w:top w:val="none" w:sz="0" w:space="0" w:color="auto"/>
                                            <w:left w:val="none" w:sz="0" w:space="0" w:color="auto"/>
                                            <w:bottom w:val="none" w:sz="0" w:space="0" w:color="auto"/>
                                            <w:right w:val="none" w:sz="0" w:space="0" w:color="auto"/>
                                          </w:divBdr>
                                          <w:divsChild>
                                            <w:div w:id="1326393226">
                                              <w:marLeft w:val="0"/>
                                              <w:marRight w:val="0"/>
                                              <w:marTop w:val="0"/>
                                              <w:marBottom w:val="0"/>
                                              <w:divBdr>
                                                <w:top w:val="none" w:sz="0" w:space="0" w:color="auto"/>
                                                <w:left w:val="none" w:sz="0" w:space="0" w:color="auto"/>
                                                <w:bottom w:val="none" w:sz="0" w:space="0" w:color="auto"/>
                                                <w:right w:val="none" w:sz="0" w:space="0" w:color="auto"/>
                                              </w:divBdr>
                                              <w:divsChild>
                                                <w:div w:id="505755143">
                                                  <w:marLeft w:val="0"/>
                                                  <w:marRight w:val="0"/>
                                                  <w:marTop w:val="0"/>
                                                  <w:marBottom w:val="0"/>
                                                  <w:divBdr>
                                                    <w:top w:val="none" w:sz="0" w:space="0" w:color="auto"/>
                                                    <w:left w:val="none" w:sz="0" w:space="0" w:color="auto"/>
                                                    <w:bottom w:val="none" w:sz="0" w:space="0" w:color="auto"/>
                                                    <w:right w:val="none" w:sz="0" w:space="0" w:color="auto"/>
                                                  </w:divBdr>
                                                  <w:divsChild>
                                                    <w:div w:id="103372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1F4FF-BFC2-4A35-8EEF-5FF603418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3702</Words>
  <Characters>21108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Ayokusibe Adewale-Badero</cp:lastModifiedBy>
  <cp:revision>2</cp:revision>
  <dcterms:created xsi:type="dcterms:W3CDTF">2026-05-25T06:57:00Z</dcterms:created>
  <dcterms:modified xsi:type="dcterms:W3CDTF">2026-05-25T06:57:00Z</dcterms:modified>
</cp:coreProperties>
</file>