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48590D8" w:rsidR="00AD6D75" w:rsidRPr="00BB05A0" w:rsidRDefault="005B57F9" w:rsidP="009F4F9E">
      <w:pPr>
        <w:pStyle w:val="COVERPAGETEXT"/>
      </w:pPr>
      <w:r>
        <w:t>Bethan Davies-Jones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18942549" w:rsidR="00AD6D75" w:rsidRDefault="005B57F9" w:rsidP="009F4F9E">
      <w:pPr>
        <w:pStyle w:val="COVERPAGETEXT"/>
      </w:pPr>
      <w:r>
        <w:t>Safety &amp; Hazard Assessment</w:t>
      </w:r>
    </w:p>
    <w:p w14:paraId="3AAA3A80" w14:textId="1DB58084" w:rsidR="005B57F9" w:rsidRDefault="005B57F9" w:rsidP="009F4F9E">
      <w:pPr>
        <w:pStyle w:val="COVERPAGETEXT"/>
      </w:pPr>
      <w:r>
        <w:t>Risk Assessment &amp; ALARP Justification</w:t>
      </w:r>
    </w:p>
    <w:p w14:paraId="6D81083E" w14:textId="734FFF87" w:rsidR="005B57F9" w:rsidRPr="00BB05A0" w:rsidRDefault="005B57F9" w:rsidP="005B57F9">
      <w:pPr>
        <w:pStyle w:val="COVERPAGETEXT"/>
      </w:pPr>
      <w:r>
        <w:t>ACDB5013</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7EF8B923" w:rsidR="00AD6D75" w:rsidRPr="00BB05A0" w:rsidRDefault="005B57F9" w:rsidP="009F4F9E">
      <w:pPr>
        <w:pStyle w:val="COVERPAGETEXT"/>
      </w:pPr>
      <w:r>
        <w:t>University of Wales Trinity Saint David</w:t>
      </w:r>
    </w:p>
    <w:p w14:paraId="6753F339" w14:textId="007E7048" w:rsidR="00AD6D75" w:rsidRDefault="005B57F9" w:rsidP="005B57F9">
      <w:pPr>
        <w:pStyle w:val="COVERPAGETEXT"/>
      </w:pPr>
      <w:r>
        <w:t>BEng Ordnance Munitions and Explosives</w:t>
      </w:r>
    </w:p>
    <w:p w14:paraId="3BE0C9A3" w14:textId="77777777" w:rsidR="005B57F9" w:rsidRPr="00BB05A0" w:rsidRDefault="005B57F9" w:rsidP="005B57F9">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0AB7BA64" w14:textId="3FD54712" w:rsidR="00A651C5" w:rsidRDefault="005B57F9" w:rsidP="00A651C5">
      <w:pPr>
        <w:pStyle w:val="COVERPAGETEXT"/>
      </w:pPr>
      <w:r>
        <w:t>July 2026</w:t>
      </w:r>
    </w:p>
    <w:p w14:paraId="4141C93E" w14:textId="77777777" w:rsidR="00B96699" w:rsidRDefault="00B96699" w:rsidP="00A651C5">
      <w:pPr>
        <w:pStyle w:val="COVERPAGETEXT"/>
      </w:pPr>
    </w:p>
    <w:p w14:paraId="52B1F4ED" w14:textId="6F9B5227" w:rsidR="00DA28B2" w:rsidRDefault="00DA28B2" w:rsidP="001279B2">
      <w:pPr>
        <w:pStyle w:val="COVERPAGETEXT"/>
        <w:bidi/>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D96CE18" w14:textId="6963B039" w:rsidR="001B0633" w:rsidRDefault="001B0633" w:rsidP="001B0633">
      <w:bookmarkStart w:id="0" w:name="_Toc290554218"/>
      <w:bookmarkStart w:id="1" w:name="_Toc299621183"/>
      <w:bookmarkStart w:id="2" w:name="_Toc299631411"/>
      <w:bookmarkStart w:id="3" w:name="_Toc299631471"/>
      <w:bookmarkStart w:id="4" w:name="_Toc299631561"/>
      <w:bookmarkStart w:id="5" w:name="_Toc299631638"/>
    </w:p>
    <w:p w14:paraId="100DFCB2" w14:textId="4AFAC497" w:rsidR="00DA28B2" w:rsidRPr="006B4213" w:rsidRDefault="005E3ACA" w:rsidP="00DA28B2">
      <w:pPr>
        <w:pStyle w:val="Heading1nonumber"/>
      </w:pPr>
      <w:bookmarkStart w:id="6" w:name="_Toc235605580"/>
      <w:r w:rsidRPr="006B4213">
        <w:t>Abstract</w:t>
      </w:r>
      <w:bookmarkEnd w:id="0"/>
      <w:bookmarkEnd w:id="1"/>
      <w:bookmarkEnd w:id="2"/>
      <w:bookmarkEnd w:id="3"/>
      <w:bookmarkEnd w:id="4"/>
      <w:bookmarkEnd w:id="5"/>
      <w:bookmarkEnd w:id="6"/>
    </w:p>
    <w:p w14:paraId="43114DF7" w14:textId="504F0CCE" w:rsidR="00DA28B2" w:rsidRDefault="009678A1" w:rsidP="00941D35">
      <w:r>
        <w:t>This report covers a basic introduction to the general risk assessment process</w:t>
      </w:r>
      <w:r w:rsidR="00744813">
        <w:t>. A</w:t>
      </w:r>
      <w:r>
        <w:t xml:space="preserve"> risk assessment is conducted on a calibration trial firing scenario for the Ajax armoured vehicle. One effect of a risk was chosen to complete an “as low as reasonably practicable” justification, which explored a cost benefit analysis. There is then a brief summary on the findings, and the importance of safety in the workplace.</w:t>
      </w:r>
    </w:p>
    <w:p w14:paraId="09E8D719" w14:textId="77777777" w:rsidR="00DA28B2" w:rsidRDefault="00DA28B2" w:rsidP="00941D35"/>
    <w:p w14:paraId="44908FCE" w14:textId="77777777" w:rsidR="00DA28B2" w:rsidRDefault="00DA28B2" w:rsidP="00941D35"/>
    <w:p w14:paraId="78E9B4BD" w14:textId="77777777" w:rsidR="00DA28B2" w:rsidRPr="00F23FBC" w:rsidRDefault="00DA28B2" w:rsidP="00941D35">
      <w:pPr>
        <w:rPr>
          <w:b/>
          <w:bCs/>
          <w:sz w:val="28"/>
          <w:szCs w:val="28"/>
        </w:rPr>
      </w:pPr>
      <w:r w:rsidRPr="00F23FBC">
        <w:rPr>
          <w:b/>
          <w:bCs/>
          <w:sz w:val="28"/>
          <w:szCs w:val="28"/>
        </w:rPr>
        <w:t>Keywords:</w:t>
      </w:r>
      <w:r w:rsidRPr="00F23FBC">
        <w:rPr>
          <w:b/>
          <w:bCs/>
          <w:sz w:val="28"/>
          <w:szCs w:val="28"/>
        </w:rPr>
        <w:tab/>
      </w:r>
    </w:p>
    <w:p w14:paraId="5F661D8D" w14:textId="3B4A1558" w:rsidR="00DA28B2" w:rsidRDefault="00F23FBC" w:rsidP="00941D35">
      <w:r>
        <w:t>Ajax</w:t>
      </w:r>
    </w:p>
    <w:p w14:paraId="52008BEA" w14:textId="257B89FC" w:rsidR="00E110E6" w:rsidRDefault="00E110E6" w:rsidP="00941D35">
      <w:r>
        <w:t>Fire Control System</w:t>
      </w:r>
    </w:p>
    <w:p w14:paraId="57C26F37" w14:textId="5B903EE1" w:rsidR="00E110E6" w:rsidRDefault="00E110E6" w:rsidP="00941D35">
      <w:r>
        <w:t>Calibration Trial</w:t>
      </w:r>
    </w:p>
    <w:p w14:paraId="38A73FBC" w14:textId="47B27DDB" w:rsidR="00F23FBC" w:rsidRDefault="00F23FBC" w:rsidP="00941D35">
      <w:r>
        <w:t>Chemical Toxicity</w:t>
      </w:r>
    </w:p>
    <w:p w14:paraId="16FB194C" w14:textId="74B3C6E4" w:rsidR="00F23FBC" w:rsidRDefault="00F23FBC" w:rsidP="00941D35">
      <w:r>
        <w:t>Carbon Monoxide</w:t>
      </w:r>
    </w:p>
    <w:p w14:paraId="10AA90DD" w14:textId="6E05F350" w:rsidR="00F23FBC" w:rsidRDefault="00E110E6" w:rsidP="00941D35">
      <w:r>
        <w:t>Cost Benefit Analysis</w:t>
      </w:r>
    </w:p>
    <w:p w14:paraId="39A11AEC" w14:textId="366CA183" w:rsidR="00E110E6" w:rsidRDefault="00E110E6" w:rsidP="00941D35"/>
    <w:p w14:paraId="6B888662" w14:textId="6BAC9FAE" w:rsidR="00F2159F" w:rsidRDefault="00F2159F" w:rsidP="00AE480E">
      <w:bookmarkStart w:id="7" w:name="_Toc290554219"/>
      <w:bookmarkStart w:id="8" w:name="_Toc299621184"/>
      <w:bookmarkStart w:id="9" w:name="_Toc299631412"/>
      <w:bookmarkStart w:id="10" w:name="_Toc299631472"/>
      <w:bookmarkStart w:id="11" w:name="_Toc299631562"/>
      <w:bookmarkStart w:id="12" w:name="_Toc299631639"/>
      <w:r>
        <w:br w:type="page"/>
      </w:r>
    </w:p>
    <w:bookmarkEnd w:id="7"/>
    <w:bookmarkEnd w:id="8"/>
    <w:bookmarkEnd w:id="9"/>
    <w:bookmarkEnd w:id="10"/>
    <w:bookmarkEnd w:id="11"/>
    <w:bookmarkEnd w:id="12"/>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36113F16" w14:textId="08956822" w:rsidR="00056DF0"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35605580" w:history="1">
        <w:r w:rsidR="00056DF0" w:rsidRPr="00220AB3">
          <w:rPr>
            <w:rStyle w:val="Hyperlink"/>
          </w:rPr>
          <w:t>Abstract</w:t>
        </w:r>
        <w:r w:rsidR="00056DF0">
          <w:rPr>
            <w:webHidden/>
          </w:rPr>
          <w:tab/>
        </w:r>
        <w:r w:rsidR="00056DF0">
          <w:rPr>
            <w:webHidden/>
          </w:rPr>
          <w:fldChar w:fldCharType="begin"/>
        </w:r>
        <w:r w:rsidR="00056DF0">
          <w:rPr>
            <w:webHidden/>
          </w:rPr>
          <w:instrText xml:space="preserve"> PAGEREF _Toc235605580 \h </w:instrText>
        </w:r>
        <w:r w:rsidR="00056DF0">
          <w:rPr>
            <w:webHidden/>
          </w:rPr>
        </w:r>
        <w:r w:rsidR="00056DF0">
          <w:rPr>
            <w:webHidden/>
          </w:rPr>
          <w:fldChar w:fldCharType="separate"/>
        </w:r>
        <w:r w:rsidR="00056DF0">
          <w:rPr>
            <w:webHidden/>
          </w:rPr>
          <w:t>ii</w:t>
        </w:r>
        <w:r w:rsidR="00056DF0">
          <w:rPr>
            <w:webHidden/>
          </w:rPr>
          <w:fldChar w:fldCharType="end"/>
        </w:r>
      </w:hyperlink>
    </w:p>
    <w:p w14:paraId="4EAE0622" w14:textId="376BE2BB" w:rsidR="00056DF0" w:rsidRDefault="00056DF0">
      <w:pPr>
        <w:pStyle w:val="TOC1"/>
        <w:rPr>
          <w:rFonts w:asciiTheme="minorHAnsi" w:eastAsiaTheme="minorEastAsia" w:hAnsiTheme="minorHAnsi" w:cstheme="minorBidi"/>
          <w:kern w:val="2"/>
          <w:lang w:eastAsia="en-GB"/>
          <w14:ligatures w14:val="standardContextual"/>
        </w:rPr>
      </w:pPr>
      <w:hyperlink w:anchor="_Toc235605581" w:history="1">
        <w:r w:rsidRPr="00220AB3">
          <w:rPr>
            <w:rStyle w:val="Hyperlink"/>
          </w:rPr>
          <w:t>List of Equations</w:t>
        </w:r>
        <w:r>
          <w:rPr>
            <w:webHidden/>
          </w:rPr>
          <w:tab/>
        </w:r>
        <w:r>
          <w:rPr>
            <w:webHidden/>
          </w:rPr>
          <w:fldChar w:fldCharType="begin"/>
        </w:r>
        <w:r>
          <w:rPr>
            <w:webHidden/>
          </w:rPr>
          <w:instrText xml:space="preserve"> PAGEREF _Toc235605581 \h </w:instrText>
        </w:r>
        <w:r>
          <w:rPr>
            <w:webHidden/>
          </w:rPr>
        </w:r>
        <w:r>
          <w:rPr>
            <w:webHidden/>
          </w:rPr>
          <w:fldChar w:fldCharType="separate"/>
        </w:r>
        <w:r>
          <w:rPr>
            <w:webHidden/>
          </w:rPr>
          <w:t>iv</w:t>
        </w:r>
        <w:r>
          <w:rPr>
            <w:webHidden/>
          </w:rPr>
          <w:fldChar w:fldCharType="end"/>
        </w:r>
      </w:hyperlink>
    </w:p>
    <w:p w14:paraId="052E29B6" w14:textId="52B186D5" w:rsidR="00056DF0" w:rsidRDefault="00056DF0">
      <w:pPr>
        <w:pStyle w:val="TOC1"/>
        <w:rPr>
          <w:rFonts w:asciiTheme="minorHAnsi" w:eastAsiaTheme="minorEastAsia" w:hAnsiTheme="minorHAnsi" w:cstheme="minorBidi"/>
          <w:kern w:val="2"/>
          <w:lang w:eastAsia="en-GB"/>
          <w14:ligatures w14:val="standardContextual"/>
        </w:rPr>
      </w:pPr>
      <w:hyperlink w:anchor="_Toc235605582" w:history="1">
        <w:r w:rsidRPr="00220AB3">
          <w:rPr>
            <w:rStyle w:val="Hyperlink"/>
          </w:rPr>
          <w:t>List of Abbreviations</w:t>
        </w:r>
        <w:r>
          <w:rPr>
            <w:webHidden/>
          </w:rPr>
          <w:tab/>
        </w:r>
        <w:r>
          <w:rPr>
            <w:webHidden/>
          </w:rPr>
          <w:fldChar w:fldCharType="begin"/>
        </w:r>
        <w:r>
          <w:rPr>
            <w:webHidden/>
          </w:rPr>
          <w:instrText xml:space="preserve"> PAGEREF _Toc235605582 \h </w:instrText>
        </w:r>
        <w:r>
          <w:rPr>
            <w:webHidden/>
          </w:rPr>
        </w:r>
        <w:r>
          <w:rPr>
            <w:webHidden/>
          </w:rPr>
          <w:fldChar w:fldCharType="separate"/>
        </w:r>
        <w:r>
          <w:rPr>
            <w:webHidden/>
          </w:rPr>
          <w:t>v</w:t>
        </w:r>
        <w:r>
          <w:rPr>
            <w:webHidden/>
          </w:rPr>
          <w:fldChar w:fldCharType="end"/>
        </w:r>
      </w:hyperlink>
    </w:p>
    <w:p w14:paraId="5702D90C" w14:textId="18204EEC" w:rsidR="00056DF0" w:rsidRDefault="00056DF0">
      <w:pPr>
        <w:pStyle w:val="TOC1"/>
        <w:rPr>
          <w:rFonts w:asciiTheme="minorHAnsi" w:eastAsiaTheme="minorEastAsia" w:hAnsiTheme="minorHAnsi" w:cstheme="minorBidi"/>
          <w:kern w:val="2"/>
          <w:lang w:eastAsia="en-GB"/>
          <w14:ligatures w14:val="standardContextual"/>
        </w:rPr>
      </w:pPr>
      <w:hyperlink w:anchor="_Toc235605583" w:history="1">
        <w:r w:rsidRPr="00220AB3">
          <w:rPr>
            <w:rStyle w:val="Hyperlink"/>
          </w:rPr>
          <w:t>1 Introduction</w:t>
        </w:r>
        <w:r>
          <w:rPr>
            <w:webHidden/>
          </w:rPr>
          <w:tab/>
        </w:r>
        <w:r>
          <w:rPr>
            <w:webHidden/>
          </w:rPr>
          <w:fldChar w:fldCharType="begin"/>
        </w:r>
        <w:r>
          <w:rPr>
            <w:webHidden/>
          </w:rPr>
          <w:instrText xml:space="preserve"> PAGEREF _Toc235605583 \h </w:instrText>
        </w:r>
        <w:r>
          <w:rPr>
            <w:webHidden/>
          </w:rPr>
        </w:r>
        <w:r>
          <w:rPr>
            <w:webHidden/>
          </w:rPr>
          <w:fldChar w:fldCharType="separate"/>
        </w:r>
        <w:r>
          <w:rPr>
            <w:webHidden/>
          </w:rPr>
          <w:t>1</w:t>
        </w:r>
        <w:r>
          <w:rPr>
            <w:webHidden/>
          </w:rPr>
          <w:fldChar w:fldCharType="end"/>
        </w:r>
      </w:hyperlink>
    </w:p>
    <w:p w14:paraId="234D8876" w14:textId="1CA241AB" w:rsidR="00056DF0" w:rsidRDefault="00056DF0">
      <w:pPr>
        <w:pStyle w:val="TOC1"/>
        <w:rPr>
          <w:rFonts w:asciiTheme="minorHAnsi" w:eastAsiaTheme="minorEastAsia" w:hAnsiTheme="minorHAnsi" w:cstheme="minorBidi"/>
          <w:kern w:val="2"/>
          <w:lang w:eastAsia="en-GB"/>
          <w14:ligatures w14:val="standardContextual"/>
        </w:rPr>
      </w:pPr>
      <w:hyperlink w:anchor="_Toc235605584" w:history="1">
        <w:r w:rsidRPr="00220AB3">
          <w:rPr>
            <w:rStyle w:val="Hyperlink"/>
          </w:rPr>
          <w:t>2 Risk Assessment</w:t>
        </w:r>
        <w:r>
          <w:rPr>
            <w:webHidden/>
          </w:rPr>
          <w:tab/>
        </w:r>
        <w:r>
          <w:rPr>
            <w:webHidden/>
          </w:rPr>
          <w:fldChar w:fldCharType="begin"/>
        </w:r>
        <w:r>
          <w:rPr>
            <w:webHidden/>
          </w:rPr>
          <w:instrText xml:space="preserve"> PAGEREF _Toc235605584 \h </w:instrText>
        </w:r>
        <w:r>
          <w:rPr>
            <w:webHidden/>
          </w:rPr>
        </w:r>
        <w:r>
          <w:rPr>
            <w:webHidden/>
          </w:rPr>
          <w:fldChar w:fldCharType="separate"/>
        </w:r>
        <w:r>
          <w:rPr>
            <w:webHidden/>
          </w:rPr>
          <w:t>1</w:t>
        </w:r>
        <w:r>
          <w:rPr>
            <w:webHidden/>
          </w:rPr>
          <w:fldChar w:fldCharType="end"/>
        </w:r>
      </w:hyperlink>
    </w:p>
    <w:p w14:paraId="7078EE4E" w14:textId="6FC08CDA" w:rsidR="00056DF0" w:rsidRDefault="00056DF0">
      <w:pPr>
        <w:pStyle w:val="TOC1"/>
        <w:rPr>
          <w:rFonts w:asciiTheme="minorHAnsi" w:eastAsiaTheme="minorEastAsia" w:hAnsiTheme="minorHAnsi" w:cstheme="minorBidi"/>
          <w:kern w:val="2"/>
          <w:lang w:eastAsia="en-GB"/>
          <w14:ligatures w14:val="standardContextual"/>
        </w:rPr>
      </w:pPr>
      <w:hyperlink w:anchor="_Toc235605585" w:history="1">
        <w:r w:rsidRPr="00220AB3">
          <w:rPr>
            <w:rStyle w:val="Hyperlink"/>
          </w:rPr>
          <w:t>3 ALARP Justification</w:t>
        </w:r>
        <w:r>
          <w:rPr>
            <w:webHidden/>
          </w:rPr>
          <w:tab/>
        </w:r>
        <w:r>
          <w:rPr>
            <w:webHidden/>
          </w:rPr>
          <w:fldChar w:fldCharType="begin"/>
        </w:r>
        <w:r>
          <w:rPr>
            <w:webHidden/>
          </w:rPr>
          <w:instrText xml:space="preserve"> PAGEREF _Toc235605585 \h </w:instrText>
        </w:r>
        <w:r>
          <w:rPr>
            <w:webHidden/>
          </w:rPr>
        </w:r>
        <w:r>
          <w:rPr>
            <w:webHidden/>
          </w:rPr>
          <w:fldChar w:fldCharType="separate"/>
        </w:r>
        <w:r>
          <w:rPr>
            <w:webHidden/>
          </w:rPr>
          <w:t>10</w:t>
        </w:r>
        <w:r>
          <w:rPr>
            <w:webHidden/>
          </w:rPr>
          <w:fldChar w:fldCharType="end"/>
        </w:r>
      </w:hyperlink>
    </w:p>
    <w:p w14:paraId="6A5B2590" w14:textId="1840CC9A" w:rsidR="00056DF0" w:rsidRDefault="00056DF0">
      <w:pPr>
        <w:pStyle w:val="TOC1"/>
        <w:rPr>
          <w:rFonts w:asciiTheme="minorHAnsi" w:eastAsiaTheme="minorEastAsia" w:hAnsiTheme="minorHAnsi" w:cstheme="minorBidi"/>
          <w:kern w:val="2"/>
          <w:lang w:eastAsia="en-GB"/>
          <w14:ligatures w14:val="standardContextual"/>
        </w:rPr>
      </w:pPr>
      <w:hyperlink w:anchor="_Toc235605586" w:history="1">
        <w:r w:rsidRPr="00220AB3">
          <w:rPr>
            <w:rStyle w:val="Hyperlink"/>
          </w:rPr>
          <w:t>4 Conclusion</w:t>
        </w:r>
        <w:r>
          <w:rPr>
            <w:webHidden/>
          </w:rPr>
          <w:tab/>
        </w:r>
        <w:r>
          <w:rPr>
            <w:webHidden/>
          </w:rPr>
          <w:fldChar w:fldCharType="begin"/>
        </w:r>
        <w:r>
          <w:rPr>
            <w:webHidden/>
          </w:rPr>
          <w:instrText xml:space="preserve"> PAGEREF _Toc235605586 \h </w:instrText>
        </w:r>
        <w:r>
          <w:rPr>
            <w:webHidden/>
          </w:rPr>
        </w:r>
        <w:r>
          <w:rPr>
            <w:webHidden/>
          </w:rPr>
          <w:fldChar w:fldCharType="separate"/>
        </w:r>
        <w:r>
          <w:rPr>
            <w:webHidden/>
          </w:rPr>
          <w:t>15</w:t>
        </w:r>
        <w:r>
          <w:rPr>
            <w:webHidden/>
          </w:rPr>
          <w:fldChar w:fldCharType="end"/>
        </w:r>
      </w:hyperlink>
    </w:p>
    <w:p w14:paraId="45BCEFA3" w14:textId="5E69FDA7" w:rsidR="00056DF0" w:rsidRDefault="00056DF0">
      <w:pPr>
        <w:pStyle w:val="TOC1"/>
        <w:rPr>
          <w:rFonts w:asciiTheme="minorHAnsi" w:eastAsiaTheme="minorEastAsia" w:hAnsiTheme="minorHAnsi" w:cstheme="minorBidi"/>
          <w:kern w:val="2"/>
          <w:lang w:eastAsia="en-GB"/>
          <w14:ligatures w14:val="standardContextual"/>
        </w:rPr>
      </w:pPr>
      <w:hyperlink w:anchor="_Toc235605587" w:history="1">
        <w:r w:rsidRPr="00220AB3">
          <w:rPr>
            <w:rStyle w:val="Hyperlink"/>
          </w:rPr>
          <w:t>5 References</w:t>
        </w:r>
        <w:r>
          <w:rPr>
            <w:webHidden/>
          </w:rPr>
          <w:tab/>
        </w:r>
        <w:r>
          <w:rPr>
            <w:webHidden/>
          </w:rPr>
          <w:fldChar w:fldCharType="begin"/>
        </w:r>
        <w:r>
          <w:rPr>
            <w:webHidden/>
          </w:rPr>
          <w:instrText xml:space="preserve"> PAGEREF _Toc235605587 \h </w:instrText>
        </w:r>
        <w:r>
          <w:rPr>
            <w:webHidden/>
          </w:rPr>
        </w:r>
        <w:r>
          <w:rPr>
            <w:webHidden/>
          </w:rPr>
          <w:fldChar w:fldCharType="separate"/>
        </w:r>
        <w:r>
          <w:rPr>
            <w:webHidden/>
          </w:rPr>
          <w:t>16</w:t>
        </w:r>
        <w:r>
          <w:rPr>
            <w:webHidden/>
          </w:rPr>
          <w:fldChar w:fldCharType="end"/>
        </w:r>
      </w:hyperlink>
    </w:p>
    <w:p w14:paraId="1E0A1994" w14:textId="7C421062" w:rsidR="00DA28B2" w:rsidRDefault="00B765F2" w:rsidP="00941D35">
      <w:r>
        <w:fldChar w:fldCharType="end"/>
      </w:r>
    </w:p>
    <w:p w14:paraId="0483FE1D" w14:textId="77777777" w:rsidR="00DA28B2" w:rsidRDefault="00DA28B2" w:rsidP="00941D35"/>
    <w:p w14:paraId="7F7C6B8B" w14:textId="4E9955AE" w:rsidR="005C0AF1" w:rsidRDefault="005C0AF1" w:rsidP="00441731">
      <w:bookmarkStart w:id="13" w:name="_Toc51833373"/>
      <w:bookmarkStart w:id="14" w:name="_Toc290554222"/>
      <w:bookmarkStart w:id="15" w:name="_Toc299621187"/>
      <w:bookmarkStart w:id="16" w:name="_Toc299631415"/>
      <w:bookmarkStart w:id="17" w:name="_Toc299631475"/>
      <w:bookmarkStart w:id="18" w:name="_Toc299631565"/>
      <w:bookmarkStart w:id="19" w:name="_Toc299631642"/>
      <w:r>
        <w:br w:type="page"/>
      </w:r>
    </w:p>
    <w:p w14:paraId="6336BDBD" w14:textId="1C748BFD" w:rsidR="00DA28B2" w:rsidRDefault="005E3ACA" w:rsidP="00DA28B2">
      <w:pPr>
        <w:pStyle w:val="Heading1nonumber"/>
      </w:pPr>
      <w:bookmarkStart w:id="20" w:name="_Toc235605581"/>
      <w:r>
        <w:lastRenderedPageBreak/>
        <w:t xml:space="preserve">List of </w:t>
      </w:r>
      <w:r w:rsidR="004C2C9C">
        <w:t>E</w:t>
      </w:r>
      <w:r>
        <w:t>quations</w:t>
      </w:r>
      <w:bookmarkEnd w:id="13"/>
      <w:bookmarkEnd w:id="14"/>
      <w:bookmarkEnd w:id="15"/>
      <w:bookmarkEnd w:id="16"/>
      <w:bookmarkEnd w:id="17"/>
      <w:bookmarkEnd w:id="18"/>
      <w:bookmarkEnd w:id="19"/>
      <w:bookmarkEnd w:id="20"/>
    </w:p>
    <w:p w14:paraId="28D78B39" w14:textId="2D8EA5B5" w:rsidR="00056DF0"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35605588" w:history="1">
        <w:r w:rsidR="00056DF0" w:rsidRPr="00E97C1E">
          <w:rPr>
            <w:rStyle w:val="Hyperlink"/>
            <w:noProof/>
          </w:rPr>
          <w:t>Equation 1 – GDC Equation</w:t>
        </w:r>
        <w:r w:rsidR="00056DF0">
          <w:rPr>
            <w:noProof/>
            <w:webHidden/>
          </w:rPr>
          <w:tab/>
        </w:r>
        <w:r w:rsidR="00056DF0">
          <w:rPr>
            <w:noProof/>
            <w:webHidden/>
          </w:rPr>
          <w:fldChar w:fldCharType="begin"/>
        </w:r>
        <w:r w:rsidR="00056DF0">
          <w:rPr>
            <w:noProof/>
            <w:webHidden/>
          </w:rPr>
          <w:instrText xml:space="preserve"> PAGEREF _Toc235605588 \h </w:instrText>
        </w:r>
        <w:r w:rsidR="00056DF0">
          <w:rPr>
            <w:noProof/>
            <w:webHidden/>
          </w:rPr>
        </w:r>
        <w:r w:rsidR="00056DF0">
          <w:rPr>
            <w:noProof/>
            <w:webHidden/>
          </w:rPr>
          <w:fldChar w:fldCharType="separate"/>
        </w:r>
        <w:r w:rsidR="00056DF0">
          <w:rPr>
            <w:noProof/>
            <w:webHidden/>
          </w:rPr>
          <w:t>13</w:t>
        </w:r>
        <w:r w:rsidR="00056DF0">
          <w:rPr>
            <w:noProof/>
            <w:webHidden/>
          </w:rPr>
          <w:fldChar w:fldCharType="end"/>
        </w:r>
      </w:hyperlink>
    </w:p>
    <w:p w14:paraId="68DE18A2" w14:textId="7004CE6A"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21" w:name="_Toc235605582"/>
      <w:r>
        <w:lastRenderedPageBreak/>
        <w:t xml:space="preserve">List of </w:t>
      </w:r>
      <w:r w:rsidR="004C2C9C">
        <w:t>A</w:t>
      </w:r>
      <w:r>
        <w:t>bbreviations</w:t>
      </w:r>
      <w:bookmarkEnd w:id="2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3"/>
        <w:gridCol w:w="7131"/>
      </w:tblGrid>
      <w:tr w:rsidR="00361EFD" w14:paraId="4AAA4B8D" w14:textId="77777777" w:rsidTr="002A5491">
        <w:tc>
          <w:tcPr>
            <w:tcW w:w="1384" w:type="dxa"/>
          </w:tcPr>
          <w:p w14:paraId="05515304" w14:textId="650D8525" w:rsidR="00F23FBC" w:rsidRDefault="00F23FBC" w:rsidP="00361EFD">
            <w:pPr>
              <w:pStyle w:val="TableText"/>
            </w:pPr>
            <w:r>
              <w:t>ALARP</w:t>
            </w:r>
          </w:p>
          <w:p w14:paraId="63EE9480" w14:textId="4DBF1C31" w:rsidR="00AC0315" w:rsidRDefault="00AC0315" w:rsidP="00361EFD">
            <w:pPr>
              <w:pStyle w:val="TableText"/>
            </w:pPr>
            <w:r>
              <w:t>CBA</w:t>
            </w:r>
          </w:p>
          <w:p w14:paraId="297AFABC" w14:textId="7D97BACD" w:rsidR="00BD075B" w:rsidRDefault="00BD075B" w:rsidP="00361EFD">
            <w:pPr>
              <w:pStyle w:val="TableText"/>
            </w:pPr>
            <w:r>
              <w:t>COSHH</w:t>
            </w:r>
          </w:p>
          <w:p w14:paraId="655400AE" w14:textId="7A681096" w:rsidR="00361EFD" w:rsidRDefault="0059541F" w:rsidP="00361EFD">
            <w:pPr>
              <w:pStyle w:val="TableText"/>
            </w:pPr>
            <w:r>
              <w:t>FCS</w:t>
            </w:r>
          </w:p>
          <w:p w14:paraId="68F53C86" w14:textId="7298715F" w:rsidR="00DF7AFD" w:rsidRDefault="00DF7AFD" w:rsidP="00361EFD">
            <w:pPr>
              <w:pStyle w:val="TableText"/>
            </w:pPr>
            <w:r>
              <w:t>GDF</w:t>
            </w:r>
          </w:p>
          <w:p w14:paraId="601ACE00" w14:textId="16BF17BF" w:rsidR="00DF7AFD" w:rsidRDefault="00DF7AFD" w:rsidP="00361EFD">
            <w:pPr>
              <w:pStyle w:val="TableText"/>
            </w:pPr>
            <w:r>
              <w:t>GDP</w:t>
            </w:r>
          </w:p>
          <w:p w14:paraId="22AF0DAA" w14:textId="52A6A6C0" w:rsidR="00BD62A2" w:rsidRDefault="00BD62A2" w:rsidP="00361EFD">
            <w:pPr>
              <w:pStyle w:val="TableText"/>
            </w:pPr>
            <w:r>
              <w:t>HAZID</w:t>
            </w:r>
          </w:p>
          <w:p w14:paraId="7147C8BC" w14:textId="724D75F2" w:rsidR="00BD62A2" w:rsidRDefault="00BD62A2" w:rsidP="00361EFD">
            <w:pPr>
              <w:pStyle w:val="TableText"/>
            </w:pPr>
            <w:r>
              <w:t>HAZOP</w:t>
            </w:r>
          </w:p>
          <w:p w14:paraId="328B62DD" w14:textId="77777777" w:rsidR="0059541F" w:rsidRDefault="0059541F" w:rsidP="00361EFD">
            <w:pPr>
              <w:pStyle w:val="TableText"/>
            </w:pPr>
            <w:r>
              <w:t>HE</w:t>
            </w:r>
          </w:p>
          <w:p w14:paraId="7028E2B9" w14:textId="2CCD01E3" w:rsidR="00BD075B" w:rsidRDefault="00BD075B" w:rsidP="00361EFD">
            <w:pPr>
              <w:pStyle w:val="TableText"/>
            </w:pPr>
            <w:r>
              <w:t>HSE</w:t>
            </w:r>
          </w:p>
          <w:p w14:paraId="2FB9F89E" w14:textId="0E786171" w:rsidR="009C367A" w:rsidRDefault="009C367A" w:rsidP="00361EFD">
            <w:pPr>
              <w:pStyle w:val="TableText"/>
            </w:pPr>
            <w:r>
              <w:t>ICE</w:t>
            </w:r>
          </w:p>
          <w:p w14:paraId="437C55DE" w14:textId="77777777" w:rsidR="0059541F" w:rsidRDefault="0059541F" w:rsidP="00361EFD">
            <w:pPr>
              <w:pStyle w:val="TableText"/>
            </w:pPr>
            <w:r>
              <w:t>MTDS</w:t>
            </w:r>
          </w:p>
          <w:p w14:paraId="4E515E90" w14:textId="77777777" w:rsidR="00DF7AFD" w:rsidRDefault="00DF7AFD" w:rsidP="00361EFD">
            <w:pPr>
              <w:pStyle w:val="TableText"/>
            </w:pPr>
            <w:r>
              <w:t>P</w:t>
            </w:r>
          </w:p>
          <w:p w14:paraId="2CFBC5D5" w14:textId="54C80BC3" w:rsidR="00DF7AFD" w:rsidRDefault="00DF7AFD" w:rsidP="00361EFD">
            <w:pPr>
              <w:pStyle w:val="TableText"/>
            </w:pPr>
            <w:r>
              <w:t>VPF</w:t>
            </w:r>
          </w:p>
        </w:tc>
        <w:tc>
          <w:tcPr>
            <w:tcW w:w="7336" w:type="dxa"/>
          </w:tcPr>
          <w:p w14:paraId="3CA096A7" w14:textId="1D661EAA" w:rsidR="00F23FBC" w:rsidRDefault="00F23FBC" w:rsidP="00361EFD">
            <w:pPr>
              <w:pStyle w:val="TableText"/>
            </w:pPr>
            <w:r>
              <w:t xml:space="preserve">As Low </w:t>
            </w:r>
            <w:r w:rsidR="00BD075B">
              <w:t>a</w:t>
            </w:r>
            <w:r>
              <w:t>s Reasonably Practicable</w:t>
            </w:r>
          </w:p>
          <w:p w14:paraId="789C812F" w14:textId="19CF9934" w:rsidR="00AC0315" w:rsidRDefault="00AC0315" w:rsidP="00361EFD">
            <w:pPr>
              <w:pStyle w:val="TableText"/>
            </w:pPr>
            <w:r>
              <w:t>Cost Benefit Analysis</w:t>
            </w:r>
          </w:p>
          <w:p w14:paraId="5FE2488A" w14:textId="294FD49F" w:rsidR="00BD075B" w:rsidRDefault="00BD075B" w:rsidP="00361EFD">
            <w:pPr>
              <w:pStyle w:val="TableText"/>
            </w:pPr>
            <w:r>
              <w:t>Control of Substances Hazardous to Health</w:t>
            </w:r>
          </w:p>
          <w:p w14:paraId="3511DBB7" w14:textId="52B9CAA9" w:rsidR="00361EFD" w:rsidRDefault="0059541F" w:rsidP="00361EFD">
            <w:pPr>
              <w:pStyle w:val="TableText"/>
            </w:pPr>
            <w:r>
              <w:t>Fire Control System</w:t>
            </w:r>
          </w:p>
          <w:p w14:paraId="541297A4" w14:textId="3C2C74A2" w:rsidR="00DF7AFD" w:rsidRDefault="00DF7AFD" w:rsidP="00361EFD">
            <w:pPr>
              <w:pStyle w:val="TableText"/>
            </w:pPr>
            <w:r>
              <w:t>Grossly Disproportionate Factor</w:t>
            </w:r>
          </w:p>
          <w:p w14:paraId="36C50D69" w14:textId="785CEFF9" w:rsidR="00DF7AFD" w:rsidRDefault="00DF7AFD" w:rsidP="00361EFD">
            <w:pPr>
              <w:pStyle w:val="TableText"/>
            </w:pPr>
            <w:r>
              <w:t>Grossly Disproportionate Cost</w:t>
            </w:r>
          </w:p>
          <w:p w14:paraId="00B795E6" w14:textId="45FF20EA" w:rsidR="00BD62A2" w:rsidRDefault="00BD62A2" w:rsidP="00361EFD">
            <w:pPr>
              <w:pStyle w:val="TableText"/>
            </w:pPr>
            <w:r>
              <w:t>Hazard Identification</w:t>
            </w:r>
          </w:p>
          <w:p w14:paraId="4AF07998" w14:textId="1EDDFBC7" w:rsidR="00BD62A2" w:rsidRDefault="00BD62A2" w:rsidP="00361EFD">
            <w:pPr>
              <w:pStyle w:val="TableText"/>
            </w:pPr>
            <w:r>
              <w:t>Hazard and Operability Study</w:t>
            </w:r>
          </w:p>
          <w:p w14:paraId="0E4656C7" w14:textId="77777777" w:rsidR="0059541F" w:rsidRDefault="0059541F" w:rsidP="00361EFD">
            <w:pPr>
              <w:pStyle w:val="TableText"/>
            </w:pPr>
            <w:r>
              <w:t>High Explosive</w:t>
            </w:r>
          </w:p>
          <w:p w14:paraId="331CAFA9" w14:textId="4229F851" w:rsidR="00BD075B" w:rsidRDefault="00BD075B" w:rsidP="00361EFD">
            <w:pPr>
              <w:pStyle w:val="TableText"/>
            </w:pPr>
            <w:r>
              <w:t>Health and Safety Executive</w:t>
            </w:r>
          </w:p>
          <w:p w14:paraId="76A788FD" w14:textId="7EBC82C1" w:rsidR="009C367A" w:rsidRDefault="009C367A" w:rsidP="00361EFD">
            <w:pPr>
              <w:pStyle w:val="TableText"/>
            </w:pPr>
            <w:r>
              <w:t>Internal Combustion Engine</w:t>
            </w:r>
          </w:p>
          <w:p w14:paraId="3B84AF08" w14:textId="77777777" w:rsidR="0059541F" w:rsidRDefault="0059541F" w:rsidP="00361EFD">
            <w:pPr>
              <w:pStyle w:val="TableText"/>
            </w:pPr>
            <w:r>
              <w:t>Manufacture to Disposal Sequence</w:t>
            </w:r>
          </w:p>
          <w:p w14:paraId="42BEB2F9" w14:textId="77777777" w:rsidR="00DF7AFD" w:rsidRDefault="00DF7AFD" w:rsidP="00361EFD">
            <w:pPr>
              <w:pStyle w:val="TableText"/>
            </w:pPr>
            <w:r>
              <w:t>Probability of an accident under review</w:t>
            </w:r>
          </w:p>
          <w:p w14:paraId="51E14895" w14:textId="3BF36C79" w:rsidR="00DF7AFD" w:rsidRDefault="00DF7AFD" w:rsidP="00361EFD">
            <w:pPr>
              <w:pStyle w:val="TableText"/>
            </w:pPr>
            <w:r>
              <w:t>Value of the Prevented Fatality, injury or harm</w:t>
            </w:r>
          </w:p>
        </w:tc>
      </w:tr>
      <w:tr w:rsidR="00361EFD" w14:paraId="0FA31D44" w14:textId="77777777" w:rsidTr="002A5491">
        <w:tc>
          <w:tcPr>
            <w:tcW w:w="1384" w:type="dxa"/>
          </w:tcPr>
          <w:p w14:paraId="02214EBF" w14:textId="77777777" w:rsidR="00361EFD" w:rsidRDefault="00361EFD" w:rsidP="00361EFD">
            <w:pPr>
              <w:pStyle w:val="TableText"/>
            </w:pPr>
          </w:p>
        </w:tc>
        <w:tc>
          <w:tcPr>
            <w:tcW w:w="7336" w:type="dxa"/>
          </w:tcPr>
          <w:p w14:paraId="52D6A5CA" w14:textId="77777777" w:rsidR="00361EFD" w:rsidRDefault="00361EFD" w:rsidP="00361EFD">
            <w:pPr>
              <w:pStyle w:val="TableText"/>
            </w:pPr>
          </w:p>
        </w:tc>
      </w:tr>
      <w:tr w:rsidR="00361EFD" w14:paraId="10539495" w14:textId="77777777" w:rsidTr="002A5491">
        <w:tc>
          <w:tcPr>
            <w:tcW w:w="1384" w:type="dxa"/>
          </w:tcPr>
          <w:p w14:paraId="7FA66CE0" w14:textId="77777777" w:rsidR="00361EFD" w:rsidRDefault="00361EFD" w:rsidP="00361EFD">
            <w:pPr>
              <w:pStyle w:val="TableText"/>
            </w:pPr>
          </w:p>
        </w:tc>
        <w:tc>
          <w:tcPr>
            <w:tcW w:w="7336" w:type="dxa"/>
          </w:tcPr>
          <w:p w14:paraId="2EABCFE7" w14:textId="77777777" w:rsidR="00361EFD" w:rsidRDefault="00361EFD" w:rsidP="00361EFD">
            <w:pPr>
              <w:pStyle w:val="TableText"/>
            </w:pPr>
          </w:p>
        </w:tc>
      </w:tr>
      <w:tr w:rsidR="00361EFD" w14:paraId="0AE06573" w14:textId="77777777" w:rsidTr="002A5491">
        <w:tc>
          <w:tcPr>
            <w:tcW w:w="1384" w:type="dxa"/>
          </w:tcPr>
          <w:p w14:paraId="7177CC6D" w14:textId="77777777" w:rsidR="00361EFD" w:rsidRDefault="00361EFD" w:rsidP="00361EFD">
            <w:pPr>
              <w:pStyle w:val="TableText"/>
            </w:pPr>
          </w:p>
        </w:tc>
        <w:tc>
          <w:tcPr>
            <w:tcW w:w="7336" w:type="dxa"/>
          </w:tcPr>
          <w:p w14:paraId="1BEA698F" w14:textId="77777777" w:rsidR="00361EFD" w:rsidRDefault="00361EFD" w:rsidP="00361EFD">
            <w:pPr>
              <w:pStyle w:val="TableText"/>
            </w:pPr>
          </w:p>
        </w:tc>
      </w:tr>
      <w:tr w:rsidR="00361EFD" w14:paraId="40D477AD" w14:textId="77777777" w:rsidTr="002A5491">
        <w:tc>
          <w:tcPr>
            <w:tcW w:w="1384" w:type="dxa"/>
          </w:tcPr>
          <w:p w14:paraId="5DA09FBA" w14:textId="77777777" w:rsidR="00361EFD" w:rsidRDefault="00361EFD" w:rsidP="00361EFD">
            <w:pPr>
              <w:pStyle w:val="TableText"/>
            </w:pPr>
          </w:p>
        </w:tc>
        <w:tc>
          <w:tcPr>
            <w:tcW w:w="7336" w:type="dxa"/>
          </w:tcPr>
          <w:p w14:paraId="761C9030" w14:textId="77777777" w:rsidR="00361EFD" w:rsidRDefault="00361EFD" w:rsidP="00361EFD">
            <w:pPr>
              <w:pStyle w:val="TableText"/>
            </w:pP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cols w:space="708"/>
          <w:docGrid w:linePitch="360"/>
        </w:sectPr>
      </w:pPr>
    </w:p>
    <w:p w14:paraId="268EB35C" w14:textId="77777777" w:rsidR="007A5B10" w:rsidRDefault="00E22930" w:rsidP="007A5B10">
      <w:pPr>
        <w:pStyle w:val="Heading1"/>
      </w:pPr>
      <w:bookmarkStart w:id="22" w:name="_Toc235605583"/>
      <w:r>
        <w:lastRenderedPageBreak/>
        <w:t>Introduction</w:t>
      </w:r>
      <w:bookmarkEnd w:id="22"/>
    </w:p>
    <w:p w14:paraId="3F312A24" w14:textId="175AC4D9" w:rsidR="00212EB6" w:rsidRDefault="00212EB6" w:rsidP="00F351BD">
      <w:r>
        <w:t xml:space="preserve">This report </w:t>
      </w:r>
      <w:r w:rsidR="0059541F">
        <w:t>curates</w:t>
      </w:r>
      <w:r>
        <w:t xml:space="preserve"> </w:t>
      </w:r>
      <w:r w:rsidR="0059541F">
        <w:t>a</w:t>
      </w:r>
      <w:r>
        <w:t xml:space="preserve"> </w:t>
      </w:r>
      <w:r w:rsidR="0059541F">
        <w:t>safety analysis for the Ajax armoured vehicle created by General Dynamics in the UK. It focuses on the middle of its manufacture to disposal sequence (MTDS), post manufacture and pre disposal, with the risk assessment curated based on a fire control system (FCS) calibration trial in which there is a varied firing of high explosive (HE) rounds from a CT40 cannon mounted to the Ajax platform. This stage in the MTDS presents a high level of risk due to the active use of the platform and the handling and firing of live HE.</w:t>
      </w:r>
    </w:p>
    <w:p w14:paraId="633A9021" w14:textId="234D4202" w:rsidR="00BD62A2" w:rsidRDefault="0059541F" w:rsidP="00F351BD">
      <w:r>
        <w:t xml:space="preserve">The </w:t>
      </w:r>
      <w:r w:rsidR="00C6199A">
        <w:t xml:space="preserve">risk assessment procedure begins with a </w:t>
      </w:r>
      <w:r w:rsidR="00BD62A2">
        <w:t xml:space="preserve">hazard identification (HAZID). Doing this ensures that no hazards are missed during the early stages of design, which </w:t>
      </w:r>
      <w:r w:rsidR="002C1BEA">
        <w:t xml:space="preserve">are </w:t>
      </w:r>
      <w:r w:rsidR="00BD62A2">
        <w:t>then carrie</w:t>
      </w:r>
      <w:r w:rsidR="002C1BEA">
        <w:t>d</w:t>
      </w:r>
      <w:r w:rsidR="00BD62A2">
        <w:t xml:space="preserve"> through the process and arise when the product is in service, requiring an expensive rework. </w:t>
      </w:r>
    </w:p>
    <w:p w14:paraId="65DA0674" w14:textId="6BBDA86C" w:rsidR="00212EB6" w:rsidRDefault="00BD62A2" w:rsidP="00CF1109">
      <w:r>
        <w:t xml:space="preserve">There are multiple </w:t>
      </w:r>
      <w:r w:rsidR="002C1BEA">
        <w:t>tools and techniques</w:t>
      </w:r>
      <w:r>
        <w:t xml:space="preserve"> commonly used to perform a HAZID</w:t>
      </w:r>
      <w:r w:rsidR="003A21AC">
        <w:t xml:space="preserve">, such as a hazard checklist, accident history review or a zone hazard analysis. These are all useful in certain scenarios, however the most in-depth technique, and one that is standard practice in many modern industries, is a hazard and operability study (HAZOP). No one technique for a HAZID should be solely relied on, </w:t>
      </w:r>
      <w:r w:rsidR="00944904">
        <w:t xml:space="preserve">and </w:t>
      </w:r>
      <w:r w:rsidR="003A21AC">
        <w:t>using a combination of multiple will provide the most comprehensive evaluation</w:t>
      </w:r>
      <w:r w:rsidR="00CF1109">
        <w:t xml:space="preserve">. </w:t>
      </w:r>
      <w:r w:rsidR="003A21AC">
        <w:t>A HAZOP involves</w:t>
      </w:r>
      <w:r w:rsidR="007929CC">
        <w:t xml:space="preserve"> evaluating an entire process by breaking it down into each individual step and then a team of selected personnel will conduct an analysis to determine all potential faults that could arise</w:t>
      </w:r>
      <w:r w:rsidR="00692AE1">
        <w:t xml:space="preserve"> </w:t>
      </w:r>
      <w:sdt>
        <w:sdtPr>
          <w:id w:val="-65111098"/>
          <w:citation/>
        </w:sdtPr>
        <w:sdtEndPr/>
        <w:sdtContent>
          <w:r w:rsidR="00692AE1">
            <w:fldChar w:fldCharType="begin"/>
          </w:r>
          <w:r w:rsidR="00CF1109">
            <w:instrText xml:space="preserve">CITATION MOD17 \l 2057 </w:instrText>
          </w:r>
          <w:r w:rsidR="00692AE1">
            <w:fldChar w:fldCharType="separate"/>
          </w:r>
          <w:r w:rsidR="00CF1109">
            <w:rPr>
              <w:noProof/>
            </w:rPr>
            <w:t>[1]</w:t>
          </w:r>
          <w:r w:rsidR="00692AE1">
            <w:fldChar w:fldCharType="end"/>
          </w:r>
        </w:sdtContent>
      </w:sdt>
      <w:r w:rsidR="00692AE1">
        <w:t>.</w:t>
      </w:r>
    </w:p>
    <w:p w14:paraId="7C83C346" w14:textId="4923EF0C" w:rsidR="00F351BD" w:rsidRPr="00F351BD" w:rsidRDefault="00894C70" w:rsidP="00E06D3F">
      <w:pPr>
        <w:sectPr w:rsidR="00F351BD" w:rsidRPr="00F351BD" w:rsidSect="00623A81">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start="1"/>
          <w:cols w:space="708"/>
          <w:docGrid w:linePitch="360"/>
        </w:sectPr>
      </w:pPr>
      <w:r>
        <w:t xml:space="preserve">After the HAZID is conducted (in this case, through a HAZOP), </w:t>
      </w:r>
      <w:r w:rsidR="00692AE1">
        <w:t>the identified hazards should be evaluated through a risk estimation. This classification of the hazards builds the foundation for the risk assessment to take place</w:t>
      </w:r>
      <w:r w:rsidR="00CF1109">
        <w:t xml:space="preserve"> </w:t>
      </w:r>
      <w:sdt>
        <w:sdtPr>
          <w:id w:val="-112605039"/>
          <w:citation/>
        </w:sdtPr>
        <w:sdtEndPr/>
        <w:sdtContent>
          <w:r w:rsidR="00CF1109">
            <w:fldChar w:fldCharType="begin"/>
          </w:r>
          <w:r w:rsidR="00CF1109">
            <w:instrText xml:space="preserve">CITATION MOD21 \l 2057 </w:instrText>
          </w:r>
          <w:r w:rsidR="00CF1109">
            <w:fldChar w:fldCharType="separate"/>
          </w:r>
          <w:r w:rsidR="00CF1109">
            <w:rPr>
              <w:noProof/>
            </w:rPr>
            <w:t>[2]</w:t>
          </w:r>
          <w:r w:rsidR="00CF1109">
            <w:fldChar w:fldCharType="end"/>
          </w:r>
        </w:sdtContent>
      </w:sdt>
      <w:r w:rsidR="00CF1109">
        <w:t>.</w:t>
      </w:r>
      <w:r w:rsidR="00E06D3F">
        <w:t xml:space="preserve"> A q</w:t>
      </w:r>
      <w:r w:rsidR="006222E4">
        <w:t>uantitative risk assessment</w:t>
      </w:r>
      <w:r w:rsidR="00E06D3F">
        <w:t xml:space="preserve"> was chosen due to the number of identifie</w:t>
      </w:r>
      <w:r w:rsidR="00944904">
        <w:t>d</w:t>
      </w:r>
      <w:r w:rsidR="00E06D3F">
        <w:t xml:space="preserve"> hazards</w:t>
      </w:r>
      <w:r w:rsidR="00944904">
        <w:t xml:space="preserve"> </w:t>
      </w:r>
      <w:r w:rsidR="00E06D3F">
        <w:t>and their complexities.</w:t>
      </w:r>
    </w:p>
    <w:p w14:paraId="0F2E96FA" w14:textId="0C3BF8AC" w:rsidR="007A5B10" w:rsidRDefault="007A5B10" w:rsidP="007A5B10">
      <w:pPr>
        <w:pStyle w:val="Heading1"/>
      </w:pPr>
      <w:bookmarkStart w:id="23" w:name="_Ref235436573"/>
      <w:bookmarkStart w:id="24" w:name="_Toc235605584"/>
      <w:r>
        <w:lastRenderedPageBreak/>
        <w:t>Risk Assessment</w:t>
      </w:r>
      <w:bookmarkEnd w:id="23"/>
      <w:bookmarkEnd w:id="24"/>
    </w:p>
    <w:p w14:paraId="3C6359F8" w14:textId="77777777" w:rsidR="002353B7" w:rsidRPr="002353B7" w:rsidRDefault="002353B7" w:rsidP="002353B7"/>
    <w:tbl>
      <w:tblPr>
        <w:tblW w:w="15553" w:type="dxa"/>
        <w:jc w:val="center"/>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6345"/>
        <w:gridCol w:w="1843"/>
        <w:gridCol w:w="2996"/>
        <w:gridCol w:w="2126"/>
        <w:gridCol w:w="265"/>
        <w:gridCol w:w="1978"/>
      </w:tblGrid>
      <w:tr w:rsidR="007A5B10" w:rsidRPr="007A7551" w14:paraId="598688A0" w14:textId="77777777" w:rsidTr="007A5B10">
        <w:trPr>
          <w:trHeight w:val="400"/>
          <w:jc w:val="center"/>
        </w:trPr>
        <w:tc>
          <w:tcPr>
            <w:tcW w:w="6345" w:type="dxa"/>
            <w:vMerge w:val="restart"/>
            <w:tcBorders>
              <w:top w:val="double" w:sz="4" w:space="0" w:color="auto"/>
              <w:bottom w:val="single" w:sz="6" w:space="0" w:color="auto"/>
              <w:right w:val="single" w:sz="6" w:space="0" w:color="auto"/>
            </w:tcBorders>
            <w:shd w:val="clear" w:color="auto" w:fill="000000"/>
            <w:vAlign w:val="center"/>
          </w:tcPr>
          <w:p w14:paraId="7741F8CE" w14:textId="77777777" w:rsidR="007A5B10" w:rsidRPr="007A7551" w:rsidRDefault="007A5B10" w:rsidP="007A5B10">
            <w:pPr>
              <w:rPr>
                <w:rFonts w:cs="Arial"/>
                <w:color w:val="FFFFFF"/>
                <w:sz w:val="40"/>
                <w:szCs w:val="40"/>
                <w:lang w:eastAsia="en-GB"/>
              </w:rPr>
            </w:pPr>
            <w:r w:rsidRPr="007A7551">
              <w:rPr>
                <w:rFonts w:cs="Arial"/>
                <w:color w:val="FFFFFF"/>
                <w:lang w:eastAsia="en-GB"/>
              </w:rPr>
              <w:br w:type="page"/>
            </w:r>
            <w:r w:rsidRPr="002353B7">
              <w:rPr>
                <w:rFonts w:cs="Arial"/>
                <w:b/>
                <w:color w:val="FFFFFF"/>
                <w:sz w:val="28"/>
                <w:szCs w:val="28"/>
                <w:lang w:eastAsia="en-GB"/>
              </w:rPr>
              <w:t>General Risk Assessment Form</w:t>
            </w:r>
          </w:p>
        </w:tc>
        <w:tc>
          <w:tcPr>
            <w:tcW w:w="9208" w:type="dxa"/>
            <w:gridSpan w:val="5"/>
            <w:tcBorders>
              <w:top w:val="double" w:sz="4" w:space="0" w:color="auto"/>
              <w:left w:val="single" w:sz="6" w:space="0" w:color="auto"/>
              <w:bottom w:val="single" w:sz="6" w:space="0" w:color="auto"/>
            </w:tcBorders>
            <w:shd w:val="clear" w:color="auto" w:fill="000000"/>
            <w:vAlign w:val="center"/>
          </w:tcPr>
          <w:p w14:paraId="38F2E6A1" w14:textId="77777777" w:rsidR="007A5B10" w:rsidRPr="007A7551" w:rsidRDefault="007A5B10" w:rsidP="007A5B10">
            <w:pPr>
              <w:rPr>
                <w:rFonts w:cs="Arial"/>
                <w:b/>
                <w:color w:val="FFFFFF"/>
                <w:sz w:val="20"/>
                <w:lang w:eastAsia="en-GB"/>
              </w:rPr>
            </w:pPr>
          </w:p>
        </w:tc>
      </w:tr>
      <w:tr w:rsidR="007A5B10" w:rsidRPr="007A7551" w14:paraId="0706C4C1" w14:textId="77777777" w:rsidTr="007A5B10">
        <w:trPr>
          <w:trHeight w:val="141"/>
          <w:jc w:val="center"/>
        </w:trPr>
        <w:tc>
          <w:tcPr>
            <w:tcW w:w="6345" w:type="dxa"/>
            <w:vMerge/>
            <w:tcBorders>
              <w:top w:val="single" w:sz="6" w:space="0" w:color="auto"/>
              <w:bottom w:val="double" w:sz="4" w:space="0" w:color="auto"/>
              <w:right w:val="single" w:sz="6" w:space="0" w:color="auto"/>
            </w:tcBorders>
            <w:shd w:val="clear" w:color="auto" w:fill="000000"/>
          </w:tcPr>
          <w:p w14:paraId="19344FAC" w14:textId="77777777" w:rsidR="007A5B10" w:rsidRPr="007A7551" w:rsidRDefault="007A5B10" w:rsidP="007A5B10">
            <w:pPr>
              <w:spacing w:after="120"/>
              <w:rPr>
                <w:rFonts w:cs="Arial"/>
                <w:b/>
                <w:noProof/>
                <w:lang w:eastAsia="en-GB"/>
              </w:rPr>
            </w:pPr>
          </w:p>
        </w:tc>
        <w:tc>
          <w:tcPr>
            <w:tcW w:w="7230" w:type="dxa"/>
            <w:gridSpan w:val="4"/>
            <w:tcBorders>
              <w:top w:val="single" w:sz="6" w:space="0" w:color="auto"/>
              <w:left w:val="single" w:sz="6" w:space="0" w:color="auto"/>
              <w:bottom w:val="double" w:sz="4" w:space="0" w:color="auto"/>
            </w:tcBorders>
            <w:shd w:val="clear" w:color="auto" w:fill="000000"/>
            <w:vAlign w:val="center"/>
          </w:tcPr>
          <w:p w14:paraId="06E14265" w14:textId="77777777" w:rsidR="007A5B10" w:rsidRPr="007A7551" w:rsidRDefault="007A5B10" w:rsidP="007A5B10">
            <w:pPr>
              <w:jc w:val="right"/>
              <w:rPr>
                <w:rFonts w:cs="Arial"/>
                <w:b/>
                <w:sz w:val="20"/>
                <w:lang w:eastAsia="en-GB"/>
              </w:rPr>
            </w:pPr>
          </w:p>
        </w:tc>
        <w:tc>
          <w:tcPr>
            <w:tcW w:w="1978" w:type="dxa"/>
            <w:tcBorders>
              <w:top w:val="single" w:sz="6" w:space="0" w:color="auto"/>
              <w:left w:val="single" w:sz="6" w:space="0" w:color="auto"/>
              <w:bottom w:val="double" w:sz="4" w:space="0" w:color="auto"/>
            </w:tcBorders>
            <w:shd w:val="clear" w:color="auto" w:fill="000000"/>
            <w:vAlign w:val="center"/>
          </w:tcPr>
          <w:p w14:paraId="0ABCC60E" w14:textId="77777777" w:rsidR="007A5B10" w:rsidRPr="007A7551" w:rsidRDefault="007A5B10" w:rsidP="007A5B10">
            <w:pPr>
              <w:rPr>
                <w:rFonts w:cs="Arial"/>
                <w:sz w:val="20"/>
                <w:lang w:eastAsia="en-GB"/>
              </w:rPr>
            </w:pPr>
          </w:p>
        </w:tc>
      </w:tr>
      <w:tr w:rsidR="007A5B10" w:rsidRPr="007A7551" w14:paraId="68B19910" w14:textId="77777777" w:rsidTr="007A5B10">
        <w:trPr>
          <w:trHeight w:val="560"/>
          <w:jc w:val="center"/>
        </w:trPr>
        <w:tc>
          <w:tcPr>
            <w:tcW w:w="15553" w:type="dxa"/>
            <w:gridSpan w:val="6"/>
            <w:tcBorders>
              <w:top w:val="double" w:sz="4" w:space="0" w:color="auto"/>
              <w:bottom w:val="single" w:sz="6" w:space="0" w:color="auto"/>
            </w:tcBorders>
            <w:vAlign w:val="center"/>
          </w:tcPr>
          <w:p w14:paraId="29B6E666" w14:textId="77777777" w:rsidR="007A5B10" w:rsidRPr="007A7551" w:rsidRDefault="007A5B10" w:rsidP="007A5B10">
            <w:pPr>
              <w:spacing w:after="120"/>
              <w:rPr>
                <w:rFonts w:cs="Arial"/>
                <w:b/>
                <w:color w:val="FF0000"/>
                <w:lang w:eastAsia="en-GB"/>
              </w:rPr>
            </w:pPr>
            <w:r w:rsidRPr="002353B7">
              <w:rPr>
                <w:rFonts w:cs="Arial"/>
                <w:b/>
                <w:color w:val="000000" w:themeColor="text1"/>
                <w:sz w:val="22"/>
                <w:szCs w:val="22"/>
                <w:lang w:eastAsia="en-GB"/>
              </w:rPr>
              <w:t xml:space="preserve">Reference Number: </w:t>
            </w:r>
            <w:r w:rsidRPr="002353B7">
              <w:rPr>
                <w:sz w:val="22"/>
                <w:szCs w:val="22"/>
              </w:rPr>
              <w:t xml:space="preserve"> </w:t>
            </w:r>
            <w:r w:rsidRPr="002353B7">
              <w:rPr>
                <w:rFonts w:cs="Arial"/>
                <w:b/>
                <w:color w:val="000000" w:themeColor="text1"/>
                <w:sz w:val="22"/>
                <w:szCs w:val="22"/>
                <w:lang w:eastAsia="en-GB"/>
              </w:rPr>
              <w:t>********</w:t>
            </w:r>
          </w:p>
        </w:tc>
      </w:tr>
      <w:tr w:rsidR="007A5B10" w:rsidRPr="007A7551" w14:paraId="3154F872" w14:textId="77777777" w:rsidTr="007A5B10">
        <w:trPr>
          <w:trHeight w:val="560"/>
          <w:jc w:val="center"/>
        </w:trPr>
        <w:tc>
          <w:tcPr>
            <w:tcW w:w="15553" w:type="dxa"/>
            <w:gridSpan w:val="6"/>
            <w:tcBorders>
              <w:top w:val="double" w:sz="4" w:space="0" w:color="auto"/>
              <w:bottom w:val="single" w:sz="6" w:space="0" w:color="auto"/>
            </w:tcBorders>
            <w:vAlign w:val="center"/>
          </w:tcPr>
          <w:p w14:paraId="0049FBFE" w14:textId="77777777" w:rsidR="007A5B10" w:rsidRPr="007A7551" w:rsidRDefault="007A5B10" w:rsidP="007A5B10">
            <w:pPr>
              <w:spacing w:after="120"/>
              <w:rPr>
                <w:rFonts w:cs="Arial"/>
                <w:b/>
                <w:color w:val="FF0000"/>
                <w:lang w:eastAsia="en-GB"/>
              </w:rPr>
            </w:pPr>
            <w:r w:rsidRPr="002353B7">
              <w:rPr>
                <w:rFonts w:cs="Arial"/>
                <w:b/>
                <w:color w:val="FF0000"/>
                <w:sz w:val="22"/>
                <w:szCs w:val="22"/>
                <w:lang w:eastAsia="en-GB"/>
              </w:rPr>
              <w:t>Complete Part 1 and then Part 2.  Use the matrix in Part 3 to determine the level of risk. When the assessment is complete, sign Part 4</w:t>
            </w:r>
            <w:r w:rsidRPr="007A7551">
              <w:rPr>
                <w:rFonts w:cs="Arial"/>
                <w:b/>
                <w:color w:val="FF0000"/>
                <w:lang w:eastAsia="en-GB"/>
              </w:rPr>
              <w:t>.</w:t>
            </w:r>
          </w:p>
        </w:tc>
      </w:tr>
      <w:tr w:rsidR="007A5B10" w:rsidRPr="007A7551" w14:paraId="62E663B3" w14:textId="77777777" w:rsidTr="007A5B10">
        <w:trPr>
          <w:trHeight w:val="284"/>
          <w:jc w:val="center"/>
        </w:trPr>
        <w:tc>
          <w:tcPr>
            <w:tcW w:w="15553" w:type="dxa"/>
            <w:gridSpan w:val="6"/>
            <w:tcBorders>
              <w:top w:val="single" w:sz="6" w:space="0" w:color="auto"/>
              <w:bottom w:val="single" w:sz="6" w:space="0" w:color="auto"/>
            </w:tcBorders>
            <w:shd w:val="clear" w:color="auto" w:fill="C0C0C0"/>
            <w:vAlign w:val="center"/>
          </w:tcPr>
          <w:p w14:paraId="23CBF799" w14:textId="77777777" w:rsidR="007A5B10" w:rsidRPr="002353B7" w:rsidRDefault="007A5B10" w:rsidP="007A5B10">
            <w:pPr>
              <w:rPr>
                <w:rFonts w:cs="Arial"/>
                <w:b/>
                <w:sz w:val="22"/>
                <w:szCs w:val="22"/>
                <w:lang w:eastAsia="en-GB"/>
              </w:rPr>
            </w:pPr>
            <w:r w:rsidRPr="002353B7">
              <w:rPr>
                <w:b/>
                <w:sz w:val="22"/>
                <w:szCs w:val="22"/>
                <w:lang w:eastAsia="en-GB"/>
              </w:rPr>
              <w:t>PART 1: Description</w:t>
            </w:r>
          </w:p>
        </w:tc>
      </w:tr>
      <w:tr w:rsidR="007A5B10" w:rsidRPr="007A7551" w14:paraId="22E54FBC" w14:textId="77777777" w:rsidTr="007A5B10">
        <w:trPr>
          <w:trHeight w:val="560"/>
          <w:jc w:val="center"/>
        </w:trPr>
        <w:tc>
          <w:tcPr>
            <w:tcW w:w="6345" w:type="dxa"/>
            <w:tcBorders>
              <w:top w:val="single" w:sz="6" w:space="0" w:color="auto"/>
              <w:bottom w:val="single" w:sz="6" w:space="0" w:color="auto"/>
            </w:tcBorders>
            <w:vAlign w:val="center"/>
          </w:tcPr>
          <w:p w14:paraId="3B8BAFEE" w14:textId="5FD8B3D0" w:rsidR="007A5B10" w:rsidRPr="002353B7" w:rsidRDefault="007A5B10" w:rsidP="007A5B10">
            <w:pPr>
              <w:spacing w:after="120"/>
              <w:rPr>
                <w:rFonts w:cs="Arial"/>
                <w:bCs/>
                <w:noProof/>
                <w:sz w:val="22"/>
                <w:szCs w:val="22"/>
                <w:lang w:eastAsia="en-GB"/>
              </w:rPr>
            </w:pPr>
            <w:r w:rsidRPr="002353B7">
              <w:rPr>
                <w:rFonts w:cs="Arial"/>
                <w:b/>
                <w:noProof/>
                <w:sz w:val="22"/>
                <w:szCs w:val="22"/>
                <w:lang w:eastAsia="en-GB"/>
              </w:rPr>
              <w:t>Site:</w:t>
            </w:r>
          </w:p>
        </w:tc>
        <w:tc>
          <w:tcPr>
            <w:tcW w:w="4839" w:type="dxa"/>
            <w:gridSpan w:val="2"/>
            <w:tcBorders>
              <w:top w:val="single" w:sz="6" w:space="0" w:color="auto"/>
              <w:bottom w:val="single" w:sz="6" w:space="0" w:color="auto"/>
              <w:right w:val="nil"/>
            </w:tcBorders>
            <w:vAlign w:val="center"/>
          </w:tcPr>
          <w:p w14:paraId="78E9187F" w14:textId="5FD93D20" w:rsidR="007A5B10" w:rsidRPr="002353B7" w:rsidRDefault="007A5B10" w:rsidP="007A5B10">
            <w:pPr>
              <w:spacing w:after="120"/>
              <w:rPr>
                <w:rFonts w:cs="Arial"/>
                <w:bCs/>
                <w:sz w:val="22"/>
                <w:szCs w:val="22"/>
                <w:lang w:eastAsia="en-GB"/>
              </w:rPr>
            </w:pPr>
            <w:r w:rsidRPr="002353B7">
              <w:rPr>
                <w:rFonts w:cs="Arial"/>
                <w:b/>
                <w:sz w:val="22"/>
                <w:szCs w:val="22"/>
                <w:lang w:eastAsia="en-GB"/>
              </w:rPr>
              <w:t>Work Area:</w:t>
            </w:r>
          </w:p>
        </w:tc>
        <w:tc>
          <w:tcPr>
            <w:tcW w:w="4369" w:type="dxa"/>
            <w:gridSpan w:val="3"/>
            <w:tcBorders>
              <w:top w:val="single" w:sz="6" w:space="0" w:color="auto"/>
              <w:bottom w:val="single" w:sz="6" w:space="0" w:color="auto"/>
            </w:tcBorders>
            <w:vAlign w:val="center"/>
          </w:tcPr>
          <w:p w14:paraId="215DB494" w14:textId="64F2905B" w:rsidR="007A5B10" w:rsidRPr="002353B7" w:rsidRDefault="007A5B10" w:rsidP="007A5B10">
            <w:pPr>
              <w:spacing w:after="120"/>
              <w:rPr>
                <w:rFonts w:cs="Arial"/>
                <w:bCs/>
                <w:sz w:val="22"/>
                <w:szCs w:val="22"/>
                <w:lang w:eastAsia="en-GB"/>
              </w:rPr>
            </w:pPr>
            <w:r w:rsidRPr="002353B7">
              <w:rPr>
                <w:rFonts w:cs="Arial"/>
                <w:b/>
                <w:sz w:val="22"/>
                <w:szCs w:val="22"/>
                <w:lang w:eastAsia="en-GB"/>
              </w:rPr>
              <w:t>Bldg. No:</w:t>
            </w:r>
          </w:p>
        </w:tc>
      </w:tr>
      <w:tr w:rsidR="007A5B10" w:rsidRPr="007A7551" w14:paraId="0D0840ED" w14:textId="77777777" w:rsidTr="007A5B10">
        <w:trPr>
          <w:trHeight w:val="882"/>
          <w:jc w:val="center"/>
        </w:trPr>
        <w:tc>
          <w:tcPr>
            <w:tcW w:w="11184" w:type="dxa"/>
            <w:gridSpan w:val="3"/>
            <w:tcBorders>
              <w:top w:val="single" w:sz="6" w:space="0" w:color="auto"/>
              <w:bottom w:val="single" w:sz="6" w:space="0" w:color="auto"/>
            </w:tcBorders>
          </w:tcPr>
          <w:p w14:paraId="52309B17" w14:textId="77777777" w:rsidR="007A5B10" w:rsidRPr="002353B7" w:rsidRDefault="007A5B10" w:rsidP="007A5B10">
            <w:pPr>
              <w:spacing w:after="120"/>
              <w:rPr>
                <w:rFonts w:cs="Arial"/>
                <w:b/>
                <w:sz w:val="22"/>
                <w:szCs w:val="22"/>
                <w:lang w:eastAsia="en-GB"/>
              </w:rPr>
            </w:pPr>
            <w:r w:rsidRPr="002353B7">
              <w:rPr>
                <w:rFonts w:cs="Arial"/>
                <w:b/>
                <w:noProof/>
                <w:sz w:val="22"/>
                <w:szCs w:val="22"/>
                <w:lang w:eastAsia="en-GB"/>
              </w:rPr>
              <w:t xml:space="preserve">Assessor’s Name(s): </w:t>
            </w:r>
            <w:r w:rsidRPr="002353B7">
              <w:rPr>
                <w:rFonts w:cs="Arial"/>
                <w:bCs/>
                <w:noProof/>
                <w:sz w:val="22"/>
                <w:szCs w:val="22"/>
                <w:lang w:eastAsia="en-GB"/>
              </w:rPr>
              <w:t>Bethan Davies-Jones</w:t>
            </w:r>
          </w:p>
        </w:tc>
        <w:tc>
          <w:tcPr>
            <w:tcW w:w="2126" w:type="dxa"/>
            <w:tcBorders>
              <w:top w:val="single" w:sz="6" w:space="0" w:color="auto"/>
              <w:bottom w:val="single" w:sz="6" w:space="0" w:color="auto"/>
            </w:tcBorders>
          </w:tcPr>
          <w:p w14:paraId="2DBA993F" w14:textId="0FE0281C" w:rsidR="007A5B10" w:rsidRPr="002353B7" w:rsidRDefault="007A5B10" w:rsidP="007A5B10">
            <w:pPr>
              <w:rPr>
                <w:rFonts w:cs="Arial"/>
                <w:sz w:val="22"/>
                <w:szCs w:val="22"/>
                <w:lang w:eastAsia="en-GB"/>
              </w:rPr>
            </w:pPr>
            <w:r w:rsidRPr="002353B7">
              <w:rPr>
                <w:rFonts w:cs="Arial"/>
                <w:b/>
                <w:sz w:val="22"/>
                <w:szCs w:val="22"/>
                <w:lang w:eastAsia="en-GB"/>
              </w:rPr>
              <w:t>Review Dat</w:t>
            </w:r>
            <w:r w:rsidR="00944904">
              <w:rPr>
                <w:rFonts w:cs="Arial"/>
                <w:b/>
                <w:sz w:val="22"/>
                <w:szCs w:val="22"/>
                <w:lang w:eastAsia="en-GB"/>
              </w:rPr>
              <w:t>e:</w:t>
            </w:r>
          </w:p>
          <w:p w14:paraId="6A95E232" w14:textId="77777777" w:rsidR="007A5B10" w:rsidRPr="002353B7" w:rsidRDefault="007A5B10" w:rsidP="007A5B10">
            <w:pPr>
              <w:rPr>
                <w:rFonts w:cs="Arial"/>
                <w:b/>
                <w:sz w:val="22"/>
                <w:szCs w:val="22"/>
                <w:lang w:eastAsia="en-GB"/>
              </w:rPr>
            </w:pPr>
          </w:p>
        </w:tc>
        <w:tc>
          <w:tcPr>
            <w:tcW w:w="2243" w:type="dxa"/>
            <w:gridSpan w:val="2"/>
            <w:tcBorders>
              <w:top w:val="single" w:sz="6" w:space="0" w:color="auto"/>
              <w:bottom w:val="single" w:sz="6" w:space="0" w:color="auto"/>
            </w:tcBorders>
          </w:tcPr>
          <w:p w14:paraId="70872E4D" w14:textId="33AC6689" w:rsidR="007A5B10" w:rsidRPr="002353B7" w:rsidRDefault="007A5B10" w:rsidP="007A5B10">
            <w:pPr>
              <w:rPr>
                <w:rFonts w:cs="Arial"/>
                <w:sz w:val="22"/>
                <w:szCs w:val="22"/>
                <w:lang w:eastAsia="en-GB"/>
              </w:rPr>
            </w:pPr>
            <w:r w:rsidRPr="002353B7">
              <w:rPr>
                <w:rFonts w:cs="Arial"/>
                <w:b/>
                <w:sz w:val="22"/>
                <w:szCs w:val="22"/>
                <w:lang w:eastAsia="en-GB"/>
              </w:rPr>
              <w:t>Change No:</w:t>
            </w:r>
          </w:p>
        </w:tc>
      </w:tr>
      <w:tr w:rsidR="007A5B10" w:rsidRPr="007A7551" w14:paraId="19D23066" w14:textId="77777777" w:rsidTr="007A5B10">
        <w:trPr>
          <w:trHeight w:val="72"/>
          <w:jc w:val="center"/>
        </w:trPr>
        <w:tc>
          <w:tcPr>
            <w:tcW w:w="8188" w:type="dxa"/>
            <w:gridSpan w:val="2"/>
            <w:tcBorders>
              <w:top w:val="single" w:sz="6" w:space="0" w:color="auto"/>
              <w:bottom w:val="single" w:sz="6" w:space="0" w:color="auto"/>
            </w:tcBorders>
          </w:tcPr>
          <w:p w14:paraId="10AF8ECE" w14:textId="5C96D13E" w:rsidR="007A5B10" w:rsidRPr="002353B7" w:rsidRDefault="007A5B10" w:rsidP="007A5B10">
            <w:pPr>
              <w:rPr>
                <w:rFonts w:cs="Arial"/>
                <w:b/>
                <w:sz w:val="22"/>
                <w:szCs w:val="22"/>
                <w:lang w:eastAsia="en-GB"/>
              </w:rPr>
            </w:pPr>
            <w:r w:rsidRPr="002353B7">
              <w:rPr>
                <w:rFonts w:cs="Arial"/>
                <w:b/>
                <w:sz w:val="22"/>
                <w:szCs w:val="22"/>
                <w:lang w:eastAsia="en-GB"/>
              </w:rPr>
              <w:t xml:space="preserve">Related Risk Assessments: </w:t>
            </w:r>
          </w:p>
        </w:tc>
        <w:tc>
          <w:tcPr>
            <w:tcW w:w="7365" w:type="dxa"/>
            <w:gridSpan w:val="4"/>
            <w:tcBorders>
              <w:top w:val="single" w:sz="6" w:space="0" w:color="auto"/>
              <w:bottom w:val="single" w:sz="6" w:space="0" w:color="auto"/>
            </w:tcBorders>
          </w:tcPr>
          <w:p w14:paraId="3A062BFC" w14:textId="73955ADB" w:rsidR="007A5B10" w:rsidRPr="002353B7" w:rsidRDefault="007A5B10" w:rsidP="007A5B10">
            <w:pPr>
              <w:rPr>
                <w:rFonts w:cs="Arial"/>
                <w:bCs/>
                <w:sz w:val="22"/>
                <w:szCs w:val="22"/>
                <w:lang w:eastAsia="en-GB"/>
              </w:rPr>
            </w:pPr>
            <w:r w:rsidRPr="002353B7">
              <w:rPr>
                <w:rFonts w:cs="Arial"/>
                <w:b/>
                <w:sz w:val="22"/>
                <w:szCs w:val="22"/>
                <w:lang w:eastAsia="en-GB"/>
              </w:rPr>
              <w:t>Related Instructions (e.g. SOPs):</w:t>
            </w:r>
          </w:p>
        </w:tc>
      </w:tr>
      <w:tr w:rsidR="007A5B10" w:rsidRPr="007A7551" w14:paraId="41B43ED2" w14:textId="77777777" w:rsidTr="002353B7">
        <w:trPr>
          <w:trHeight w:val="921"/>
          <w:jc w:val="center"/>
        </w:trPr>
        <w:tc>
          <w:tcPr>
            <w:tcW w:w="15553" w:type="dxa"/>
            <w:gridSpan w:val="6"/>
            <w:tcBorders>
              <w:top w:val="single" w:sz="6" w:space="0" w:color="auto"/>
              <w:bottom w:val="single" w:sz="6" w:space="0" w:color="auto"/>
            </w:tcBorders>
            <w:tcMar>
              <w:top w:w="57" w:type="dxa"/>
            </w:tcMar>
          </w:tcPr>
          <w:p w14:paraId="5EA381B7" w14:textId="61F315BB" w:rsidR="007A5B10" w:rsidRPr="002353B7" w:rsidRDefault="007A5B10" w:rsidP="00A938D8">
            <w:pPr>
              <w:rPr>
                <w:rFonts w:cs="Arial"/>
                <w:bCs/>
                <w:sz w:val="22"/>
                <w:szCs w:val="22"/>
                <w:lang w:eastAsia="en-GB"/>
              </w:rPr>
            </w:pPr>
            <w:r w:rsidRPr="002353B7">
              <w:rPr>
                <w:rFonts w:cs="Arial"/>
                <w:b/>
                <w:sz w:val="22"/>
                <w:szCs w:val="22"/>
                <w:lang w:eastAsia="en-GB"/>
              </w:rPr>
              <w:t xml:space="preserve">Description of Task/Process: </w:t>
            </w:r>
            <w:r w:rsidR="00D530C1">
              <w:rPr>
                <w:rFonts w:cs="Arial"/>
                <w:bCs/>
                <w:sz w:val="22"/>
                <w:szCs w:val="22"/>
                <w:lang w:eastAsia="en-GB"/>
              </w:rPr>
              <w:t>FCS</w:t>
            </w:r>
            <w:r w:rsidRPr="002353B7">
              <w:rPr>
                <w:rFonts w:cs="Arial"/>
                <w:bCs/>
                <w:sz w:val="22"/>
                <w:szCs w:val="22"/>
                <w:lang w:eastAsia="en-GB"/>
              </w:rPr>
              <w:t xml:space="preserve"> calibration trial – Varied firing of HE rounds from CT40 cannon mounted to Ajax platform</w:t>
            </w:r>
            <w:r w:rsidR="00D530C1">
              <w:rPr>
                <w:rFonts w:cs="Arial"/>
                <w:bCs/>
                <w:sz w:val="22"/>
                <w:szCs w:val="22"/>
                <w:lang w:eastAsia="en-GB"/>
              </w:rPr>
              <w:t>.</w:t>
            </w:r>
          </w:p>
        </w:tc>
      </w:tr>
    </w:tbl>
    <w:tbl>
      <w:tblPr>
        <w:tblpPr w:leftFromText="181" w:rightFromText="181" w:vertAnchor="page" w:horzAnchor="margin" w:tblpXSpec="center" w:tblpY="1"/>
        <w:tblW w:w="15559"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2253"/>
        <w:gridCol w:w="2410"/>
        <w:gridCol w:w="3402"/>
        <w:gridCol w:w="709"/>
        <w:gridCol w:w="709"/>
        <w:gridCol w:w="850"/>
        <w:gridCol w:w="2977"/>
        <w:gridCol w:w="709"/>
        <w:gridCol w:w="708"/>
        <w:gridCol w:w="832"/>
      </w:tblGrid>
      <w:tr w:rsidR="007A5B10" w:rsidRPr="00582D86" w14:paraId="3A605B93" w14:textId="77777777" w:rsidTr="007A5B10">
        <w:trPr>
          <w:cantSplit/>
          <w:trHeight w:val="411"/>
        </w:trPr>
        <w:tc>
          <w:tcPr>
            <w:tcW w:w="15559" w:type="dxa"/>
            <w:gridSpan w:val="10"/>
            <w:tcBorders>
              <w:top w:val="double" w:sz="4" w:space="0" w:color="auto"/>
              <w:bottom w:val="single" w:sz="6" w:space="0" w:color="auto"/>
            </w:tcBorders>
            <w:shd w:val="clear" w:color="auto" w:fill="C0C0C0"/>
            <w:vAlign w:val="center"/>
          </w:tcPr>
          <w:p w14:paraId="6A40288B" w14:textId="77777777" w:rsidR="007A5B10" w:rsidRPr="00582D86" w:rsidRDefault="007A5B10" w:rsidP="008F044B">
            <w:pPr>
              <w:spacing w:line="276" w:lineRule="auto"/>
              <w:ind w:left="113" w:right="113"/>
              <w:rPr>
                <w:rFonts w:cs="Arial"/>
                <w:b/>
                <w:sz w:val="20"/>
                <w:lang w:eastAsia="en-GB"/>
              </w:rPr>
            </w:pPr>
            <w:r w:rsidRPr="002F1713">
              <w:rPr>
                <w:b/>
                <w:sz w:val="22"/>
                <w:szCs w:val="22"/>
                <w:lang w:eastAsia="en-GB"/>
              </w:rPr>
              <w:lastRenderedPageBreak/>
              <w:t>PART 2: Risk Assessment</w:t>
            </w:r>
          </w:p>
        </w:tc>
      </w:tr>
      <w:tr w:rsidR="008F044B" w:rsidRPr="00582D86" w14:paraId="7FDB3DE1" w14:textId="77777777" w:rsidTr="00F466EF">
        <w:trPr>
          <w:cantSplit/>
          <w:trHeight w:val="1304"/>
        </w:trPr>
        <w:tc>
          <w:tcPr>
            <w:tcW w:w="2253" w:type="dxa"/>
            <w:tcBorders>
              <w:top w:val="single" w:sz="6" w:space="0" w:color="auto"/>
              <w:bottom w:val="single" w:sz="6" w:space="0" w:color="auto"/>
            </w:tcBorders>
            <w:shd w:val="clear" w:color="auto" w:fill="E6E6E6"/>
            <w:vAlign w:val="center"/>
          </w:tcPr>
          <w:p w14:paraId="1DA5F2A4" w14:textId="77777777" w:rsidR="007A5B10" w:rsidRPr="002F1713" w:rsidRDefault="007A5B10" w:rsidP="008F044B">
            <w:pPr>
              <w:spacing w:line="276" w:lineRule="auto"/>
              <w:jc w:val="center"/>
              <w:rPr>
                <w:rFonts w:cs="Arial"/>
                <w:sz w:val="18"/>
                <w:szCs w:val="22"/>
                <w:lang w:eastAsia="en-GB"/>
              </w:rPr>
            </w:pPr>
            <w:r w:rsidRPr="002F1713">
              <w:rPr>
                <w:rFonts w:cs="Arial"/>
                <w:b/>
                <w:sz w:val="18"/>
                <w:szCs w:val="22"/>
                <w:lang w:eastAsia="en-GB"/>
              </w:rPr>
              <w:t>Identified Hazard</w:t>
            </w:r>
          </w:p>
        </w:tc>
        <w:tc>
          <w:tcPr>
            <w:tcW w:w="2410" w:type="dxa"/>
            <w:tcBorders>
              <w:top w:val="single" w:sz="6" w:space="0" w:color="auto"/>
              <w:bottom w:val="single" w:sz="6" w:space="0" w:color="auto"/>
            </w:tcBorders>
            <w:shd w:val="clear" w:color="auto" w:fill="E6E6E6"/>
            <w:vAlign w:val="center"/>
          </w:tcPr>
          <w:p w14:paraId="025A4810" w14:textId="0548311C" w:rsidR="007A5B10" w:rsidRPr="002F1713" w:rsidRDefault="009220F4" w:rsidP="008F044B">
            <w:pPr>
              <w:spacing w:line="276" w:lineRule="auto"/>
              <w:jc w:val="center"/>
              <w:rPr>
                <w:rFonts w:cs="Arial"/>
                <w:b/>
                <w:sz w:val="18"/>
                <w:szCs w:val="22"/>
                <w:lang w:eastAsia="en-GB"/>
              </w:rPr>
            </w:pPr>
            <w:r w:rsidRPr="002F1713">
              <w:rPr>
                <w:rFonts w:cs="Arial"/>
                <w:b/>
                <w:sz w:val="18"/>
                <w:szCs w:val="22"/>
                <w:lang w:eastAsia="en-GB"/>
              </w:rPr>
              <w:t>Personnel at Risk</w:t>
            </w:r>
          </w:p>
        </w:tc>
        <w:tc>
          <w:tcPr>
            <w:tcW w:w="3402" w:type="dxa"/>
            <w:tcBorders>
              <w:top w:val="single" w:sz="6" w:space="0" w:color="auto"/>
              <w:bottom w:val="single" w:sz="6" w:space="0" w:color="auto"/>
            </w:tcBorders>
            <w:shd w:val="clear" w:color="auto" w:fill="E6E6E6"/>
            <w:vAlign w:val="center"/>
          </w:tcPr>
          <w:p w14:paraId="5C8B300E" w14:textId="77777777" w:rsidR="007A5B10" w:rsidRPr="002F1713" w:rsidRDefault="007A5B10" w:rsidP="008F044B">
            <w:pPr>
              <w:spacing w:line="276" w:lineRule="auto"/>
              <w:jc w:val="center"/>
              <w:rPr>
                <w:rFonts w:cs="Arial"/>
                <w:b/>
                <w:sz w:val="18"/>
                <w:szCs w:val="22"/>
                <w:lang w:eastAsia="en-GB"/>
              </w:rPr>
            </w:pPr>
            <w:r w:rsidRPr="002F1713">
              <w:rPr>
                <w:rFonts w:cs="Arial"/>
                <w:b/>
                <w:sz w:val="18"/>
                <w:szCs w:val="22"/>
                <w:lang w:eastAsia="en-GB"/>
              </w:rPr>
              <w:t>Effects</w:t>
            </w:r>
          </w:p>
        </w:tc>
        <w:tc>
          <w:tcPr>
            <w:tcW w:w="709" w:type="dxa"/>
            <w:tcBorders>
              <w:top w:val="single" w:sz="6" w:space="0" w:color="auto"/>
              <w:bottom w:val="single" w:sz="6" w:space="0" w:color="auto"/>
            </w:tcBorders>
            <w:shd w:val="clear" w:color="auto" w:fill="E6E6E6"/>
            <w:textDirection w:val="tbRl"/>
            <w:vAlign w:val="center"/>
          </w:tcPr>
          <w:p w14:paraId="62BF634D"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Severity</w:t>
            </w:r>
          </w:p>
        </w:tc>
        <w:tc>
          <w:tcPr>
            <w:tcW w:w="709" w:type="dxa"/>
            <w:tcBorders>
              <w:top w:val="single" w:sz="6" w:space="0" w:color="auto"/>
              <w:bottom w:val="single" w:sz="6" w:space="0" w:color="auto"/>
            </w:tcBorders>
            <w:shd w:val="clear" w:color="auto" w:fill="E6E6E6"/>
            <w:textDirection w:val="tbRl"/>
            <w:vAlign w:val="center"/>
          </w:tcPr>
          <w:p w14:paraId="63516620"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Probability</w:t>
            </w:r>
          </w:p>
        </w:tc>
        <w:tc>
          <w:tcPr>
            <w:tcW w:w="850" w:type="dxa"/>
            <w:tcBorders>
              <w:top w:val="single" w:sz="6" w:space="0" w:color="auto"/>
              <w:bottom w:val="single" w:sz="6" w:space="0" w:color="auto"/>
            </w:tcBorders>
            <w:shd w:val="clear" w:color="auto" w:fill="E6E6E6"/>
            <w:textDirection w:val="tbRl"/>
            <w:vAlign w:val="center"/>
          </w:tcPr>
          <w:p w14:paraId="44C7BBB5"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Existing Risk Level</w:t>
            </w:r>
          </w:p>
        </w:tc>
        <w:tc>
          <w:tcPr>
            <w:tcW w:w="2977" w:type="dxa"/>
            <w:tcBorders>
              <w:top w:val="single" w:sz="6" w:space="0" w:color="auto"/>
              <w:bottom w:val="single" w:sz="6" w:space="0" w:color="auto"/>
            </w:tcBorders>
            <w:shd w:val="clear" w:color="auto" w:fill="E6E6E6"/>
            <w:vAlign w:val="center"/>
          </w:tcPr>
          <w:p w14:paraId="3D78DFAD" w14:textId="77777777" w:rsidR="007A5B10" w:rsidRPr="002F1713" w:rsidRDefault="007A5B10" w:rsidP="008F044B">
            <w:pPr>
              <w:spacing w:line="276" w:lineRule="auto"/>
              <w:jc w:val="center"/>
              <w:rPr>
                <w:rFonts w:cs="Arial"/>
                <w:b/>
                <w:sz w:val="18"/>
                <w:szCs w:val="22"/>
                <w:lang w:eastAsia="en-GB"/>
              </w:rPr>
            </w:pPr>
            <w:r w:rsidRPr="002F1713">
              <w:rPr>
                <w:rFonts w:cs="Arial"/>
                <w:b/>
                <w:sz w:val="18"/>
                <w:szCs w:val="22"/>
                <w:lang w:eastAsia="en-GB"/>
              </w:rPr>
              <w:t>Additional Controls</w:t>
            </w:r>
          </w:p>
        </w:tc>
        <w:tc>
          <w:tcPr>
            <w:tcW w:w="709" w:type="dxa"/>
            <w:tcBorders>
              <w:top w:val="single" w:sz="6" w:space="0" w:color="auto"/>
              <w:bottom w:val="single" w:sz="6" w:space="0" w:color="auto"/>
            </w:tcBorders>
            <w:shd w:val="clear" w:color="auto" w:fill="E6E6E6"/>
            <w:textDirection w:val="tbRl"/>
            <w:vAlign w:val="center"/>
          </w:tcPr>
          <w:p w14:paraId="6129D047"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Severity</w:t>
            </w:r>
          </w:p>
        </w:tc>
        <w:tc>
          <w:tcPr>
            <w:tcW w:w="708" w:type="dxa"/>
            <w:tcBorders>
              <w:top w:val="single" w:sz="6" w:space="0" w:color="auto"/>
              <w:bottom w:val="single" w:sz="6" w:space="0" w:color="auto"/>
            </w:tcBorders>
            <w:shd w:val="clear" w:color="auto" w:fill="E6E6E6"/>
            <w:textDirection w:val="tbRl"/>
            <w:vAlign w:val="center"/>
          </w:tcPr>
          <w:p w14:paraId="1C282B3B"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Probability</w:t>
            </w:r>
          </w:p>
        </w:tc>
        <w:tc>
          <w:tcPr>
            <w:tcW w:w="832" w:type="dxa"/>
            <w:tcBorders>
              <w:top w:val="single" w:sz="6" w:space="0" w:color="auto"/>
              <w:bottom w:val="single" w:sz="6" w:space="0" w:color="auto"/>
            </w:tcBorders>
            <w:shd w:val="clear" w:color="auto" w:fill="E6E6E6"/>
            <w:textDirection w:val="tbRl"/>
            <w:vAlign w:val="center"/>
          </w:tcPr>
          <w:p w14:paraId="4C0F3E70" w14:textId="77777777" w:rsidR="007A5B10" w:rsidRPr="002F1713" w:rsidRDefault="007A5B10" w:rsidP="008F044B">
            <w:pPr>
              <w:spacing w:line="276" w:lineRule="auto"/>
              <w:ind w:left="113" w:right="113"/>
              <w:jc w:val="center"/>
              <w:rPr>
                <w:rFonts w:cs="Arial"/>
                <w:b/>
                <w:sz w:val="18"/>
                <w:szCs w:val="22"/>
                <w:lang w:eastAsia="en-GB"/>
              </w:rPr>
            </w:pPr>
            <w:r w:rsidRPr="002F1713">
              <w:rPr>
                <w:rFonts w:cs="Arial"/>
                <w:b/>
                <w:sz w:val="18"/>
                <w:szCs w:val="22"/>
                <w:lang w:eastAsia="en-GB"/>
              </w:rPr>
              <w:t>Final Risk Level</w:t>
            </w:r>
          </w:p>
        </w:tc>
      </w:tr>
      <w:tr w:rsidR="00A938D8" w:rsidRPr="00582D86" w14:paraId="1CEA6A9A" w14:textId="77777777" w:rsidTr="00975FC9">
        <w:trPr>
          <w:trHeight w:val="554"/>
        </w:trPr>
        <w:tc>
          <w:tcPr>
            <w:tcW w:w="15559" w:type="dxa"/>
            <w:gridSpan w:val="10"/>
            <w:tcBorders>
              <w:top w:val="single" w:sz="6" w:space="0" w:color="auto"/>
              <w:bottom w:val="single" w:sz="6" w:space="0" w:color="auto"/>
            </w:tcBorders>
            <w:shd w:val="clear" w:color="auto" w:fill="B6DDE8" w:themeFill="accent5" w:themeFillTint="66"/>
          </w:tcPr>
          <w:p w14:paraId="7B44E3F7" w14:textId="1DA57168" w:rsidR="00A938D8" w:rsidRPr="00A938D8" w:rsidRDefault="00A938D8" w:rsidP="00A938D8">
            <w:pPr>
              <w:spacing w:line="276" w:lineRule="auto"/>
              <w:jc w:val="left"/>
              <w:rPr>
                <w:rFonts w:cs="Arial"/>
                <w:b/>
                <w:bCs/>
                <w:lang w:eastAsia="en-GB"/>
              </w:rPr>
            </w:pPr>
            <w:r w:rsidRPr="002F1713">
              <w:rPr>
                <w:rFonts w:cs="Arial"/>
                <w:b/>
                <w:bCs/>
                <w:sz w:val="22"/>
                <w:szCs w:val="28"/>
                <w:lang w:eastAsia="en-GB"/>
              </w:rPr>
              <w:t>Heat induced Risks</w:t>
            </w:r>
          </w:p>
        </w:tc>
      </w:tr>
      <w:tr w:rsidR="00CB19D2" w:rsidRPr="00582D86" w14:paraId="07BBA930" w14:textId="77777777" w:rsidTr="00F466EF">
        <w:trPr>
          <w:trHeight w:val="1134"/>
        </w:trPr>
        <w:tc>
          <w:tcPr>
            <w:tcW w:w="2253" w:type="dxa"/>
            <w:vMerge w:val="restart"/>
            <w:tcBorders>
              <w:top w:val="single" w:sz="6" w:space="0" w:color="auto"/>
            </w:tcBorders>
          </w:tcPr>
          <w:p w14:paraId="06C1A690" w14:textId="77777777" w:rsidR="00CB19D2" w:rsidRPr="002F1713" w:rsidRDefault="00CB19D2" w:rsidP="00A938D8">
            <w:pPr>
              <w:spacing w:before="0" w:line="276" w:lineRule="auto"/>
              <w:rPr>
                <w:rFonts w:cs="Arial"/>
                <w:sz w:val="18"/>
                <w:szCs w:val="22"/>
                <w:lang w:eastAsia="en-GB"/>
              </w:rPr>
            </w:pPr>
          </w:p>
          <w:p w14:paraId="680850C3" w14:textId="5AFE6E3B" w:rsidR="00CB19D2" w:rsidRPr="002F1713" w:rsidRDefault="00CB19D2" w:rsidP="00810DCC">
            <w:pPr>
              <w:spacing w:before="0" w:line="276" w:lineRule="auto"/>
              <w:jc w:val="left"/>
              <w:rPr>
                <w:rFonts w:cs="Arial"/>
                <w:sz w:val="18"/>
                <w:szCs w:val="22"/>
                <w:lang w:eastAsia="en-GB"/>
              </w:rPr>
            </w:pPr>
            <w:r w:rsidRPr="002F1713">
              <w:rPr>
                <w:rFonts w:cs="Arial"/>
                <w:sz w:val="18"/>
                <w:szCs w:val="22"/>
                <w:lang w:eastAsia="en-GB"/>
              </w:rPr>
              <w:t>Heat build-up from continuous firing</w:t>
            </w:r>
          </w:p>
        </w:tc>
        <w:tc>
          <w:tcPr>
            <w:tcW w:w="2410" w:type="dxa"/>
            <w:tcBorders>
              <w:top w:val="single" w:sz="6" w:space="0" w:color="auto"/>
              <w:bottom w:val="single" w:sz="6" w:space="0" w:color="auto"/>
            </w:tcBorders>
          </w:tcPr>
          <w:p w14:paraId="4D80DAD2" w14:textId="676F4E8D" w:rsidR="00CB19D2" w:rsidRPr="002F1713" w:rsidRDefault="00CB19D2" w:rsidP="008F044B">
            <w:pPr>
              <w:spacing w:line="276" w:lineRule="auto"/>
              <w:rPr>
                <w:rFonts w:cs="Arial"/>
                <w:sz w:val="18"/>
                <w:szCs w:val="22"/>
                <w:lang w:eastAsia="en-GB"/>
              </w:rPr>
            </w:pPr>
            <w:r w:rsidRPr="002F1713">
              <w:rPr>
                <w:rFonts w:cs="Arial"/>
                <w:sz w:val="18"/>
                <w:szCs w:val="22"/>
                <w:lang w:eastAsia="en-GB"/>
              </w:rPr>
              <w:t xml:space="preserve">People </w:t>
            </w:r>
            <w:r w:rsidR="009220F4" w:rsidRPr="002F1713">
              <w:rPr>
                <w:rFonts w:cs="Arial"/>
                <w:sz w:val="18"/>
                <w:szCs w:val="22"/>
                <w:lang w:eastAsia="en-GB"/>
              </w:rPr>
              <w:t>in range of</w:t>
            </w:r>
            <w:r w:rsidRPr="002F1713">
              <w:rPr>
                <w:rFonts w:cs="Arial"/>
                <w:sz w:val="18"/>
                <w:szCs w:val="22"/>
                <w:lang w:eastAsia="en-GB"/>
              </w:rPr>
              <w:t xml:space="preserve"> vehicle</w:t>
            </w:r>
          </w:p>
        </w:tc>
        <w:tc>
          <w:tcPr>
            <w:tcW w:w="3402" w:type="dxa"/>
            <w:tcBorders>
              <w:top w:val="single" w:sz="6" w:space="0" w:color="auto"/>
              <w:bottom w:val="single" w:sz="6" w:space="0" w:color="auto"/>
            </w:tcBorders>
          </w:tcPr>
          <w:p w14:paraId="635782ED" w14:textId="75FEAE03" w:rsidR="00CB19D2" w:rsidRPr="002F1713" w:rsidRDefault="00CB19D2" w:rsidP="008F044B">
            <w:pPr>
              <w:spacing w:line="276" w:lineRule="auto"/>
              <w:rPr>
                <w:rFonts w:cs="Arial"/>
                <w:sz w:val="18"/>
                <w:szCs w:val="22"/>
                <w:lang w:eastAsia="en-GB"/>
              </w:rPr>
            </w:pPr>
            <w:r w:rsidRPr="002F1713">
              <w:rPr>
                <w:rFonts w:cs="Arial"/>
                <w:sz w:val="18"/>
                <w:szCs w:val="22"/>
                <w:lang w:eastAsia="en-GB"/>
              </w:rPr>
              <w:t>In-bore detonation</w:t>
            </w:r>
          </w:p>
          <w:p w14:paraId="2F46B9BB" w14:textId="77777777" w:rsidR="00CB19D2" w:rsidRPr="002F1713" w:rsidRDefault="00CB19D2" w:rsidP="008F044B">
            <w:pPr>
              <w:spacing w:line="276" w:lineRule="auto"/>
              <w:rPr>
                <w:rFonts w:cs="Arial"/>
                <w:sz w:val="18"/>
                <w:szCs w:val="22"/>
                <w:lang w:eastAsia="en-GB"/>
              </w:rPr>
            </w:pPr>
          </w:p>
        </w:tc>
        <w:tc>
          <w:tcPr>
            <w:tcW w:w="709" w:type="dxa"/>
            <w:tcBorders>
              <w:top w:val="single" w:sz="6" w:space="0" w:color="auto"/>
              <w:bottom w:val="single" w:sz="6" w:space="0" w:color="auto"/>
            </w:tcBorders>
            <w:vAlign w:val="center"/>
          </w:tcPr>
          <w:p w14:paraId="47500989" w14:textId="77777777" w:rsidR="00CB19D2" w:rsidRPr="002F1713" w:rsidRDefault="00CB19D2" w:rsidP="008F044B">
            <w:pPr>
              <w:spacing w:line="276" w:lineRule="auto"/>
              <w:jc w:val="center"/>
              <w:rPr>
                <w:rFonts w:cs="Arial"/>
                <w:b/>
                <w:sz w:val="22"/>
                <w:szCs w:val="28"/>
                <w:lang w:eastAsia="en-GB"/>
              </w:rPr>
            </w:pPr>
            <w:r w:rsidRPr="002F1713">
              <w:rPr>
                <w:rFonts w:cs="Arial"/>
                <w:b/>
                <w:sz w:val="22"/>
                <w:szCs w:val="28"/>
                <w:lang w:eastAsia="en-GB"/>
              </w:rPr>
              <w:t>5</w:t>
            </w:r>
          </w:p>
        </w:tc>
        <w:tc>
          <w:tcPr>
            <w:tcW w:w="709" w:type="dxa"/>
            <w:tcBorders>
              <w:top w:val="single" w:sz="6" w:space="0" w:color="auto"/>
              <w:bottom w:val="single" w:sz="6" w:space="0" w:color="auto"/>
            </w:tcBorders>
            <w:vAlign w:val="center"/>
          </w:tcPr>
          <w:p w14:paraId="648A9500" w14:textId="77777777" w:rsidR="00CB19D2" w:rsidRPr="002F1713" w:rsidRDefault="00CB19D2" w:rsidP="008F044B">
            <w:pPr>
              <w:spacing w:line="276" w:lineRule="auto"/>
              <w:jc w:val="center"/>
              <w:rPr>
                <w:rFonts w:cs="Arial"/>
                <w:b/>
                <w:sz w:val="22"/>
                <w:szCs w:val="28"/>
                <w:lang w:eastAsia="en-GB"/>
              </w:rPr>
            </w:pPr>
            <w:r w:rsidRPr="002F1713">
              <w:rPr>
                <w:rFonts w:cs="Arial"/>
                <w:b/>
                <w:sz w:val="22"/>
                <w:szCs w:val="28"/>
                <w:lang w:eastAsia="en-GB"/>
              </w:rPr>
              <w:t>2</w:t>
            </w:r>
          </w:p>
        </w:tc>
        <w:tc>
          <w:tcPr>
            <w:tcW w:w="850" w:type="dxa"/>
            <w:tcBorders>
              <w:top w:val="single" w:sz="6" w:space="0" w:color="auto"/>
              <w:bottom w:val="single" w:sz="6" w:space="0" w:color="auto"/>
            </w:tcBorders>
            <w:shd w:val="clear" w:color="auto" w:fill="FFFF00"/>
            <w:vAlign w:val="center"/>
          </w:tcPr>
          <w:p w14:paraId="3382FEBD" w14:textId="77777777" w:rsidR="00CB19D2" w:rsidRPr="002F1713" w:rsidRDefault="00CB19D2" w:rsidP="008F044B">
            <w:pPr>
              <w:spacing w:line="276" w:lineRule="auto"/>
              <w:jc w:val="center"/>
              <w:rPr>
                <w:rFonts w:cs="Arial"/>
                <w:b/>
                <w:sz w:val="22"/>
                <w:szCs w:val="28"/>
                <w:lang w:eastAsia="en-GB"/>
              </w:rPr>
            </w:pPr>
            <w:r w:rsidRPr="002F1713">
              <w:rPr>
                <w:rFonts w:cs="Arial"/>
                <w:b/>
                <w:sz w:val="22"/>
                <w:szCs w:val="28"/>
                <w:lang w:eastAsia="en-GB"/>
              </w:rPr>
              <w:t>10</w:t>
            </w:r>
          </w:p>
        </w:tc>
        <w:tc>
          <w:tcPr>
            <w:tcW w:w="2977" w:type="dxa"/>
            <w:tcBorders>
              <w:top w:val="single" w:sz="6" w:space="0" w:color="auto"/>
              <w:bottom w:val="single" w:sz="6" w:space="0" w:color="auto"/>
            </w:tcBorders>
          </w:tcPr>
          <w:p w14:paraId="4373550D" w14:textId="50AE0255" w:rsidR="009220F4" w:rsidRPr="002F1713" w:rsidRDefault="009220F4" w:rsidP="009220F4">
            <w:pPr>
              <w:spacing w:line="276" w:lineRule="auto"/>
              <w:rPr>
                <w:rFonts w:cs="Arial"/>
                <w:sz w:val="18"/>
                <w:szCs w:val="22"/>
                <w:lang w:eastAsia="en-GB"/>
              </w:rPr>
            </w:pPr>
            <w:r w:rsidRPr="002F1713">
              <w:rPr>
                <w:rFonts w:cs="Arial"/>
                <w:sz w:val="18"/>
                <w:szCs w:val="22"/>
                <w:lang w:eastAsia="en-GB"/>
              </w:rPr>
              <w:t>Mandatory cooldown period between firings</w:t>
            </w:r>
          </w:p>
        </w:tc>
        <w:tc>
          <w:tcPr>
            <w:tcW w:w="709" w:type="dxa"/>
            <w:tcBorders>
              <w:top w:val="single" w:sz="6" w:space="0" w:color="auto"/>
              <w:bottom w:val="single" w:sz="6" w:space="0" w:color="auto"/>
            </w:tcBorders>
            <w:vAlign w:val="center"/>
          </w:tcPr>
          <w:p w14:paraId="3A92BCFF" w14:textId="3E9C69E5" w:rsidR="00CB19D2" w:rsidRPr="002F1713" w:rsidRDefault="009220F4" w:rsidP="008F044B">
            <w:pPr>
              <w:spacing w:line="276" w:lineRule="auto"/>
              <w:jc w:val="center"/>
              <w:rPr>
                <w:rFonts w:cs="Arial"/>
                <w:b/>
                <w:sz w:val="22"/>
                <w:szCs w:val="28"/>
                <w:lang w:eastAsia="en-GB"/>
              </w:rPr>
            </w:pPr>
            <w:r w:rsidRPr="002F1713">
              <w:rPr>
                <w:rFonts w:cs="Arial"/>
                <w:b/>
                <w:sz w:val="22"/>
                <w:szCs w:val="28"/>
                <w:lang w:eastAsia="en-GB"/>
              </w:rPr>
              <w:t>5</w:t>
            </w:r>
          </w:p>
        </w:tc>
        <w:tc>
          <w:tcPr>
            <w:tcW w:w="708" w:type="dxa"/>
            <w:tcBorders>
              <w:top w:val="single" w:sz="6" w:space="0" w:color="auto"/>
              <w:bottom w:val="single" w:sz="6" w:space="0" w:color="auto"/>
            </w:tcBorders>
            <w:vAlign w:val="center"/>
          </w:tcPr>
          <w:p w14:paraId="2A696458" w14:textId="11974911" w:rsidR="00CB19D2" w:rsidRPr="002F1713" w:rsidRDefault="009220F4" w:rsidP="008F044B">
            <w:pPr>
              <w:spacing w:line="276" w:lineRule="auto"/>
              <w:jc w:val="center"/>
              <w:rPr>
                <w:rFonts w:cs="Arial"/>
                <w:b/>
                <w:sz w:val="22"/>
                <w:szCs w:val="28"/>
                <w:lang w:eastAsia="en-GB"/>
              </w:rPr>
            </w:pPr>
            <w:r w:rsidRPr="002F1713">
              <w:rPr>
                <w:rFonts w:cs="Arial"/>
                <w:b/>
                <w:sz w:val="22"/>
                <w:szCs w:val="28"/>
                <w:lang w:eastAsia="en-GB"/>
              </w:rPr>
              <w:t>1</w:t>
            </w:r>
          </w:p>
        </w:tc>
        <w:tc>
          <w:tcPr>
            <w:tcW w:w="832" w:type="dxa"/>
            <w:tcBorders>
              <w:top w:val="single" w:sz="6" w:space="0" w:color="auto"/>
              <w:bottom w:val="single" w:sz="6" w:space="0" w:color="auto"/>
            </w:tcBorders>
            <w:shd w:val="clear" w:color="auto" w:fill="FFFF00"/>
            <w:vAlign w:val="center"/>
          </w:tcPr>
          <w:p w14:paraId="283B586A" w14:textId="73DAC09A" w:rsidR="00CB19D2" w:rsidRPr="002F1713" w:rsidRDefault="009220F4" w:rsidP="009220F4">
            <w:pPr>
              <w:spacing w:line="276" w:lineRule="auto"/>
              <w:jc w:val="center"/>
              <w:rPr>
                <w:rFonts w:cs="Arial"/>
                <w:b/>
                <w:sz w:val="22"/>
                <w:szCs w:val="28"/>
                <w:lang w:eastAsia="en-GB"/>
              </w:rPr>
            </w:pPr>
            <w:r w:rsidRPr="002F1713">
              <w:rPr>
                <w:rFonts w:cs="Arial"/>
                <w:b/>
                <w:sz w:val="22"/>
                <w:szCs w:val="28"/>
                <w:lang w:eastAsia="en-GB"/>
              </w:rPr>
              <w:t>5</w:t>
            </w:r>
          </w:p>
        </w:tc>
      </w:tr>
      <w:tr w:rsidR="00CB19D2" w:rsidRPr="00582D86" w14:paraId="08CC5046" w14:textId="77777777" w:rsidTr="00F466EF">
        <w:trPr>
          <w:trHeight w:val="908"/>
        </w:trPr>
        <w:tc>
          <w:tcPr>
            <w:tcW w:w="2253" w:type="dxa"/>
            <w:vMerge/>
          </w:tcPr>
          <w:p w14:paraId="45563F46" w14:textId="2266C0C8" w:rsidR="00CB19D2" w:rsidRPr="002F1713" w:rsidRDefault="00CB19D2" w:rsidP="00CB19D2">
            <w:p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07AD9B21" w14:textId="44465364" w:rsidR="00CB19D2" w:rsidRPr="002F1713" w:rsidRDefault="00CB19D2" w:rsidP="00CB19D2">
            <w:pPr>
              <w:spacing w:line="276" w:lineRule="auto"/>
              <w:rPr>
                <w:rFonts w:cs="Arial"/>
                <w:sz w:val="18"/>
                <w:szCs w:val="22"/>
                <w:lang w:eastAsia="en-GB"/>
              </w:rPr>
            </w:pPr>
            <w:r w:rsidRPr="002F1713">
              <w:rPr>
                <w:rFonts w:cs="Arial"/>
                <w:sz w:val="18"/>
                <w:szCs w:val="22"/>
                <w:lang w:eastAsia="en-GB"/>
              </w:rPr>
              <w:t>Tank crew</w:t>
            </w:r>
          </w:p>
        </w:tc>
        <w:tc>
          <w:tcPr>
            <w:tcW w:w="3402" w:type="dxa"/>
            <w:tcBorders>
              <w:top w:val="single" w:sz="6" w:space="0" w:color="auto"/>
              <w:bottom w:val="single" w:sz="6" w:space="0" w:color="auto"/>
            </w:tcBorders>
          </w:tcPr>
          <w:p w14:paraId="2A250061" w14:textId="58F9E9FC" w:rsidR="00CB19D2" w:rsidRPr="002F1713" w:rsidRDefault="00CB19D2" w:rsidP="00CB19D2">
            <w:pPr>
              <w:spacing w:line="276" w:lineRule="auto"/>
              <w:rPr>
                <w:rFonts w:cs="Arial"/>
                <w:sz w:val="18"/>
                <w:szCs w:val="22"/>
                <w:lang w:eastAsia="en-GB"/>
              </w:rPr>
            </w:pPr>
            <w:r w:rsidRPr="002F1713">
              <w:rPr>
                <w:rFonts w:cs="Arial"/>
                <w:sz w:val="18"/>
                <w:szCs w:val="22"/>
                <w:lang w:eastAsia="en-GB"/>
              </w:rPr>
              <w:t>Increases cabin temperature.  Introduces fatigue to crew members and uncomfortable working conditions</w:t>
            </w:r>
            <w:r w:rsidRPr="002F1713">
              <w:rPr>
                <w:rFonts w:cs="Arial"/>
                <w:sz w:val="18"/>
                <w:szCs w:val="22"/>
                <w:lang w:eastAsia="en-GB"/>
              </w:rPr>
              <w:br/>
            </w:r>
          </w:p>
        </w:tc>
        <w:tc>
          <w:tcPr>
            <w:tcW w:w="709" w:type="dxa"/>
            <w:tcBorders>
              <w:top w:val="single" w:sz="6" w:space="0" w:color="auto"/>
              <w:bottom w:val="single" w:sz="6" w:space="0" w:color="auto"/>
            </w:tcBorders>
            <w:vAlign w:val="center"/>
          </w:tcPr>
          <w:p w14:paraId="688C5656" w14:textId="0886E8E7"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1</w:t>
            </w:r>
          </w:p>
        </w:tc>
        <w:tc>
          <w:tcPr>
            <w:tcW w:w="709" w:type="dxa"/>
            <w:tcBorders>
              <w:top w:val="single" w:sz="6" w:space="0" w:color="auto"/>
              <w:bottom w:val="single" w:sz="6" w:space="0" w:color="auto"/>
            </w:tcBorders>
            <w:vAlign w:val="center"/>
          </w:tcPr>
          <w:p w14:paraId="6AD91DEC" w14:textId="65809E1C"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5</w:t>
            </w:r>
          </w:p>
        </w:tc>
        <w:tc>
          <w:tcPr>
            <w:tcW w:w="850" w:type="dxa"/>
            <w:tcBorders>
              <w:top w:val="single" w:sz="6" w:space="0" w:color="auto"/>
              <w:bottom w:val="single" w:sz="6" w:space="0" w:color="auto"/>
            </w:tcBorders>
            <w:shd w:val="clear" w:color="auto" w:fill="FFFF00"/>
            <w:vAlign w:val="center"/>
          </w:tcPr>
          <w:p w14:paraId="265DCA2B" w14:textId="045A6438"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5</w:t>
            </w:r>
          </w:p>
        </w:tc>
        <w:tc>
          <w:tcPr>
            <w:tcW w:w="2977" w:type="dxa"/>
            <w:tcBorders>
              <w:top w:val="single" w:sz="6" w:space="0" w:color="auto"/>
              <w:bottom w:val="single" w:sz="6" w:space="0" w:color="auto"/>
            </w:tcBorders>
          </w:tcPr>
          <w:p w14:paraId="4484B3FA" w14:textId="77777777" w:rsidR="00CB19D2" w:rsidRPr="002F1713" w:rsidRDefault="009220F4" w:rsidP="00CB19D2">
            <w:pPr>
              <w:spacing w:line="276" w:lineRule="auto"/>
              <w:rPr>
                <w:rFonts w:cs="Arial"/>
                <w:sz w:val="18"/>
                <w:szCs w:val="22"/>
                <w:lang w:eastAsia="en-GB"/>
              </w:rPr>
            </w:pPr>
            <w:r w:rsidRPr="002F1713">
              <w:rPr>
                <w:rFonts w:cs="Arial"/>
                <w:sz w:val="18"/>
                <w:szCs w:val="22"/>
                <w:lang w:eastAsia="en-GB"/>
              </w:rPr>
              <w:t>Mandatory cooldown period between firings</w:t>
            </w:r>
          </w:p>
          <w:p w14:paraId="77218898" w14:textId="2C0DCB81" w:rsidR="009220F4" w:rsidRPr="002F1713" w:rsidRDefault="009220F4" w:rsidP="00CB19D2">
            <w:pPr>
              <w:spacing w:line="276" w:lineRule="auto"/>
              <w:rPr>
                <w:rFonts w:cs="Arial"/>
                <w:sz w:val="18"/>
                <w:szCs w:val="22"/>
                <w:lang w:eastAsia="en-GB"/>
              </w:rPr>
            </w:pPr>
            <w:r w:rsidRPr="002F1713">
              <w:rPr>
                <w:rFonts w:cs="Arial"/>
                <w:sz w:val="18"/>
                <w:szCs w:val="22"/>
                <w:lang w:eastAsia="en-GB"/>
              </w:rPr>
              <w:t>Introduce a maximum working period for crew before a break is required</w:t>
            </w:r>
          </w:p>
        </w:tc>
        <w:tc>
          <w:tcPr>
            <w:tcW w:w="709" w:type="dxa"/>
            <w:tcBorders>
              <w:top w:val="single" w:sz="6" w:space="0" w:color="auto"/>
              <w:bottom w:val="single" w:sz="6" w:space="0" w:color="auto"/>
            </w:tcBorders>
            <w:vAlign w:val="center"/>
          </w:tcPr>
          <w:p w14:paraId="5C82192A" w14:textId="3C1A512F" w:rsidR="009220F4" w:rsidRPr="002F1713" w:rsidRDefault="009220F4" w:rsidP="009220F4">
            <w:pPr>
              <w:spacing w:line="276" w:lineRule="auto"/>
              <w:jc w:val="center"/>
              <w:rPr>
                <w:rFonts w:cs="Arial"/>
                <w:b/>
                <w:sz w:val="22"/>
                <w:szCs w:val="28"/>
                <w:lang w:eastAsia="en-GB"/>
              </w:rPr>
            </w:pPr>
            <w:r w:rsidRPr="002F1713">
              <w:rPr>
                <w:rFonts w:cs="Arial"/>
                <w:b/>
                <w:sz w:val="22"/>
                <w:szCs w:val="28"/>
                <w:lang w:eastAsia="en-GB"/>
              </w:rPr>
              <w:t>1</w:t>
            </w:r>
          </w:p>
        </w:tc>
        <w:tc>
          <w:tcPr>
            <w:tcW w:w="708" w:type="dxa"/>
            <w:tcBorders>
              <w:top w:val="single" w:sz="6" w:space="0" w:color="auto"/>
              <w:bottom w:val="single" w:sz="6" w:space="0" w:color="auto"/>
            </w:tcBorders>
            <w:vAlign w:val="center"/>
          </w:tcPr>
          <w:p w14:paraId="060C5A78" w14:textId="14424BB6"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4</w:t>
            </w:r>
          </w:p>
        </w:tc>
        <w:tc>
          <w:tcPr>
            <w:tcW w:w="832" w:type="dxa"/>
            <w:tcBorders>
              <w:top w:val="single" w:sz="6" w:space="0" w:color="auto"/>
              <w:bottom w:val="single" w:sz="6" w:space="0" w:color="auto"/>
            </w:tcBorders>
            <w:shd w:val="clear" w:color="auto" w:fill="00FF00"/>
            <w:vAlign w:val="center"/>
          </w:tcPr>
          <w:p w14:paraId="22F76AE3" w14:textId="4E5F5058" w:rsidR="00CB19D2" w:rsidRPr="002F1713" w:rsidRDefault="009220F4" w:rsidP="00CB19D2">
            <w:pPr>
              <w:spacing w:line="276" w:lineRule="auto"/>
              <w:jc w:val="center"/>
              <w:rPr>
                <w:rFonts w:cs="Arial"/>
                <w:b/>
                <w:sz w:val="22"/>
                <w:szCs w:val="28"/>
                <w:lang w:eastAsia="en-GB"/>
              </w:rPr>
            </w:pPr>
            <w:r w:rsidRPr="002F1713">
              <w:rPr>
                <w:rFonts w:cs="Arial"/>
                <w:b/>
                <w:sz w:val="22"/>
                <w:szCs w:val="28"/>
                <w:lang w:eastAsia="en-GB"/>
              </w:rPr>
              <w:t>4</w:t>
            </w:r>
          </w:p>
        </w:tc>
      </w:tr>
      <w:tr w:rsidR="00CB19D2" w:rsidRPr="00582D86" w14:paraId="63702961" w14:textId="77777777" w:rsidTr="00F466EF">
        <w:trPr>
          <w:trHeight w:val="1134"/>
        </w:trPr>
        <w:tc>
          <w:tcPr>
            <w:tcW w:w="2253" w:type="dxa"/>
            <w:tcBorders>
              <w:bottom w:val="single" w:sz="6" w:space="0" w:color="auto"/>
            </w:tcBorders>
          </w:tcPr>
          <w:p w14:paraId="7A723BF3" w14:textId="77777777" w:rsidR="00CB19D2" w:rsidRPr="002F1713" w:rsidRDefault="00CB19D2" w:rsidP="00CB19D2">
            <w:pPr>
              <w:spacing w:before="0" w:line="276" w:lineRule="auto"/>
              <w:jc w:val="left"/>
              <w:rPr>
                <w:rFonts w:cs="Arial"/>
                <w:sz w:val="18"/>
                <w:szCs w:val="22"/>
                <w:lang w:eastAsia="en-GB"/>
              </w:rPr>
            </w:pPr>
            <w:r w:rsidRPr="002F1713">
              <w:rPr>
                <w:rFonts w:cs="Arial"/>
                <w:sz w:val="18"/>
                <w:szCs w:val="22"/>
                <w:lang w:eastAsia="en-GB"/>
              </w:rPr>
              <w:br/>
              <w:t xml:space="preserve">Heat </w:t>
            </w:r>
            <w:r w:rsidR="00351B45" w:rsidRPr="002F1713">
              <w:rPr>
                <w:rFonts w:cs="Arial"/>
                <w:sz w:val="18"/>
                <w:szCs w:val="22"/>
                <w:lang w:eastAsia="en-GB"/>
              </w:rPr>
              <w:t>emitted</w:t>
            </w:r>
            <w:r w:rsidRPr="002F1713">
              <w:rPr>
                <w:rFonts w:cs="Arial"/>
                <w:sz w:val="18"/>
                <w:szCs w:val="22"/>
                <w:lang w:eastAsia="en-GB"/>
              </w:rPr>
              <w:t xml:space="preserve"> from platform and rounds immediately after firing</w:t>
            </w:r>
          </w:p>
          <w:p w14:paraId="21303DB0" w14:textId="11ED08F4" w:rsidR="002E05A5" w:rsidRPr="002F1713" w:rsidRDefault="002E05A5" w:rsidP="00CB19D2">
            <w:p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52BB3B83" w14:textId="53DCEFC5" w:rsidR="00CB19D2" w:rsidRPr="002F1713" w:rsidRDefault="00CB19D2" w:rsidP="00CB19D2">
            <w:pPr>
              <w:spacing w:line="276" w:lineRule="auto"/>
              <w:rPr>
                <w:rFonts w:cs="Arial"/>
                <w:sz w:val="18"/>
                <w:szCs w:val="22"/>
                <w:lang w:eastAsia="en-GB"/>
              </w:rPr>
            </w:pPr>
            <w:r w:rsidRPr="002F1713">
              <w:rPr>
                <w:rFonts w:cs="Arial"/>
                <w:sz w:val="18"/>
                <w:szCs w:val="22"/>
                <w:lang w:eastAsia="en-GB"/>
              </w:rPr>
              <w:t>Those in contact with barrel</w:t>
            </w:r>
            <w:r w:rsidR="0097058B" w:rsidRPr="002F1713">
              <w:rPr>
                <w:rFonts w:cs="Arial"/>
                <w:sz w:val="18"/>
                <w:szCs w:val="22"/>
                <w:lang w:eastAsia="en-GB"/>
              </w:rPr>
              <w:t xml:space="preserve"> or munition </w:t>
            </w:r>
            <w:r w:rsidRPr="002F1713">
              <w:rPr>
                <w:rFonts w:cs="Arial"/>
                <w:sz w:val="18"/>
                <w:szCs w:val="22"/>
                <w:lang w:eastAsia="en-GB"/>
              </w:rPr>
              <w:t>case</w:t>
            </w:r>
          </w:p>
        </w:tc>
        <w:tc>
          <w:tcPr>
            <w:tcW w:w="3402" w:type="dxa"/>
            <w:tcBorders>
              <w:top w:val="single" w:sz="6" w:space="0" w:color="auto"/>
              <w:bottom w:val="single" w:sz="6" w:space="0" w:color="auto"/>
            </w:tcBorders>
          </w:tcPr>
          <w:p w14:paraId="73E701BB" w14:textId="34E2E8A5"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 xml:space="preserve">Contact with </w:t>
            </w:r>
            <w:r w:rsidR="0097058B" w:rsidRPr="002F1713">
              <w:rPr>
                <w:rFonts w:cs="Arial"/>
                <w:sz w:val="18"/>
                <w:szCs w:val="22"/>
                <w:lang w:eastAsia="en-GB"/>
              </w:rPr>
              <w:t xml:space="preserve">hot </w:t>
            </w:r>
            <w:r w:rsidRPr="002F1713">
              <w:rPr>
                <w:rFonts w:cs="Arial"/>
                <w:sz w:val="18"/>
                <w:szCs w:val="22"/>
                <w:lang w:eastAsia="en-GB"/>
              </w:rPr>
              <w:t>metal case / barrel causing burns</w:t>
            </w:r>
          </w:p>
        </w:tc>
        <w:tc>
          <w:tcPr>
            <w:tcW w:w="709" w:type="dxa"/>
            <w:tcBorders>
              <w:top w:val="single" w:sz="6" w:space="0" w:color="auto"/>
              <w:bottom w:val="single" w:sz="6" w:space="0" w:color="auto"/>
            </w:tcBorders>
            <w:vAlign w:val="center"/>
          </w:tcPr>
          <w:p w14:paraId="003A476B" w14:textId="77777777" w:rsidR="00CB19D2" w:rsidRPr="002F1713" w:rsidRDefault="00CB19D2" w:rsidP="00CB19D2">
            <w:pPr>
              <w:spacing w:line="276" w:lineRule="auto"/>
              <w:jc w:val="center"/>
              <w:rPr>
                <w:rFonts w:cs="Arial"/>
                <w:b/>
                <w:sz w:val="22"/>
                <w:szCs w:val="28"/>
                <w:lang w:eastAsia="en-GB"/>
              </w:rPr>
            </w:pPr>
            <w:r w:rsidRPr="002F1713">
              <w:rPr>
                <w:rFonts w:cs="Arial"/>
                <w:b/>
                <w:sz w:val="22"/>
                <w:szCs w:val="28"/>
                <w:lang w:eastAsia="en-GB"/>
              </w:rPr>
              <w:t>2</w:t>
            </w:r>
          </w:p>
        </w:tc>
        <w:tc>
          <w:tcPr>
            <w:tcW w:w="709" w:type="dxa"/>
            <w:tcBorders>
              <w:top w:val="single" w:sz="6" w:space="0" w:color="auto"/>
              <w:bottom w:val="single" w:sz="6" w:space="0" w:color="auto"/>
            </w:tcBorders>
            <w:vAlign w:val="center"/>
          </w:tcPr>
          <w:p w14:paraId="56D27750" w14:textId="77777777" w:rsidR="00CB19D2" w:rsidRPr="002F1713" w:rsidRDefault="00CB19D2" w:rsidP="00CB19D2">
            <w:pPr>
              <w:spacing w:line="276" w:lineRule="auto"/>
              <w:jc w:val="center"/>
              <w:rPr>
                <w:rFonts w:cs="Arial"/>
                <w:b/>
                <w:sz w:val="22"/>
                <w:szCs w:val="28"/>
                <w:lang w:eastAsia="en-GB"/>
              </w:rPr>
            </w:pPr>
            <w:r w:rsidRPr="002F1713">
              <w:rPr>
                <w:rFonts w:cs="Arial"/>
                <w:b/>
                <w:sz w:val="22"/>
                <w:szCs w:val="28"/>
                <w:lang w:eastAsia="en-GB"/>
              </w:rPr>
              <w:t>4</w:t>
            </w:r>
          </w:p>
        </w:tc>
        <w:tc>
          <w:tcPr>
            <w:tcW w:w="850" w:type="dxa"/>
            <w:tcBorders>
              <w:top w:val="single" w:sz="6" w:space="0" w:color="auto"/>
              <w:bottom w:val="single" w:sz="6" w:space="0" w:color="auto"/>
            </w:tcBorders>
            <w:shd w:val="clear" w:color="auto" w:fill="FFFF00"/>
            <w:vAlign w:val="center"/>
          </w:tcPr>
          <w:p w14:paraId="63380EAE" w14:textId="77777777" w:rsidR="00CB19D2" w:rsidRPr="002F1713" w:rsidRDefault="00CB19D2" w:rsidP="00CB19D2">
            <w:pPr>
              <w:spacing w:line="276" w:lineRule="auto"/>
              <w:jc w:val="center"/>
              <w:rPr>
                <w:rFonts w:cs="Arial"/>
                <w:b/>
                <w:sz w:val="22"/>
                <w:szCs w:val="28"/>
                <w:lang w:eastAsia="en-GB"/>
              </w:rPr>
            </w:pPr>
            <w:r w:rsidRPr="002F1713">
              <w:rPr>
                <w:rFonts w:cs="Arial"/>
                <w:b/>
                <w:sz w:val="22"/>
                <w:szCs w:val="28"/>
                <w:lang w:eastAsia="en-GB"/>
              </w:rPr>
              <w:t>8</w:t>
            </w:r>
          </w:p>
        </w:tc>
        <w:tc>
          <w:tcPr>
            <w:tcW w:w="2977" w:type="dxa"/>
            <w:tcBorders>
              <w:top w:val="single" w:sz="6" w:space="0" w:color="auto"/>
              <w:bottom w:val="single" w:sz="6" w:space="0" w:color="auto"/>
            </w:tcBorders>
          </w:tcPr>
          <w:p w14:paraId="78981089" w14:textId="569CF4E2" w:rsidR="00CB19D2" w:rsidRPr="002F1713" w:rsidRDefault="00EB788B" w:rsidP="00CB19D2">
            <w:pPr>
              <w:spacing w:line="276" w:lineRule="auto"/>
              <w:rPr>
                <w:rFonts w:cs="Arial"/>
                <w:sz w:val="18"/>
                <w:szCs w:val="22"/>
                <w:lang w:eastAsia="en-GB"/>
              </w:rPr>
            </w:pPr>
            <w:r w:rsidRPr="002F1713">
              <w:rPr>
                <w:rFonts w:cs="Arial"/>
                <w:sz w:val="18"/>
                <w:szCs w:val="22"/>
                <w:lang w:eastAsia="en-GB"/>
              </w:rPr>
              <w:t>Cooldown period after firing before handling is permitted</w:t>
            </w:r>
          </w:p>
        </w:tc>
        <w:tc>
          <w:tcPr>
            <w:tcW w:w="709" w:type="dxa"/>
            <w:tcBorders>
              <w:top w:val="single" w:sz="6" w:space="0" w:color="auto"/>
              <w:bottom w:val="single" w:sz="6" w:space="0" w:color="auto"/>
            </w:tcBorders>
            <w:vAlign w:val="center"/>
          </w:tcPr>
          <w:p w14:paraId="7CBF441D" w14:textId="5E6B6B73" w:rsidR="00CB19D2" w:rsidRPr="002F1713" w:rsidRDefault="00EB788B" w:rsidP="00CB19D2">
            <w:pPr>
              <w:spacing w:line="276" w:lineRule="auto"/>
              <w:jc w:val="center"/>
              <w:rPr>
                <w:rFonts w:cs="Arial"/>
                <w:b/>
                <w:sz w:val="22"/>
                <w:szCs w:val="28"/>
                <w:lang w:eastAsia="en-GB"/>
              </w:rPr>
            </w:pPr>
            <w:r w:rsidRPr="002F1713">
              <w:rPr>
                <w:rFonts w:cs="Arial"/>
                <w:b/>
                <w:sz w:val="22"/>
                <w:szCs w:val="28"/>
                <w:lang w:eastAsia="en-GB"/>
              </w:rPr>
              <w:t>2</w:t>
            </w:r>
          </w:p>
        </w:tc>
        <w:tc>
          <w:tcPr>
            <w:tcW w:w="708" w:type="dxa"/>
            <w:tcBorders>
              <w:top w:val="single" w:sz="6" w:space="0" w:color="auto"/>
              <w:bottom w:val="single" w:sz="6" w:space="0" w:color="auto"/>
            </w:tcBorders>
            <w:vAlign w:val="center"/>
          </w:tcPr>
          <w:p w14:paraId="50A4FF8D" w14:textId="52A67AD5" w:rsidR="00CB19D2" w:rsidRPr="002F1713" w:rsidRDefault="00EB788B" w:rsidP="00CB19D2">
            <w:pPr>
              <w:spacing w:line="276" w:lineRule="auto"/>
              <w:jc w:val="center"/>
              <w:rPr>
                <w:rFonts w:cs="Arial"/>
                <w:b/>
                <w:sz w:val="22"/>
                <w:szCs w:val="28"/>
                <w:lang w:eastAsia="en-GB"/>
              </w:rPr>
            </w:pPr>
            <w:r w:rsidRPr="002F1713">
              <w:rPr>
                <w:rFonts w:cs="Arial"/>
                <w:b/>
                <w:sz w:val="22"/>
                <w:szCs w:val="28"/>
                <w:lang w:eastAsia="en-GB"/>
              </w:rPr>
              <w:t>2</w:t>
            </w:r>
          </w:p>
        </w:tc>
        <w:tc>
          <w:tcPr>
            <w:tcW w:w="832" w:type="dxa"/>
            <w:tcBorders>
              <w:top w:val="single" w:sz="6" w:space="0" w:color="auto"/>
              <w:bottom w:val="single" w:sz="6" w:space="0" w:color="auto"/>
            </w:tcBorders>
            <w:shd w:val="clear" w:color="auto" w:fill="00FF00"/>
            <w:vAlign w:val="center"/>
          </w:tcPr>
          <w:p w14:paraId="64EC972B" w14:textId="33BF4977" w:rsidR="00CB19D2" w:rsidRPr="002F1713" w:rsidRDefault="00EB788B" w:rsidP="00CB19D2">
            <w:pPr>
              <w:spacing w:line="276" w:lineRule="auto"/>
              <w:jc w:val="center"/>
              <w:rPr>
                <w:rFonts w:cs="Arial"/>
                <w:b/>
                <w:sz w:val="22"/>
                <w:szCs w:val="28"/>
                <w:lang w:eastAsia="en-GB"/>
              </w:rPr>
            </w:pPr>
            <w:r w:rsidRPr="002F1713">
              <w:rPr>
                <w:rFonts w:cs="Arial"/>
                <w:b/>
                <w:sz w:val="22"/>
                <w:szCs w:val="28"/>
                <w:lang w:eastAsia="en-GB"/>
              </w:rPr>
              <w:t>4</w:t>
            </w:r>
          </w:p>
        </w:tc>
      </w:tr>
      <w:tr w:rsidR="002F1713" w:rsidRPr="00582D86" w14:paraId="214C63D1" w14:textId="77777777" w:rsidTr="006F45F2">
        <w:trPr>
          <w:trHeight w:val="386"/>
        </w:trPr>
        <w:tc>
          <w:tcPr>
            <w:tcW w:w="15559" w:type="dxa"/>
            <w:gridSpan w:val="10"/>
            <w:tcBorders>
              <w:top w:val="single" w:sz="6" w:space="0" w:color="auto"/>
              <w:bottom w:val="single" w:sz="6" w:space="0" w:color="auto"/>
            </w:tcBorders>
            <w:shd w:val="clear" w:color="auto" w:fill="B6DDE8" w:themeFill="accent5" w:themeFillTint="66"/>
          </w:tcPr>
          <w:p w14:paraId="020BFF43" w14:textId="13CD921F" w:rsidR="002F1713" w:rsidRPr="002F1713" w:rsidRDefault="002F1713" w:rsidP="002F1713">
            <w:pPr>
              <w:spacing w:line="276" w:lineRule="auto"/>
              <w:jc w:val="left"/>
              <w:rPr>
                <w:rFonts w:cs="Arial"/>
                <w:b/>
                <w:sz w:val="22"/>
                <w:szCs w:val="28"/>
                <w:lang w:eastAsia="en-GB"/>
              </w:rPr>
            </w:pPr>
            <w:r w:rsidRPr="002F1713">
              <w:rPr>
                <w:rFonts w:cs="Arial"/>
                <w:b/>
                <w:bCs/>
                <w:sz w:val="22"/>
                <w:szCs w:val="28"/>
                <w:lang w:eastAsia="en-GB"/>
              </w:rPr>
              <w:t>Physical Hazards</w:t>
            </w:r>
          </w:p>
        </w:tc>
      </w:tr>
      <w:tr w:rsidR="009D736E" w:rsidRPr="00582D86" w14:paraId="1126B0F8" w14:textId="77777777" w:rsidTr="00F466EF">
        <w:trPr>
          <w:trHeight w:val="386"/>
        </w:trPr>
        <w:tc>
          <w:tcPr>
            <w:tcW w:w="2253" w:type="dxa"/>
            <w:vMerge w:val="restart"/>
            <w:tcBorders>
              <w:top w:val="single" w:sz="6" w:space="0" w:color="auto"/>
            </w:tcBorders>
          </w:tcPr>
          <w:p w14:paraId="256EC851" w14:textId="77777777" w:rsidR="009D736E" w:rsidRPr="002F1713" w:rsidRDefault="009D736E" w:rsidP="00CB19D2">
            <w:pPr>
              <w:spacing w:line="276" w:lineRule="auto"/>
              <w:rPr>
                <w:rFonts w:cs="Arial"/>
                <w:sz w:val="18"/>
                <w:szCs w:val="22"/>
                <w:lang w:eastAsia="en-GB"/>
              </w:rPr>
            </w:pPr>
          </w:p>
          <w:p w14:paraId="6A368099" w14:textId="6B513518" w:rsidR="009D736E" w:rsidRPr="002F1713" w:rsidRDefault="009D736E" w:rsidP="00CB19D2">
            <w:pPr>
              <w:spacing w:line="276" w:lineRule="auto"/>
              <w:rPr>
                <w:rFonts w:cs="Arial"/>
                <w:sz w:val="18"/>
                <w:szCs w:val="22"/>
                <w:lang w:eastAsia="en-GB"/>
              </w:rPr>
            </w:pPr>
            <w:r w:rsidRPr="002F1713">
              <w:rPr>
                <w:rFonts w:cs="Arial"/>
                <w:sz w:val="18"/>
                <w:szCs w:val="22"/>
                <w:lang w:eastAsia="en-GB"/>
              </w:rPr>
              <w:t>Falling objects</w:t>
            </w:r>
          </w:p>
        </w:tc>
        <w:tc>
          <w:tcPr>
            <w:tcW w:w="2410" w:type="dxa"/>
            <w:vMerge w:val="restart"/>
            <w:tcBorders>
              <w:top w:val="single" w:sz="6" w:space="0" w:color="auto"/>
            </w:tcBorders>
          </w:tcPr>
          <w:p w14:paraId="3B34ED9D" w14:textId="77777777" w:rsidR="009D736E" w:rsidRPr="002F1713" w:rsidRDefault="009D736E" w:rsidP="00CB19D2">
            <w:pPr>
              <w:spacing w:line="276" w:lineRule="auto"/>
              <w:jc w:val="left"/>
              <w:rPr>
                <w:rFonts w:cs="Arial"/>
                <w:sz w:val="18"/>
                <w:szCs w:val="22"/>
                <w:lang w:eastAsia="en-GB"/>
              </w:rPr>
            </w:pPr>
            <w:r w:rsidRPr="002F1713">
              <w:rPr>
                <w:rFonts w:cs="Arial"/>
                <w:sz w:val="18"/>
                <w:szCs w:val="22"/>
                <w:lang w:eastAsia="en-GB"/>
              </w:rPr>
              <w:t>Those surrounding vehicle</w:t>
            </w:r>
          </w:p>
          <w:p w14:paraId="47F06817" w14:textId="788C7B5F" w:rsidR="009D736E" w:rsidRPr="002F1713" w:rsidRDefault="009D736E" w:rsidP="00EB63B0">
            <w:pPr>
              <w:spacing w:line="276" w:lineRule="auto"/>
              <w:jc w:val="left"/>
              <w:rPr>
                <w:rFonts w:cs="Arial"/>
                <w:sz w:val="18"/>
                <w:szCs w:val="22"/>
                <w:lang w:eastAsia="en-GB"/>
              </w:rPr>
            </w:pPr>
            <w:r w:rsidRPr="002F1713">
              <w:rPr>
                <w:rFonts w:cs="Arial"/>
                <w:sz w:val="18"/>
                <w:szCs w:val="22"/>
                <w:lang w:eastAsia="en-GB"/>
              </w:rPr>
              <w:t>Those surrounding vehicle</w:t>
            </w:r>
          </w:p>
        </w:tc>
        <w:tc>
          <w:tcPr>
            <w:tcW w:w="3402" w:type="dxa"/>
            <w:tcBorders>
              <w:top w:val="single" w:sz="6" w:space="0" w:color="auto"/>
              <w:bottom w:val="single" w:sz="6" w:space="0" w:color="auto"/>
            </w:tcBorders>
          </w:tcPr>
          <w:p w14:paraId="6CD61385" w14:textId="2C5BFC84" w:rsidR="009D736E" w:rsidRPr="002F1713" w:rsidRDefault="009D736E" w:rsidP="00CB19D2">
            <w:pPr>
              <w:spacing w:line="276" w:lineRule="auto"/>
              <w:jc w:val="left"/>
              <w:rPr>
                <w:rFonts w:cs="Arial"/>
                <w:bCs/>
                <w:sz w:val="18"/>
                <w:szCs w:val="22"/>
                <w:lang w:eastAsia="en-GB"/>
              </w:rPr>
            </w:pPr>
            <w:r w:rsidRPr="002F1713">
              <w:rPr>
                <w:rFonts w:cs="Arial"/>
                <w:bCs/>
                <w:sz w:val="18"/>
                <w:szCs w:val="22"/>
                <w:lang w:eastAsia="en-GB"/>
              </w:rPr>
              <w:t>Cart case ejection impacting personnel surrounding vehicle</w:t>
            </w:r>
          </w:p>
          <w:p w14:paraId="6BB7B4FF" w14:textId="77777777" w:rsidR="009D736E" w:rsidRPr="002F1713" w:rsidRDefault="009D736E" w:rsidP="00CB19D2">
            <w:pPr>
              <w:spacing w:line="276" w:lineRule="auto"/>
              <w:rPr>
                <w:rFonts w:cs="Arial"/>
                <w:bCs/>
                <w:sz w:val="18"/>
                <w:szCs w:val="22"/>
                <w:lang w:eastAsia="en-GB"/>
              </w:rPr>
            </w:pPr>
          </w:p>
        </w:tc>
        <w:tc>
          <w:tcPr>
            <w:tcW w:w="709" w:type="dxa"/>
            <w:tcBorders>
              <w:top w:val="single" w:sz="6" w:space="0" w:color="auto"/>
              <w:bottom w:val="single" w:sz="6" w:space="0" w:color="auto"/>
            </w:tcBorders>
            <w:vAlign w:val="center"/>
          </w:tcPr>
          <w:p w14:paraId="01A79932"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9" w:type="dxa"/>
            <w:tcBorders>
              <w:top w:val="single" w:sz="6" w:space="0" w:color="auto"/>
              <w:bottom w:val="single" w:sz="6" w:space="0" w:color="auto"/>
            </w:tcBorders>
            <w:vAlign w:val="center"/>
          </w:tcPr>
          <w:p w14:paraId="15ACBEB3" w14:textId="17849DD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1F1CA0F6" w14:textId="48E047E4"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6</w:t>
            </w:r>
          </w:p>
        </w:tc>
        <w:tc>
          <w:tcPr>
            <w:tcW w:w="2977" w:type="dxa"/>
            <w:tcBorders>
              <w:top w:val="single" w:sz="6" w:space="0" w:color="auto"/>
              <w:bottom w:val="single" w:sz="6" w:space="0" w:color="auto"/>
            </w:tcBorders>
          </w:tcPr>
          <w:p w14:paraId="2857CABB" w14:textId="05A66E73" w:rsidR="009D736E" w:rsidRPr="002F1713" w:rsidRDefault="009D736E" w:rsidP="00EB788B">
            <w:pPr>
              <w:spacing w:line="276" w:lineRule="auto"/>
              <w:jc w:val="left"/>
              <w:rPr>
                <w:rFonts w:cs="Arial"/>
                <w:bCs/>
                <w:sz w:val="18"/>
                <w:szCs w:val="18"/>
                <w:lang w:eastAsia="en-GB"/>
              </w:rPr>
            </w:pPr>
            <w:r w:rsidRPr="002F1713">
              <w:rPr>
                <w:rFonts w:cs="Arial"/>
                <w:bCs/>
                <w:sz w:val="18"/>
                <w:szCs w:val="18"/>
                <w:lang w:eastAsia="en-GB"/>
              </w:rPr>
              <w:t>Implement a danger zone and ensure all unnecessary personnel are outside of the radius which the case could reach upon ejection</w:t>
            </w:r>
          </w:p>
        </w:tc>
        <w:tc>
          <w:tcPr>
            <w:tcW w:w="709" w:type="dxa"/>
            <w:tcBorders>
              <w:top w:val="single" w:sz="6" w:space="0" w:color="auto"/>
              <w:bottom w:val="single" w:sz="6" w:space="0" w:color="auto"/>
            </w:tcBorders>
            <w:vAlign w:val="center"/>
          </w:tcPr>
          <w:p w14:paraId="4B094375" w14:textId="7C3D0F55"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8" w:type="dxa"/>
            <w:tcBorders>
              <w:top w:val="single" w:sz="6" w:space="0" w:color="auto"/>
              <w:bottom w:val="single" w:sz="6" w:space="0" w:color="auto"/>
            </w:tcBorders>
            <w:vAlign w:val="center"/>
          </w:tcPr>
          <w:p w14:paraId="3D6DC7B1" w14:textId="6DBCF8EC"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66FF33"/>
            <w:vAlign w:val="center"/>
          </w:tcPr>
          <w:p w14:paraId="3792ADEA" w14:textId="15DA6E9F"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r>
      <w:tr w:rsidR="009D736E" w:rsidRPr="00582D86" w14:paraId="3B669EDF" w14:textId="77777777" w:rsidTr="00F466EF">
        <w:trPr>
          <w:trHeight w:val="407"/>
        </w:trPr>
        <w:tc>
          <w:tcPr>
            <w:tcW w:w="2253" w:type="dxa"/>
            <w:vMerge/>
          </w:tcPr>
          <w:p w14:paraId="145FCE19" w14:textId="77777777" w:rsidR="009D736E" w:rsidRDefault="009D736E" w:rsidP="00CB19D2">
            <w:pPr>
              <w:pStyle w:val="ListParagraph"/>
              <w:spacing w:line="276" w:lineRule="auto"/>
              <w:rPr>
                <w:rFonts w:cs="Arial"/>
                <w:sz w:val="20"/>
                <w:lang w:eastAsia="en-GB"/>
              </w:rPr>
            </w:pPr>
          </w:p>
        </w:tc>
        <w:tc>
          <w:tcPr>
            <w:tcW w:w="2410" w:type="dxa"/>
            <w:vMerge/>
          </w:tcPr>
          <w:p w14:paraId="3A724ACE" w14:textId="2A9542EB" w:rsidR="009D736E" w:rsidRDefault="009D736E" w:rsidP="00CB19D2">
            <w:pPr>
              <w:spacing w:line="276" w:lineRule="auto"/>
              <w:jc w:val="left"/>
              <w:rPr>
                <w:rFonts w:cs="Arial"/>
                <w:sz w:val="20"/>
                <w:lang w:eastAsia="en-GB"/>
              </w:rPr>
            </w:pPr>
          </w:p>
        </w:tc>
        <w:tc>
          <w:tcPr>
            <w:tcW w:w="3402" w:type="dxa"/>
            <w:tcBorders>
              <w:top w:val="single" w:sz="6" w:space="0" w:color="auto"/>
              <w:bottom w:val="single" w:sz="6" w:space="0" w:color="auto"/>
            </w:tcBorders>
          </w:tcPr>
          <w:p w14:paraId="4DACA3BE" w14:textId="5E4D1ED4" w:rsidR="009D736E" w:rsidRPr="00EA1AF6" w:rsidRDefault="009D736E" w:rsidP="00CB19D2">
            <w:pPr>
              <w:spacing w:line="276" w:lineRule="auto"/>
              <w:jc w:val="left"/>
              <w:rPr>
                <w:rFonts w:cs="Arial"/>
                <w:bCs/>
                <w:sz w:val="20"/>
                <w:lang w:eastAsia="en-GB"/>
              </w:rPr>
            </w:pPr>
            <w:r w:rsidRPr="002F1713">
              <w:rPr>
                <w:rFonts w:cs="Arial"/>
                <w:bCs/>
                <w:sz w:val="18"/>
                <w:szCs w:val="22"/>
                <w:lang w:eastAsia="en-GB"/>
              </w:rPr>
              <w:t>Rounds dropped during the loading of the tank impacting those below</w:t>
            </w:r>
          </w:p>
        </w:tc>
        <w:tc>
          <w:tcPr>
            <w:tcW w:w="709" w:type="dxa"/>
            <w:tcBorders>
              <w:top w:val="single" w:sz="6" w:space="0" w:color="auto"/>
            </w:tcBorders>
            <w:vAlign w:val="center"/>
          </w:tcPr>
          <w:p w14:paraId="731280DE" w14:textId="3AA5C0F4"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9" w:type="dxa"/>
            <w:tcBorders>
              <w:top w:val="single" w:sz="6" w:space="0" w:color="auto"/>
            </w:tcBorders>
            <w:vAlign w:val="center"/>
          </w:tcPr>
          <w:p w14:paraId="27E6C47A" w14:textId="7DD1F56B"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tcBorders>
            <w:shd w:val="clear" w:color="auto" w:fill="FFFF00"/>
            <w:vAlign w:val="center"/>
          </w:tcPr>
          <w:p w14:paraId="5B0C51AA" w14:textId="43232FA2"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6</w:t>
            </w:r>
          </w:p>
        </w:tc>
        <w:tc>
          <w:tcPr>
            <w:tcW w:w="2977" w:type="dxa"/>
            <w:tcBorders>
              <w:top w:val="single" w:sz="6" w:space="0" w:color="auto"/>
            </w:tcBorders>
          </w:tcPr>
          <w:p w14:paraId="34355E19" w14:textId="77777777" w:rsidR="009D736E" w:rsidRPr="002F1713" w:rsidRDefault="009D736E" w:rsidP="009D736E">
            <w:pPr>
              <w:spacing w:line="276" w:lineRule="auto"/>
              <w:jc w:val="left"/>
              <w:rPr>
                <w:rFonts w:cs="Arial"/>
                <w:bCs/>
                <w:sz w:val="18"/>
                <w:szCs w:val="18"/>
                <w:lang w:eastAsia="en-GB"/>
              </w:rPr>
            </w:pPr>
            <w:r w:rsidRPr="002F1713">
              <w:rPr>
                <w:rFonts w:cs="Arial"/>
                <w:bCs/>
                <w:sz w:val="18"/>
                <w:szCs w:val="18"/>
                <w:lang w:eastAsia="en-GB"/>
              </w:rPr>
              <w:t>Crew competency training</w:t>
            </w:r>
          </w:p>
          <w:p w14:paraId="02A5BC54" w14:textId="5540D94D" w:rsidR="009D736E" w:rsidRPr="002F1713" w:rsidRDefault="009D736E" w:rsidP="009D736E">
            <w:pPr>
              <w:spacing w:line="276" w:lineRule="auto"/>
              <w:jc w:val="left"/>
              <w:rPr>
                <w:rFonts w:cs="Arial"/>
                <w:bCs/>
                <w:sz w:val="18"/>
                <w:szCs w:val="18"/>
                <w:lang w:eastAsia="en-GB"/>
              </w:rPr>
            </w:pPr>
            <w:r w:rsidRPr="002F1713">
              <w:rPr>
                <w:rFonts w:cs="Arial"/>
                <w:bCs/>
                <w:sz w:val="18"/>
                <w:szCs w:val="18"/>
                <w:lang w:eastAsia="en-GB"/>
              </w:rPr>
              <w:t>Correct PPE worn</w:t>
            </w:r>
            <w:r w:rsidR="008D0F94" w:rsidRPr="002F1713">
              <w:rPr>
                <w:rFonts w:cs="Arial"/>
                <w:bCs/>
                <w:sz w:val="18"/>
                <w:szCs w:val="18"/>
                <w:lang w:eastAsia="en-GB"/>
              </w:rPr>
              <w:t xml:space="preserve"> (steel toe caps, hard hats, hi-vis, gloves with grip)</w:t>
            </w:r>
          </w:p>
        </w:tc>
        <w:tc>
          <w:tcPr>
            <w:tcW w:w="709" w:type="dxa"/>
            <w:tcBorders>
              <w:top w:val="single" w:sz="6" w:space="0" w:color="auto"/>
            </w:tcBorders>
            <w:vAlign w:val="center"/>
          </w:tcPr>
          <w:p w14:paraId="2B36A6A1" w14:textId="5C167C5A"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708" w:type="dxa"/>
            <w:tcBorders>
              <w:top w:val="single" w:sz="6" w:space="0" w:color="auto"/>
            </w:tcBorders>
            <w:vAlign w:val="center"/>
          </w:tcPr>
          <w:p w14:paraId="6AA3263C" w14:textId="65AD7AF5"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tcBorders>
            <w:shd w:val="clear" w:color="auto" w:fill="66FF33"/>
            <w:vAlign w:val="center"/>
          </w:tcPr>
          <w:p w14:paraId="0FFEC209" w14:textId="4B530948"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4</w:t>
            </w:r>
          </w:p>
        </w:tc>
      </w:tr>
      <w:tr w:rsidR="009D736E" w:rsidRPr="00582D86" w14:paraId="4B17E1E9" w14:textId="77777777" w:rsidTr="00F466EF">
        <w:trPr>
          <w:trHeight w:val="407"/>
        </w:trPr>
        <w:tc>
          <w:tcPr>
            <w:tcW w:w="2253" w:type="dxa"/>
            <w:vMerge/>
          </w:tcPr>
          <w:p w14:paraId="45724451" w14:textId="77777777" w:rsidR="009D736E" w:rsidRDefault="009D736E" w:rsidP="00CB19D2">
            <w:pPr>
              <w:pStyle w:val="ListParagraph"/>
              <w:spacing w:line="276" w:lineRule="auto"/>
              <w:rPr>
                <w:rFonts w:cs="Arial"/>
                <w:sz w:val="20"/>
                <w:lang w:eastAsia="en-GB"/>
              </w:rPr>
            </w:pPr>
          </w:p>
        </w:tc>
        <w:tc>
          <w:tcPr>
            <w:tcW w:w="2410" w:type="dxa"/>
            <w:vMerge/>
            <w:tcBorders>
              <w:bottom w:val="single" w:sz="6" w:space="0" w:color="auto"/>
            </w:tcBorders>
          </w:tcPr>
          <w:p w14:paraId="4BB3BBD4" w14:textId="77777777" w:rsidR="009D736E" w:rsidRDefault="009D736E" w:rsidP="00CB19D2">
            <w:pPr>
              <w:spacing w:line="276" w:lineRule="auto"/>
              <w:jc w:val="left"/>
              <w:rPr>
                <w:rFonts w:cs="Arial"/>
                <w:sz w:val="20"/>
                <w:lang w:eastAsia="en-GB"/>
              </w:rPr>
            </w:pPr>
          </w:p>
        </w:tc>
        <w:tc>
          <w:tcPr>
            <w:tcW w:w="3402" w:type="dxa"/>
            <w:tcBorders>
              <w:top w:val="single" w:sz="6" w:space="0" w:color="auto"/>
              <w:bottom w:val="single" w:sz="6" w:space="0" w:color="auto"/>
            </w:tcBorders>
          </w:tcPr>
          <w:p w14:paraId="49399D24" w14:textId="24A9E102" w:rsidR="009D736E" w:rsidRDefault="009D736E" w:rsidP="00CB19D2">
            <w:pPr>
              <w:spacing w:line="276" w:lineRule="auto"/>
              <w:jc w:val="left"/>
              <w:rPr>
                <w:rFonts w:cs="Arial"/>
                <w:bCs/>
                <w:sz w:val="20"/>
                <w:lang w:eastAsia="en-GB"/>
              </w:rPr>
            </w:pPr>
            <w:r w:rsidRPr="002F1713">
              <w:rPr>
                <w:rFonts w:cs="Arial"/>
                <w:bCs/>
                <w:sz w:val="18"/>
                <w:szCs w:val="22"/>
                <w:lang w:eastAsia="en-GB"/>
              </w:rPr>
              <w:t>Rounds dropped during the loading of the tank impacting the ground and causing a detonation</w:t>
            </w:r>
          </w:p>
        </w:tc>
        <w:tc>
          <w:tcPr>
            <w:tcW w:w="709" w:type="dxa"/>
            <w:tcBorders>
              <w:bottom w:val="single" w:sz="6" w:space="0" w:color="auto"/>
            </w:tcBorders>
            <w:vAlign w:val="center"/>
          </w:tcPr>
          <w:p w14:paraId="424E41D9" w14:textId="28BC6C8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bottom w:val="single" w:sz="6" w:space="0" w:color="auto"/>
            </w:tcBorders>
            <w:vAlign w:val="center"/>
          </w:tcPr>
          <w:p w14:paraId="4F40FE85" w14:textId="5F9C2D70"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1</w:t>
            </w:r>
          </w:p>
        </w:tc>
        <w:tc>
          <w:tcPr>
            <w:tcW w:w="850" w:type="dxa"/>
            <w:tcBorders>
              <w:bottom w:val="single" w:sz="6" w:space="0" w:color="auto"/>
            </w:tcBorders>
            <w:shd w:val="clear" w:color="auto" w:fill="FFFF00"/>
            <w:vAlign w:val="center"/>
          </w:tcPr>
          <w:p w14:paraId="0B71023F" w14:textId="05881CF3"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c>
          <w:tcPr>
            <w:tcW w:w="2977" w:type="dxa"/>
            <w:tcBorders>
              <w:bottom w:val="single" w:sz="6" w:space="0" w:color="auto"/>
            </w:tcBorders>
          </w:tcPr>
          <w:p w14:paraId="2BDB595C"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Crew competency training</w:t>
            </w:r>
          </w:p>
          <w:p w14:paraId="51CF68AD"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Environmental testing on rounds to ensure the drop height would not trigger a shock to detonation transition</w:t>
            </w:r>
          </w:p>
          <w:p w14:paraId="096FDAC5" w14:textId="1CEF956F" w:rsidR="008D0F94" w:rsidRPr="002F1713" w:rsidRDefault="008D0F94" w:rsidP="009D736E">
            <w:pPr>
              <w:spacing w:line="276" w:lineRule="auto"/>
              <w:rPr>
                <w:rFonts w:cs="Arial"/>
                <w:bCs/>
                <w:sz w:val="18"/>
                <w:szCs w:val="18"/>
                <w:lang w:eastAsia="en-GB"/>
              </w:rPr>
            </w:pPr>
            <w:r w:rsidRPr="002F1713">
              <w:rPr>
                <w:rFonts w:cs="Arial"/>
                <w:bCs/>
                <w:sz w:val="18"/>
                <w:szCs w:val="18"/>
                <w:lang w:eastAsia="en-GB"/>
              </w:rPr>
              <w:t>Correct PPE worn (steel toe caps, hard hats, hi-vis, gloves with grip)</w:t>
            </w:r>
          </w:p>
        </w:tc>
        <w:tc>
          <w:tcPr>
            <w:tcW w:w="709" w:type="dxa"/>
            <w:tcBorders>
              <w:bottom w:val="single" w:sz="6" w:space="0" w:color="auto"/>
            </w:tcBorders>
            <w:vAlign w:val="center"/>
          </w:tcPr>
          <w:p w14:paraId="23286DAB" w14:textId="2429C43F"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bottom w:val="single" w:sz="6" w:space="0" w:color="auto"/>
            </w:tcBorders>
            <w:vAlign w:val="center"/>
          </w:tcPr>
          <w:p w14:paraId="6103F224" w14:textId="715A796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bottom w:val="single" w:sz="6" w:space="0" w:color="auto"/>
            </w:tcBorders>
            <w:shd w:val="clear" w:color="auto" w:fill="FFFF00"/>
            <w:vAlign w:val="center"/>
          </w:tcPr>
          <w:p w14:paraId="6F6D31AE" w14:textId="36F0606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5</w:t>
            </w:r>
          </w:p>
        </w:tc>
      </w:tr>
      <w:tr w:rsidR="009D736E" w:rsidRPr="00582D86" w14:paraId="7ABC37E9" w14:textId="77777777" w:rsidTr="00F466EF">
        <w:trPr>
          <w:trHeight w:val="386"/>
        </w:trPr>
        <w:tc>
          <w:tcPr>
            <w:tcW w:w="2253" w:type="dxa"/>
            <w:vMerge/>
          </w:tcPr>
          <w:p w14:paraId="6AE9B56A" w14:textId="77777777" w:rsidR="009D736E" w:rsidRDefault="009D736E" w:rsidP="00CB19D2">
            <w:pPr>
              <w:pStyle w:val="ListParagraph"/>
              <w:spacing w:line="276" w:lineRule="auto"/>
              <w:rPr>
                <w:rFonts w:cs="Arial"/>
                <w:sz w:val="20"/>
                <w:lang w:eastAsia="en-GB"/>
              </w:rPr>
            </w:pPr>
          </w:p>
        </w:tc>
        <w:tc>
          <w:tcPr>
            <w:tcW w:w="2410" w:type="dxa"/>
            <w:tcBorders>
              <w:top w:val="single" w:sz="6" w:space="0" w:color="auto"/>
              <w:bottom w:val="single" w:sz="6" w:space="0" w:color="auto"/>
            </w:tcBorders>
          </w:tcPr>
          <w:p w14:paraId="22E18CA2" w14:textId="463B0B08" w:rsidR="009D736E" w:rsidRPr="002F1713" w:rsidRDefault="009D736E" w:rsidP="00CB19D2">
            <w:pPr>
              <w:spacing w:line="276" w:lineRule="auto"/>
              <w:jc w:val="left"/>
              <w:rPr>
                <w:rFonts w:cs="Arial"/>
                <w:sz w:val="18"/>
                <w:szCs w:val="22"/>
                <w:lang w:eastAsia="en-GB"/>
              </w:rPr>
            </w:pPr>
            <w:r w:rsidRPr="002F1713">
              <w:rPr>
                <w:rFonts w:cs="Arial"/>
                <w:sz w:val="18"/>
                <w:szCs w:val="22"/>
                <w:lang w:eastAsia="en-GB"/>
              </w:rPr>
              <w:t>Personnel on top of vehicle</w:t>
            </w:r>
          </w:p>
        </w:tc>
        <w:tc>
          <w:tcPr>
            <w:tcW w:w="3402" w:type="dxa"/>
            <w:tcBorders>
              <w:top w:val="single" w:sz="6" w:space="0" w:color="auto"/>
              <w:bottom w:val="single" w:sz="6" w:space="0" w:color="auto"/>
            </w:tcBorders>
          </w:tcPr>
          <w:p w14:paraId="41DCF6B2" w14:textId="36034EB7" w:rsidR="009D736E" w:rsidRPr="002F1713" w:rsidRDefault="009D736E" w:rsidP="00CB19D2">
            <w:pPr>
              <w:spacing w:line="276" w:lineRule="auto"/>
              <w:jc w:val="left"/>
              <w:rPr>
                <w:rFonts w:cs="Arial"/>
                <w:bCs/>
                <w:sz w:val="18"/>
                <w:szCs w:val="22"/>
                <w:lang w:eastAsia="en-GB"/>
              </w:rPr>
            </w:pPr>
            <w:r w:rsidRPr="002F1713">
              <w:rPr>
                <w:rFonts w:cs="Arial"/>
                <w:bCs/>
                <w:sz w:val="18"/>
                <w:szCs w:val="22"/>
                <w:lang w:eastAsia="en-GB"/>
              </w:rPr>
              <w:t>People falling off vehicle and sustaining injuries (2.7m fall)</w:t>
            </w:r>
          </w:p>
        </w:tc>
        <w:tc>
          <w:tcPr>
            <w:tcW w:w="709" w:type="dxa"/>
            <w:tcBorders>
              <w:top w:val="single" w:sz="6" w:space="0" w:color="auto"/>
              <w:bottom w:val="single" w:sz="6" w:space="0" w:color="auto"/>
            </w:tcBorders>
            <w:vAlign w:val="center"/>
          </w:tcPr>
          <w:p w14:paraId="54F0EE51"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709" w:type="dxa"/>
            <w:tcBorders>
              <w:top w:val="single" w:sz="6" w:space="0" w:color="auto"/>
              <w:bottom w:val="single" w:sz="6" w:space="0" w:color="auto"/>
            </w:tcBorders>
            <w:vAlign w:val="center"/>
          </w:tcPr>
          <w:p w14:paraId="39F38998"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4EF262D6" w14:textId="77777777"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9</w:t>
            </w:r>
          </w:p>
        </w:tc>
        <w:tc>
          <w:tcPr>
            <w:tcW w:w="2977" w:type="dxa"/>
            <w:tcBorders>
              <w:top w:val="single" w:sz="6" w:space="0" w:color="auto"/>
              <w:bottom w:val="single" w:sz="6" w:space="0" w:color="auto"/>
            </w:tcBorders>
          </w:tcPr>
          <w:p w14:paraId="5926299B"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Crew competency training</w:t>
            </w:r>
          </w:p>
          <w:p w14:paraId="5F4F6D59" w14:textId="77777777"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Working at heights training</w:t>
            </w:r>
          </w:p>
          <w:p w14:paraId="43C684AF" w14:textId="4A80305D" w:rsidR="009D736E" w:rsidRPr="002F1713" w:rsidRDefault="009D736E" w:rsidP="009D736E">
            <w:pPr>
              <w:spacing w:line="276" w:lineRule="auto"/>
              <w:rPr>
                <w:rFonts w:cs="Arial"/>
                <w:bCs/>
                <w:sz w:val="18"/>
                <w:szCs w:val="18"/>
                <w:lang w:eastAsia="en-GB"/>
              </w:rPr>
            </w:pPr>
            <w:r w:rsidRPr="002F1713">
              <w:rPr>
                <w:rFonts w:cs="Arial"/>
                <w:bCs/>
                <w:sz w:val="18"/>
                <w:szCs w:val="18"/>
                <w:lang w:eastAsia="en-GB"/>
              </w:rPr>
              <w:t>Correct PPE and WAH equipment worn</w:t>
            </w:r>
            <w:r w:rsidR="008D0F94" w:rsidRPr="002F1713">
              <w:rPr>
                <w:rFonts w:cs="Arial"/>
                <w:bCs/>
                <w:sz w:val="18"/>
                <w:szCs w:val="18"/>
                <w:lang w:eastAsia="en-GB"/>
              </w:rPr>
              <w:t xml:space="preserve"> (hard hats, harnesses, hi-vis)</w:t>
            </w:r>
          </w:p>
        </w:tc>
        <w:tc>
          <w:tcPr>
            <w:tcW w:w="709" w:type="dxa"/>
            <w:tcBorders>
              <w:top w:val="single" w:sz="6" w:space="0" w:color="auto"/>
              <w:bottom w:val="single" w:sz="6" w:space="0" w:color="auto"/>
            </w:tcBorders>
            <w:vAlign w:val="center"/>
          </w:tcPr>
          <w:p w14:paraId="31DCF85B" w14:textId="2BD0D60A"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3</w:t>
            </w:r>
          </w:p>
        </w:tc>
        <w:tc>
          <w:tcPr>
            <w:tcW w:w="708" w:type="dxa"/>
            <w:tcBorders>
              <w:top w:val="single" w:sz="6" w:space="0" w:color="auto"/>
              <w:bottom w:val="single" w:sz="6" w:space="0" w:color="auto"/>
            </w:tcBorders>
            <w:vAlign w:val="center"/>
          </w:tcPr>
          <w:p w14:paraId="0530792E" w14:textId="703963D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2FA57D14" w14:textId="64B913FD" w:rsidR="009D736E" w:rsidRPr="002F1713" w:rsidRDefault="009D736E" w:rsidP="00CB19D2">
            <w:pPr>
              <w:spacing w:line="276" w:lineRule="auto"/>
              <w:jc w:val="center"/>
              <w:rPr>
                <w:rFonts w:cs="Arial"/>
                <w:b/>
                <w:sz w:val="22"/>
                <w:szCs w:val="22"/>
                <w:lang w:eastAsia="en-GB"/>
              </w:rPr>
            </w:pPr>
            <w:r w:rsidRPr="002F1713">
              <w:rPr>
                <w:rFonts w:cs="Arial"/>
                <w:b/>
                <w:sz w:val="22"/>
                <w:szCs w:val="22"/>
                <w:lang w:eastAsia="en-GB"/>
              </w:rPr>
              <w:t>6</w:t>
            </w:r>
          </w:p>
        </w:tc>
      </w:tr>
      <w:tr w:rsidR="00CB19D2" w:rsidRPr="00582D86" w14:paraId="5DC7B118" w14:textId="77777777" w:rsidTr="00FB718D">
        <w:trPr>
          <w:trHeight w:val="386"/>
        </w:trPr>
        <w:tc>
          <w:tcPr>
            <w:tcW w:w="15559" w:type="dxa"/>
            <w:gridSpan w:val="10"/>
            <w:tcBorders>
              <w:top w:val="single" w:sz="6" w:space="0" w:color="auto"/>
              <w:bottom w:val="single" w:sz="6" w:space="0" w:color="auto"/>
            </w:tcBorders>
            <w:shd w:val="clear" w:color="auto" w:fill="B6DDE8" w:themeFill="accent5" w:themeFillTint="66"/>
          </w:tcPr>
          <w:p w14:paraId="5245E0A3" w14:textId="07821728" w:rsidR="00CB19D2" w:rsidRPr="00582D86" w:rsidRDefault="00CB19D2" w:rsidP="00CB19D2">
            <w:pPr>
              <w:spacing w:line="276" w:lineRule="auto"/>
              <w:jc w:val="left"/>
              <w:rPr>
                <w:rFonts w:cs="Arial"/>
                <w:b/>
                <w:lang w:eastAsia="en-GB"/>
              </w:rPr>
            </w:pPr>
            <w:r w:rsidRPr="002F1713">
              <w:rPr>
                <w:rFonts w:cs="Arial"/>
                <w:b/>
                <w:bCs/>
                <w:sz w:val="22"/>
                <w:szCs w:val="28"/>
                <w:lang w:eastAsia="en-GB"/>
              </w:rPr>
              <w:t>Munition storage and quality</w:t>
            </w:r>
          </w:p>
        </w:tc>
      </w:tr>
      <w:tr w:rsidR="00CB19D2" w:rsidRPr="00582D86" w14:paraId="7159C5D1" w14:textId="77777777" w:rsidTr="00F466EF">
        <w:trPr>
          <w:trHeight w:val="1134"/>
        </w:trPr>
        <w:tc>
          <w:tcPr>
            <w:tcW w:w="2253" w:type="dxa"/>
            <w:tcBorders>
              <w:top w:val="single" w:sz="6" w:space="0" w:color="auto"/>
              <w:bottom w:val="single" w:sz="6" w:space="0" w:color="auto"/>
            </w:tcBorders>
          </w:tcPr>
          <w:p w14:paraId="2B2CEA6B" w14:textId="77777777" w:rsidR="00CB19D2" w:rsidRPr="002F1713" w:rsidRDefault="00CB19D2" w:rsidP="00CB19D2">
            <w:pPr>
              <w:spacing w:line="276" w:lineRule="auto"/>
              <w:rPr>
                <w:rFonts w:cs="Arial"/>
                <w:sz w:val="18"/>
                <w:szCs w:val="22"/>
                <w:lang w:eastAsia="en-GB"/>
              </w:rPr>
            </w:pPr>
          </w:p>
          <w:p w14:paraId="50E1C46D" w14:textId="37BB6560" w:rsidR="00CB19D2" w:rsidRPr="002F1713" w:rsidRDefault="00CB19D2" w:rsidP="00CB19D2">
            <w:pPr>
              <w:spacing w:line="276" w:lineRule="auto"/>
              <w:rPr>
                <w:rFonts w:cs="Arial"/>
                <w:sz w:val="18"/>
                <w:szCs w:val="22"/>
                <w:lang w:eastAsia="en-GB"/>
              </w:rPr>
            </w:pPr>
            <w:r w:rsidRPr="002F1713">
              <w:rPr>
                <w:rFonts w:cs="Arial"/>
                <w:sz w:val="18"/>
                <w:szCs w:val="22"/>
                <w:lang w:eastAsia="en-GB"/>
              </w:rPr>
              <w:t>Munition quality</w:t>
            </w:r>
          </w:p>
        </w:tc>
        <w:tc>
          <w:tcPr>
            <w:tcW w:w="2410" w:type="dxa"/>
            <w:tcBorders>
              <w:top w:val="single" w:sz="6" w:space="0" w:color="auto"/>
              <w:bottom w:val="single" w:sz="6" w:space="0" w:color="auto"/>
            </w:tcBorders>
          </w:tcPr>
          <w:p w14:paraId="00397A38" w14:textId="228BEBD2" w:rsidR="00CB19D2" w:rsidRPr="002F1713" w:rsidRDefault="008A1C1D" w:rsidP="00CB19D2">
            <w:pPr>
              <w:spacing w:line="276" w:lineRule="auto"/>
              <w:jc w:val="left"/>
              <w:rPr>
                <w:rFonts w:cs="Arial"/>
                <w:sz w:val="18"/>
                <w:szCs w:val="22"/>
                <w:lang w:eastAsia="en-GB"/>
              </w:rPr>
            </w:pPr>
            <w:r w:rsidRPr="002F1713">
              <w:rPr>
                <w:rFonts w:cs="Arial"/>
                <w:sz w:val="18"/>
                <w:szCs w:val="22"/>
                <w:lang w:eastAsia="en-GB"/>
              </w:rPr>
              <w:t>Personnel in range of vehicle</w:t>
            </w:r>
          </w:p>
        </w:tc>
        <w:tc>
          <w:tcPr>
            <w:tcW w:w="3402" w:type="dxa"/>
            <w:tcBorders>
              <w:top w:val="single" w:sz="6" w:space="0" w:color="auto"/>
              <w:bottom w:val="single" w:sz="6" w:space="0" w:color="auto"/>
            </w:tcBorders>
          </w:tcPr>
          <w:p w14:paraId="38126A0C" w14:textId="2FFD4BCE"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 xml:space="preserve">Poor munition quality from manufacturer meaning </w:t>
            </w:r>
            <w:r w:rsidR="00F24950" w:rsidRPr="002F1713">
              <w:rPr>
                <w:rFonts w:cs="Arial"/>
                <w:sz w:val="18"/>
                <w:szCs w:val="22"/>
                <w:lang w:eastAsia="en-GB"/>
              </w:rPr>
              <w:t>HE</w:t>
            </w:r>
            <w:r w:rsidRPr="002F1713">
              <w:rPr>
                <w:rFonts w:cs="Arial"/>
                <w:sz w:val="18"/>
                <w:szCs w:val="22"/>
                <w:lang w:eastAsia="en-GB"/>
              </w:rPr>
              <w:t xml:space="preserve"> </w:t>
            </w:r>
            <w:r w:rsidR="00F24950" w:rsidRPr="002F1713">
              <w:rPr>
                <w:rFonts w:cs="Arial"/>
                <w:sz w:val="18"/>
                <w:szCs w:val="22"/>
                <w:lang w:eastAsia="en-GB"/>
              </w:rPr>
              <w:t>may contain</w:t>
            </w:r>
            <w:r w:rsidRPr="002F1713">
              <w:rPr>
                <w:rFonts w:cs="Arial"/>
                <w:sz w:val="18"/>
                <w:szCs w:val="22"/>
                <w:lang w:eastAsia="en-GB"/>
              </w:rPr>
              <w:t xml:space="preserve"> large voids within</w:t>
            </w:r>
            <w:r w:rsidR="00F24950" w:rsidRPr="002F1713">
              <w:rPr>
                <w:rFonts w:cs="Arial"/>
                <w:sz w:val="18"/>
                <w:szCs w:val="22"/>
                <w:lang w:eastAsia="en-GB"/>
              </w:rPr>
              <w:t xml:space="preserve"> munitions</w:t>
            </w:r>
          </w:p>
          <w:p w14:paraId="357B0E93" w14:textId="77777777"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Munition causes barrel to detonate upon firing</w:t>
            </w:r>
          </w:p>
        </w:tc>
        <w:tc>
          <w:tcPr>
            <w:tcW w:w="709" w:type="dxa"/>
            <w:tcBorders>
              <w:top w:val="single" w:sz="6" w:space="0" w:color="auto"/>
              <w:bottom w:val="single" w:sz="6" w:space="0" w:color="auto"/>
            </w:tcBorders>
            <w:vAlign w:val="center"/>
          </w:tcPr>
          <w:p w14:paraId="4CEAF8D0"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6D58347A"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6BE22241"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5D491438" w14:textId="13D4B517" w:rsidR="008A1C1D" w:rsidRPr="002F1713" w:rsidRDefault="008A1C1D" w:rsidP="008A1C1D">
            <w:pPr>
              <w:spacing w:line="276" w:lineRule="auto"/>
              <w:rPr>
                <w:rFonts w:cs="Arial"/>
                <w:sz w:val="18"/>
                <w:szCs w:val="22"/>
                <w:lang w:eastAsia="en-GB"/>
              </w:rPr>
            </w:pPr>
            <w:r w:rsidRPr="002F1713">
              <w:rPr>
                <w:rFonts w:cs="Arial"/>
                <w:sz w:val="18"/>
                <w:szCs w:val="22"/>
                <w:lang w:eastAsia="en-GB"/>
              </w:rPr>
              <w:t>Quality control (such as x-rays) before munitions leave the manufacturer</w:t>
            </w:r>
          </w:p>
        </w:tc>
        <w:tc>
          <w:tcPr>
            <w:tcW w:w="709" w:type="dxa"/>
            <w:tcBorders>
              <w:top w:val="single" w:sz="6" w:space="0" w:color="auto"/>
              <w:bottom w:val="single" w:sz="6" w:space="0" w:color="auto"/>
            </w:tcBorders>
            <w:vAlign w:val="center"/>
          </w:tcPr>
          <w:p w14:paraId="579984E1" w14:textId="6233E961" w:rsidR="00CB19D2" w:rsidRPr="002F1713" w:rsidRDefault="008A1C1D" w:rsidP="008A1C1D">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378B9217" w14:textId="7C8D06A6"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00705AD8" w14:textId="49451B65"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6EDCABA7" w14:textId="77777777" w:rsidTr="00F466EF">
        <w:trPr>
          <w:trHeight w:val="1134"/>
        </w:trPr>
        <w:tc>
          <w:tcPr>
            <w:tcW w:w="2253" w:type="dxa"/>
            <w:vMerge w:val="restart"/>
            <w:tcBorders>
              <w:top w:val="single" w:sz="6" w:space="0" w:color="auto"/>
            </w:tcBorders>
          </w:tcPr>
          <w:p w14:paraId="620A195E" w14:textId="77777777" w:rsidR="00CB19D2" w:rsidRPr="002F1713" w:rsidRDefault="00CB19D2" w:rsidP="00CB19D2">
            <w:pPr>
              <w:spacing w:line="276" w:lineRule="auto"/>
              <w:rPr>
                <w:rFonts w:cs="Arial"/>
                <w:sz w:val="18"/>
                <w:szCs w:val="22"/>
                <w:lang w:eastAsia="en-GB"/>
              </w:rPr>
            </w:pPr>
          </w:p>
          <w:p w14:paraId="1C06C95B" w14:textId="7529DCD7" w:rsidR="00CB19D2" w:rsidRPr="002F1713" w:rsidRDefault="00CB19D2" w:rsidP="00CB19D2">
            <w:pPr>
              <w:spacing w:line="276" w:lineRule="auto"/>
              <w:rPr>
                <w:rFonts w:cs="Arial"/>
                <w:sz w:val="18"/>
                <w:szCs w:val="22"/>
                <w:lang w:eastAsia="en-GB"/>
              </w:rPr>
            </w:pPr>
            <w:r w:rsidRPr="002F1713">
              <w:rPr>
                <w:rFonts w:cs="Arial"/>
                <w:sz w:val="18"/>
                <w:szCs w:val="22"/>
                <w:lang w:eastAsia="en-GB"/>
              </w:rPr>
              <w:t>Munition storage</w:t>
            </w:r>
          </w:p>
        </w:tc>
        <w:tc>
          <w:tcPr>
            <w:tcW w:w="2410" w:type="dxa"/>
            <w:tcBorders>
              <w:top w:val="single" w:sz="6" w:space="0" w:color="auto"/>
              <w:bottom w:val="single" w:sz="6" w:space="0" w:color="auto"/>
            </w:tcBorders>
          </w:tcPr>
          <w:p w14:paraId="4B6772C3" w14:textId="43F1DBF7" w:rsidR="00CB19D2" w:rsidRPr="002F1713" w:rsidRDefault="008A1C1D" w:rsidP="00CB19D2">
            <w:pPr>
              <w:spacing w:line="276" w:lineRule="auto"/>
              <w:jc w:val="left"/>
              <w:rPr>
                <w:rFonts w:cs="Arial"/>
                <w:sz w:val="18"/>
                <w:szCs w:val="22"/>
                <w:lang w:eastAsia="en-GB"/>
              </w:rPr>
            </w:pPr>
            <w:r w:rsidRPr="002F1713">
              <w:rPr>
                <w:rFonts w:cs="Arial"/>
                <w:sz w:val="18"/>
                <w:szCs w:val="22"/>
                <w:lang w:eastAsia="en-GB"/>
              </w:rPr>
              <w:t>Personnel handling the munition at any stage of its life-cycle</w:t>
            </w:r>
          </w:p>
        </w:tc>
        <w:tc>
          <w:tcPr>
            <w:tcW w:w="3402" w:type="dxa"/>
            <w:tcBorders>
              <w:top w:val="single" w:sz="6" w:space="0" w:color="auto"/>
              <w:bottom w:val="single" w:sz="6" w:space="0" w:color="auto"/>
            </w:tcBorders>
          </w:tcPr>
          <w:p w14:paraId="5AAA8059" w14:textId="3B9EDB24"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 xml:space="preserve">Degradation of munition due to poor storage </w:t>
            </w:r>
            <w:r w:rsidR="008A1C1D" w:rsidRPr="002F1713">
              <w:rPr>
                <w:rFonts w:cs="Arial"/>
                <w:sz w:val="18"/>
                <w:szCs w:val="22"/>
                <w:lang w:eastAsia="en-GB"/>
              </w:rPr>
              <w:t>causing nitrocellulose breakdown increasing munition sensitiveness</w:t>
            </w:r>
          </w:p>
          <w:p w14:paraId="5A0ACA8B" w14:textId="352E5C1D" w:rsidR="00CB19D2" w:rsidRPr="002F1713" w:rsidRDefault="008A1C1D" w:rsidP="008A1C1D">
            <w:pPr>
              <w:spacing w:line="276" w:lineRule="auto"/>
              <w:jc w:val="left"/>
              <w:rPr>
                <w:rFonts w:cs="Arial"/>
                <w:sz w:val="18"/>
                <w:szCs w:val="22"/>
                <w:lang w:eastAsia="en-GB"/>
              </w:rPr>
            </w:pPr>
            <w:r w:rsidRPr="002F1713">
              <w:rPr>
                <w:rFonts w:cs="Arial"/>
                <w:sz w:val="18"/>
                <w:szCs w:val="22"/>
                <w:lang w:eastAsia="en-GB"/>
              </w:rPr>
              <w:lastRenderedPageBreak/>
              <w:t>Could cause i</w:t>
            </w:r>
            <w:r w:rsidR="00F24950" w:rsidRPr="002F1713">
              <w:rPr>
                <w:rFonts w:cs="Arial"/>
                <w:sz w:val="18"/>
                <w:szCs w:val="22"/>
                <w:lang w:eastAsia="en-GB"/>
              </w:rPr>
              <w:t>nadvertent</w:t>
            </w:r>
            <w:r w:rsidR="00CB19D2" w:rsidRPr="002F1713">
              <w:rPr>
                <w:rFonts w:cs="Arial"/>
                <w:sz w:val="18"/>
                <w:szCs w:val="22"/>
                <w:lang w:eastAsia="en-GB"/>
              </w:rPr>
              <w:t xml:space="preserve"> miss fire</w:t>
            </w:r>
            <w:r w:rsidRPr="002F1713">
              <w:rPr>
                <w:rFonts w:cs="Arial"/>
                <w:sz w:val="18"/>
                <w:szCs w:val="22"/>
                <w:lang w:eastAsia="en-GB"/>
              </w:rPr>
              <w:t>s or premature detonations</w:t>
            </w:r>
          </w:p>
        </w:tc>
        <w:tc>
          <w:tcPr>
            <w:tcW w:w="709" w:type="dxa"/>
            <w:tcBorders>
              <w:top w:val="single" w:sz="6" w:space="0" w:color="auto"/>
              <w:bottom w:val="single" w:sz="6" w:space="0" w:color="auto"/>
            </w:tcBorders>
            <w:vAlign w:val="center"/>
          </w:tcPr>
          <w:p w14:paraId="6B092C22"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lastRenderedPageBreak/>
              <w:t>5</w:t>
            </w:r>
          </w:p>
        </w:tc>
        <w:tc>
          <w:tcPr>
            <w:tcW w:w="709" w:type="dxa"/>
            <w:tcBorders>
              <w:top w:val="single" w:sz="6" w:space="0" w:color="auto"/>
              <w:bottom w:val="single" w:sz="6" w:space="0" w:color="auto"/>
            </w:tcBorders>
            <w:vAlign w:val="center"/>
          </w:tcPr>
          <w:p w14:paraId="59EEF4EF"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3F3753E9"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138611EF" w14:textId="77777777" w:rsidR="00CB19D2" w:rsidRPr="002F1713" w:rsidRDefault="008A1C1D" w:rsidP="00CB19D2">
            <w:pPr>
              <w:spacing w:line="276" w:lineRule="auto"/>
              <w:rPr>
                <w:rFonts w:cs="Arial"/>
                <w:sz w:val="18"/>
                <w:szCs w:val="22"/>
                <w:lang w:eastAsia="en-GB"/>
              </w:rPr>
            </w:pPr>
            <w:r w:rsidRPr="002F1713">
              <w:rPr>
                <w:rFonts w:cs="Arial"/>
                <w:sz w:val="18"/>
                <w:szCs w:val="22"/>
                <w:lang w:eastAsia="en-GB"/>
              </w:rPr>
              <w:t>Quality control before munitions leave storage</w:t>
            </w:r>
          </w:p>
          <w:p w14:paraId="489AD860" w14:textId="7FE07420" w:rsidR="008A1C1D" w:rsidRPr="002F1713" w:rsidRDefault="008A1C1D" w:rsidP="00CB19D2">
            <w:pPr>
              <w:spacing w:line="276" w:lineRule="auto"/>
              <w:rPr>
                <w:rFonts w:cs="Arial"/>
                <w:sz w:val="18"/>
                <w:szCs w:val="22"/>
                <w:lang w:eastAsia="en-GB"/>
              </w:rPr>
            </w:pPr>
            <w:r w:rsidRPr="002F1713">
              <w:rPr>
                <w:rFonts w:cs="Arial"/>
                <w:sz w:val="18"/>
                <w:szCs w:val="22"/>
                <w:lang w:eastAsia="en-GB"/>
              </w:rPr>
              <w:t>Maximum storage life</w:t>
            </w:r>
          </w:p>
        </w:tc>
        <w:tc>
          <w:tcPr>
            <w:tcW w:w="709" w:type="dxa"/>
            <w:tcBorders>
              <w:top w:val="single" w:sz="6" w:space="0" w:color="auto"/>
              <w:bottom w:val="single" w:sz="6" w:space="0" w:color="auto"/>
            </w:tcBorders>
            <w:vAlign w:val="center"/>
          </w:tcPr>
          <w:p w14:paraId="776BC6B2" w14:textId="60D3DA06"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7CB2831C" w14:textId="3A5FEF52"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675CD177" w14:textId="0D6D0026"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520C25B8" w14:textId="77777777" w:rsidTr="00F466EF">
        <w:trPr>
          <w:trHeight w:val="1134"/>
        </w:trPr>
        <w:tc>
          <w:tcPr>
            <w:tcW w:w="2253" w:type="dxa"/>
            <w:vMerge/>
            <w:tcBorders>
              <w:bottom w:val="single" w:sz="6" w:space="0" w:color="auto"/>
            </w:tcBorders>
          </w:tcPr>
          <w:p w14:paraId="22B21550" w14:textId="77777777" w:rsidR="00CB19D2" w:rsidRPr="002F1713" w:rsidRDefault="00CB19D2" w:rsidP="00CB19D2">
            <w:pPr>
              <w:pStyle w:val="ListParagraph"/>
              <w:numPr>
                <w:ilvl w:val="0"/>
                <w:numId w:val="34"/>
              </w:num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24E86A6B" w14:textId="4AFFBEDB" w:rsidR="00CB19D2" w:rsidRPr="002F1713" w:rsidRDefault="008A1C1D" w:rsidP="00CB19D2">
            <w:pPr>
              <w:spacing w:line="276" w:lineRule="auto"/>
              <w:jc w:val="left"/>
              <w:rPr>
                <w:rFonts w:cs="Arial"/>
                <w:sz w:val="18"/>
                <w:szCs w:val="22"/>
                <w:lang w:eastAsia="en-GB"/>
              </w:rPr>
            </w:pPr>
            <w:r w:rsidRPr="002F1713">
              <w:rPr>
                <w:rFonts w:cs="Arial"/>
                <w:sz w:val="18"/>
                <w:szCs w:val="22"/>
                <w:lang w:eastAsia="en-GB"/>
              </w:rPr>
              <w:t>Personnel in range of vehicle</w:t>
            </w:r>
          </w:p>
        </w:tc>
        <w:tc>
          <w:tcPr>
            <w:tcW w:w="3402" w:type="dxa"/>
            <w:tcBorders>
              <w:top w:val="single" w:sz="6" w:space="0" w:color="auto"/>
              <w:bottom w:val="single" w:sz="6" w:space="0" w:color="auto"/>
            </w:tcBorders>
          </w:tcPr>
          <w:p w14:paraId="034741DF" w14:textId="77777777" w:rsidR="00CB19D2" w:rsidRPr="002F1713" w:rsidRDefault="00CB19D2" w:rsidP="00CB19D2">
            <w:pPr>
              <w:spacing w:line="276" w:lineRule="auto"/>
              <w:jc w:val="left"/>
              <w:rPr>
                <w:rFonts w:cs="Arial"/>
                <w:sz w:val="18"/>
                <w:szCs w:val="22"/>
                <w:lang w:eastAsia="en-GB"/>
              </w:rPr>
            </w:pPr>
            <w:r w:rsidRPr="002F1713">
              <w:rPr>
                <w:rFonts w:cs="Arial"/>
                <w:sz w:val="18"/>
                <w:szCs w:val="22"/>
                <w:lang w:eastAsia="en-GB"/>
              </w:rPr>
              <w:t>Diurnal cycling of fill causing in bore detonation</w:t>
            </w:r>
          </w:p>
        </w:tc>
        <w:tc>
          <w:tcPr>
            <w:tcW w:w="709" w:type="dxa"/>
            <w:tcBorders>
              <w:top w:val="single" w:sz="6" w:space="0" w:color="auto"/>
              <w:bottom w:val="single" w:sz="6" w:space="0" w:color="auto"/>
            </w:tcBorders>
            <w:vAlign w:val="center"/>
          </w:tcPr>
          <w:p w14:paraId="5FB6C7ED"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0220A69F"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39A4CBDF"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022E0701" w14:textId="3BB90736" w:rsidR="00CB19D2" w:rsidRPr="00582D86" w:rsidRDefault="008A1C1D" w:rsidP="00CB19D2">
            <w:pPr>
              <w:spacing w:line="276" w:lineRule="auto"/>
              <w:rPr>
                <w:rFonts w:cs="Arial"/>
                <w:sz w:val="20"/>
                <w:lang w:eastAsia="en-GB"/>
              </w:rPr>
            </w:pPr>
            <w:r w:rsidRPr="002F1713">
              <w:rPr>
                <w:rFonts w:cs="Arial"/>
                <w:sz w:val="18"/>
                <w:szCs w:val="22"/>
                <w:lang w:eastAsia="en-GB"/>
              </w:rPr>
              <w:t>Temperature controlled storage facilities</w:t>
            </w:r>
          </w:p>
        </w:tc>
        <w:tc>
          <w:tcPr>
            <w:tcW w:w="709" w:type="dxa"/>
            <w:tcBorders>
              <w:top w:val="single" w:sz="6" w:space="0" w:color="auto"/>
              <w:bottom w:val="single" w:sz="6" w:space="0" w:color="auto"/>
            </w:tcBorders>
            <w:vAlign w:val="center"/>
          </w:tcPr>
          <w:p w14:paraId="3ACF6570" w14:textId="44567650"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41735CBF" w14:textId="4405B0C8"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01B9DAD1" w14:textId="295BBAB4"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0261F94D" w14:textId="77777777" w:rsidTr="00F466EF">
        <w:trPr>
          <w:trHeight w:val="1134"/>
        </w:trPr>
        <w:tc>
          <w:tcPr>
            <w:tcW w:w="2253" w:type="dxa"/>
            <w:tcBorders>
              <w:top w:val="single" w:sz="6" w:space="0" w:color="auto"/>
              <w:bottom w:val="single" w:sz="6" w:space="0" w:color="auto"/>
            </w:tcBorders>
          </w:tcPr>
          <w:p w14:paraId="370FDA9D" w14:textId="77777777" w:rsidR="00CB19D2" w:rsidRPr="00975FC9" w:rsidRDefault="00CB19D2" w:rsidP="00CB19D2">
            <w:p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7642908C" w14:textId="77777777" w:rsidR="00CB19D2" w:rsidRPr="00582D86" w:rsidRDefault="00CB19D2" w:rsidP="00CB19D2">
            <w:pPr>
              <w:spacing w:line="276" w:lineRule="auto"/>
              <w:jc w:val="left"/>
              <w:rPr>
                <w:rFonts w:cs="Arial"/>
                <w:sz w:val="20"/>
                <w:lang w:eastAsia="en-GB"/>
              </w:rPr>
            </w:pPr>
          </w:p>
        </w:tc>
        <w:tc>
          <w:tcPr>
            <w:tcW w:w="3402" w:type="dxa"/>
            <w:tcBorders>
              <w:top w:val="single" w:sz="6" w:space="0" w:color="auto"/>
              <w:bottom w:val="single" w:sz="6" w:space="0" w:color="auto"/>
            </w:tcBorders>
          </w:tcPr>
          <w:p w14:paraId="72B0510E" w14:textId="0996150A" w:rsidR="00CB19D2" w:rsidRDefault="00CB19D2" w:rsidP="00CB19D2">
            <w:pPr>
              <w:spacing w:line="276" w:lineRule="auto"/>
              <w:jc w:val="left"/>
              <w:rPr>
                <w:rFonts w:cs="Arial"/>
                <w:sz w:val="20"/>
                <w:lang w:eastAsia="en-GB"/>
              </w:rPr>
            </w:pPr>
            <w:r w:rsidRPr="002F1713">
              <w:rPr>
                <w:rFonts w:cs="Arial"/>
                <w:sz w:val="18"/>
                <w:szCs w:val="22"/>
                <w:lang w:eastAsia="en-GB"/>
              </w:rPr>
              <w:t xml:space="preserve">Shock and impact from vehicle and handling causing cracking of HE </w:t>
            </w:r>
            <w:r w:rsidR="0097058B" w:rsidRPr="002F1713">
              <w:rPr>
                <w:rFonts w:cs="Arial"/>
                <w:sz w:val="18"/>
                <w:szCs w:val="22"/>
                <w:lang w:eastAsia="en-GB"/>
              </w:rPr>
              <w:t xml:space="preserve">fill, </w:t>
            </w:r>
            <w:r w:rsidRPr="002F1713">
              <w:rPr>
                <w:rFonts w:cs="Arial"/>
                <w:sz w:val="18"/>
                <w:szCs w:val="22"/>
                <w:lang w:eastAsia="en-GB"/>
              </w:rPr>
              <w:t xml:space="preserve">leading to adiabatic heating on firing </w:t>
            </w:r>
            <w:r w:rsidR="008A1C1D" w:rsidRPr="002F1713">
              <w:rPr>
                <w:rFonts w:cs="Arial"/>
                <w:sz w:val="18"/>
                <w:szCs w:val="22"/>
                <w:lang w:eastAsia="en-GB"/>
              </w:rPr>
              <w:t>and therefore</w:t>
            </w:r>
            <w:r w:rsidRPr="002F1713">
              <w:rPr>
                <w:rFonts w:cs="Arial"/>
                <w:sz w:val="18"/>
                <w:szCs w:val="22"/>
                <w:lang w:eastAsia="en-GB"/>
              </w:rPr>
              <w:t xml:space="preserve"> in</w:t>
            </w:r>
            <w:r w:rsidR="0097058B" w:rsidRPr="002F1713">
              <w:rPr>
                <w:rFonts w:cs="Arial"/>
                <w:sz w:val="18"/>
                <w:szCs w:val="22"/>
                <w:lang w:eastAsia="en-GB"/>
              </w:rPr>
              <w:t>-</w:t>
            </w:r>
            <w:r w:rsidRPr="002F1713">
              <w:rPr>
                <w:rFonts w:cs="Arial"/>
                <w:sz w:val="18"/>
                <w:szCs w:val="22"/>
                <w:lang w:eastAsia="en-GB"/>
              </w:rPr>
              <w:t>bore explosion</w:t>
            </w:r>
          </w:p>
        </w:tc>
        <w:tc>
          <w:tcPr>
            <w:tcW w:w="709" w:type="dxa"/>
            <w:tcBorders>
              <w:top w:val="single" w:sz="6" w:space="0" w:color="auto"/>
              <w:bottom w:val="single" w:sz="6" w:space="0" w:color="auto"/>
            </w:tcBorders>
            <w:vAlign w:val="center"/>
          </w:tcPr>
          <w:p w14:paraId="71226C36"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509E43A2"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2</w:t>
            </w:r>
          </w:p>
        </w:tc>
        <w:tc>
          <w:tcPr>
            <w:tcW w:w="850" w:type="dxa"/>
            <w:tcBorders>
              <w:top w:val="single" w:sz="6" w:space="0" w:color="auto"/>
              <w:bottom w:val="single" w:sz="6" w:space="0" w:color="auto"/>
            </w:tcBorders>
            <w:shd w:val="clear" w:color="auto" w:fill="FFFF00"/>
            <w:vAlign w:val="center"/>
          </w:tcPr>
          <w:p w14:paraId="62958CF8" w14:textId="77777777" w:rsidR="00CB19D2" w:rsidRPr="002F1713" w:rsidRDefault="00CB19D2" w:rsidP="00CB19D2">
            <w:pPr>
              <w:spacing w:line="276" w:lineRule="auto"/>
              <w:jc w:val="center"/>
              <w:rPr>
                <w:rFonts w:cs="Arial"/>
                <w:b/>
                <w:sz w:val="22"/>
                <w:szCs w:val="22"/>
                <w:lang w:eastAsia="en-GB"/>
              </w:rPr>
            </w:pPr>
            <w:r w:rsidRPr="002F1713">
              <w:rPr>
                <w:rFonts w:cs="Arial"/>
                <w:b/>
                <w:sz w:val="22"/>
                <w:szCs w:val="22"/>
                <w:lang w:eastAsia="en-GB"/>
              </w:rPr>
              <w:t>10</w:t>
            </w:r>
          </w:p>
        </w:tc>
        <w:tc>
          <w:tcPr>
            <w:tcW w:w="2977" w:type="dxa"/>
            <w:tcBorders>
              <w:top w:val="single" w:sz="6" w:space="0" w:color="auto"/>
              <w:bottom w:val="single" w:sz="6" w:space="0" w:color="auto"/>
            </w:tcBorders>
          </w:tcPr>
          <w:p w14:paraId="037F0BD7" w14:textId="77777777" w:rsidR="00CB19D2" w:rsidRPr="002F1713" w:rsidRDefault="008A1C1D" w:rsidP="00CB19D2">
            <w:pPr>
              <w:spacing w:line="276" w:lineRule="auto"/>
              <w:rPr>
                <w:rFonts w:cs="Arial"/>
                <w:sz w:val="18"/>
                <w:szCs w:val="22"/>
                <w:lang w:eastAsia="en-GB"/>
              </w:rPr>
            </w:pPr>
            <w:r w:rsidRPr="002F1713">
              <w:rPr>
                <w:rFonts w:cs="Arial"/>
                <w:sz w:val="18"/>
                <w:szCs w:val="22"/>
                <w:lang w:eastAsia="en-GB"/>
              </w:rPr>
              <w:t>Munition environmentally tested to ensure it can withstand the appropriate conditions</w:t>
            </w:r>
          </w:p>
          <w:p w14:paraId="1E4DEE3F" w14:textId="49906FF6" w:rsidR="008A1C1D" w:rsidRPr="00582D86" w:rsidRDefault="008A1C1D" w:rsidP="00CB19D2">
            <w:pPr>
              <w:spacing w:line="276" w:lineRule="auto"/>
              <w:rPr>
                <w:rFonts w:cs="Arial"/>
                <w:sz w:val="20"/>
                <w:lang w:eastAsia="en-GB"/>
              </w:rPr>
            </w:pPr>
            <w:r w:rsidRPr="002F1713">
              <w:rPr>
                <w:rFonts w:cs="Arial"/>
                <w:sz w:val="18"/>
                <w:szCs w:val="22"/>
                <w:lang w:eastAsia="en-GB"/>
              </w:rPr>
              <w:t>Crew competency training and suitable equipment for handling</w:t>
            </w:r>
          </w:p>
        </w:tc>
        <w:tc>
          <w:tcPr>
            <w:tcW w:w="709" w:type="dxa"/>
            <w:tcBorders>
              <w:top w:val="single" w:sz="6" w:space="0" w:color="auto"/>
              <w:bottom w:val="single" w:sz="6" w:space="0" w:color="auto"/>
            </w:tcBorders>
            <w:vAlign w:val="center"/>
          </w:tcPr>
          <w:p w14:paraId="2EB9ACCC" w14:textId="3BFE3CCC"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2426D3A5" w14:textId="236F3447"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FFFF00"/>
            <w:vAlign w:val="center"/>
          </w:tcPr>
          <w:p w14:paraId="00922A00" w14:textId="7C355D48" w:rsidR="00CB19D2" w:rsidRPr="002F1713" w:rsidRDefault="008A1C1D" w:rsidP="00CB19D2">
            <w:pPr>
              <w:spacing w:line="276" w:lineRule="auto"/>
              <w:jc w:val="center"/>
              <w:rPr>
                <w:rFonts w:cs="Arial"/>
                <w:b/>
                <w:sz w:val="22"/>
                <w:szCs w:val="22"/>
                <w:lang w:eastAsia="en-GB"/>
              </w:rPr>
            </w:pPr>
            <w:r w:rsidRPr="002F1713">
              <w:rPr>
                <w:rFonts w:cs="Arial"/>
                <w:b/>
                <w:sz w:val="22"/>
                <w:szCs w:val="22"/>
                <w:lang w:eastAsia="en-GB"/>
              </w:rPr>
              <w:t>5</w:t>
            </w:r>
          </w:p>
        </w:tc>
      </w:tr>
      <w:tr w:rsidR="00CB19D2" w:rsidRPr="00582D86" w14:paraId="1F59767B" w14:textId="77777777" w:rsidTr="00A50223">
        <w:trPr>
          <w:trHeight w:val="277"/>
        </w:trPr>
        <w:tc>
          <w:tcPr>
            <w:tcW w:w="15559" w:type="dxa"/>
            <w:gridSpan w:val="10"/>
            <w:tcBorders>
              <w:top w:val="single" w:sz="6" w:space="0" w:color="auto"/>
              <w:bottom w:val="single" w:sz="6" w:space="0" w:color="auto"/>
            </w:tcBorders>
            <w:shd w:val="clear" w:color="auto" w:fill="B6DDE8" w:themeFill="accent5" w:themeFillTint="66"/>
          </w:tcPr>
          <w:p w14:paraId="07067F97" w14:textId="3006382F" w:rsidR="00CB19D2" w:rsidRDefault="00CB19D2" w:rsidP="00CB19D2">
            <w:pPr>
              <w:spacing w:line="276" w:lineRule="auto"/>
              <w:jc w:val="left"/>
              <w:rPr>
                <w:rFonts w:cs="Arial"/>
                <w:b/>
                <w:lang w:eastAsia="en-GB"/>
              </w:rPr>
            </w:pPr>
            <w:r w:rsidRPr="002F1713">
              <w:rPr>
                <w:rFonts w:cs="Arial"/>
                <w:b/>
                <w:bCs/>
                <w:sz w:val="22"/>
                <w:szCs w:val="28"/>
                <w:lang w:eastAsia="en-GB"/>
              </w:rPr>
              <w:t>Chemical Hazards</w:t>
            </w:r>
          </w:p>
        </w:tc>
      </w:tr>
      <w:tr w:rsidR="008A1C1D" w:rsidRPr="00582D86" w14:paraId="3243B5FE" w14:textId="77777777" w:rsidTr="00296CD3">
        <w:trPr>
          <w:trHeight w:val="1134"/>
        </w:trPr>
        <w:tc>
          <w:tcPr>
            <w:tcW w:w="2253" w:type="dxa"/>
            <w:vMerge w:val="restart"/>
            <w:tcBorders>
              <w:top w:val="single" w:sz="6" w:space="0" w:color="auto"/>
            </w:tcBorders>
          </w:tcPr>
          <w:p w14:paraId="12DDA96A" w14:textId="77777777" w:rsidR="008A1C1D" w:rsidRPr="002F1713" w:rsidRDefault="008A1C1D" w:rsidP="008A1C1D">
            <w:pPr>
              <w:spacing w:before="0" w:line="276" w:lineRule="auto"/>
              <w:jc w:val="left"/>
              <w:rPr>
                <w:rFonts w:cs="Arial"/>
                <w:sz w:val="18"/>
                <w:szCs w:val="22"/>
                <w:lang w:eastAsia="en-GB"/>
              </w:rPr>
            </w:pPr>
          </w:p>
          <w:p w14:paraId="0A64DDBD" w14:textId="77777777" w:rsidR="008A1C1D" w:rsidRPr="002F1713" w:rsidRDefault="008A1C1D" w:rsidP="008A1C1D">
            <w:pPr>
              <w:spacing w:before="0" w:line="276" w:lineRule="auto"/>
              <w:jc w:val="left"/>
              <w:rPr>
                <w:rFonts w:cs="Arial"/>
                <w:sz w:val="18"/>
                <w:szCs w:val="22"/>
                <w:lang w:eastAsia="en-GB"/>
              </w:rPr>
            </w:pPr>
          </w:p>
          <w:p w14:paraId="46231706" w14:textId="387C0F54" w:rsidR="008A1C1D" w:rsidRPr="002F1713" w:rsidRDefault="008A1C1D" w:rsidP="008A1C1D">
            <w:pPr>
              <w:spacing w:before="0" w:line="276" w:lineRule="auto"/>
              <w:jc w:val="left"/>
              <w:rPr>
                <w:rFonts w:cs="Arial"/>
                <w:sz w:val="18"/>
                <w:szCs w:val="22"/>
                <w:lang w:eastAsia="en-GB"/>
              </w:rPr>
            </w:pPr>
            <w:r w:rsidRPr="002F1713">
              <w:rPr>
                <w:rFonts w:cs="Arial"/>
                <w:sz w:val="18"/>
                <w:szCs w:val="22"/>
                <w:lang w:eastAsia="en-GB"/>
              </w:rPr>
              <w:t>Toxicity</w:t>
            </w:r>
          </w:p>
        </w:tc>
        <w:tc>
          <w:tcPr>
            <w:tcW w:w="2410" w:type="dxa"/>
            <w:tcBorders>
              <w:top w:val="single" w:sz="6" w:space="0" w:color="auto"/>
              <w:bottom w:val="single" w:sz="6" w:space="0" w:color="auto"/>
            </w:tcBorders>
          </w:tcPr>
          <w:p w14:paraId="4B370B19" w14:textId="175B9EC5" w:rsidR="008A1C1D" w:rsidRPr="002F1713" w:rsidRDefault="008A1C1D" w:rsidP="008A1C1D">
            <w:pPr>
              <w:spacing w:line="276" w:lineRule="auto"/>
              <w:jc w:val="left"/>
              <w:rPr>
                <w:rFonts w:cs="Arial"/>
                <w:sz w:val="18"/>
                <w:szCs w:val="22"/>
                <w:lang w:eastAsia="en-GB"/>
              </w:rPr>
            </w:pPr>
            <w:r w:rsidRPr="002F1713">
              <w:rPr>
                <w:rFonts w:cs="Arial"/>
                <w:sz w:val="18"/>
                <w:szCs w:val="22"/>
                <w:lang w:eastAsia="en-GB"/>
              </w:rPr>
              <w:t>Tank crew and people within immediate vicinity</w:t>
            </w:r>
          </w:p>
        </w:tc>
        <w:tc>
          <w:tcPr>
            <w:tcW w:w="3402" w:type="dxa"/>
            <w:tcBorders>
              <w:top w:val="single" w:sz="6" w:space="0" w:color="auto"/>
              <w:bottom w:val="single" w:sz="6" w:space="0" w:color="auto"/>
            </w:tcBorders>
          </w:tcPr>
          <w:p w14:paraId="19B18C03" w14:textId="1E2FA89B" w:rsidR="003034EF" w:rsidRPr="002F1713" w:rsidRDefault="008A1C1D" w:rsidP="00296CD3">
            <w:pPr>
              <w:spacing w:line="276" w:lineRule="auto"/>
              <w:jc w:val="left"/>
              <w:rPr>
                <w:rFonts w:cs="Arial"/>
                <w:sz w:val="18"/>
                <w:szCs w:val="22"/>
                <w:lang w:eastAsia="en-GB"/>
              </w:rPr>
            </w:pPr>
            <w:r w:rsidRPr="002F1713">
              <w:rPr>
                <w:rFonts w:cs="Arial"/>
                <w:sz w:val="18"/>
                <w:szCs w:val="22"/>
                <w:lang w:eastAsia="en-GB"/>
              </w:rPr>
              <w:t xml:space="preserve">Inhale toxic gases after firing leading to burning lungs </w:t>
            </w:r>
            <w:r w:rsidR="003034EF" w:rsidRPr="002F1713">
              <w:rPr>
                <w:rFonts w:cs="Arial"/>
                <w:sz w:val="18"/>
                <w:szCs w:val="22"/>
                <w:lang w:eastAsia="en-GB"/>
              </w:rPr>
              <w:t>and immediate injury</w:t>
            </w:r>
          </w:p>
        </w:tc>
        <w:tc>
          <w:tcPr>
            <w:tcW w:w="709" w:type="dxa"/>
            <w:tcBorders>
              <w:top w:val="single" w:sz="6" w:space="0" w:color="auto"/>
              <w:bottom w:val="single" w:sz="6" w:space="0" w:color="auto"/>
            </w:tcBorders>
            <w:vAlign w:val="center"/>
          </w:tcPr>
          <w:p w14:paraId="4B54FEF8" w14:textId="34F670F3"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c>
          <w:tcPr>
            <w:tcW w:w="709" w:type="dxa"/>
            <w:tcBorders>
              <w:top w:val="single" w:sz="6" w:space="0" w:color="auto"/>
              <w:bottom w:val="single" w:sz="6" w:space="0" w:color="auto"/>
            </w:tcBorders>
            <w:vAlign w:val="center"/>
          </w:tcPr>
          <w:p w14:paraId="16C64C8F" w14:textId="635F4782"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5073C2F8" w14:textId="36D60F5A"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9</w:t>
            </w:r>
          </w:p>
        </w:tc>
        <w:tc>
          <w:tcPr>
            <w:tcW w:w="2977" w:type="dxa"/>
            <w:tcBorders>
              <w:top w:val="single" w:sz="6" w:space="0" w:color="auto"/>
              <w:bottom w:val="single" w:sz="6" w:space="0" w:color="auto"/>
            </w:tcBorders>
          </w:tcPr>
          <w:p w14:paraId="70DB57E5" w14:textId="653C64FC" w:rsidR="008A1C1D" w:rsidRPr="002F1713" w:rsidRDefault="008A1C1D" w:rsidP="008A1C1D">
            <w:pPr>
              <w:spacing w:line="276" w:lineRule="auto"/>
              <w:rPr>
                <w:rFonts w:cs="Arial"/>
                <w:bCs/>
                <w:sz w:val="18"/>
                <w:szCs w:val="18"/>
                <w:lang w:eastAsia="en-GB"/>
              </w:rPr>
            </w:pPr>
            <w:r w:rsidRPr="002F1713">
              <w:rPr>
                <w:rFonts w:cs="Arial"/>
                <w:bCs/>
                <w:sz w:val="18"/>
                <w:szCs w:val="18"/>
                <w:lang w:eastAsia="en-GB"/>
              </w:rPr>
              <w:t>Appropriate PPE to be worn</w:t>
            </w:r>
            <w:r w:rsidR="008D0F94" w:rsidRPr="002F1713">
              <w:rPr>
                <w:rFonts w:cs="Arial"/>
                <w:bCs/>
                <w:sz w:val="18"/>
                <w:szCs w:val="18"/>
                <w:lang w:eastAsia="en-GB"/>
              </w:rPr>
              <w:t xml:space="preserve"> (eye protection, full-face masks, air-filtered masks, gloves)</w:t>
            </w:r>
          </w:p>
          <w:p w14:paraId="040B86B4" w14:textId="07C1C738" w:rsidR="00BE3443" w:rsidRPr="00296CD3" w:rsidRDefault="008A1C1D" w:rsidP="00296CD3">
            <w:pPr>
              <w:spacing w:line="276" w:lineRule="auto"/>
              <w:rPr>
                <w:rFonts w:cs="Arial"/>
                <w:bCs/>
                <w:sz w:val="18"/>
                <w:szCs w:val="18"/>
                <w:lang w:eastAsia="en-GB"/>
              </w:rPr>
            </w:pPr>
            <w:r w:rsidRPr="002F1713">
              <w:rPr>
                <w:rFonts w:cs="Arial"/>
                <w:bCs/>
                <w:sz w:val="18"/>
                <w:szCs w:val="18"/>
                <w:lang w:eastAsia="en-GB"/>
              </w:rPr>
              <w:t>Implement a danger zone and ensure all unnecessary personnel are outside of the radius which gases could be inhaled</w:t>
            </w:r>
          </w:p>
        </w:tc>
        <w:tc>
          <w:tcPr>
            <w:tcW w:w="709" w:type="dxa"/>
            <w:tcBorders>
              <w:top w:val="single" w:sz="6" w:space="0" w:color="auto"/>
              <w:bottom w:val="single" w:sz="6" w:space="0" w:color="auto"/>
            </w:tcBorders>
            <w:vAlign w:val="center"/>
          </w:tcPr>
          <w:p w14:paraId="493B5C5D" w14:textId="37923AB1"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c>
          <w:tcPr>
            <w:tcW w:w="708" w:type="dxa"/>
            <w:tcBorders>
              <w:top w:val="single" w:sz="6" w:space="0" w:color="auto"/>
              <w:bottom w:val="single" w:sz="6" w:space="0" w:color="auto"/>
            </w:tcBorders>
            <w:vAlign w:val="center"/>
          </w:tcPr>
          <w:p w14:paraId="055345BD" w14:textId="6ABB2CF9"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1</w:t>
            </w:r>
          </w:p>
        </w:tc>
        <w:tc>
          <w:tcPr>
            <w:tcW w:w="832" w:type="dxa"/>
            <w:tcBorders>
              <w:top w:val="single" w:sz="6" w:space="0" w:color="auto"/>
              <w:bottom w:val="single" w:sz="6" w:space="0" w:color="auto"/>
            </w:tcBorders>
            <w:shd w:val="clear" w:color="auto" w:fill="00FF00"/>
            <w:vAlign w:val="center"/>
          </w:tcPr>
          <w:p w14:paraId="66A710FD" w14:textId="43EFCA61" w:rsidR="008A1C1D" w:rsidRPr="002F1713" w:rsidRDefault="00296CD3" w:rsidP="008A1C1D">
            <w:pPr>
              <w:spacing w:line="276" w:lineRule="auto"/>
              <w:jc w:val="center"/>
              <w:rPr>
                <w:rFonts w:cs="Arial"/>
                <w:b/>
                <w:sz w:val="22"/>
                <w:szCs w:val="22"/>
                <w:lang w:eastAsia="en-GB"/>
              </w:rPr>
            </w:pPr>
            <w:r>
              <w:rPr>
                <w:rFonts w:cs="Arial"/>
                <w:b/>
                <w:sz w:val="22"/>
                <w:szCs w:val="22"/>
                <w:lang w:eastAsia="en-GB"/>
              </w:rPr>
              <w:t>3</w:t>
            </w:r>
          </w:p>
        </w:tc>
      </w:tr>
      <w:tr w:rsidR="00296CD3" w:rsidRPr="00582D86" w14:paraId="274F51F7" w14:textId="77777777" w:rsidTr="00BE3443">
        <w:trPr>
          <w:trHeight w:val="1134"/>
        </w:trPr>
        <w:tc>
          <w:tcPr>
            <w:tcW w:w="2253" w:type="dxa"/>
            <w:vMerge/>
            <w:tcBorders>
              <w:top w:val="single" w:sz="6" w:space="0" w:color="auto"/>
            </w:tcBorders>
          </w:tcPr>
          <w:p w14:paraId="0E8BB42F" w14:textId="77777777" w:rsidR="00296CD3" w:rsidRPr="002F1713" w:rsidRDefault="00296CD3" w:rsidP="00296CD3">
            <w:pPr>
              <w:spacing w:before="0" w:line="276" w:lineRule="auto"/>
              <w:jc w:val="left"/>
              <w:rPr>
                <w:rFonts w:cs="Arial"/>
                <w:sz w:val="18"/>
                <w:szCs w:val="22"/>
                <w:lang w:eastAsia="en-GB"/>
              </w:rPr>
            </w:pPr>
          </w:p>
        </w:tc>
        <w:tc>
          <w:tcPr>
            <w:tcW w:w="2410" w:type="dxa"/>
            <w:tcBorders>
              <w:top w:val="single" w:sz="6" w:space="0" w:color="auto"/>
              <w:bottom w:val="single" w:sz="6" w:space="0" w:color="auto"/>
            </w:tcBorders>
          </w:tcPr>
          <w:p w14:paraId="208C22A1" w14:textId="3B5E748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Tank crew and people within immediate vicinity</w:t>
            </w:r>
          </w:p>
        </w:tc>
        <w:tc>
          <w:tcPr>
            <w:tcW w:w="3402" w:type="dxa"/>
            <w:tcBorders>
              <w:top w:val="single" w:sz="6" w:space="0" w:color="auto"/>
              <w:bottom w:val="single" w:sz="6" w:space="0" w:color="auto"/>
            </w:tcBorders>
          </w:tcPr>
          <w:p w14:paraId="3B192CC4" w14:textId="1FC3EB30" w:rsidR="00296CD3" w:rsidRPr="002F1713" w:rsidRDefault="00296CD3" w:rsidP="00296CD3">
            <w:pPr>
              <w:spacing w:line="276" w:lineRule="auto"/>
              <w:jc w:val="left"/>
              <w:rPr>
                <w:rFonts w:cs="Arial"/>
                <w:sz w:val="18"/>
                <w:szCs w:val="22"/>
                <w:lang w:eastAsia="en-GB"/>
              </w:rPr>
            </w:pPr>
            <w:r>
              <w:rPr>
                <w:rFonts w:cs="Arial"/>
                <w:sz w:val="18"/>
                <w:szCs w:val="22"/>
                <w:lang w:eastAsia="en-GB"/>
              </w:rPr>
              <w:t>Build-up of gases in cabin due to poor ventilation</w:t>
            </w:r>
            <w:r w:rsidRPr="002F1713">
              <w:rPr>
                <w:rFonts w:cs="Arial"/>
                <w:sz w:val="18"/>
                <w:szCs w:val="22"/>
                <w:lang w:eastAsia="en-GB"/>
              </w:rPr>
              <w:t xml:space="preserve"> also caus</w:t>
            </w:r>
            <w:r>
              <w:rPr>
                <w:rFonts w:cs="Arial"/>
                <w:sz w:val="18"/>
                <w:szCs w:val="22"/>
                <w:lang w:eastAsia="en-GB"/>
              </w:rPr>
              <w:t>ing</w:t>
            </w:r>
            <w:r w:rsidRPr="002F1713">
              <w:rPr>
                <w:rFonts w:cs="Arial"/>
                <w:sz w:val="18"/>
                <w:szCs w:val="22"/>
                <w:lang w:eastAsia="en-GB"/>
              </w:rPr>
              <w:t xml:space="preserve"> long-term health conditions</w:t>
            </w:r>
          </w:p>
        </w:tc>
        <w:tc>
          <w:tcPr>
            <w:tcW w:w="709" w:type="dxa"/>
            <w:tcBorders>
              <w:top w:val="single" w:sz="6" w:space="0" w:color="auto"/>
              <w:bottom w:val="single" w:sz="6" w:space="0" w:color="auto"/>
            </w:tcBorders>
            <w:vAlign w:val="center"/>
          </w:tcPr>
          <w:p w14:paraId="4FD73079" w14:textId="113BD0BE" w:rsidR="00296CD3" w:rsidRDefault="00296CD3" w:rsidP="00296CD3">
            <w:pPr>
              <w:spacing w:line="276" w:lineRule="auto"/>
              <w:jc w:val="center"/>
              <w:rPr>
                <w:rFonts w:cs="Arial"/>
                <w:b/>
                <w:sz w:val="22"/>
                <w:szCs w:val="22"/>
                <w:lang w:eastAsia="en-GB"/>
              </w:rPr>
            </w:pPr>
            <w:r>
              <w:rPr>
                <w:rFonts w:cs="Arial"/>
                <w:b/>
                <w:sz w:val="22"/>
                <w:szCs w:val="22"/>
                <w:lang w:eastAsia="en-GB"/>
              </w:rPr>
              <w:t>4</w:t>
            </w:r>
          </w:p>
        </w:tc>
        <w:tc>
          <w:tcPr>
            <w:tcW w:w="709" w:type="dxa"/>
            <w:tcBorders>
              <w:top w:val="single" w:sz="6" w:space="0" w:color="auto"/>
              <w:bottom w:val="single" w:sz="6" w:space="0" w:color="auto"/>
            </w:tcBorders>
            <w:vAlign w:val="center"/>
          </w:tcPr>
          <w:p w14:paraId="0D6B608F" w14:textId="3EC3CF02" w:rsidR="00296CD3" w:rsidRDefault="00296CD3" w:rsidP="00296CD3">
            <w:pPr>
              <w:spacing w:line="276" w:lineRule="auto"/>
              <w:jc w:val="center"/>
              <w:rPr>
                <w:rFonts w:cs="Arial"/>
                <w:b/>
                <w:sz w:val="22"/>
                <w:szCs w:val="22"/>
                <w:lang w:eastAsia="en-GB"/>
              </w:rPr>
            </w:pPr>
            <w:r>
              <w:rPr>
                <w:rFonts w:cs="Arial"/>
                <w:b/>
                <w:sz w:val="22"/>
                <w:szCs w:val="22"/>
                <w:lang w:eastAsia="en-GB"/>
              </w:rPr>
              <w:t>4</w:t>
            </w:r>
          </w:p>
        </w:tc>
        <w:tc>
          <w:tcPr>
            <w:tcW w:w="850" w:type="dxa"/>
            <w:tcBorders>
              <w:top w:val="single" w:sz="6" w:space="0" w:color="auto"/>
              <w:bottom w:val="single" w:sz="6" w:space="0" w:color="auto"/>
            </w:tcBorders>
            <w:shd w:val="clear" w:color="auto" w:fill="FF0000"/>
            <w:vAlign w:val="center"/>
          </w:tcPr>
          <w:p w14:paraId="6B64162E" w14:textId="78E94C3A" w:rsidR="00296CD3" w:rsidRDefault="00296CD3" w:rsidP="00296CD3">
            <w:pPr>
              <w:spacing w:line="276" w:lineRule="auto"/>
              <w:jc w:val="center"/>
              <w:rPr>
                <w:rFonts w:cs="Arial"/>
                <w:b/>
                <w:sz w:val="22"/>
                <w:szCs w:val="22"/>
                <w:lang w:eastAsia="en-GB"/>
              </w:rPr>
            </w:pPr>
            <w:r>
              <w:rPr>
                <w:rFonts w:cs="Arial"/>
                <w:b/>
                <w:sz w:val="22"/>
                <w:szCs w:val="22"/>
                <w:lang w:eastAsia="en-GB"/>
              </w:rPr>
              <w:t>16</w:t>
            </w:r>
          </w:p>
        </w:tc>
        <w:tc>
          <w:tcPr>
            <w:tcW w:w="2977" w:type="dxa"/>
            <w:tcBorders>
              <w:top w:val="single" w:sz="6" w:space="0" w:color="auto"/>
              <w:bottom w:val="single" w:sz="6" w:space="0" w:color="auto"/>
            </w:tcBorders>
          </w:tcPr>
          <w:p w14:paraId="291E385F" w14:textId="1F01AECB" w:rsidR="00296CD3" w:rsidRPr="002F1713" w:rsidRDefault="00296CD3" w:rsidP="00296CD3">
            <w:pPr>
              <w:spacing w:line="276" w:lineRule="auto"/>
              <w:rPr>
                <w:rFonts w:cs="Arial"/>
                <w:bCs/>
                <w:sz w:val="18"/>
                <w:szCs w:val="18"/>
                <w:lang w:eastAsia="en-GB"/>
              </w:rPr>
            </w:pPr>
            <w:r w:rsidRPr="002F1713">
              <w:rPr>
                <w:rFonts w:cs="Arial"/>
                <w:bCs/>
                <w:sz w:val="18"/>
                <w:szCs w:val="18"/>
                <w:lang w:eastAsia="en-GB"/>
              </w:rPr>
              <w:t>Appropriate PPE to be worn (full-face masks, air-filtered masks)</w:t>
            </w:r>
          </w:p>
          <w:p w14:paraId="47774577" w14:textId="5A7634EA" w:rsidR="0076629C" w:rsidRDefault="00296CD3" w:rsidP="0076629C">
            <w:pPr>
              <w:spacing w:line="276" w:lineRule="auto"/>
              <w:rPr>
                <w:rFonts w:cs="Arial"/>
                <w:bCs/>
                <w:sz w:val="18"/>
                <w:szCs w:val="18"/>
                <w:lang w:eastAsia="en-GB"/>
              </w:rPr>
            </w:pPr>
            <w:r>
              <w:rPr>
                <w:rFonts w:cs="Arial"/>
                <w:bCs/>
                <w:sz w:val="18"/>
                <w:szCs w:val="18"/>
                <w:lang w:eastAsia="en-GB"/>
              </w:rPr>
              <w:t xml:space="preserve">Introduction of </w:t>
            </w:r>
            <w:r w:rsidR="0076629C">
              <w:rPr>
                <w:rFonts w:cs="Arial"/>
                <w:bCs/>
                <w:sz w:val="18"/>
                <w:szCs w:val="18"/>
                <w:lang w:eastAsia="en-GB"/>
              </w:rPr>
              <w:t xml:space="preserve">appropriate </w:t>
            </w:r>
            <w:r>
              <w:rPr>
                <w:rFonts w:cs="Arial"/>
                <w:bCs/>
                <w:sz w:val="18"/>
                <w:szCs w:val="18"/>
                <w:lang w:eastAsia="en-GB"/>
              </w:rPr>
              <w:t>ventilation systems within the vehicle</w:t>
            </w:r>
          </w:p>
          <w:p w14:paraId="4D8D9808" w14:textId="77777777" w:rsidR="0076629C" w:rsidRDefault="0076629C" w:rsidP="0076629C">
            <w:pPr>
              <w:spacing w:line="276" w:lineRule="auto"/>
              <w:rPr>
                <w:rFonts w:cs="Arial"/>
                <w:sz w:val="18"/>
                <w:szCs w:val="22"/>
                <w:lang w:eastAsia="en-GB"/>
              </w:rPr>
            </w:pPr>
            <w:r>
              <w:rPr>
                <w:rFonts w:cs="Arial"/>
                <w:sz w:val="18"/>
                <w:szCs w:val="22"/>
                <w:lang w:eastAsia="en-GB"/>
              </w:rPr>
              <w:lastRenderedPageBreak/>
              <w:t xml:space="preserve">CO monitors </w:t>
            </w:r>
            <w:r w:rsidRPr="002353B7">
              <w:rPr>
                <w:rFonts w:cs="Arial"/>
                <w:sz w:val="18"/>
                <w:szCs w:val="22"/>
                <w:lang w:eastAsia="en-GB"/>
              </w:rPr>
              <w:t xml:space="preserve">installed </w:t>
            </w:r>
            <w:r>
              <w:rPr>
                <w:rFonts w:cs="Arial"/>
                <w:sz w:val="18"/>
                <w:szCs w:val="22"/>
                <w:lang w:eastAsia="en-GB"/>
              </w:rPr>
              <w:t>and c</w:t>
            </w:r>
            <w:r w:rsidRPr="002353B7">
              <w:rPr>
                <w:rFonts w:cs="Arial"/>
                <w:sz w:val="18"/>
                <w:szCs w:val="22"/>
                <w:lang w:eastAsia="en-GB"/>
              </w:rPr>
              <w:t>rew competency training in assessing workspace before interacting</w:t>
            </w:r>
          </w:p>
          <w:p w14:paraId="79B3C071" w14:textId="59818FCB" w:rsidR="0076629C" w:rsidRPr="0076629C" w:rsidRDefault="0076629C" w:rsidP="0076629C">
            <w:pPr>
              <w:spacing w:line="276" w:lineRule="auto"/>
              <w:rPr>
                <w:rFonts w:cs="Arial"/>
                <w:sz w:val="18"/>
                <w:szCs w:val="22"/>
                <w:lang w:eastAsia="en-GB"/>
              </w:rPr>
            </w:pPr>
            <w:r w:rsidRPr="002353B7">
              <w:rPr>
                <w:rFonts w:cs="Arial"/>
                <w:sz w:val="18"/>
                <w:szCs w:val="22"/>
                <w:lang w:eastAsia="en-GB"/>
              </w:rPr>
              <w:t>Routine testing and calibration of equipment before use</w:t>
            </w:r>
          </w:p>
        </w:tc>
        <w:tc>
          <w:tcPr>
            <w:tcW w:w="709" w:type="dxa"/>
            <w:tcBorders>
              <w:top w:val="single" w:sz="6" w:space="0" w:color="auto"/>
              <w:bottom w:val="single" w:sz="6" w:space="0" w:color="auto"/>
            </w:tcBorders>
            <w:vAlign w:val="center"/>
          </w:tcPr>
          <w:p w14:paraId="7FEAB83E" w14:textId="30AA0566" w:rsidR="00296CD3" w:rsidRDefault="00296CD3" w:rsidP="00296CD3">
            <w:pPr>
              <w:spacing w:line="276" w:lineRule="auto"/>
              <w:jc w:val="center"/>
              <w:rPr>
                <w:rFonts w:cs="Arial"/>
                <w:b/>
                <w:sz w:val="22"/>
                <w:szCs w:val="22"/>
                <w:lang w:eastAsia="en-GB"/>
              </w:rPr>
            </w:pPr>
            <w:r>
              <w:rPr>
                <w:rFonts w:cs="Arial"/>
                <w:b/>
                <w:sz w:val="22"/>
                <w:szCs w:val="22"/>
                <w:lang w:eastAsia="en-GB"/>
              </w:rPr>
              <w:lastRenderedPageBreak/>
              <w:t>4</w:t>
            </w:r>
          </w:p>
        </w:tc>
        <w:tc>
          <w:tcPr>
            <w:tcW w:w="708" w:type="dxa"/>
            <w:tcBorders>
              <w:top w:val="single" w:sz="6" w:space="0" w:color="auto"/>
              <w:bottom w:val="single" w:sz="6" w:space="0" w:color="auto"/>
            </w:tcBorders>
            <w:vAlign w:val="center"/>
          </w:tcPr>
          <w:p w14:paraId="6AAB12D7" w14:textId="059DD6E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3FFEA6BC" w14:textId="1349FBEA" w:rsidR="00296CD3" w:rsidRDefault="00296CD3" w:rsidP="00296CD3">
            <w:pPr>
              <w:spacing w:line="276" w:lineRule="auto"/>
              <w:jc w:val="center"/>
              <w:rPr>
                <w:rFonts w:cs="Arial"/>
                <w:b/>
                <w:sz w:val="22"/>
                <w:szCs w:val="22"/>
                <w:lang w:eastAsia="en-GB"/>
              </w:rPr>
            </w:pPr>
            <w:r>
              <w:rPr>
                <w:rFonts w:cs="Arial"/>
                <w:b/>
                <w:sz w:val="22"/>
                <w:szCs w:val="22"/>
                <w:lang w:eastAsia="en-GB"/>
              </w:rPr>
              <w:t>8</w:t>
            </w:r>
          </w:p>
        </w:tc>
      </w:tr>
      <w:tr w:rsidR="00296CD3" w:rsidRPr="00582D86" w14:paraId="0FD740ED" w14:textId="77777777" w:rsidTr="00F466EF">
        <w:trPr>
          <w:trHeight w:val="1134"/>
        </w:trPr>
        <w:tc>
          <w:tcPr>
            <w:tcW w:w="2253" w:type="dxa"/>
            <w:vMerge/>
          </w:tcPr>
          <w:p w14:paraId="6AA9A351" w14:textId="77777777" w:rsidR="00296CD3" w:rsidRPr="00975FC9" w:rsidRDefault="00296CD3" w:rsidP="00296CD3">
            <w:p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76A12CF9"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Tank crew</w:t>
            </w:r>
          </w:p>
          <w:p w14:paraId="08EB56A9" w14:textId="204733D3"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Range staff</w:t>
            </w:r>
          </w:p>
        </w:tc>
        <w:tc>
          <w:tcPr>
            <w:tcW w:w="3402" w:type="dxa"/>
            <w:tcBorders>
              <w:top w:val="single" w:sz="6" w:space="0" w:color="auto"/>
              <w:bottom w:val="single" w:sz="6" w:space="0" w:color="auto"/>
            </w:tcBorders>
          </w:tcPr>
          <w:p w14:paraId="47684B04" w14:textId="1D4132E9"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Inhale/absorb/ingest toxic materials when cleaning causing health implications to personnel</w:t>
            </w:r>
          </w:p>
        </w:tc>
        <w:tc>
          <w:tcPr>
            <w:tcW w:w="709" w:type="dxa"/>
            <w:tcBorders>
              <w:top w:val="single" w:sz="6" w:space="0" w:color="auto"/>
              <w:bottom w:val="single" w:sz="6" w:space="0" w:color="auto"/>
            </w:tcBorders>
            <w:vAlign w:val="center"/>
          </w:tcPr>
          <w:p w14:paraId="0712A615" w14:textId="3C08112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709" w:type="dxa"/>
            <w:tcBorders>
              <w:top w:val="single" w:sz="6" w:space="0" w:color="auto"/>
              <w:bottom w:val="single" w:sz="6" w:space="0" w:color="auto"/>
            </w:tcBorders>
            <w:vAlign w:val="center"/>
          </w:tcPr>
          <w:p w14:paraId="717A2DFF"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4</w:t>
            </w:r>
          </w:p>
        </w:tc>
        <w:tc>
          <w:tcPr>
            <w:tcW w:w="850" w:type="dxa"/>
            <w:tcBorders>
              <w:top w:val="single" w:sz="6" w:space="0" w:color="auto"/>
              <w:bottom w:val="single" w:sz="6" w:space="0" w:color="auto"/>
            </w:tcBorders>
            <w:shd w:val="clear" w:color="auto" w:fill="FFFF00"/>
            <w:vAlign w:val="center"/>
          </w:tcPr>
          <w:p w14:paraId="77437C94" w14:textId="0318B810"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8</w:t>
            </w:r>
          </w:p>
        </w:tc>
        <w:tc>
          <w:tcPr>
            <w:tcW w:w="2977" w:type="dxa"/>
            <w:tcBorders>
              <w:top w:val="single" w:sz="6" w:space="0" w:color="auto"/>
              <w:bottom w:val="single" w:sz="6" w:space="0" w:color="auto"/>
            </w:tcBorders>
          </w:tcPr>
          <w:p w14:paraId="7E2FD699" w14:textId="77777777" w:rsidR="00296CD3" w:rsidRPr="002F1713" w:rsidRDefault="00296CD3" w:rsidP="00296CD3">
            <w:pPr>
              <w:spacing w:line="276" w:lineRule="auto"/>
              <w:rPr>
                <w:rFonts w:cs="Arial"/>
                <w:sz w:val="18"/>
                <w:szCs w:val="18"/>
                <w:lang w:eastAsia="en-GB"/>
              </w:rPr>
            </w:pPr>
            <w:r w:rsidRPr="002F1713">
              <w:rPr>
                <w:rFonts w:cs="Arial"/>
                <w:sz w:val="18"/>
                <w:szCs w:val="18"/>
                <w:lang w:eastAsia="en-GB"/>
              </w:rPr>
              <w:t>Crew competency training</w:t>
            </w:r>
          </w:p>
          <w:p w14:paraId="66D66036" w14:textId="67BE65FA" w:rsidR="00296CD3" w:rsidRPr="002F1713" w:rsidRDefault="00296CD3" w:rsidP="00296CD3">
            <w:pPr>
              <w:spacing w:line="276" w:lineRule="auto"/>
              <w:rPr>
                <w:rFonts w:cs="Arial"/>
                <w:sz w:val="18"/>
                <w:szCs w:val="18"/>
                <w:lang w:eastAsia="en-GB"/>
              </w:rPr>
            </w:pPr>
            <w:r w:rsidRPr="002F1713">
              <w:rPr>
                <w:rFonts w:cs="Arial"/>
                <w:sz w:val="18"/>
                <w:szCs w:val="18"/>
                <w:lang w:eastAsia="en-GB"/>
              </w:rPr>
              <w:t xml:space="preserve">Appropriate PPE to be worn </w:t>
            </w:r>
            <w:r w:rsidRPr="002F1713">
              <w:rPr>
                <w:rFonts w:cs="Arial"/>
                <w:bCs/>
                <w:sz w:val="18"/>
                <w:szCs w:val="18"/>
                <w:lang w:eastAsia="en-GB"/>
              </w:rPr>
              <w:t>(eye protection, full-face masks, air-filter masks, gloves)</w:t>
            </w:r>
          </w:p>
          <w:p w14:paraId="131B5FC1" w14:textId="77777777" w:rsidR="00296CD3" w:rsidRPr="002F1713" w:rsidRDefault="00296CD3" w:rsidP="00296CD3">
            <w:pPr>
              <w:spacing w:line="276" w:lineRule="auto"/>
              <w:rPr>
                <w:rFonts w:cs="Arial"/>
                <w:sz w:val="18"/>
                <w:szCs w:val="18"/>
                <w:lang w:eastAsia="en-GB"/>
              </w:rPr>
            </w:pPr>
            <w:r w:rsidRPr="002F1713">
              <w:rPr>
                <w:rFonts w:cs="Arial"/>
                <w:sz w:val="18"/>
                <w:szCs w:val="18"/>
                <w:lang w:eastAsia="en-GB"/>
              </w:rPr>
              <w:t>Implemented danger zone with restrictions to the personnel allowed inside</w:t>
            </w:r>
          </w:p>
          <w:p w14:paraId="730F3E29" w14:textId="4E5E9A75" w:rsidR="00296CD3" w:rsidRPr="002F1713" w:rsidRDefault="00296CD3" w:rsidP="00296CD3">
            <w:pPr>
              <w:spacing w:line="276" w:lineRule="auto"/>
              <w:rPr>
                <w:rFonts w:cs="Arial"/>
                <w:sz w:val="18"/>
                <w:szCs w:val="18"/>
                <w:lang w:eastAsia="en-GB"/>
              </w:rPr>
            </w:pPr>
            <w:r w:rsidRPr="002F1713">
              <w:rPr>
                <w:rFonts w:cs="Arial"/>
                <w:sz w:val="18"/>
                <w:szCs w:val="18"/>
                <w:lang w:eastAsia="en-GB"/>
              </w:rPr>
              <w:t>COSHH assessments on all cleaning supplies and the least hazardous option chosen for use</w:t>
            </w:r>
          </w:p>
        </w:tc>
        <w:tc>
          <w:tcPr>
            <w:tcW w:w="709" w:type="dxa"/>
            <w:tcBorders>
              <w:top w:val="single" w:sz="6" w:space="0" w:color="auto"/>
              <w:bottom w:val="single" w:sz="6" w:space="0" w:color="auto"/>
            </w:tcBorders>
            <w:vAlign w:val="center"/>
          </w:tcPr>
          <w:p w14:paraId="2AD0A99A" w14:textId="05EAAE8D"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708" w:type="dxa"/>
            <w:tcBorders>
              <w:top w:val="single" w:sz="6" w:space="0" w:color="auto"/>
              <w:bottom w:val="single" w:sz="6" w:space="0" w:color="auto"/>
            </w:tcBorders>
            <w:vAlign w:val="center"/>
          </w:tcPr>
          <w:p w14:paraId="2207326B" w14:textId="17370455"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66FF33"/>
            <w:vAlign w:val="center"/>
          </w:tcPr>
          <w:p w14:paraId="0925F290" w14:textId="34ADF1B1"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4</w:t>
            </w:r>
          </w:p>
        </w:tc>
      </w:tr>
      <w:tr w:rsidR="00296CD3" w:rsidRPr="00582D86" w14:paraId="30730DB6" w14:textId="77777777" w:rsidTr="00F466EF">
        <w:trPr>
          <w:trHeight w:val="1134"/>
        </w:trPr>
        <w:tc>
          <w:tcPr>
            <w:tcW w:w="2253" w:type="dxa"/>
            <w:vMerge/>
          </w:tcPr>
          <w:p w14:paraId="4FE289EE" w14:textId="77777777" w:rsidR="00296CD3" w:rsidRPr="00975FC9" w:rsidRDefault="00296CD3" w:rsidP="00296CD3">
            <w:p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3F313B75"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Personnel living within the radius of the range</w:t>
            </w:r>
          </w:p>
          <w:p w14:paraId="40D25464" w14:textId="2A16092F"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Range staff</w:t>
            </w:r>
          </w:p>
        </w:tc>
        <w:tc>
          <w:tcPr>
            <w:tcW w:w="3402" w:type="dxa"/>
            <w:tcBorders>
              <w:top w:val="single" w:sz="6" w:space="0" w:color="auto"/>
              <w:bottom w:val="single" w:sz="6" w:space="0" w:color="auto"/>
            </w:tcBorders>
          </w:tcPr>
          <w:p w14:paraId="749B29A1"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Environmental pollution – residue from the firings ends up in the local water supply</w:t>
            </w:r>
          </w:p>
          <w:p w14:paraId="5FFC4D81" w14:textId="65F274AB"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Could cause long-term health conditions</w:t>
            </w:r>
          </w:p>
        </w:tc>
        <w:tc>
          <w:tcPr>
            <w:tcW w:w="709" w:type="dxa"/>
            <w:tcBorders>
              <w:top w:val="single" w:sz="6" w:space="0" w:color="auto"/>
              <w:bottom w:val="single" w:sz="6" w:space="0" w:color="auto"/>
            </w:tcBorders>
            <w:vAlign w:val="center"/>
          </w:tcPr>
          <w:p w14:paraId="6D362B26" w14:textId="3F2B087E"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9" w:type="dxa"/>
            <w:tcBorders>
              <w:top w:val="single" w:sz="6" w:space="0" w:color="auto"/>
              <w:bottom w:val="single" w:sz="6" w:space="0" w:color="auto"/>
            </w:tcBorders>
            <w:vAlign w:val="center"/>
          </w:tcPr>
          <w:p w14:paraId="5222301D" w14:textId="301D288A" w:rsidR="00296CD3" w:rsidRPr="002F1713" w:rsidRDefault="00296CD3" w:rsidP="00296CD3">
            <w:pPr>
              <w:spacing w:line="276" w:lineRule="auto"/>
              <w:jc w:val="center"/>
              <w:rPr>
                <w:rFonts w:cs="Arial"/>
                <w:b/>
                <w:sz w:val="22"/>
                <w:szCs w:val="22"/>
                <w:lang w:eastAsia="en-GB"/>
              </w:rPr>
            </w:pPr>
            <w:r>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049CA42D" w14:textId="02EA7B05"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9</w:t>
            </w:r>
          </w:p>
        </w:tc>
        <w:tc>
          <w:tcPr>
            <w:tcW w:w="2977" w:type="dxa"/>
            <w:tcBorders>
              <w:top w:val="single" w:sz="6" w:space="0" w:color="auto"/>
              <w:bottom w:val="single" w:sz="6" w:space="0" w:color="auto"/>
            </w:tcBorders>
          </w:tcPr>
          <w:p w14:paraId="0A7CE643"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Crew competency training on procedures for correct handling of waste and cleaning</w:t>
            </w:r>
          </w:p>
          <w:p w14:paraId="10910501"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Hardware in place to prevent any physical matter from reaching the waterways</w:t>
            </w:r>
          </w:p>
          <w:p w14:paraId="08530B72" w14:textId="34D74C75" w:rsidR="00296CD3" w:rsidRDefault="00296CD3" w:rsidP="00296CD3">
            <w:pPr>
              <w:spacing w:line="276" w:lineRule="auto"/>
              <w:rPr>
                <w:rFonts w:cs="Arial"/>
                <w:sz w:val="20"/>
                <w:lang w:eastAsia="en-GB"/>
              </w:rPr>
            </w:pPr>
            <w:r w:rsidRPr="002F1713">
              <w:rPr>
                <w:rFonts w:cs="Arial"/>
                <w:sz w:val="18"/>
                <w:szCs w:val="22"/>
                <w:lang w:eastAsia="en-GB"/>
              </w:rPr>
              <w:t>Filters and water contamination testing to ensure the levels stay low enough to remain potable</w:t>
            </w:r>
          </w:p>
        </w:tc>
        <w:tc>
          <w:tcPr>
            <w:tcW w:w="709" w:type="dxa"/>
            <w:tcBorders>
              <w:top w:val="single" w:sz="6" w:space="0" w:color="auto"/>
              <w:bottom w:val="single" w:sz="6" w:space="0" w:color="auto"/>
            </w:tcBorders>
            <w:vAlign w:val="center"/>
          </w:tcPr>
          <w:p w14:paraId="74EAD79F" w14:textId="429CF3DA"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8" w:type="dxa"/>
            <w:tcBorders>
              <w:top w:val="single" w:sz="6" w:space="0" w:color="auto"/>
              <w:bottom w:val="single" w:sz="6" w:space="0" w:color="auto"/>
            </w:tcBorders>
            <w:vAlign w:val="center"/>
          </w:tcPr>
          <w:p w14:paraId="705EEC57" w14:textId="33ECC84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1</w:t>
            </w:r>
          </w:p>
        </w:tc>
        <w:tc>
          <w:tcPr>
            <w:tcW w:w="832" w:type="dxa"/>
            <w:tcBorders>
              <w:top w:val="single" w:sz="6" w:space="0" w:color="auto"/>
              <w:bottom w:val="single" w:sz="6" w:space="0" w:color="auto"/>
            </w:tcBorders>
            <w:shd w:val="clear" w:color="auto" w:fill="66FF33"/>
            <w:vAlign w:val="center"/>
          </w:tcPr>
          <w:p w14:paraId="049DAFEF" w14:textId="1DCBFD06"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r>
      <w:tr w:rsidR="00296CD3" w:rsidRPr="00582D86" w14:paraId="2788A005" w14:textId="77777777" w:rsidTr="002F1713">
        <w:trPr>
          <w:trHeight w:val="559"/>
        </w:trPr>
        <w:tc>
          <w:tcPr>
            <w:tcW w:w="15559" w:type="dxa"/>
            <w:gridSpan w:val="10"/>
            <w:tcBorders>
              <w:top w:val="single" w:sz="6" w:space="0" w:color="auto"/>
              <w:bottom w:val="single" w:sz="6" w:space="0" w:color="auto"/>
            </w:tcBorders>
            <w:shd w:val="clear" w:color="auto" w:fill="B6DDE8" w:themeFill="accent5" w:themeFillTint="66"/>
          </w:tcPr>
          <w:p w14:paraId="694F7000" w14:textId="4682D53A" w:rsidR="00296CD3" w:rsidRDefault="00296CD3" w:rsidP="00296CD3">
            <w:pPr>
              <w:spacing w:line="276" w:lineRule="auto"/>
              <w:jc w:val="left"/>
              <w:rPr>
                <w:rFonts w:cs="Arial"/>
                <w:b/>
                <w:lang w:eastAsia="en-GB"/>
              </w:rPr>
            </w:pPr>
            <w:r w:rsidRPr="002F1713">
              <w:rPr>
                <w:rFonts w:cs="Arial"/>
                <w:b/>
                <w:bCs/>
                <w:sz w:val="22"/>
                <w:szCs w:val="28"/>
                <w:lang w:eastAsia="en-GB"/>
              </w:rPr>
              <w:t>Vibration/Noise</w:t>
            </w:r>
          </w:p>
        </w:tc>
      </w:tr>
      <w:tr w:rsidR="00296CD3" w:rsidRPr="00582D86" w14:paraId="31824A56" w14:textId="77777777" w:rsidTr="00F466EF">
        <w:trPr>
          <w:trHeight w:val="1134"/>
        </w:trPr>
        <w:tc>
          <w:tcPr>
            <w:tcW w:w="2253" w:type="dxa"/>
            <w:vMerge w:val="restart"/>
            <w:tcBorders>
              <w:top w:val="single" w:sz="6" w:space="0" w:color="auto"/>
            </w:tcBorders>
          </w:tcPr>
          <w:p w14:paraId="3F6FA87F" w14:textId="77777777" w:rsidR="00296CD3" w:rsidRPr="002F1713" w:rsidRDefault="00296CD3" w:rsidP="00296CD3">
            <w:pPr>
              <w:spacing w:line="276" w:lineRule="auto"/>
              <w:jc w:val="center"/>
              <w:rPr>
                <w:rFonts w:cs="Arial"/>
                <w:sz w:val="18"/>
                <w:szCs w:val="22"/>
                <w:lang w:eastAsia="en-GB"/>
              </w:rPr>
            </w:pPr>
            <w:r w:rsidRPr="002F1713">
              <w:rPr>
                <w:rFonts w:cs="Arial"/>
                <w:sz w:val="18"/>
                <w:szCs w:val="22"/>
                <w:lang w:eastAsia="en-GB"/>
              </w:rPr>
              <w:lastRenderedPageBreak/>
              <w:t>Vibration</w:t>
            </w:r>
          </w:p>
        </w:tc>
        <w:tc>
          <w:tcPr>
            <w:tcW w:w="2410" w:type="dxa"/>
            <w:tcBorders>
              <w:top w:val="single" w:sz="6" w:space="0" w:color="auto"/>
              <w:bottom w:val="single" w:sz="6" w:space="0" w:color="auto"/>
            </w:tcBorders>
          </w:tcPr>
          <w:p w14:paraId="399FF152" w14:textId="7FD1BB05"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Personnel in radius of vehicle</w:t>
            </w:r>
          </w:p>
        </w:tc>
        <w:tc>
          <w:tcPr>
            <w:tcW w:w="3402" w:type="dxa"/>
            <w:tcBorders>
              <w:top w:val="single" w:sz="6" w:space="0" w:color="auto"/>
              <w:bottom w:val="single" w:sz="6" w:space="0" w:color="auto"/>
            </w:tcBorders>
          </w:tcPr>
          <w:p w14:paraId="47F9A0D1" w14:textId="2EF9DF2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Heavy Vibration causing physical deformation to shell resulting in no obturation leading to hang fire.  Next shell is fired into hang fire causing barrel detonation</w:t>
            </w:r>
          </w:p>
        </w:tc>
        <w:tc>
          <w:tcPr>
            <w:tcW w:w="709" w:type="dxa"/>
            <w:tcBorders>
              <w:top w:val="single" w:sz="6" w:space="0" w:color="auto"/>
              <w:bottom w:val="single" w:sz="6" w:space="0" w:color="auto"/>
            </w:tcBorders>
            <w:vAlign w:val="center"/>
          </w:tcPr>
          <w:p w14:paraId="4E9B5D73"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5</w:t>
            </w:r>
          </w:p>
        </w:tc>
        <w:tc>
          <w:tcPr>
            <w:tcW w:w="709" w:type="dxa"/>
            <w:tcBorders>
              <w:top w:val="single" w:sz="6" w:space="0" w:color="auto"/>
              <w:bottom w:val="single" w:sz="6" w:space="0" w:color="auto"/>
            </w:tcBorders>
            <w:vAlign w:val="center"/>
          </w:tcPr>
          <w:p w14:paraId="395CD15B"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EE0000"/>
            <w:vAlign w:val="center"/>
          </w:tcPr>
          <w:p w14:paraId="38D85BF6"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15</w:t>
            </w:r>
          </w:p>
        </w:tc>
        <w:tc>
          <w:tcPr>
            <w:tcW w:w="2977" w:type="dxa"/>
            <w:tcBorders>
              <w:top w:val="single" w:sz="6" w:space="0" w:color="auto"/>
              <w:bottom w:val="single" w:sz="6" w:space="0" w:color="auto"/>
            </w:tcBorders>
          </w:tcPr>
          <w:p w14:paraId="498FABDD"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Crew competency training in assessment of readiness to fire next shot</w:t>
            </w:r>
          </w:p>
          <w:p w14:paraId="79662EA2" w14:textId="77777777" w:rsidR="00296CD3" w:rsidRPr="002F1713" w:rsidRDefault="00296CD3" w:rsidP="00296CD3">
            <w:pPr>
              <w:spacing w:line="276" w:lineRule="auto"/>
              <w:rPr>
                <w:rFonts w:cs="Arial"/>
                <w:sz w:val="18"/>
                <w:szCs w:val="22"/>
                <w:lang w:eastAsia="en-GB"/>
              </w:rPr>
            </w:pPr>
            <w:r w:rsidRPr="002F1713">
              <w:rPr>
                <w:rFonts w:cs="Arial"/>
                <w:sz w:val="18"/>
                <w:szCs w:val="22"/>
                <w:lang w:eastAsia="en-GB"/>
              </w:rPr>
              <w:t>Environmental testing on munitions to assess effect of vibration</w:t>
            </w:r>
          </w:p>
          <w:p w14:paraId="5F4CC648" w14:textId="0073A7CC" w:rsidR="00296CD3" w:rsidRDefault="00296CD3" w:rsidP="00296CD3">
            <w:pPr>
              <w:spacing w:line="276" w:lineRule="auto"/>
              <w:rPr>
                <w:rFonts w:cs="Arial"/>
                <w:sz w:val="20"/>
                <w:lang w:eastAsia="en-GB"/>
              </w:rPr>
            </w:pPr>
            <w:r w:rsidRPr="002F1713">
              <w:rPr>
                <w:rFonts w:cs="Arial"/>
                <w:sz w:val="18"/>
                <w:szCs w:val="22"/>
                <w:lang w:eastAsia="en-GB"/>
              </w:rPr>
              <w:t>Implement danger zone around vehicle and restrict unnecessary personnel from entering</w:t>
            </w:r>
            <w:r>
              <w:rPr>
                <w:rFonts w:cs="Arial"/>
                <w:sz w:val="18"/>
                <w:szCs w:val="22"/>
                <w:lang w:eastAsia="en-GB"/>
              </w:rPr>
              <w:t xml:space="preserve"> </w:t>
            </w:r>
          </w:p>
        </w:tc>
        <w:tc>
          <w:tcPr>
            <w:tcW w:w="709" w:type="dxa"/>
            <w:tcBorders>
              <w:top w:val="single" w:sz="6" w:space="0" w:color="auto"/>
              <w:bottom w:val="single" w:sz="6" w:space="0" w:color="auto"/>
            </w:tcBorders>
            <w:vAlign w:val="center"/>
          </w:tcPr>
          <w:p w14:paraId="1F5F90CC" w14:textId="259A349E"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5</w:t>
            </w:r>
          </w:p>
        </w:tc>
        <w:tc>
          <w:tcPr>
            <w:tcW w:w="708" w:type="dxa"/>
            <w:tcBorders>
              <w:top w:val="single" w:sz="6" w:space="0" w:color="auto"/>
              <w:bottom w:val="single" w:sz="6" w:space="0" w:color="auto"/>
            </w:tcBorders>
            <w:vAlign w:val="center"/>
          </w:tcPr>
          <w:p w14:paraId="3042B761" w14:textId="27E158E2"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0A81D2D7" w14:textId="3C1D718E"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10</w:t>
            </w:r>
          </w:p>
        </w:tc>
      </w:tr>
      <w:tr w:rsidR="00296CD3" w:rsidRPr="00582D86" w14:paraId="79FF595D" w14:textId="77777777" w:rsidTr="00F466EF">
        <w:trPr>
          <w:trHeight w:val="1134"/>
        </w:trPr>
        <w:tc>
          <w:tcPr>
            <w:tcW w:w="2253" w:type="dxa"/>
            <w:vMerge/>
          </w:tcPr>
          <w:p w14:paraId="6E6AA2FA" w14:textId="77777777" w:rsidR="00296CD3" w:rsidRPr="009C2250" w:rsidRDefault="00296CD3" w:rsidP="00296CD3">
            <w:pPr>
              <w:pStyle w:val="ListParagraph"/>
              <w:numPr>
                <w:ilvl w:val="0"/>
                <w:numId w:val="34"/>
              </w:num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0BD309A5" w14:textId="77777777"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Personnel handling electronics</w:t>
            </w:r>
          </w:p>
          <w:p w14:paraId="0BFB3394" w14:textId="0C4CDD58"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Tank crew</w:t>
            </w:r>
          </w:p>
        </w:tc>
        <w:tc>
          <w:tcPr>
            <w:tcW w:w="3402" w:type="dxa"/>
            <w:tcBorders>
              <w:top w:val="single" w:sz="6" w:space="0" w:color="auto"/>
              <w:bottom w:val="single" w:sz="6" w:space="0" w:color="auto"/>
            </w:tcBorders>
          </w:tcPr>
          <w:p w14:paraId="3EF677D4" w14:textId="62DA8FC0" w:rsidR="00296CD3" w:rsidRPr="002F1713" w:rsidRDefault="00296CD3" w:rsidP="00296CD3">
            <w:pPr>
              <w:spacing w:line="276" w:lineRule="auto"/>
              <w:jc w:val="left"/>
              <w:rPr>
                <w:rFonts w:cs="Arial"/>
                <w:sz w:val="18"/>
                <w:szCs w:val="22"/>
                <w:lang w:eastAsia="en-GB"/>
              </w:rPr>
            </w:pPr>
            <w:r w:rsidRPr="002F1713">
              <w:rPr>
                <w:rFonts w:cs="Arial"/>
                <w:sz w:val="18"/>
                <w:szCs w:val="22"/>
                <w:lang w:eastAsia="en-GB"/>
              </w:rPr>
              <w:t>Excess vibration leading to damaged electrical wires that can result in shock/electrocution.</w:t>
            </w:r>
          </w:p>
        </w:tc>
        <w:tc>
          <w:tcPr>
            <w:tcW w:w="709" w:type="dxa"/>
            <w:tcBorders>
              <w:top w:val="single" w:sz="6" w:space="0" w:color="auto"/>
              <w:bottom w:val="single" w:sz="6" w:space="0" w:color="auto"/>
            </w:tcBorders>
            <w:vAlign w:val="center"/>
          </w:tcPr>
          <w:p w14:paraId="105FC94C"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9" w:type="dxa"/>
            <w:tcBorders>
              <w:top w:val="single" w:sz="6" w:space="0" w:color="auto"/>
              <w:bottom w:val="single" w:sz="6" w:space="0" w:color="auto"/>
            </w:tcBorders>
            <w:vAlign w:val="center"/>
          </w:tcPr>
          <w:p w14:paraId="45BA34D0"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850" w:type="dxa"/>
            <w:tcBorders>
              <w:top w:val="single" w:sz="6" w:space="0" w:color="auto"/>
              <w:bottom w:val="single" w:sz="6" w:space="0" w:color="auto"/>
            </w:tcBorders>
            <w:shd w:val="clear" w:color="auto" w:fill="FFFF00"/>
            <w:vAlign w:val="center"/>
          </w:tcPr>
          <w:p w14:paraId="1388DEFD" w14:textId="7777777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9</w:t>
            </w:r>
          </w:p>
        </w:tc>
        <w:tc>
          <w:tcPr>
            <w:tcW w:w="2977" w:type="dxa"/>
            <w:tcBorders>
              <w:top w:val="single" w:sz="6" w:space="0" w:color="auto"/>
              <w:bottom w:val="single" w:sz="6" w:space="0" w:color="auto"/>
            </w:tcBorders>
          </w:tcPr>
          <w:p w14:paraId="6615721D"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t>Crew competency training in assessing workspace before interacting</w:t>
            </w:r>
          </w:p>
          <w:p w14:paraId="04DF5812" w14:textId="5EC1D08C" w:rsidR="00296CD3" w:rsidRDefault="00296CD3" w:rsidP="00296CD3">
            <w:pPr>
              <w:spacing w:line="276" w:lineRule="auto"/>
              <w:rPr>
                <w:rFonts w:cs="Arial"/>
                <w:sz w:val="20"/>
                <w:lang w:eastAsia="en-GB"/>
              </w:rPr>
            </w:pPr>
            <w:r w:rsidRPr="002353B7">
              <w:rPr>
                <w:rFonts w:cs="Arial"/>
                <w:sz w:val="18"/>
                <w:szCs w:val="22"/>
                <w:lang w:eastAsia="en-GB"/>
              </w:rPr>
              <w:t xml:space="preserve">Routine testing and calibration of equipment before use </w:t>
            </w:r>
          </w:p>
        </w:tc>
        <w:tc>
          <w:tcPr>
            <w:tcW w:w="709" w:type="dxa"/>
            <w:tcBorders>
              <w:top w:val="single" w:sz="6" w:space="0" w:color="auto"/>
              <w:bottom w:val="single" w:sz="6" w:space="0" w:color="auto"/>
            </w:tcBorders>
            <w:vAlign w:val="center"/>
          </w:tcPr>
          <w:p w14:paraId="07425AF2" w14:textId="75C9A9F7"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3</w:t>
            </w:r>
          </w:p>
        </w:tc>
        <w:tc>
          <w:tcPr>
            <w:tcW w:w="708" w:type="dxa"/>
            <w:tcBorders>
              <w:top w:val="single" w:sz="6" w:space="0" w:color="auto"/>
              <w:bottom w:val="single" w:sz="6" w:space="0" w:color="auto"/>
            </w:tcBorders>
            <w:vAlign w:val="center"/>
          </w:tcPr>
          <w:p w14:paraId="17A7B66E" w14:textId="548A542D"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180E5C80" w14:textId="59CC2E78" w:rsidR="00296CD3" w:rsidRPr="002F1713" w:rsidRDefault="00296CD3" w:rsidP="00296CD3">
            <w:pPr>
              <w:spacing w:line="276" w:lineRule="auto"/>
              <w:jc w:val="center"/>
              <w:rPr>
                <w:rFonts w:cs="Arial"/>
                <w:b/>
                <w:sz w:val="22"/>
                <w:szCs w:val="22"/>
                <w:lang w:eastAsia="en-GB"/>
              </w:rPr>
            </w:pPr>
            <w:r w:rsidRPr="002F1713">
              <w:rPr>
                <w:rFonts w:cs="Arial"/>
                <w:b/>
                <w:sz w:val="22"/>
                <w:szCs w:val="22"/>
                <w:lang w:eastAsia="en-GB"/>
              </w:rPr>
              <w:t>6</w:t>
            </w:r>
          </w:p>
        </w:tc>
      </w:tr>
      <w:tr w:rsidR="00296CD3" w:rsidRPr="00582D86" w14:paraId="5E64E7A8" w14:textId="77777777" w:rsidTr="00D530C1">
        <w:trPr>
          <w:trHeight w:val="1134"/>
        </w:trPr>
        <w:tc>
          <w:tcPr>
            <w:tcW w:w="2253" w:type="dxa"/>
            <w:vMerge/>
            <w:tcBorders>
              <w:bottom w:val="single" w:sz="6" w:space="0" w:color="auto"/>
            </w:tcBorders>
          </w:tcPr>
          <w:p w14:paraId="54142DD5" w14:textId="77777777" w:rsidR="00296CD3" w:rsidRPr="00F3355F" w:rsidRDefault="00296CD3" w:rsidP="00296CD3">
            <w:pPr>
              <w:pStyle w:val="ListParagraph"/>
              <w:numPr>
                <w:ilvl w:val="0"/>
                <w:numId w:val="34"/>
              </w:numPr>
              <w:spacing w:before="0" w:line="276" w:lineRule="auto"/>
              <w:jc w:val="left"/>
              <w:rPr>
                <w:rFonts w:cs="Arial"/>
                <w:sz w:val="20"/>
                <w:lang w:eastAsia="en-GB"/>
              </w:rPr>
            </w:pPr>
          </w:p>
        </w:tc>
        <w:tc>
          <w:tcPr>
            <w:tcW w:w="2410" w:type="dxa"/>
            <w:tcBorders>
              <w:top w:val="single" w:sz="6" w:space="0" w:color="auto"/>
              <w:bottom w:val="single" w:sz="6" w:space="0" w:color="auto"/>
            </w:tcBorders>
          </w:tcPr>
          <w:p w14:paraId="252F37B2" w14:textId="75B1DC42"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Tank crew</w:t>
            </w:r>
          </w:p>
        </w:tc>
        <w:tc>
          <w:tcPr>
            <w:tcW w:w="3402" w:type="dxa"/>
            <w:tcBorders>
              <w:top w:val="single" w:sz="6" w:space="0" w:color="auto"/>
              <w:bottom w:val="single" w:sz="6" w:space="0" w:color="auto"/>
            </w:tcBorders>
          </w:tcPr>
          <w:p w14:paraId="1F78700C" w14:textId="79CA3763"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Vibration causing damage to exhaust seals leading to carbon monoxide build up in cabin.</w:t>
            </w:r>
          </w:p>
        </w:tc>
        <w:tc>
          <w:tcPr>
            <w:tcW w:w="709" w:type="dxa"/>
            <w:tcBorders>
              <w:top w:val="single" w:sz="6" w:space="0" w:color="auto"/>
              <w:bottom w:val="single" w:sz="6" w:space="0" w:color="auto"/>
            </w:tcBorders>
            <w:vAlign w:val="center"/>
          </w:tcPr>
          <w:p w14:paraId="6A6F41AA" w14:textId="32431DFF"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709" w:type="dxa"/>
            <w:tcBorders>
              <w:top w:val="single" w:sz="6" w:space="0" w:color="auto"/>
              <w:bottom w:val="single" w:sz="6" w:space="0" w:color="auto"/>
            </w:tcBorders>
            <w:vAlign w:val="center"/>
          </w:tcPr>
          <w:p w14:paraId="493717A2" w14:textId="77777777"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850" w:type="dxa"/>
            <w:tcBorders>
              <w:top w:val="single" w:sz="6" w:space="0" w:color="auto"/>
              <w:bottom w:val="single" w:sz="6" w:space="0" w:color="auto"/>
            </w:tcBorders>
            <w:shd w:val="clear" w:color="auto" w:fill="FF0000"/>
            <w:vAlign w:val="center"/>
          </w:tcPr>
          <w:p w14:paraId="61928BE0" w14:textId="48BEF94C"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16</w:t>
            </w:r>
          </w:p>
        </w:tc>
        <w:tc>
          <w:tcPr>
            <w:tcW w:w="2977" w:type="dxa"/>
            <w:tcBorders>
              <w:top w:val="single" w:sz="6" w:space="0" w:color="auto"/>
              <w:bottom w:val="single" w:sz="6" w:space="0" w:color="auto"/>
            </w:tcBorders>
          </w:tcPr>
          <w:p w14:paraId="5413FDB0"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t>Crew competency training in assessing workspace before interacting</w:t>
            </w:r>
          </w:p>
          <w:p w14:paraId="08600F73"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t>Routine testing and calibration of equipment before use</w:t>
            </w:r>
          </w:p>
          <w:p w14:paraId="51662643" w14:textId="77777777" w:rsidR="00296CD3" w:rsidRDefault="00296CD3" w:rsidP="00296CD3">
            <w:pPr>
              <w:spacing w:line="276" w:lineRule="auto"/>
              <w:rPr>
                <w:rFonts w:cs="Arial"/>
                <w:sz w:val="18"/>
                <w:szCs w:val="22"/>
                <w:lang w:eastAsia="en-GB"/>
              </w:rPr>
            </w:pPr>
            <w:r>
              <w:rPr>
                <w:rFonts w:cs="Arial"/>
                <w:sz w:val="18"/>
                <w:szCs w:val="22"/>
                <w:lang w:eastAsia="en-GB"/>
              </w:rPr>
              <w:t>CO monitors and v</w:t>
            </w:r>
            <w:r w:rsidRPr="002353B7">
              <w:rPr>
                <w:rFonts w:cs="Arial"/>
                <w:sz w:val="18"/>
                <w:szCs w:val="22"/>
                <w:lang w:eastAsia="en-GB"/>
              </w:rPr>
              <w:t>ents installed to allow for airflow within the cabin</w:t>
            </w:r>
          </w:p>
          <w:p w14:paraId="4E0CEB0A" w14:textId="505C9A0E" w:rsidR="00296CD3" w:rsidRPr="002353B7" w:rsidRDefault="00296CD3" w:rsidP="00296CD3">
            <w:pPr>
              <w:spacing w:line="276" w:lineRule="auto"/>
              <w:rPr>
                <w:rFonts w:cs="Arial"/>
                <w:sz w:val="18"/>
                <w:szCs w:val="22"/>
                <w:lang w:eastAsia="en-GB"/>
              </w:rPr>
            </w:pPr>
            <w:r>
              <w:rPr>
                <w:rFonts w:cs="Arial"/>
                <w:sz w:val="18"/>
                <w:szCs w:val="22"/>
                <w:lang w:eastAsia="en-GB"/>
              </w:rPr>
              <w:t>Appropriate PPE to be worn if necessary (air-filter masks)</w:t>
            </w:r>
          </w:p>
        </w:tc>
        <w:tc>
          <w:tcPr>
            <w:tcW w:w="709" w:type="dxa"/>
            <w:tcBorders>
              <w:top w:val="single" w:sz="6" w:space="0" w:color="auto"/>
              <w:bottom w:val="single" w:sz="6" w:space="0" w:color="auto"/>
            </w:tcBorders>
            <w:vAlign w:val="center"/>
          </w:tcPr>
          <w:p w14:paraId="60A1B03A" w14:textId="3D884C9D"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708" w:type="dxa"/>
            <w:tcBorders>
              <w:top w:val="single" w:sz="6" w:space="0" w:color="auto"/>
              <w:bottom w:val="single" w:sz="6" w:space="0" w:color="auto"/>
            </w:tcBorders>
            <w:vAlign w:val="center"/>
          </w:tcPr>
          <w:p w14:paraId="35F299DB" w14:textId="1F5F4514" w:rsidR="00296CD3" w:rsidRPr="002353B7" w:rsidRDefault="00296CD3" w:rsidP="00296CD3">
            <w:pPr>
              <w:spacing w:line="276" w:lineRule="auto"/>
              <w:jc w:val="center"/>
              <w:rPr>
                <w:rFonts w:cs="Arial"/>
                <w:b/>
                <w:sz w:val="22"/>
                <w:szCs w:val="22"/>
                <w:lang w:eastAsia="en-GB"/>
              </w:rPr>
            </w:pPr>
            <w:r>
              <w:rPr>
                <w:rFonts w:cs="Arial"/>
                <w:b/>
                <w:sz w:val="22"/>
                <w:szCs w:val="22"/>
                <w:lang w:eastAsia="en-GB"/>
              </w:rPr>
              <w:t>2</w:t>
            </w:r>
          </w:p>
        </w:tc>
        <w:tc>
          <w:tcPr>
            <w:tcW w:w="832" w:type="dxa"/>
            <w:tcBorders>
              <w:top w:val="single" w:sz="6" w:space="0" w:color="auto"/>
              <w:bottom w:val="single" w:sz="6" w:space="0" w:color="auto"/>
            </w:tcBorders>
            <w:shd w:val="clear" w:color="auto" w:fill="FFFF00"/>
            <w:vAlign w:val="center"/>
          </w:tcPr>
          <w:p w14:paraId="370538E8" w14:textId="3BCCCABB" w:rsidR="00296CD3" w:rsidRPr="002353B7" w:rsidRDefault="00296CD3" w:rsidP="00296CD3">
            <w:pPr>
              <w:spacing w:line="276" w:lineRule="auto"/>
              <w:jc w:val="center"/>
              <w:rPr>
                <w:rFonts w:cs="Arial"/>
                <w:b/>
                <w:sz w:val="22"/>
                <w:szCs w:val="22"/>
                <w:lang w:eastAsia="en-GB"/>
              </w:rPr>
            </w:pPr>
            <w:r>
              <w:rPr>
                <w:rFonts w:cs="Arial"/>
                <w:b/>
                <w:sz w:val="22"/>
                <w:szCs w:val="22"/>
                <w:lang w:eastAsia="en-GB"/>
              </w:rPr>
              <w:t>8</w:t>
            </w:r>
          </w:p>
        </w:tc>
      </w:tr>
      <w:tr w:rsidR="00296CD3" w:rsidRPr="00582D86" w14:paraId="4BCD1C21" w14:textId="77777777" w:rsidTr="00F466EF">
        <w:trPr>
          <w:trHeight w:val="1134"/>
        </w:trPr>
        <w:tc>
          <w:tcPr>
            <w:tcW w:w="2253" w:type="dxa"/>
            <w:tcBorders>
              <w:top w:val="single" w:sz="6" w:space="0" w:color="auto"/>
              <w:bottom w:val="single" w:sz="6" w:space="0" w:color="auto"/>
            </w:tcBorders>
          </w:tcPr>
          <w:p w14:paraId="60180DE4" w14:textId="77777777" w:rsidR="00296CD3" w:rsidRPr="002353B7" w:rsidRDefault="00296CD3" w:rsidP="00296CD3">
            <w:pPr>
              <w:spacing w:line="276" w:lineRule="auto"/>
              <w:jc w:val="center"/>
              <w:rPr>
                <w:rFonts w:cs="Arial"/>
                <w:sz w:val="18"/>
                <w:szCs w:val="22"/>
                <w:lang w:eastAsia="en-GB"/>
              </w:rPr>
            </w:pPr>
            <w:r w:rsidRPr="002353B7">
              <w:rPr>
                <w:rFonts w:cs="Arial"/>
                <w:sz w:val="18"/>
                <w:szCs w:val="22"/>
                <w:lang w:eastAsia="en-GB"/>
              </w:rPr>
              <w:t>Noise</w:t>
            </w:r>
          </w:p>
        </w:tc>
        <w:tc>
          <w:tcPr>
            <w:tcW w:w="2410" w:type="dxa"/>
            <w:tcBorders>
              <w:top w:val="single" w:sz="6" w:space="0" w:color="auto"/>
              <w:bottom w:val="single" w:sz="6" w:space="0" w:color="auto"/>
            </w:tcBorders>
          </w:tcPr>
          <w:p w14:paraId="007BCBD0" w14:textId="77777777"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Tank crew</w:t>
            </w:r>
          </w:p>
          <w:p w14:paraId="15D9D952" w14:textId="5CE5308D"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Personnel in immediate range of the vehicle</w:t>
            </w:r>
          </w:p>
        </w:tc>
        <w:tc>
          <w:tcPr>
            <w:tcW w:w="3402" w:type="dxa"/>
            <w:tcBorders>
              <w:top w:val="single" w:sz="6" w:space="0" w:color="auto"/>
              <w:bottom w:val="single" w:sz="6" w:space="0" w:color="auto"/>
            </w:tcBorders>
          </w:tcPr>
          <w:p w14:paraId="0BE558CB" w14:textId="77777777" w:rsidR="00296CD3" w:rsidRPr="002353B7" w:rsidRDefault="00296CD3" w:rsidP="00296CD3">
            <w:pPr>
              <w:spacing w:line="276" w:lineRule="auto"/>
              <w:jc w:val="left"/>
              <w:rPr>
                <w:rFonts w:cs="Arial"/>
                <w:sz w:val="18"/>
                <w:szCs w:val="22"/>
                <w:lang w:eastAsia="en-GB"/>
              </w:rPr>
            </w:pPr>
            <w:r w:rsidRPr="002353B7">
              <w:rPr>
                <w:rFonts w:cs="Arial"/>
                <w:sz w:val="18"/>
                <w:szCs w:val="22"/>
                <w:lang w:eastAsia="en-GB"/>
              </w:rPr>
              <w:t>Extreme noise from both normal and abnormal operation leading to hearing loss</w:t>
            </w:r>
          </w:p>
        </w:tc>
        <w:tc>
          <w:tcPr>
            <w:tcW w:w="709" w:type="dxa"/>
            <w:tcBorders>
              <w:top w:val="single" w:sz="6" w:space="0" w:color="auto"/>
              <w:bottom w:val="single" w:sz="6" w:space="0" w:color="auto"/>
            </w:tcBorders>
            <w:vAlign w:val="center"/>
          </w:tcPr>
          <w:p w14:paraId="788C22C2" w14:textId="71B15BB9"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2</w:t>
            </w:r>
          </w:p>
        </w:tc>
        <w:tc>
          <w:tcPr>
            <w:tcW w:w="709" w:type="dxa"/>
            <w:tcBorders>
              <w:top w:val="single" w:sz="6" w:space="0" w:color="auto"/>
              <w:bottom w:val="single" w:sz="6" w:space="0" w:color="auto"/>
            </w:tcBorders>
            <w:vAlign w:val="center"/>
          </w:tcPr>
          <w:p w14:paraId="331E6377" w14:textId="702A4371"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c>
          <w:tcPr>
            <w:tcW w:w="850" w:type="dxa"/>
            <w:tcBorders>
              <w:top w:val="single" w:sz="6" w:space="0" w:color="auto"/>
              <w:bottom w:val="single" w:sz="6" w:space="0" w:color="auto"/>
            </w:tcBorders>
            <w:shd w:val="clear" w:color="auto" w:fill="FFFF00"/>
            <w:vAlign w:val="center"/>
          </w:tcPr>
          <w:p w14:paraId="2FDA90CB" w14:textId="487B55FF"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8</w:t>
            </w:r>
          </w:p>
        </w:tc>
        <w:tc>
          <w:tcPr>
            <w:tcW w:w="2977" w:type="dxa"/>
            <w:tcBorders>
              <w:top w:val="single" w:sz="6" w:space="0" w:color="auto"/>
              <w:bottom w:val="single" w:sz="6" w:space="0" w:color="auto"/>
            </w:tcBorders>
          </w:tcPr>
          <w:p w14:paraId="4B6FD847" w14:textId="422FD629" w:rsidR="00296CD3" w:rsidRPr="002353B7" w:rsidRDefault="00296CD3" w:rsidP="00296CD3">
            <w:pPr>
              <w:spacing w:line="276" w:lineRule="auto"/>
              <w:rPr>
                <w:rFonts w:cs="Arial"/>
                <w:sz w:val="18"/>
                <w:szCs w:val="22"/>
                <w:lang w:eastAsia="en-GB"/>
              </w:rPr>
            </w:pPr>
            <w:r w:rsidRPr="002353B7">
              <w:rPr>
                <w:rFonts w:cs="Arial"/>
                <w:sz w:val="18"/>
                <w:szCs w:val="22"/>
                <w:lang w:eastAsia="en-GB"/>
              </w:rPr>
              <w:t>Implement danger zone and restrict access to only necessary personnel within the radius of high levels of noise</w:t>
            </w:r>
          </w:p>
          <w:p w14:paraId="368C7BBE" w14:textId="77777777" w:rsidR="00296CD3" w:rsidRPr="002353B7" w:rsidRDefault="00296CD3" w:rsidP="00296CD3">
            <w:pPr>
              <w:spacing w:line="276" w:lineRule="auto"/>
              <w:rPr>
                <w:rFonts w:cs="Arial"/>
                <w:sz w:val="18"/>
                <w:szCs w:val="22"/>
                <w:lang w:eastAsia="en-GB"/>
              </w:rPr>
            </w:pPr>
            <w:r w:rsidRPr="002353B7">
              <w:rPr>
                <w:rFonts w:cs="Arial"/>
                <w:sz w:val="18"/>
                <w:szCs w:val="22"/>
                <w:lang w:eastAsia="en-GB"/>
              </w:rPr>
              <w:lastRenderedPageBreak/>
              <w:t>Appropriate PPE to be worn (hearing protection)</w:t>
            </w:r>
          </w:p>
          <w:p w14:paraId="6EF176F0" w14:textId="2516A377" w:rsidR="00296CD3" w:rsidRDefault="00296CD3" w:rsidP="00296CD3">
            <w:pPr>
              <w:spacing w:line="276" w:lineRule="auto"/>
              <w:rPr>
                <w:rFonts w:cs="Arial"/>
                <w:sz w:val="20"/>
                <w:lang w:eastAsia="en-GB"/>
              </w:rPr>
            </w:pPr>
            <w:r w:rsidRPr="002353B7">
              <w:rPr>
                <w:rFonts w:cs="Arial"/>
                <w:sz w:val="18"/>
                <w:szCs w:val="22"/>
                <w:lang w:eastAsia="en-GB"/>
              </w:rPr>
              <w:t>Crew competency training on correct handling to limit noise emitted</w:t>
            </w:r>
          </w:p>
        </w:tc>
        <w:tc>
          <w:tcPr>
            <w:tcW w:w="709" w:type="dxa"/>
            <w:tcBorders>
              <w:top w:val="single" w:sz="6" w:space="0" w:color="auto"/>
              <w:bottom w:val="single" w:sz="6" w:space="0" w:color="auto"/>
            </w:tcBorders>
            <w:vAlign w:val="center"/>
          </w:tcPr>
          <w:p w14:paraId="406CC20F" w14:textId="206A37B8"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lastRenderedPageBreak/>
              <w:t>2</w:t>
            </w:r>
          </w:p>
        </w:tc>
        <w:tc>
          <w:tcPr>
            <w:tcW w:w="708" w:type="dxa"/>
            <w:tcBorders>
              <w:top w:val="single" w:sz="6" w:space="0" w:color="auto"/>
              <w:bottom w:val="single" w:sz="6" w:space="0" w:color="auto"/>
            </w:tcBorders>
            <w:vAlign w:val="center"/>
          </w:tcPr>
          <w:p w14:paraId="275D9071" w14:textId="6128056C"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1</w:t>
            </w:r>
          </w:p>
        </w:tc>
        <w:tc>
          <w:tcPr>
            <w:tcW w:w="832" w:type="dxa"/>
            <w:tcBorders>
              <w:top w:val="single" w:sz="6" w:space="0" w:color="auto"/>
              <w:bottom w:val="single" w:sz="6" w:space="0" w:color="auto"/>
            </w:tcBorders>
            <w:shd w:val="clear" w:color="auto" w:fill="00FF00"/>
            <w:vAlign w:val="center"/>
          </w:tcPr>
          <w:p w14:paraId="4B7B1478" w14:textId="3AE7245B" w:rsidR="00296CD3" w:rsidRPr="002353B7" w:rsidRDefault="00296CD3" w:rsidP="00296CD3">
            <w:pPr>
              <w:spacing w:line="276" w:lineRule="auto"/>
              <w:jc w:val="center"/>
              <w:rPr>
                <w:rFonts w:cs="Arial"/>
                <w:b/>
                <w:sz w:val="22"/>
                <w:szCs w:val="22"/>
                <w:lang w:eastAsia="en-GB"/>
              </w:rPr>
            </w:pPr>
            <w:r w:rsidRPr="002353B7">
              <w:rPr>
                <w:rFonts w:cs="Arial"/>
                <w:b/>
                <w:sz w:val="22"/>
                <w:szCs w:val="22"/>
                <w:lang w:eastAsia="en-GB"/>
              </w:rPr>
              <w:t>4</w:t>
            </w:r>
          </w:p>
        </w:tc>
      </w:tr>
    </w:tbl>
    <w:p w14:paraId="50DC3364" w14:textId="77777777" w:rsidR="00441731" w:rsidRDefault="00441731" w:rsidP="008F044B">
      <w:pPr>
        <w:spacing w:line="240" w:lineRule="auto"/>
      </w:pPr>
    </w:p>
    <w:p w14:paraId="316DCD12" w14:textId="77777777" w:rsidR="00441731" w:rsidRDefault="00441731" w:rsidP="008F044B">
      <w:pPr>
        <w:spacing w:line="240" w:lineRule="auto"/>
      </w:pPr>
    </w:p>
    <w:p w14:paraId="38B3A71C" w14:textId="36362BDB" w:rsidR="0063075B" w:rsidRDefault="0063075B" w:rsidP="008F044B">
      <w:pPr>
        <w:spacing w:line="240" w:lineRule="auto"/>
        <w:rPr>
          <w:rFonts w:ascii="Times New Roman" w:hAnsi="Times New Roman"/>
          <w:sz w:val="20"/>
          <w:lang w:eastAsia="en-GB"/>
        </w:rPr>
      </w:pPr>
      <w:r>
        <w:fldChar w:fldCharType="begin"/>
      </w:r>
      <w:r>
        <w:instrText xml:space="preserve"> LINK Excel.Sheet.12 "\\\\BAESTNMDS003v04\\Washington_alana.martin$\\Desktop\\Risk Matrix.xlsx" "Sheet1!R2C2:R10C9" \a \f 4 \h  \* MERGEFORMAT </w:instrText>
      </w:r>
      <w:r>
        <w:fldChar w:fldCharType="separate"/>
      </w:r>
    </w:p>
    <w:tbl>
      <w:tblPr>
        <w:tblW w:w="14300" w:type="dxa"/>
        <w:tblLook w:val="04A0" w:firstRow="1" w:lastRow="0" w:firstColumn="1" w:lastColumn="0" w:noHBand="0" w:noVBand="1"/>
      </w:tblPr>
      <w:tblGrid>
        <w:gridCol w:w="802"/>
        <w:gridCol w:w="7923"/>
        <w:gridCol w:w="338"/>
        <w:gridCol w:w="1001"/>
        <w:gridCol w:w="1028"/>
        <w:gridCol w:w="1299"/>
        <w:gridCol w:w="786"/>
        <w:gridCol w:w="1123"/>
      </w:tblGrid>
      <w:tr w:rsidR="0063075B" w:rsidRPr="00F57F3A" w14:paraId="3471AD07" w14:textId="77777777" w:rsidTr="00324342">
        <w:trPr>
          <w:trHeight w:val="320"/>
        </w:trPr>
        <w:tc>
          <w:tcPr>
            <w:tcW w:w="14300" w:type="dxa"/>
            <w:gridSpan w:val="8"/>
            <w:tcBorders>
              <w:top w:val="single" w:sz="8" w:space="0" w:color="auto"/>
              <w:left w:val="single" w:sz="8" w:space="0" w:color="auto"/>
              <w:bottom w:val="single" w:sz="8" w:space="0" w:color="auto"/>
              <w:right w:val="single" w:sz="8" w:space="0" w:color="000000"/>
            </w:tcBorders>
            <w:vAlign w:val="center"/>
            <w:hideMark/>
          </w:tcPr>
          <w:p w14:paraId="5F1E9CC9"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Part 3: Risk Assessment Matrix </w:t>
            </w:r>
          </w:p>
        </w:tc>
      </w:tr>
      <w:tr w:rsidR="0063075B" w:rsidRPr="00F57F3A" w14:paraId="29E47FB1" w14:textId="77777777" w:rsidTr="00324342">
        <w:trPr>
          <w:trHeight w:val="320"/>
        </w:trPr>
        <w:tc>
          <w:tcPr>
            <w:tcW w:w="14300" w:type="dxa"/>
            <w:gridSpan w:val="8"/>
            <w:tcBorders>
              <w:top w:val="single" w:sz="8" w:space="0" w:color="auto"/>
              <w:left w:val="single" w:sz="8" w:space="0" w:color="auto"/>
              <w:bottom w:val="single" w:sz="8" w:space="0" w:color="auto"/>
              <w:right w:val="single" w:sz="8" w:space="0" w:color="000000"/>
            </w:tcBorders>
            <w:vAlign w:val="center"/>
            <w:hideMark/>
          </w:tcPr>
          <w:p w14:paraId="0807AF80"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Risk Matrix </w:t>
            </w:r>
          </w:p>
        </w:tc>
      </w:tr>
      <w:tr w:rsidR="0063075B" w:rsidRPr="00F57F3A" w14:paraId="3F716AEF" w14:textId="77777777" w:rsidTr="0063075B">
        <w:trPr>
          <w:trHeight w:val="556"/>
        </w:trPr>
        <w:tc>
          <w:tcPr>
            <w:tcW w:w="1133" w:type="dxa"/>
            <w:vMerge w:val="restart"/>
            <w:tcBorders>
              <w:top w:val="nil"/>
              <w:left w:val="single" w:sz="8" w:space="0" w:color="auto"/>
              <w:bottom w:val="single" w:sz="8" w:space="0" w:color="000000"/>
              <w:right w:val="single" w:sz="8" w:space="0" w:color="auto"/>
            </w:tcBorders>
            <w:textDirection w:val="tbLrV"/>
            <w:vAlign w:val="center"/>
            <w:hideMark/>
          </w:tcPr>
          <w:p w14:paraId="3E037A00" w14:textId="77777777" w:rsidR="0063075B" w:rsidRPr="00F57F3A" w:rsidRDefault="0063075B" w:rsidP="008F044B">
            <w:pPr>
              <w:bidi/>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 xml:space="preserve">Severity </w:t>
            </w:r>
          </w:p>
        </w:tc>
        <w:tc>
          <w:tcPr>
            <w:tcW w:w="7923" w:type="dxa"/>
            <w:tcBorders>
              <w:top w:val="nil"/>
              <w:left w:val="nil"/>
              <w:bottom w:val="single" w:sz="8" w:space="0" w:color="auto"/>
              <w:right w:val="single" w:sz="8" w:space="0" w:color="auto"/>
            </w:tcBorders>
            <w:noWrap/>
            <w:vAlign w:val="center"/>
            <w:hideMark/>
          </w:tcPr>
          <w:p w14:paraId="266C1D88" w14:textId="77777777" w:rsidR="0063075B" w:rsidRPr="00F57F3A" w:rsidRDefault="0063075B" w:rsidP="008F044B">
            <w:pPr>
              <w:spacing w:line="240" w:lineRule="auto"/>
              <w:rPr>
                <w:rFonts w:ascii="Calibri" w:hAnsi="Calibri" w:cs="Calibri"/>
                <w:b/>
                <w:bCs/>
                <w:color w:val="000000"/>
                <w:rtl/>
                <w:lang w:eastAsia="en-GB"/>
              </w:rPr>
            </w:pPr>
            <w:r w:rsidRPr="00F57F3A">
              <w:rPr>
                <w:rFonts w:ascii="Calibri" w:hAnsi="Calibri" w:cs="Calibri"/>
                <w:b/>
                <w:bCs/>
                <w:color w:val="000000"/>
                <w:lang w:eastAsia="en-GB"/>
              </w:rPr>
              <w:t>Multiple fatalities &gt;5</w:t>
            </w:r>
          </w:p>
        </w:tc>
        <w:tc>
          <w:tcPr>
            <w:tcW w:w="179" w:type="dxa"/>
            <w:tcBorders>
              <w:top w:val="nil"/>
              <w:left w:val="nil"/>
              <w:bottom w:val="single" w:sz="8" w:space="0" w:color="auto"/>
              <w:right w:val="nil"/>
            </w:tcBorders>
            <w:noWrap/>
            <w:vAlign w:val="center"/>
            <w:hideMark/>
          </w:tcPr>
          <w:p w14:paraId="1CB5A17B"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5</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14:paraId="7F00B29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5</w:t>
            </w:r>
          </w:p>
        </w:tc>
        <w:tc>
          <w:tcPr>
            <w:tcW w:w="993" w:type="dxa"/>
            <w:tcBorders>
              <w:top w:val="nil"/>
              <w:left w:val="nil"/>
              <w:bottom w:val="single" w:sz="8" w:space="0" w:color="auto"/>
              <w:right w:val="single" w:sz="8" w:space="0" w:color="auto"/>
            </w:tcBorders>
            <w:shd w:val="clear" w:color="000000" w:fill="FFFF00"/>
            <w:noWrap/>
            <w:vAlign w:val="center"/>
            <w:hideMark/>
          </w:tcPr>
          <w:p w14:paraId="58CF3812"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10</w:t>
            </w:r>
          </w:p>
        </w:tc>
        <w:tc>
          <w:tcPr>
            <w:tcW w:w="1299" w:type="dxa"/>
            <w:tcBorders>
              <w:top w:val="nil"/>
              <w:left w:val="nil"/>
              <w:bottom w:val="single" w:sz="8" w:space="0" w:color="auto"/>
              <w:right w:val="single" w:sz="8" w:space="0" w:color="auto"/>
            </w:tcBorders>
            <w:shd w:val="clear" w:color="000000" w:fill="FF0000"/>
            <w:noWrap/>
            <w:vAlign w:val="center"/>
            <w:hideMark/>
          </w:tcPr>
          <w:p w14:paraId="20A6EAD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15</w:t>
            </w:r>
          </w:p>
        </w:tc>
        <w:tc>
          <w:tcPr>
            <w:tcW w:w="707" w:type="dxa"/>
            <w:tcBorders>
              <w:top w:val="nil"/>
              <w:left w:val="nil"/>
              <w:bottom w:val="single" w:sz="8" w:space="0" w:color="auto"/>
              <w:right w:val="single" w:sz="8" w:space="0" w:color="auto"/>
            </w:tcBorders>
            <w:shd w:val="clear" w:color="000000" w:fill="FF0000"/>
            <w:noWrap/>
            <w:vAlign w:val="center"/>
            <w:hideMark/>
          </w:tcPr>
          <w:p w14:paraId="3E8B63CA"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20</w:t>
            </w:r>
          </w:p>
        </w:tc>
        <w:tc>
          <w:tcPr>
            <w:tcW w:w="1105" w:type="dxa"/>
            <w:tcBorders>
              <w:top w:val="nil"/>
              <w:left w:val="nil"/>
              <w:bottom w:val="single" w:sz="8" w:space="0" w:color="auto"/>
              <w:right w:val="single" w:sz="8" w:space="0" w:color="auto"/>
            </w:tcBorders>
            <w:shd w:val="clear" w:color="000000" w:fill="FF0000"/>
            <w:noWrap/>
            <w:vAlign w:val="center"/>
            <w:hideMark/>
          </w:tcPr>
          <w:p w14:paraId="04800CA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25</w:t>
            </w:r>
          </w:p>
        </w:tc>
      </w:tr>
      <w:tr w:rsidR="0063075B" w:rsidRPr="00F57F3A" w14:paraId="24BC52A2" w14:textId="77777777" w:rsidTr="00324342">
        <w:trPr>
          <w:trHeight w:val="500"/>
        </w:trPr>
        <w:tc>
          <w:tcPr>
            <w:tcW w:w="1133" w:type="dxa"/>
            <w:vMerge/>
            <w:tcBorders>
              <w:top w:val="nil"/>
              <w:left w:val="single" w:sz="8" w:space="0" w:color="auto"/>
              <w:bottom w:val="single" w:sz="8" w:space="0" w:color="000000"/>
              <w:right w:val="single" w:sz="8" w:space="0" w:color="auto"/>
            </w:tcBorders>
            <w:vAlign w:val="center"/>
            <w:hideMark/>
          </w:tcPr>
          <w:p w14:paraId="7D20229F"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54DD18C2"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Fatalities &lt;5</w:t>
            </w:r>
          </w:p>
        </w:tc>
        <w:tc>
          <w:tcPr>
            <w:tcW w:w="179" w:type="dxa"/>
            <w:tcBorders>
              <w:top w:val="nil"/>
              <w:left w:val="nil"/>
              <w:bottom w:val="single" w:sz="8" w:space="0" w:color="auto"/>
              <w:right w:val="nil"/>
            </w:tcBorders>
            <w:noWrap/>
            <w:vAlign w:val="center"/>
            <w:hideMark/>
          </w:tcPr>
          <w:p w14:paraId="410BB30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961" w:type="dxa"/>
            <w:tcBorders>
              <w:top w:val="nil"/>
              <w:left w:val="single" w:sz="8" w:space="0" w:color="auto"/>
              <w:bottom w:val="single" w:sz="8" w:space="0" w:color="auto"/>
              <w:right w:val="single" w:sz="8" w:space="0" w:color="auto"/>
            </w:tcBorders>
            <w:shd w:val="clear" w:color="000000" w:fill="FFFF00"/>
            <w:noWrap/>
            <w:vAlign w:val="center"/>
            <w:hideMark/>
          </w:tcPr>
          <w:p w14:paraId="78DEEFBF"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993" w:type="dxa"/>
            <w:tcBorders>
              <w:top w:val="nil"/>
              <w:left w:val="nil"/>
              <w:bottom w:val="single" w:sz="8" w:space="0" w:color="auto"/>
              <w:right w:val="single" w:sz="8" w:space="0" w:color="auto"/>
            </w:tcBorders>
            <w:shd w:val="clear" w:color="000000" w:fill="FFFF00"/>
            <w:noWrap/>
            <w:vAlign w:val="center"/>
            <w:hideMark/>
          </w:tcPr>
          <w:p w14:paraId="1BA0700B"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8</w:t>
            </w:r>
          </w:p>
        </w:tc>
        <w:tc>
          <w:tcPr>
            <w:tcW w:w="1299" w:type="dxa"/>
            <w:tcBorders>
              <w:top w:val="nil"/>
              <w:left w:val="nil"/>
              <w:bottom w:val="single" w:sz="8" w:space="0" w:color="auto"/>
              <w:right w:val="single" w:sz="8" w:space="0" w:color="auto"/>
            </w:tcBorders>
            <w:shd w:val="clear" w:color="000000" w:fill="FF0000"/>
            <w:noWrap/>
            <w:vAlign w:val="center"/>
            <w:hideMark/>
          </w:tcPr>
          <w:p w14:paraId="74F720FF"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12</w:t>
            </w:r>
          </w:p>
        </w:tc>
        <w:tc>
          <w:tcPr>
            <w:tcW w:w="707" w:type="dxa"/>
            <w:tcBorders>
              <w:top w:val="nil"/>
              <w:left w:val="nil"/>
              <w:bottom w:val="single" w:sz="8" w:space="0" w:color="auto"/>
              <w:right w:val="single" w:sz="8" w:space="0" w:color="auto"/>
            </w:tcBorders>
            <w:shd w:val="clear" w:color="000000" w:fill="FF0000"/>
            <w:noWrap/>
            <w:vAlign w:val="center"/>
            <w:hideMark/>
          </w:tcPr>
          <w:p w14:paraId="47B9D005"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16</w:t>
            </w:r>
          </w:p>
        </w:tc>
        <w:tc>
          <w:tcPr>
            <w:tcW w:w="1105" w:type="dxa"/>
            <w:tcBorders>
              <w:top w:val="nil"/>
              <w:left w:val="nil"/>
              <w:bottom w:val="single" w:sz="8" w:space="0" w:color="auto"/>
              <w:right w:val="single" w:sz="8" w:space="0" w:color="auto"/>
            </w:tcBorders>
            <w:shd w:val="clear" w:color="000000" w:fill="FF0000"/>
            <w:noWrap/>
            <w:vAlign w:val="center"/>
            <w:hideMark/>
          </w:tcPr>
          <w:p w14:paraId="3E6E338C"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20</w:t>
            </w:r>
          </w:p>
        </w:tc>
      </w:tr>
      <w:tr w:rsidR="0063075B" w:rsidRPr="00F57F3A" w14:paraId="1396BD8E" w14:textId="77777777" w:rsidTr="00324342">
        <w:trPr>
          <w:trHeight w:val="490"/>
        </w:trPr>
        <w:tc>
          <w:tcPr>
            <w:tcW w:w="1133" w:type="dxa"/>
            <w:vMerge/>
            <w:tcBorders>
              <w:top w:val="nil"/>
              <w:left w:val="single" w:sz="8" w:space="0" w:color="auto"/>
              <w:bottom w:val="single" w:sz="8" w:space="0" w:color="000000"/>
              <w:right w:val="single" w:sz="8" w:space="0" w:color="auto"/>
            </w:tcBorders>
            <w:vAlign w:val="center"/>
            <w:hideMark/>
          </w:tcPr>
          <w:p w14:paraId="67BAE358"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07B0A6A6" w14:textId="637E565D"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Severe </w:t>
            </w:r>
            <w:r w:rsidR="0040302E" w:rsidRPr="00F57F3A">
              <w:rPr>
                <w:rFonts w:ascii="Calibri" w:hAnsi="Calibri" w:cs="Calibri"/>
                <w:b/>
                <w:bCs/>
                <w:color w:val="000000"/>
                <w:lang w:eastAsia="en-GB"/>
              </w:rPr>
              <w:t>life-threatening</w:t>
            </w:r>
            <w:r w:rsidRPr="00F57F3A">
              <w:rPr>
                <w:rFonts w:ascii="Calibri" w:hAnsi="Calibri" w:cs="Calibri"/>
                <w:b/>
                <w:bCs/>
                <w:color w:val="000000"/>
                <w:lang w:eastAsia="en-GB"/>
              </w:rPr>
              <w:t xml:space="preserve"> injuries requiring immediate hospitalisation </w:t>
            </w:r>
          </w:p>
        </w:tc>
        <w:tc>
          <w:tcPr>
            <w:tcW w:w="179" w:type="dxa"/>
            <w:tcBorders>
              <w:top w:val="nil"/>
              <w:left w:val="nil"/>
              <w:bottom w:val="single" w:sz="8" w:space="0" w:color="auto"/>
              <w:right w:val="nil"/>
            </w:tcBorders>
            <w:noWrap/>
            <w:vAlign w:val="center"/>
            <w:hideMark/>
          </w:tcPr>
          <w:p w14:paraId="1EF5F59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3</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5CDA652F"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3</w:t>
            </w:r>
          </w:p>
        </w:tc>
        <w:tc>
          <w:tcPr>
            <w:tcW w:w="993" w:type="dxa"/>
            <w:tcBorders>
              <w:top w:val="nil"/>
              <w:left w:val="nil"/>
              <w:bottom w:val="single" w:sz="8" w:space="0" w:color="auto"/>
              <w:right w:val="single" w:sz="8" w:space="0" w:color="auto"/>
            </w:tcBorders>
            <w:shd w:val="clear" w:color="000000" w:fill="FFFF00"/>
            <w:noWrap/>
            <w:vAlign w:val="center"/>
            <w:hideMark/>
          </w:tcPr>
          <w:p w14:paraId="4168AE0A"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6</w:t>
            </w:r>
          </w:p>
        </w:tc>
        <w:tc>
          <w:tcPr>
            <w:tcW w:w="1299" w:type="dxa"/>
            <w:tcBorders>
              <w:top w:val="nil"/>
              <w:left w:val="nil"/>
              <w:bottom w:val="single" w:sz="8" w:space="0" w:color="auto"/>
              <w:right w:val="single" w:sz="8" w:space="0" w:color="auto"/>
            </w:tcBorders>
            <w:shd w:val="clear" w:color="000000" w:fill="FFFF00"/>
            <w:noWrap/>
            <w:vAlign w:val="center"/>
            <w:hideMark/>
          </w:tcPr>
          <w:p w14:paraId="67E99A09"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9</w:t>
            </w:r>
          </w:p>
        </w:tc>
        <w:tc>
          <w:tcPr>
            <w:tcW w:w="707" w:type="dxa"/>
            <w:tcBorders>
              <w:top w:val="nil"/>
              <w:left w:val="nil"/>
              <w:bottom w:val="single" w:sz="8" w:space="0" w:color="auto"/>
              <w:right w:val="single" w:sz="8" w:space="0" w:color="auto"/>
            </w:tcBorders>
            <w:shd w:val="clear" w:color="auto" w:fill="FF0000"/>
            <w:noWrap/>
            <w:vAlign w:val="center"/>
            <w:hideMark/>
          </w:tcPr>
          <w:p w14:paraId="07C73466"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12</w:t>
            </w:r>
          </w:p>
        </w:tc>
        <w:tc>
          <w:tcPr>
            <w:tcW w:w="1105" w:type="dxa"/>
            <w:tcBorders>
              <w:top w:val="nil"/>
              <w:left w:val="nil"/>
              <w:bottom w:val="single" w:sz="8" w:space="0" w:color="auto"/>
              <w:right w:val="single" w:sz="8" w:space="0" w:color="auto"/>
            </w:tcBorders>
            <w:shd w:val="clear" w:color="auto" w:fill="FF0000"/>
            <w:noWrap/>
            <w:vAlign w:val="center"/>
            <w:hideMark/>
          </w:tcPr>
          <w:p w14:paraId="0031DA77"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15</w:t>
            </w:r>
          </w:p>
        </w:tc>
      </w:tr>
      <w:tr w:rsidR="0063075B" w:rsidRPr="00F57F3A" w14:paraId="5442A449" w14:textId="77777777" w:rsidTr="00324342">
        <w:trPr>
          <w:trHeight w:val="550"/>
        </w:trPr>
        <w:tc>
          <w:tcPr>
            <w:tcW w:w="1133" w:type="dxa"/>
            <w:vMerge/>
            <w:tcBorders>
              <w:top w:val="nil"/>
              <w:left w:val="single" w:sz="8" w:space="0" w:color="auto"/>
              <w:bottom w:val="single" w:sz="8" w:space="0" w:color="000000"/>
              <w:right w:val="single" w:sz="8" w:space="0" w:color="auto"/>
            </w:tcBorders>
            <w:vAlign w:val="center"/>
            <w:hideMark/>
          </w:tcPr>
          <w:p w14:paraId="18F2BE84"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33838C33" w14:textId="000B6143"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Serious non-</w:t>
            </w:r>
            <w:r w:rsidR="0040302E" w:rsidRPr="00F57F3A">
              <w:rPr>
                <w:rFonts w:ascii="Calibri" w:hAnsi="Calibri" w:cs="Calibri"/>
                <w:b/>
                <w:bCs/>
                <w:color w:val="000000"/>
                <w:lang w:eastAsia="en-GB"/>
              </w:rPr>
              <w:t>life-threatening</w:t>
            </w:r>
            <w:r w:rsidRPr="00F57F3A">
              <w:rPr>
                <w:rFonts w:ascii="Calibri" w:hAnsi="Calibri" w:cs="Calibri"/>
                <w:b/>
                <w:bCs/>
                <w:color w:val="000000"/>
                <w:lang w:eastAsia="en-GB"/>
              </w:rPr>
              <w:t xml:space="preserve"> injuries requiring medical treatment </w:t>
            </w:r>
          </w:p>
        </w:tc>
        <w:tc>
          <w:tcPr>
            <w:tcW w:w="179" w:type="dxa"/>
            <w:tcBorders>
              <w:top w:val="nil"/>
              <w:left w:val="nil"/>
              <w:bottom w:val="single" w:sz="8" w:space="0" w:color="auto"/>
              <w:right w:val="nil"/>
            </w:tcBorders>
            <w:noWrap/>
            <w:vAlign w:val="center"/>
            <w:hideMark/>
          </w:tcPr>
          <w:p w14:paraId="58A6600A"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01BF580C"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w:t>
            </w:r>
          </w:p>
        </w:tc>
        <w:tc>
          <w:tcPr>
            <w:tcW w:w="993" w:type="dxa"/>
            <w:tcBorders>
              <w:top w:val="nil"/>
              <w:left w:val="nil"/>
              <w:bottom w:val="single" w:sz="8" w:space="0" w:color="auto"/>
              <w:right w:val="single" w:sz="8" w:space="0" w:color="auto"/>
            </w:tcBorders>
            <w:shd w:val="clear" w:color="000000" w:fill="48EF31"/>
            <w:noWrap/>
            <w:vAlign w:val="center"/>
            <w:hideMark/>
          </w:tcPr>
          <w:p w14:paraId="24A173DE"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1299" w:type="dxa"/>
            <w:tcBorders>
              <w:top w:val="nil"/>
              <w:left w:val="nil"/>
              <w:bottom w:val="single" w:sz="8" w:space="0" w:color="auto"/>
              <w:right w:val="single" w:sz="8" w:space="0" w:color="auto"/>
            </w:tcBorders>
            <w:shd w:val="clear" w:color="000000" w:fill="FFFF00"/>
            <w:noWrap/>
            <w:vAlign w:val="center"/>
            <w:hideMark/>
          </w:tcPr>
          <w:p w14:paraId="60E6C545"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6</w:t>
            </w:r>
          </w:p>
        </w:tc>
        <w:tc>
          <w:tcPr>
            <w:tcW w:w="707" w:type="dxa"/>
            <w:tcBorders>
              <w:top w:val="nil"/>
              <w:left w:val="nil"/>
              <w:bottom w:val="single" w:sz="8" w:space="0" w:color="auto"/>
              <w:right w:val="single" w:sz="8" w:space="0" w:color="auto"/>
            </w:tcBorders>
            <w:shd w:val="clear" w:color="000000" w:fill="FFFF00"/>
            <w:noWrap/>
            <w:vAlign w:val="center"/>
            <w:hideMark/>
          </w:tcPr>
          <w:p w14:paraId="102ACCB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8</w:t>
            </w:r>
          </w:p>
        </w:tc>
        <w:tc>
          <w:tcPr>
            <w:tcW w:w="1105" w:type="dxa"/>
            <w:tcBorders>
              <w:top w:val="nil"/>
              <w:left w:val="nil"/>
              <w:bottom w:val="single" w:sz="8" w:space="0" w:color="auto"/>
              <w:right w:val="single" w:sz="8" w:space="0" w:color="auto"/>
            </w:tcBorders>
            <w:shd w:val="clear" w:color="000000" w:fill="FFFF00"/>
            <w:noWrap/>
            <w:vAlign w:val="center"/>
            <w:hideMark/>
          </w:tcPr>
          <w:p w14:paraId="54FBA054"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10</w:t>
            </w:r>
          </w:p>
        </w:tc>
      </w:tr>
      <w:tr w:rsidR="0063075B" w:rsidRPr="00F57F3A" w14:paraId="55E04F91" w14:textId="77777777" w:rsidTr="00324342">
        <w:trPr>
          <w:trHeight w:val="490"/>
        </w:trPr>
        <w:tc>
          <w:tcPr>
            <w:tcW w:w="1133" w:type="dxa"/>
            <w:vMerge/>
            <w:tcBorders>
              <w:top w:val="nil"/>
              <w:left w:val="single" w:sz="8" w:space="0" w:color="auto"/>
              <w:bottom w:val="single" w:sz="8" w:space="0" w:color="000000"/>
              <w:right w:val="single" w:sz="8" w:space="0" w:color="auto"/>
            </w:tcBorders>
            <w:vAlign w:val="center"/>
            <w:hideMark/>
          </w:tcPr>
          <w:p w14:paraId="1BA56255" w14:textId="77777777" w:rsidR="0063075B" w:rsidRPr="00F57F3A" w:rsidRDefault="0063075B" w:rsidP="008F044B">
            <w:pPr>
              <w:spacing w:line="240" w:lineRule="auto"/>
              <w:rPr>
                <w:rFonts w:ascii="Calibri" w:hAnsi="Calibri" w:cs="Calibri"/>
                <w:b/>
                <w:bCs/>
                <w:color w:val="000000"/>
                <w:lang w:eastAsia="en-GB"/>
              </w:rPr>
            </w:pPr>
          </w:p>
        </w:tc>
        <w:tc>
          <w:tcPr>
            <w:tcW w:w="7923" w:type="dxa"/>
            <w:tcBorders>
              <w:top w:val="nil"/>
              <w:left w:val="nil"/>
              <w:bottom w:val="single" w:sz="8" w:space="0" w:color="auto"/>
              <w:right w:val="single" w:sz="8" w:space="0" w:color="auto"/>
            </w:tcBorders>
            <w:noWrap/>
            <w:vAlign w:val="center"/>
            <w:hideMark/>
          </w:tcPr>
          <w:p w14:paraId="32BA1A3E"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t xml:space="preserve">Minor injuries requiring first aid treatment </w:t>
            </w:r>
          </w:p>
        </w:tc>
        <w:tc>
          <w:tcPr>
            <w:tcW w:w="179" w:type="dxa"/>
            <w:tcBorders>
              <w:top w:val="nil"/>
              <w:left w:val="nil"/>
              <w:bottom w:val="single" w:sz="8" w:space="0" w:color="auto"/>
              <w:right w:val="nil"/>
            </w:tcBorders>
            <w:noWrap/>
            <w:vAlign w:val="center"/>
            <w:hideMark/>
          </w:tcPr>
          <w:p w14:paraId="288D7B51"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w:t>
            </w:r>
          </w:p>
        </w:tc>
        <w:tc>
          <w:tcPr>
            <w:tcW w:w="961" w:type="dxa"/>
            <w:tcBorders>
              <w:top w:val="nil"/>
              <w:left w:val="single" w:sz="8" w:space="0" w:color="auto"/>
              <w:bottom w:val="single" w:sz="8" w:space="0" w:color="auto"/>
              <w:right w:val="single" w:sz="8" w:space="0" w:color="auto"/>
            </w:tcBorders>
            <w:shd w:val="clear" w:color="000000" w:fill="48EF31"/>
            <w:noWrap/>
            <w:vAlign w:val="center"/>
            <w:hideMark/>
          </w:tcPr>
          <w:p w14:paraId="56C08E24"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w:t>
            </w:r>
          </w:p>
        </w:tc>
        <w:tc>
          <w:tcPr>
            <w:tcW w:w="993" w:type="dxa"/>
            <w:tcBorders>
              <w:top w:val="nil"/>
              <w:left w:val="nil"/>
              <w:bottom w:val="single" w:sz="8" w:space="0" w:color="auto"/>
              <w:right w:val="single" w:sz="8" w:space="0" w:color="auto"/>
            </w:tcBorders>
            <w:shd w:val="clear" w:color="000000" w:fill="48EF31"/>
            <w:noWrap/>
            <w:vAlign w:val="center"/>
            <w:hideMark/>
          </w:tcPr>
          <w:p w14:paraId="3419F25D"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2</w:t>
            </w:r>
          </w:p>
        </w:tc>
        <w:tc>
          <w:tcPr>
            <w:tcW w:w="1299" w:type="dxa"/>
            <w:tcBorders>
              <w:top w:val="nil"/>
              <w:left w:val="nil"/>
              <w:bottom w:val="single" w:sz="8" w:space="0" w:color="auto"/>
              <w:right w:val="single" w:sz="8" w:space="0" w:color="auto"/>
            </w:tcBorders>
            <w:shd w:val="clear" w:color="000000" w:fill="48EF31"/>
            <w:noWrap/>
            <w:vAlign w:val="center"/>
            <w:hideMark/>
          </w:tcPr>
          <w:p w14:paraId="6273BA37"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3</w:t>
            </w:r>
          </w:p>
        </w:tc>
        <w:tc>
          <w:tcPr>
            <w:tcW w:w="707" w:type="dxa"/>
            <w:tcBorders>
              <w:top w:val="nil"/>
              <w:left w:val="nil"/>
              <w:bottom w:val="single" w:sz="8" w:space="0" w:color="auto"/>
              <w:right w:val="single" w:sz="8" w:space="0" w:color="auto"/>
            </w:tcBorders>
            <w:shd w:val="clear" w:color="000000" w:fill="48EF31"/>
            <w:noWrap/>
            <w:vAlign w:val="center"/>
            <w:hideMark/>
          </w:tcPr>
          <w:p w14:paraId="0CBBC76B"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4</w:t>
            </w:r>
          </w:p>
        </w:tc>
        <w:tc>
          <w:tcPr>
            <w:tcW w:w="1105" w:type="dxa"/>
            <w:tcBorders>
              <w:top w:val="nil"/>
              <w:left w:val="nil"/>
              <w:bottom w:val="single" w:sz="8" w:space="0" w:color="auto"/>
              <w:right w:val="single" w:sz="8" w:space="0" w:color="auto"/>
            </w:tcBorders>
            <w:shd w:val="clear" w:color="auto" w:fill="FFFF00"/>
            <w:noWrap/>
            <w:vAlign w:val="center"/>
            <w:hideMark/>
          </w:tcPr>
          <w:p w14:paraId="1ADE1BE1" w14:textId="77777777" w:rsidR="0063075B" w:rsidRPr="00F57F3A" w:rsidRDefault="0063075B" w:rsidP="008F044B">
            <w:pPr>
              <w:spacing w:line="240" w:lineRule="auto"/>
              <w:jc w:val="center"/>
              <w:rPr>
                <w:rFonts w:ascii="Calibri" w:hAnsi="Calibri" w:cs="Calibri"/>
                <w:b/>
                <w:bCs/>
                <w:color w:val="000000"/>
                <w:lang w:eastAsia="en-GB"/>
              </w:rPr>
            </w:pPr>
            <w:r>
              <w:rPr>
                <w:rFonts w:ascii="Calibri" w:hAnsi="Calibri" w:cs="Calibri"/>
                <w:b/>
                <w:bCs/>
                <w:color w:val="000000"/>
                <w:lang w:eastAsia="en-GB"/>
              </w:rPr>
              <w:t>5</w:t>
            </w:r>
          </w:p>
        </w:tc>
      </w:tr>
      <w:tr w:rsidR="0063075B" w:rsidRPr="00F57F3A" w14:paraId="123F7001" w14:textId="77777777" w:rsidTr="00324342">
        <w:trPr>
          <w:trHeight w:val="400"/>
        </w:trPr>
        <w:tc>
          <w:tcPr>
            <w:tcW w:w="9235" w:type="dxa"/>
            <w:gridSpan w:val="3"/>
            <w:vMerge w:val="restart"/>
            <w:tcBorders>
              <w:top w:val="single" w:sz="8" w:space="0" w:color="auto"/>
              <w:left w:val="single" w:sz="8" w:space="0" w:color="auto"/>
              <w:bottom w:val="single" w:sz="8" w:space="0" w:color="000000"/>
              <w:right w:val="single" w:sz="8" w:space="0" w:color="000000"/>
            </w:tcBorders>
            <w:vAlign w:val="center"/>
            <w:hideMark/>
          </w:tcPr>
          <w:p w14:paraId="19595CCC" w14:textId="77777777" w:rsidR="0063075B" w:rsidRPr="00F57F3A" w:rsidRDefault="0063075B" w:rsidP="008F044B">
            <w:pPr>
              <w:spacing w:line="240" w:lineRule="auto"/>
              <w:rPr>
                <w:rFonts w:ascii="Calibri" w:hAnsi="Calibri" w:cs="Calibri"/>
                <w:b/>
                <w:bCs/>
                <w:color w:val="000000"/>
                <w:lang w:eastAsia="en-GB"/>
              </w:rPr>
            </w:pPr>
            <w:r>
              <w:rPr>
                <w:rFonts w:ascii="Calibri" w:hAnsi="Calibri" w:cs="Calibri"/>
                <w:b/>
                <w:bCs/>
                <w:color w:val="000000"/>
                <w:lang w:eastAsia="en-GB"/>
              </w:rPr>
              <w:t>Frequency</w:t>
            </w:r>
            <w:r w:rsidRPr="00F57F3A">
              <w:rPr>
                <w:rFonts w:ascii="Calibri" w:hAnsi="Calibri" w:cs="Calibri"/>
                <w:b/>
                <w:bCs/>
                <w:color w:val="000000"/>
                <w:lang w:eastAsia="en-GB"/>
              </w:rPr>
              <w:t xml:space="preserve"> </w:t>
            </w:r>
          </w:p>
        </w:tc>
        <w:tc>
          <w:tcPr>
            <w:tcW w:w="961" w:type="dxa"/>
            <w:tcBorders>
              <w:top w:val="nil"/>
              <w:left w:val="nil"/>
              <w:bottom w:val="single" w:sz="8" w:space="0" w:color="auto"/>
              <w:right w:val="single" w:sz="8" w:space="0" w:color="auto"/>
            </w:tcBorders>
            <w:shd w:val="clear" w:color="auto" w:fill="FFFFFF" w:themeFill="background1"/>
            <w:noWrap/>
            <w:vAlign w:val="center"/>
            <w:hideMark/>
          </w:tcPr>
          <w:p w14:paraId="1449BFE6"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1</w:t>
            </w:r>
          </w:p>
        </w:tc>
        <w:tc>
          <w:tcPr>
            <w:tcW w:w="993" w:type="dxa"/>
            <w:tcBorders>
              <w:top w:val="nil"/>
              <w:left w:val="nil"/>
              <w:bottom w:val="single" w:sz="8" w:space="0" w:color="auto"/>
              <w:right w:val="single" w:sz="8" w:space="0" w:color="auto"/>
            </w:tcBorders>
            <w:shd w:val="clear" w:color="auto" w:fill="FFFFFF" w:themeFill="background1"/>
            <w:noWrap/>
            <w:vAlign w:val="center"/>
            <w:hideMark/>
          </w:tcPr>
          <w:p w14:paraId="6C53A076"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2</w:t>
            </w:r>
          </w:p>
        </w:tc>
        <w:tc>
          <w:tcPr>
            <w:tcW w:w="1299" w:type="dxa"/>
            <w:tcBorders>
              <w:top w:val="nil"/>
              <w:left w:val="nil"/>
              <w:bottom w:val="single" w:sz="8" w:space="0" w:color="auto"/>
              <w:right w:val="single" w:sz="8" w:space="0" w:color="auto"/>
            </w:tcBorders>
            <w:shd w:val="clear" w:color="auto" w:fill="FFFFFF" w:themeFill="background1"/>
            <w:noWrap/>
            <w:vAlign w:val="center"/>
            <w:hideMark/>
          </w:tcPr>
          <w:p w14:paraId="5F3FBAC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3</w:t>
            </w:r>
          </w:p>
        </w:tc>
        <w:tc>
          <w:tcPr>
            <w:tcW w:w="707" w:type="dxa"/>
            <w:tcBorders>
              <w:top w:val="nil"/>
              <w:left w:val="nil"/>
              <w:bottom w:val="single" w:sz="8" w:space="0" w:color="auto"/>
              <w:right w:val="single" w:sz="8" w:space="0" w:color="auto"/>
            </w:tcBorders>
            <w:shd w:val="clear" w:color="auto" w:fill="FFFFFF" w:themeFill="background1"/>
            <w:noWrap/>
            <w:vAlign w:val="center"/>
            <w:hideMark/>
          </w:tcPr>
          <w:p w14:paraId="2AECBA4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4</w:t>
            </w:r>
          </w:p>
        </w:tc>
        <w:tc>
          <w:tcPr>
            <w:tcW w:w="1105" w:type="dxa"/>
            <w:tcBorders>
              <w:top w:val="nil"/>
              <w:left w:val="nil"/>
              <w:bottom w:val="single" w:sz="8" w:space="0" w:color="auto"/>
              <w:right w:val="single" w:sz="8" w:space="0" w:color="auto"/>
            </w:tcBorders>
            <w:shd w:val="clear" w:color="auto" w:fill="FFFFFF" w:themeFill="background1"/>
            <w:noWrap/>
            <w:vAlign w:val="center"/>
            <w:hideMark/>
          </w:tcPr>
          <w:p w14:paraId="56B253A3"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5</w:t>
            </w:r>
          </w:p>
        </w:tc>
      </w:tr>
      <w:tr w:rsidR="0063075B" w:rsidRPr="00F57F3A" w14:paraId="3EF88072" w14:textId="77777777" w:rsidTr="00324342">
        <w:trPr>
          <w:trHeight w:val="320"/>
        </w:trPr>
        <w:tc>
          <w:tcPr>
            <w:tcW w:w="9235" w:type="dxa"/>
            <w:gridSpan w:val="3"/>
            <w:vMerge/>
            <w:tcBorders>
              <w:top w:val="single" w:sz="8" w:space="0" w:color="auto"/>
              <w:left w:val="single" w:sz="8" w:space="0" w:color="auto"/>
              <w:bottom w:val="single" w:sz="8" w:space="0" w:color="000000"/>
              <w:right w:val="single" w:sz="8" w:space="0" w:color="000000"/>
            </w:tcBorders>
            <w:vAlign w:val="center"/>
            <w:hideMark/>
          </w:tcPr>
          <w:p w14:paraId="26B89D66" w14:textId="77777777" w:rsidR="0063075B" w:rsidRPr="00F57F3A" w:rsidRDefault="0063075B" w:rsidP="008F044B">
            <w:pPr>
              <w:spacing w:line="240" w:lineRule="auto"/>
              <w:rPr>
                <w:rFonts w:ascii="Calibri" w:hAnsi="Calibri" w:cs="Calibri"/>
                <w:b/>
                <w:bCs/>
                <w:color w:val="000000"/>
                <w:lang w:eastAsia="en-GB"/>
              </w:rPr>
            </w:pPr>
          </w:p>
        </w:tc>
        <w:tc>
          <w:tcPr>
            <w:tcW w:w="961" w:type="dxa"/>
            <w:tcBorders>
              <w:top w:val="nil"/>
              <w:left w:val="nil"/>
              <w:bottom w:val="single" w:sz="8" w:space="0" w:color="auto"/>
              <w:right w:val="single" w:sz="8" w:space="0" w:color="auto"/>
            </w:tcBorders>
            <w:noWrap/>
            <w:vAlign w:val="center"/>
            <w:hideMark/>
          </w:tcPr>
          <w:p w14:paraId="137B0D07"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Remote</w:t>
            </w:r>
          </w:p>
        </w:tc>
        <w:tc>
          <w:tcPr>
            <w:tcW w:w="993" w:type="dxa"/>
            <w:tcBorders>
              <w:top w:val="nil"/>
              <w:left w:val="nil"/>
              <w:bottom w:val="single" w:sz="8" w:space="0" w:color="auto"/>
              <w:right w:val="single" w:sz="8" w:space="0" w:color="auto"/>
            </w:tcBorders>
            <w:noWrap/>
            <w:vAlign w:val="center"/>
            <w:hideMark/>
          </w:tcPr>
          <w:p w14:paraId="72AF7725"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Unlikely</w:t>
            </w:r>
          </w:p>
        </w:tc>
        <w:tc>
          <w:tcPr>
            <w:tcW w:w="1299" w:type="dxa"/>
            <w:tcBorders>
              <w:top w:val="nil"/>
              <w:left w:val="nil"/>
              <w:bottom w:val="single" w:sz="8" w:space="0" w:color="auto"/>
              <w:right w:val="single" w:sz="8" w:space="0" w:color="auto"/>
            </w:tcBorders>
            <w:noWrap/>
            <w:vAlign w:val="center"/>
            <w:hideMark/>
          </w:tcPr>
          <w:p w14:paraId="507AA9B9"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Occasional</w:t>
            </w:r>
          </w:p>
        </w:tc>
        <w:tc>
          <w:tcPr>
            <w:tcW w:w="707" w:type="dxa"/>
            <w:tcBorders>
              <w:top w:val="nil"/>
              <w:left w:val="nil"/>
              <w:bottom w:val="single" w:sz="8" w:space="0" w:color="auto"/>
              <w:right w:val="single" w:sz="8" w:space="0" w:color="auto"/>
            </w:tcBorders>
            <w:noWrap/>
            <w:vAlign w:val="center"/>
            <w:hideMark/>
          </w:tcPr>
          <w:p w14:paraId="0CCDEB9D"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 xml:space="preserve">Likely </w:t>
            </w:r>
          </w:p>
        </w:tc>
        <w:tc>
          <w:tcPr>
            <w:tcW w:w="1105" w:type="dxa"/>
            <w:tcBorders>
              <w:top w:val="nil"/>
              <w:left w:val="nil"/>
              <w:bottom w:val="single" w:sz="8" w:space="0" w:color="auto"/>
              <w:right w:val="single" w:sz="8" w:space="0" w:color="auto"/>
            </w:tcBorders>
            <w:noWrap/>
            <w:vAlign w:val="center"/>
            <w:hideMark/>
          </w:tcPr>
          <w:p w14:paraId="52D48B80" w14:textId="77777777" w:rsidR="0063075B" w:rsidRPr="00F57F3A" w:rsidRDefault="0063075B" w:rsidP="008F044B">
            <w:pPr>
              <w:spacing w:line="240" w:lineRule="auto"/>
              <w:jc w:val="center"/>
              <w:rPr>
                <w:rFonts w:ascii="Calibri" w:hAnsi="Calibri" w:cs="Calibri"/>
                <w:b/>
                <w:bCs/>
                <w:color w:val="000000"/>
                <w:lang w:eastAsia="en-GB"/>
              </w:rPr>
            </w:pPr>
            <w:r w:rsidRPr="00F57F3A">
              <w:rPr>
                <w:rFonts w:ascii="Calibri" w:hAnsi="Calibri" w:cs="Calibri"/>
                <w:b/>
                <w:bCs/>
                <w:color w:val="000000"/>
                <w:lang w:eastAsia="en-GB"/>
              </w:rPr>
              <w:t>Frequent</w:t>
            </w:r>
          </w:p>
        </w:tc>
      </w:tr>
    </w:tbl>
    <w:p w14:paraId="5E64722C" w14:textId="77777777" w:rsidR="0063075B" w:rsidRDefault="0063075B" w:rsidP="008F044B">
      <w:pPr>
        <w:spacing w:line="240" w:lineRule="auto"/>
        <w:rPr>
          <w:rFonts w:ascii="Times New Roman" w:hAnsi="Times New Roman"/>
          <w:sz w:val="20"/>
          <w:lang w:eastAsia="en-GB"/>
        </w:rPr>
      </w:pPr>
      <w:r>
        <w:fldChar w:fldCharType="end"/>
      </w:r>
      <w:r>
        <w:fldChar w:fldCharType="begin"/>
      </w:r>
      <w:r>
        <w:instrText xml:space="preserve"> LINK Excel.Sheet.12 "\\\\BAESTNMDS003v04\\Washington_alana.martin$\\Desktop\\Risk Matrix.xlsx" "Sheet3!R3C3:R7C10" \a \f 4 \h  \* MERGEFORMAT </w:instrText>
      </w:r>
      <w:r>
        <w:fldChar w:fldCharType="separate"/>
      </w:r>
    </w:p>
    <w:tbl>
      <w:tblPr>
        <w:tblW w:w="14317" w:type="dxa"/>
        <w:tblLook w:val="04A0" w:firstRow="1" w:lastRow="0" w:firstColumn="1" w:lastColumn="0" w:noHBand="0" w:noVBand="1"/>
      </w:tblPr>
      <w:tblGrid>
        <w:gridCol w:w="905"/>
        <w:gridCol w:w="3094"/>
        <w:gridCol w:w="10318"/>
      </w:tblGrid>
      <w:tr w:rsidR="0063075B" w:rsidRPr="00F57F3A" w14:paraId="2C0C05A5" w14:textId="77777777" w:rsidTr="00324342">
        <w:trPr>
          <w:trHeight w:val="218"/>
        </w:trPr>
        <w:tc>
          <w:tcPr>
            <w:tcW w:w="14317" w:type="dxa"/>
            <w:gridSpan w:val="3"/>
            <w:tcBorders>
              <w:top w:val="single" w:sz="8" w:space="0" w:color="auto"/>
              <w:left w:val="single" w:sz="8" w:space="0" w:color="auto"/>
              <w:bottom w:val="single" w:sz="8" w:space="0" w:color="auto"/>
              <w:right w:val="single" w:sz="8" w:space="0" w:color="000000"/>
            </w:tcBorders>
            <w:vAlign w:val="center"/>
            <w:hideMark/>
          </w:tcPr>
          <w:p w14:paraId="4E7CFD3E" w14:textId="77777777" w:rsidR="0063075B" w:rsidRPr="00F57F3A" w:rsidRDefault="0063075B" w:rsidP="008F044B">
            <w:pPr>
              <w:spacing w:line="240" w:lineRule="auto"/>
              <w:rPr>
                <w:rFonts w:ascii="Calibri" w:hAnsi="Calibri" w:cs="Calibri"/>
                <w:b/>
                <w:bCs/>
                <w:color w:val="000000"/>
                <w:lang w:eastAsia="en-GB"/>
              </w:rPr>
            </w:pPr>
            <w:r w:rsidRPr="00F57F3A">
              <w:rPr>
                <w:rFonts w:ascii="Calibri" w:hAnsi="Calibri" w:cs="Calibri"/>
                <w:b/>
                <w:bCs/>
                <w:color w:val="000000"/>
                <w:lang w:eastAsia="en-GB"/>
              </w:rPr>
              <w:lastRenderedPageBreak/>
              <w:t xml:space="preserve">Assessment to evaluate the suitability of control measures. </w:t>
            </w:r>
          </w:p>
        </w:tc>
      </w:tr>
      <w:tr w:rsidR="0063075B" w:rsidRPr="00F57F3A" w14:paraId="28CCE189" w14:textId="77777777" w:rsidTr="00324342">
        <w:trPr>
          <w:trHeight w:val="205"/>
        </w:trPr>
        <w:tc>
          <w:tcPr>
            <w:tcW w:w="905" w:type="dxa"/>
            <w:tcBorders>
              <w:top w:val="nil"/>
              <w:left w:val="single" w:sz="8" w:space="0" w:color="auto"/>
              <w:bottom w:val="single" w:sz="8" w:space="0" w:color="auto"/>
              <w:right w:val="single" w:sz="8" w:space="0" w:color="auto"/>
            </w:tcBorders>
            <w:vAlign w:val="center"/>
            <w:hideMark/>
          </w:tcPr>
          <w:p w14:paraId="644167C7"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Key </w:t>
            </w:r>
          </w:p>
        </w:tc>
        <w:tc>
          <w:tcPr>
            <w:tcW w:w="13411" w:type="dxa"/>
            <w:gridSpan w:val="2"/>
            <w:tcBorders>
              <w:top w:val="single" w:sz="8" w:space="0" w:color="auto"/>
              <w:left w:val="nil"/>
              <w:bottom w:val="single" w:sz="8" w:space="0" w:color="auto"/>
              <w:right w:val="single" w:sz="8" w:space="0" w:color="000000"/>
            </w:tcBorders>
            <w:vAlign w:val="center"/>
            <w:hideMark/>
          </w:tcPr>
          <w:p w14:paraId="3C371928"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Risk = Severity x Frequency </w:t>
            </w:r>
          </w:p>
        </w:tc>
      </w:tr>
      <w:tr w:rsidR="0063075B" w:rsidRPr="00F57F3A" w14:paraId="0F3E65F5" w14:textId="77777777" w:rsidTr="00324342">
        <w:trPr>
          <w:trHeight w:val="287"/>
        </w:trPr>
        <w:tc>
          <w:tcPr>
            <w:tcW w:w="905" w:type="dxa"/>
            <w:tcBorders>
              <w:top w:val="nil"/>
              <w:left w:val="single" w:sz="8" w:space="0" w:color="auto"/>
              <w:bottom w:val="single" w:sz="8" w:space="0" w:color="auto"/>
              <w:right w:val="single" w:sz="8" w:space="0" w:color="auto"/>
            </w:tcBorders>
            <w:shd w:val="clear" w:color="000000" w:fill="FF0000"/>
            <w:vAlign w:val="center"/>
            <w:hideMark/>
          </w:tcPr>
          <w:p w14:paraId="56F4FB9E"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w:t>
            </w:r>
          </w:p>
        </w:tc>
        <w:tc>
          <w:tcPr>
            <w:tcW w:w="3094" w:type="dxa"/>
            <w:tcBorders>
              <w:top w:val="nil"/>
              <w:left w:val="nil"/>
              <w:bottom w:val="single" w:sz="8" w:space="0" w:color="auto"/>
              <w:right w:val="single" w:sz="8" w:space="0" w:color="auto"/>
            </w:tcBorders>
            <w:vAlign w:val="center"/>
            <w:hideMark/>
          </w:tcPr>
          <w:p w14:paraId="0F65B4BE"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12 - 25 Intolerable </w:t>
            </w:r>
          </w:p>
        </w:tc>
        <w:tc>
          <w:tcPr>
            <w:tcW w:w="10316" w:type="dxa"/>
            <w:tcBorders>
              <w:top w:val="single" w:sz="8" w:space="0" w:color="auto"/>
              <w:left w:val="nil"/>
              <w:bottom w:val="single" w:sz="8" w:space="0" w:color="auto"/>
              <w:right w:val="single" w:sz="8" w:space="0" w:color="000000"/>
            </w:tcBorders>
            <w:noWrap/>
            <w:vAlign w:val="center"/>
            <w:hideMark/>
          </w:tcPr>
          <w:p w14:paraId="4BD3966B" w14:textId="1E40212C"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The risk is too </w:t>
            </w:r>
            <w:r w:rsidR="0040302E" w:rsidRPr="00F57F3A">
              <w:rPr>
                <w:rFonts w:ascii="Calibri" w:hAnsi="Calibri" w:cs="Calibri"/>
                <w:b/>
                <w:bCs/>
                <w:color w:val="000000"/>
                <w:szCs w:val="22"/>
                <w:lang w:eastAsia="en-GB"/>
              </w:rPr>
              <w:t>high;</w:t>
            </w:r>
            <w:r w:rsidRPr="00F57F3A">
              <w:rPr>
                <w:rFonts w:ascii="Calibri" w:hAnsi="Calibri" w:cs="Calibri"/>
                <w:b/>
                <w:bCs/>
                <w:color w:val="000000"/>
                <w:szCs w:val="22"/>
                <w:lang w:eastAsia="en-GB"/>
              </w:rPr>
              <w:t xml:space="preserve"> the activity should cease until control measures are improved. </w:t>
            </w:r>
          </w:p>
        </w:tc>
      </w:tr>
      <w:tr w:rsidR="0063075B" w:rsidRPr="00F57F3A" w14:paraId="7CE5611C" w14:textId="77777777" w:rsidTr="00324342">
        <w:trPr>
          <w:trHeight w:val="252"/>
        </w:trPr>
        <w:tc>
          <w:tcPr>
            <w:tcW w:w="905" w:type="dxa"/>
            <w:tcBorders>
              <w:top w:val="nil"/>
              <w:left w:val="single" w:sz="8" w:space="0" w:color="auto"/>
              <w:bottom w:val="single" w:sz="8" w:space="0" w:color="auto"/>
              <w:right w:val="single" w:sz="8" w:space="0" w:color="auto"/>
            </w:tcBorders>
            <w:shd w:val="clear" w:color="000000" w:fill="FFFF00"/>
            <w:vAlign w:val="center"/>
            <w:hideMark/>
          </w:tcPr>
          <w:p w14:paraId="67DA2EBC"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w:t>
            </w:r>
          </w:p>
        </w:tc>
        <w:tc>
          <w:tcPr>
            <w:tcW w:w="3094" w:type="dxa"/>
            <w:tcBorders>
              <w:top w:val="nil"/>
              <w:left w:val="nil"/>
              <w:bottom w:val="single" w:sz="8" w:space="0" w:color="auto"/>
              <w:right w:val="single" w:sz="8" w:space="0" w:color="auto"/>
            </w:tcBorders>
            <w:vAlign w:val="center"/>
            <w:hideMark/>
          </w:tcPr>
          <w:p w14:paraId="383FCE1F"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4 - 10 Tolerable if ALARP </w:t>
            </w:r>
          </w:p>
        </w:tc>
        <w:tc>
          <w:tcPr>
            <w:tcW w:w="10316" w:type="dxa"/>
            <w:tcBorders>
              <w:top w:val="single" w:sz="8" w:space="0" w:color="auto"/>
              <w:left w:val="nil"/>
              <w:bottom w:val="single" w:sz="8" w:space="0" w:color="auto"/>
              <w:right w:val="single" w:sz="8" w:space="0" w:color="000000"/>
            </w:tcBorders>
            <w:noWrap/>
            <w:vAlign w:val="center"/>
            <w:hideMark/>
          </w:tcPr>
          <w:p w14:paraId="02D33D5A"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The level of protection from the activity is only acceptable when the risks are ALARP</w:t>
            </w:r>
          </w:p>
        </w:tc>
      </w:tr>
      <w:tr w:rsidR="0063075B" w:rsidRPr="00F57F3A" w14:paraId="2543630F" w14:textId="77777777" w:rsidTr="00324342">
        <w:trPr>
          <w:trHeight w:val="321"/>
        </w:trPr>
        <w:tc>
          <w:tcPr>
            <w:tcW w:w="905" w:type="dxa"/>
            <w:tcBorders>
              <w:top w:val="nil"/>
              <w:left w:val="single" w:sz="8" w:space="0" w:color="auto"/>
              <w:bottom w:val="single" w:sz="8" w:space="0" w:color="auto"/>
              <w:right w:val="single" w:sz="8" w:space="0" w:color="auto"/>
            </w:tcBorders>
            <w:shd w:val="clear" w:color="000000" w:fill="48EF31"/>
            <w:vAlign w:val="center"/>
            <w:hideMark/>
          </w:tcPr>
          <w:p w14:paraId="06CB70F4"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w:t>
            </w:r>
          </w:p>
        </w:tc>
        <w:tc>
          <w:tcPr>
            <w:tcW w:w="3094" w:type="dxa"/>
            <w:tcBorders>
              <w:top w:val="nil"/>
              <w:left w:val="nil"/>
              <w:bottom w:val="single" w:sz="8" w:space="0" w:color="auto"/>
              <w:right w:val="single" w:sz="8" w:space="0" w:color="auto"/>
            </w:tcBorders>
            <w:vAlign w:val="center"/>
            <w:hideMark/>
          </w:tcPr>
          <w:p w14:paraId="45B8FBE9"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1 - 4 Broadly Acceptable </w:t>
            </w:r>
          </w:p>
        </w:tc>
        <w:tc>
          <w:tcPr>
            <w:tcW w:w="10316" w:type="dxa"/>
            <w:tcBorders>
              <w:top w:val="single" w:sz="8" w:space="0" w:color="auto"/>
              <w:left w:val="nil"/>
              <w:bottom w:val="single" w:sz="8" w:space="0" w:color="auto"/>
              <w:right w:val="single" w:sz="8" w:space="0" w:color="000000"/>
            </w:tcBorders>
            <w:noWrap/>
            <w:vAlign w:val="center"/>
            <w:hideMark/>
          </w:tcPr>
          <w:p w14:paraId="64A4E71E" w14:textId="77777777" w:rsidR="0063075B" w:rsidRPr="00F57F3A" w:rsidRDefault="0063075B" w:rsidP="008F044B">
            <w:pPr>
              <w:spacing w:line="240" w:lineRule="auto"/>
              <w:rPr>
                <w:rFonts w:ascii="Calibri" w:hAnsi="Calibri" w:cs="Calibri"/>
                <w:b/>
                <w:bCs/>
                <w:color w:val="000000"/>
                <w:szCs w:val="22"/>
                <w:lang w:eastAsia="en-GB"/>
              </w:rPr>
            </w:pPr>
            <w:r w:rsidRPr="00F57F3A">
              <w:rPr>
                <w:rFonts w:ascii="Calibri" w:hAnsi="Calibri" w:cs="Calibri"/>
                <w:b/>
                <w:bCs/>
                <w:color w:val="000000"/>
                <w:szCs w:val="22"/>
                <w:lang w:eastAsia="en-GB"/>
              </w:rPr>
              <w:t xml:space="preserve">The level of protection for the activity is considered acceptable </w:t>
            </w:r>
          </w:p>
        </w:tc>
      </w:tr>
    </w:tbl>
    <w:p w14:paraId="253C0547" w14:textId="77777777" w:rsidR="0063075B" w:rsidRDefault="0063075B" w:rsidP="008F044B">
      <w:pPr>
        <w:spacing w:line="240" w:lineRule="auto"/>
        <w:rPr>
          <w:rFonts w:ascii="Times New Roman" w:hAnsi="Times New Roman"/>
          <w:sz w:val="20"/>
          <w:lang w:eastAsia="en-GB"/>
        </w:rPr>
      </w:pPr>
      <w:r>
        <w:fldChar w:fldCharType="end"/>
      </w:r>
      <w:r>
        <w:fldChar w:fldCharType="begin"/>
      </w:r>
      <w:r>
        <w:instrText xml:space="preserve"> LINK Excel.Sheet.12 "\\\\BAESTNMDS003v04\\Washington_alana.martin$\\Desktop\\Risk Matrix.xlsx" "Sheet2!R2C2:R8C5" \a \f 4 \h  \* MERGEFORMAT </w:instrText>
      </w:r>
      <w:r>
        <w:fldChar w:fldCharType="separate"/>
      </w:r>
    </w:p>
    <w:tbl>
      <w:tblPr>
        <w:tblW w:w="14307" w:type="dxa"/>
        <w:tblLook w:val="04A0" w:firstRow="1" w:lastRow="0" w:firstColumn="1" w:lastColumn="0" w:noHBand="0" w:noVBand="1"/>
      </w:tblPr>
      <w:tblGrid>
        <w:gridCol w:w="1318"/>
        <w:gridCol w:w="2103"/>
        <w:gridCol w:w="5615"/>
        <w:gridCol w:w="5271"/>
      </w:tblGrid>
      <w:tr w:rsidR="0063075B" w:rsidRPr="00BD0DB8" w14:paraId="30CB2B0D" w14:textId="77777777" w:rsidTr="00324342">
        <w:trPr>
          <w:trHeight w:val="252"/>
        </w:trPr>
        <w:tc>
          <w:tcPr>
            <w:tcW w:w="14307"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0AA32B92"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Frequency Rating For Risk Matrix </w:t>
            </w:r>
          </w:p>
        </w:tc>
      </w:tr>
      <w:tr w:rsidR="0063075B" w:rsidRPr="00BD0DB8" w14:paraId="55E4193E" w14:textId="77777777" w:rsidTr="00324342">
        <w:trPr>
          <w:trHeight w:val="252"/>
        </w:trPr>
        <w:tc>
          <w:tcPr>
            <w:tcW w:w="1318" w:type="dxa"/>
            <w:tcBorders>
              <w:top w:val="nil"/>
              <w:left w:val="single" w:sz="8" w:space="0" w:color="auto"/>
              <w:bottom w:val="single" w:sz="8" w:space="0" w:color="auto"/>
              <w:right w:val="single" w:sz="8" w:space="0" w:color="auto"/>
            </w:tcBorders>
            <w:shd w:val="clear" w:color="000000" w:fill="F2F2F2"/>
            <w:noWrap/>
            <w:vAlign w:val="bottom"/>
            <w:hideMark/>
          </w:tcPr>
          <w:p w14:paraId="7D3F4F3C"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Frequency </w:t>
            </w:r>
          </w:p>
        </w:tc>
        <w:tc>
          <w:tcPr>
            <w:tcW w:w="2103" w:type="dxa"/>
            <w:tcBorders>
              <w:top w:val="nil"/>
              <w:left w:val="nil"/>
              <w:bottom w:val="single" w:sz="8" w:space="0" w:color="auto"/>
              <w:right w:val="single" w:sz="8" w:space="0" w:color="auto"/>
            </w:tcBorders>
            <w:shd w:val="clear" w:color="000000" w:fill="F2F2F2"/>
            <w:noWrap/>
            <w:vAlign w:val="bottom"/>
            <w:hideMark/>
          </w:tcPr>
          <w:p w14:paraId="00CFB5E0"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Frequency Rating </w:t>
            </w:r>
          </w:p>
        </w:tc>
        <w:tc>
          <w:tcPr>
            <w:tcW w:w="5615" w:type="dxa"/>
            <w:tcBorders>
              <w:top w:val="nil"/>
              <w:left w:val="nil"/>
              <w:bottom w:val="single" w:sz="8" w:space="0" w:color="auto"/>
              <w:right w:val="single" w:sz="8" w:space="0" w:color="auto"/>
            </w:tcBorders>
            <w:shd w:val="clear" w:color="000000" w:fill="F2F2F2"/>
            <w:noWrap/>
            <w:vAlign w:val="bottom"/>
            <w:hideMark/>
          </w:tcPr>
          <w:p w14:paraId="3B80F644"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Occurrence During Operational Life </w:t>
            </w:r>
          </w:p>
        </w:tc>
        <w:tc>
          <w:tcPr>
            <w:tcW w:w="5271" w:type="dxa"/>
            <w:tcBorders>
              <w:top w:val="nil"/>
              <w:left w:val="nil"/>
              <w:bottom w:val="nil"/>
              <w:right w:val="single" w:sz="4" w:space="0" w:color="auto"/>
            </w:tcBorders>
            <w:shd w:val="clear" w:color="000000" w:fill="F2F2F2"/>
            <w:noWrap/>
            <w:vAlign w:val="bottom"/>
            <w:hideMark/>
          </w:tcPr>
          <w:p w14:paraId="5D7468C4"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Frequency P/A</w:t>
            </w:r>
          </w:p>
        </w:tc>
      </w:tr>
      <w:tr w:rsidR="0063075B" w:rsidRPr="00BD0DB8" w14:paraId="2BB56AF8" w14:textId="77777777" w:rsidTr="00C01000">
        <w:trPr>
          <w:trHeight w:val="411"/>
        </w:trPr>
        <w:tc>
          <w:tcPr>
            <w:tcW w:w="1318" w:type="dxa"/>
            <w:tcBorders>
              <w:top w:val="nil"/>
              <w:left w:val="single" w:sz="8" w:space="0" w:color="auto"/>
              <w:bottom w:val="single" w:sz="8" w:space="0" w:color="auto"/>
              <w:right w:val="single" w:sz="8" w:space="0" w:color="auto"/>
            </w:tcBorders>
            <w:noWrap/>
            <w:vAlign w:val="bottom"/>
            <w:hideMark/>
          </w:tcPr>
          <w:p w14:paraId="2AA94AE6"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Frequent</w:t>
            </w:r>
          </w:p>
        </w:tc>
        <w:tc>
          <w:tcPr>
            <w:tcW w:w="2103" w:type="dxa"/>
            <w:tcBorders>
              <w:top w:val="nil"/>
              <w:left w:val="nil"/>
              <w:bottom w:val="single" w:sz="8" w:space="0" w:color="auto"/>
              <w:right w:val="single" w:sz="8" w:space="0" w:color="auto"/>
            </w:tcBorders>
            <w:noWrap/>
            <w:vAlign w:val="bottom"/>
            <w:hideMark/>
          </w:tcPr>
          <w:p w14:paraId="3BAB1832"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5</w:t>
            </w:r>
          </w:p>
        </w:tc>
        <w:tc>
          <w:tcPr>
            <w:tcW w:w="5615" w:type="dxa"/>
            <w:tcBorders>
              <w:top w:val="nil"/>
              <w:left w:val="nil"/>
              <w:bottom w:val="single" w:sz="8" w:space="0" w:color="auto"/>
              <w:right w:val="single" w:sz="8" w:space="0" w:color="auto"/>
            </w:tcBorders>
            <w:noWrap/>
            <w:vAlign w:val="bottom"/>
            <w:hideMark/>
          </w:tcPr>
          <w:p w14:paraId="2DCC0A4F"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Likely to occur a number of times a year </w:t>
            </w:r>
          </w:p>
        </w:tc>
        <w:tc>
          <w:tcPr>
            <w:tcW w:w="5271" w:type="dxa"/>
            <w:tcBorders>
              <w:top w:val="single" w:sz="8" w:space="0" w:color="auto"/>
              <w:left w:val="nil"/>
              <w:bottom w:val="single" w:sz="8" w:space="0" w:color="auto"/>
              <w:right w:val="single" w:sz="8" w:space="0" w:color="auto"/>
            </w:tcBorders>
            <w:noWrap/>
            <w:vAlign w:val="bottom"/>
            <w:hideMark/>
          </w:tcPr>
          <w:p w14:paraId="07B451DE"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F  &gt;  10</w:t>
            </w:r>
          </w:p>
        </w:tc>
      </w:tr>
      <w:tr w:rsidR="0063075B" w:rsidRPr="00BD0DB8" w14:paraId="75767654" w14:textId="77777777" w:rsidTr="00324342">
        <w:trPr>
          <w:trHeight w:val="286"/>
        </w:trPr>
        <w:tc>
          <w:tcPr>
            <w:tcW w:w="1318" w:type="dxa"/>
            <w:tcBorders>
              <w:top w:val="nil"/>
              <w:left w:val="single" w:sz="8" w:space="0" w:color="auto"/>
              <w:bottom w:val="single" w:sz="8" w:space="0" w:color="auto"/>
              <w:right w:val="single" w:sz="8" w:space="0" w:color="auto"/>
            </w:tcBorders>
            <w:noWrap/>
            <w:vAlign w:val="bottom"/>
            <w:hideMark/>
          </w:tcPr>
          <w:p w14:paraId="69D58435"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Likely </w:t>
            </w:r>
          </w:p>
        </w:tc>
        <w:tc>
          <w:tcPr>
            <w:tcW w:w="2103" w:type="dxa"/>
            <w:tcBorders>
              <w:top w:val="nil"/>
              <w:left w:val="nil"/>
              <w:bottom w:val="single" w:sz="8" w:space="0" w:color="auto"/>
              <w:right w:val="single" w:sz="8" w:space="0" w:color="auto"/>
            </w:tcBorders>
            <w:noWrap/>
            <w:vAlign w:val="bottom"/>
            <w:hideMark/>
          </w:tcPr>
          <w:p w14:paraId="3F3DD679"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4</w:t>
            </w:r>
          </w:p>
        </w:tc>
        <w:tc>
          <w:tcPr>
            <w:tcW w:w="5615" w:type="dxa"/>
            <w:tcBorders>
              <w:top w:val="nil"/>
              <w:left w:val="nil"/>
              <w:bottom w:val="single" w:sz="8" w:space="0" w:color="auto"/>
              <w:right w:val="single" w:sz="8" w:space="0" w:color="auto"/>
            </w:tcBorders>
            <w:noWrap/>
            <w:vAlign w:val="bottom"/>
            <w:hideMark/>
          </w:tcPr>
          <w:p w14:paraId="4259A50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Likely to occur a few times in the plant lifetime</w:t>
            </w:r>
          </w:p>
        </w:tc>
        <w:tc>
          <w:tcPr>
            <w:tcW w:w="5271" w:type="dxa"/>
            <w:tcBorders>
              <w:top w:val="nil"/>
              <w:left w:val="nil"/>
              <w:bottom w:val="single" w:sz="8" w:space="0" w:color="auto"/>
              <w:right w:val="single" w:sz="8" w:space="0" w:color="auto"/>
            </w:tcBorders>
            <w:noWrap/>
            <w:vAlign w:val="bottom"/>
            <w:hideMark/>
          </w:tcPr>
          <w:p w14:paraId="041D5C9C"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 &gt;  F &gt;  10</w:t>
            </w:r>
            <w:r w:rsidRPr="00BD0DB8">
              <w:rPr>
                <w:rFonts w:ascii="Calibri" w:hAnsi="Calibri" w:cs="Calibri"/>
                <w:b/>
                <w:bCs/>
                <w:color w:val="000000"/>
                <w:szCs w:val="22"/>
                <w:vertAlign w:val="superscript"/>
                <w:lang w:eastAsia="en-GB"/>
              </w:rPr>
              <w:t>-1</w:t>
            </w:r>
          </w:p>
        </w:tc>
      </w:tr>
      <w:tr w:rsidR="0063075B" w:rsidRPr="00BD0DB8" w14:paraId="58FE5375" w14:textId="77777777" w:rsidTr="00324342">
        <w:trPr>
          <w:trHeight w:val="286"/>
        </w:trPr>
        <w:tc>
          <w:tcPr>
            <w:tcW w:w="1318" w:type="dxa"/>
            <w:tcBorders>
              <w:top w:val="nil"/>
              <w:left w:val="single" w:sz="8" w:space="0" w:color="auto"/>
              <w:bottom w:val="single" w:sz="8" w:space="0" w:color="auto"/>
              <w:right w:val="single" w:sz="8" w:space="0" w:color="auto"/>
            </w:tcBorders>
            <w:noWrap/>
            <w:vAlign w:val="bottom"/>
            <w:hideMark/>
          </w:tcPr>
          <w:p w14:paraId="5CA6746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Occasional</w:t>
            </w:r>
          </w:p>
        </w:tc>
        <w:tc>
          <w:tcPr>
            <w:tcW w:w="2103" w:type="dxa"/>
            <w:tcBorders>
              <w:top w:val="nil"/>
              <w:left w:val="nil"/>
              <w:bottom w:val="single" w:sz="8" w:space="0" w:color="auto"/>
              <w:right w:val="single" w:sz="8" w:space="0" w:color="auto"/>
            </w:tcBorders>
            <w:noWrap/>
            <w:vAlign w:val="bottom"/>
            <w:hideMark/>
          </w:tcPr>
          <w:p w14:paraId="78CD091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3</w:t>
            </w:r>
          </w:p>
        </w:tc>
        <w:tc>
          <w:tcPr>
            <w:tcW w:w="5615" w:type="dxa"/>
            <w:tcBorders>
              <w:top w:val="nil"/>
              <w:left w:val="nil"/>
              <w:bottom w:val="single" w:sz="8" w:space="0" w:color="auto"/>
              <w:right w:val="single" w:sz="8" w:space="0" w:color="auto"/>
            </w:tcBorders>
            <w:noWrap/>
            <w:vAlign w:val="bottom"/>
            <w:hideMark/>
          </w:tcPr>
          <w:p w14:paraId="6CE341A6"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Could occur in the plant lifetime</w:t>
            </w:r>
          </w:p>
        </w:tc>
        <w:tc>
          <w:tcPr>
            <w:tcW w:w="5271" w:type="dxa"/>
            <w:tcBorders>
              <w:top w:val="nil"/>
              <w:left w:val="nil"/>
              <w:bottom w:val="single" w:sz="8" w:space="0" w:color="auto"/>
              <w:right w:val="single" w:sz="8" w:space="0" w:color="auto"/>
            </w:tcBorders>
            <w:noWrap/>
            <w:vAlign w:val="bottom"/>
            <w:hideMark/>
          </w:tcPr>
          <w:p w14:paraId="655A6C6C"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w:t>
            </w:r>
            <w:r w:rsidRPr="00BD0DB8">
              <w:rPr>
                <w:rFonts w:ascii="Calibri" w:hAnsi="Calibri" w:cs="Calibri"/>
                <w:b/>
                <w:bCs/>
                <w:color w:val="000000"/>
                <w:szCs w:val="22"/>
                <w:vertAlign w:val="superscript"/>
                <w:lang w:eastAsia="en-GB"/>
              </w:rPr>
              <w:t xml:space="preserve">-1  </w:t>
            </w:r>
            <w:r w:rsidRPr="00BD0DB8">
              <w:rPr>
                <w:rFonts w:ascii="Calibri" w:hAnsi="Calibri" w:cs="Calibri"/>
                <w:b/>
                <w:bCs/>
                <w:color w:val="000000"/>
                <w:szCs w:val="22"/>
                <w:lang w:eastAsia="en-GB"/>
              </w:rPr>
              <w:t>&gt; F &gt; 10</w:t>
            </w:r>
            <w:r w:rsidRPr="00BD0DB8">
              <w:rPr>
                <w:rFonts w:ascii="Calibri" w:hAnsi="Calibri" w:cs="Calibri"/>
                <w:b/>
                <w:bCs/>
                <w:color w:val="000000"/>
                <w:szCs w:val="22"/>
                <w:vertAlign w:val="superscript"/>
                <w:lang w:eastAsia="en-GB"/>
              </w:rPr>
              <w:t>-3</w:t>
            </w:r>
          </w:p>
        </w:tc>
      </w:tr>
      <w:tr w:rsidR="0063075B" w:rsidRPr="00BD0DB8" w14:paraId="0E1809A2" w14:textId="77777777" w:rsidTr="00324342">
        <w:trPr>
          <w:trHeight w:val="286"/>
        </w:trPr>
        <w:tc>
          <w:tcPr>
            <w:tcW w:w="1318" w:type="dxa"/>
            <w:tcBorders>
              <w:top w:val="nil"/>
              <w:left w:val="single" w:sz="8" w:space="0" w:color="auto"/>
              <w:bottom w:val="single" w:sz="8" w:space="0" w:color="auto"/>
              <w:right w:val="single" w:sz="8" w:space="0" w:color="auto"/>
            </w:tcBorders>
            <w:noWrap/>
            <w:vAlign w:val="bottom"/>
            <w:hideMark/>
          </w:tcPr>
          <w:p w14:paraId="2FD4A2BF"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Unlikely</w:t>
            </w:r>
          </w:p>
        </w:tc>
        <w:tc>
          <w:tcPr>
            <w:tcW w:w="2103" w:type="dxa"/>
            <w:tcBorders>
              <w:top w:val="nil"/>
              <w:left w:val="nil"/>
              <w:bottom w:val="single" w:sz="8" w:space="0" w:color="auto"/>
              <w:right w:val="single" w:sz="8" w:space="0" w:color="auto"/>
            </w:tcBorders>
            <w:noWrap/>
            <w:vAlign w:val="bottom"/>
            <w:hideMark/>
          </w:tcPr>
          <w:p w14:paraId="0B743ACD"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2</w:t>
            </w:r>
          </w:p>
        </w:tc>
        <w:tc>
          <w:tcPr>
            <w:tcW w:w="5615" w:type="dxa"/>
            <w:tcBorders>
              <w:top w:val="nil"/>
              <w:left w:val="nil"/>
              <w:bottom w:val="single" w:sz="8" w:space="0" w:color="auto"/>
              <w:right w:val="single" w:sz="8" w:space="0" w:color="auto"/>
            </w:tcBorders>
            <w:noWrap/>
            <w:vAlign w:val="bottom"/>
            <w:hideMark/>
          </w:tcPr>
          <w:p w14:paraId="050093E8"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Unlikely to occur</w:t>
            </w:r>
          </w:p>
        </w:tc>
        <w:tc>
          <w:tcPr>
            <w:tcW w:w="5271" w:type="dxa"/>
            <w:tcBorders>
              <w:top w:val="nil"/>
              <w:left w:val="nil"/>
              <w:bottom w:val="single" w:sz="8" w:space="0" w:color="auto"/>
              <w:right w:val="single" w:sz="8" w:space="0" w:color="auto"/>
            </w:tcBorders>
            <w:noWrap/>
            <w:vAlign w:val="bottom"/>
            <w:hideMark/>
          </w:tcPr>
          <w:p w14:paraId="0236DF10"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w:t>
            </w:r>
            <w:r w:rsidRPr="00BD0DB8">
              <w:rPr>
                <w:rFonts w:ascii="Calibri" w:hAnsi="Calibri" w:cs="Calibri"/>
                <w:b/>
                <w:bCs/>
                <w:color w:val="000000"/>
                <w:szCs w:val="22"/>
                <w:vertAlign w:val="superscript"/>
                <w:lang w:eastAsia="en-GB"/>
              </w:rPr>
              <w:t xml:space="preserve">-3 </w:t>
            </w:r>
            <w:r w:rsidRPr="00BD0DB8">
              <w:rPr>
                <w:rFonts w:ascii="Calibri" w:hAnsi="Calibri" w:cs="Calibri"/>
                <w:b/>
                <w:bCs/>
                <w:color w:val="000000"/>
                <w:szCs w:val="22"/>
                <w:lang w:eastAsia="en-GB"/>
              </w:rPr>
              <w:t xml:space="preserve"> &gt; F &gt; 10</w:t>
            </w:r>
            <w:r w:rsidRPr="00BD0DB8">
              <w:rPr>
                <w:rFonts w:ascii="Calibri" w:hAnsi="Calibri" w:cs="Calibri"/>
                <w:b/>
                <w:bCs/>
                <w:color w:val="000000"/>
                <w:szCs w:val="22"/>
                <w:vertAlign w:val="superscript"/>
                <w:lang w:eastAsia="en-GB"/>
              </w:rPr>
              <w:t>-5</w:t>
            </w:r>
            <w:r w:rsidRPr="00BD0DB8">
              <w:rPr>
                <w:rFonts w:ascii="Calibri" w:hAnsi="Calibri" w:cs="Calibri"/>
                <w:b/>
                <w:bCs/>
                <w:color w:val="000000"/>
                <w:szCs w:val="22"/>
                <w:lang w:eastAsia="en-GB"/>
              </w:rPr>
              <w:t xml:space="preserve"> </w:t>
            </w:r>
          </w:p>
        </w:tc>
      </w:tr>
      <w:tr w:rsidR="0063075B" w:rsidRPr="00BD0DB8" w14:paraId="2BD357CD" w14:textId="77777777" w:rsidTr="0063075B">
        <w:trPr>
          <w:trHeight w:val="263"/>
        </w:trPr>
        <w:tc>
          <w:tcPr>
            <w:tcW w:w="1318" w:type="dxa"/>
            <w:tcBorders>
              <w:top w:val="nil"/>
              <w:left w:val="single" w:sz="8" w:space="0" w:color="auto"/>
              <w:bottom w:val="single" w:sz="8" w:space="0" w:color="auto"/>
              <w:right w:val="single" w:sz="8" w:space="0" w:color="auto"/>
            </w:tcBorders>
            <w:noWrap/>
            <w:vAlign w:val="bottom"/>
            <w:hideMark/>
          </w:tcPr>
          <w:p w14:paraId="4B3654C2"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Remote</w:t>
            </w:r>
          </w:p>
        </w:tc>
        <w:tc>
          <w:tcPr>
            <w:tcW w:w="2103" w:type="dxa"/>
            <w:tcBorders>
              <w:top w:val="nil"/>
              <w:left w:val="nil"/>
              <w:bottom w:val="single" w:sz="8" w:space="0" w:color="auto"/>
              <w:right w:val="single" w:sz="8" w:space="0" w:color="auto"/>
            </w:tcBorders>
            <w:noWrap/>
            <w:vAlign w:val="bottom"/>
            <w:hideMark/>
          </w:tcPr>
          <w:p w14:paraId="7E5E7D33"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w:t>
            </w:r>
          </w:p>
        </w:tc>
        <w:tc>
          <w:tcPr>
            <w:tcW w:w="5615" w:type="dxa"/>
            <w:tcBorders>
              <w:top w:val="nil"/>
              <w:left w:val="nil"/>
              <w:bottom w:val="single" w:sz="8" w:space="0" w:color="auto"/>
              <w:right w:val="single" w:sz="8" w:space="0" w:color="auto"/>
            </w:tcBorders>
            <w:noWrap/>
            <w:vAlign w:val="bottom"/>
            <w:hideMark/>
          </w:tcPr>
          <w:p w14:paraId="09F60EDB"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 xml:space="preserve">Highly unlikely but may exceptionally occur </w:t>
            </w:r>
          </w:p>
        </w:tc>
        <w:tc>
          <w:tcPr>
            <w:tcW w:w="5271" w:type="dxa"/>
            <w:tcBorders>
              <w:top w:val="nil"/>
              <w:left w:val="nil"/>
              <w:bottom w:val="single" w:sz="8" w:space="0" w:color="auto"/>
              <w:right w:val="single" w:sz="8" w:space="0" w:color="auto"/>
            </w:tcBorders>
            <w:noWrap/>
            <w:vAlign w:val="bottom"/>
            <w:hideMark/>
          </w:tcPr>
          <w:p w14:paraId="3FA4AED1" w14:textId="77777777" w:rsidR="0063075B" w:rsidRPr="00BD0DB8" w:rsidRDefault="0063075B" w:rsidP="008F044B">
            <w:pPr>
              <w:spacing w:line="240" w:lineRule="auto"/>
              <w:jc w:val="center"/>
              <w:rPr>
                <w:rFonts w:ascii="Calibri" w:hAnsi="Calibri" w:cs="Calibri"/>
                <w:b/>
                <w:bCs/>
                <w:color w:val="000000"/>
                <w:szCs w:val="22"/>
                <w:lang w:eastAsia="en-GB"/>
              </w:rPr>
            </w:pPr>
            <w:r w:rsidRPr="00BD0DB8">
              <w:rPr>
                <w:rFonts w:ascii="Calibri" w:hAnsi="Calibri" w:cs="Calibri"/>
                <w:b/>
                <w:bCs/>
                <w:color w:val="000000"/>
                <w:szCs w:val="22"/>
                <w:lang w:eastAsia="en-GB"/>
              </w:rPr>
              <w:t>10</w:t>
            </w:r>
            <w:r w:rsidRPr="00BD0DB8">
              <w:rPr>
                <w:rFonts w:ascii="Calibri" w:hAnsi="Calibri" w:cs="Calibri"/>
                <w:b/>
                <w:bCs/>
                <w:color w:val="000000"/>
                <w:szCs w:val="22"/>
                <w:vertAlign w:val="superscript"/>
                <w:lang w:eastAsia="en-GB"/>
              </w:rPr>
              <w:t>-5</w:t>
            </w:r>
            <w:r w:rsidRPr="00BD0DB8">
              <w:rPr>
                <w:rFonts w:ascii="Calibri" w:hAnsi="Calibri" w:cs="Calibri"/>
                <w:b/>
                <w:bCs/>
                <w:color w:val="000000"/>
                <w:szCs w:val="22"/>
                <w:lang w:eastAsia="en-GB"/>
              </w:rPr>
              <w:t xml:space="preserve"> &gt; F &gt; 10</w:t>
            </w:r>
            <w:r w:rsidRPr="00BD0DB8">
              <w:rPr>
                <w:rFonts w:ascii="Calibri" w:hAnsi="Calibri" w:cs="Calibri"/>
                <w:b/>
                <w:bCs/>
                <w:color w:val="000000"/>
                <w:szCs w:val="22"/>
                <w:vertAlign w:val="superscript"/>
                <w:lang w:eastAsia="en-GB"/>
              </w:rPr>
              <w:t>-7</w:t>
            </w:r>
          </w:p>
        </w:tc>
      </w:tr>
    </w:tbl>
    <w:p w14:paraId="6AD64220" w14:textId="65DC1F13" w:rsidR="0063075B" w:rsidRDefault="0063075B" w:rsidP="008F044B">
      <w:pPr>
        <w:spacing w:line="240" w:lineRule="auto"/>
      </w:pPr>
      <w:r>
        <w:fldChar w:fldCharType="end"/>
      </w:r>
    </w:p>
    <w:p w14:paraId="766B22A4" w14:textId="77777777" w:rsidR="00441731" w:rsidRDefault="00441731" w:rsidP="008F044B">
      <w:pPr>
        <w:spacing w:line="240" w:lineRule="auto"/>
      </w:pPr>
    </w:p>
    <w:p w14:paraId="79DB3A6B" w14:textId="77777777" w:rsidR="00441731" w:rsidRPr="007A5B10" w:rsidRDefault="00441731" w:rsidP="008F044B">
      <w:pPr>
        <w:spacing w:line="240" w:lineRule="auto"/>
      </w:pPr>
    </w:p>
    <w:tbl>
      <w:tblPr>
        <w:tblW w:w="15553" w:type="dxa"/>
        <w:jc w:val="center"/>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1184"/>
        <w:gridCol w:w="4369"/>
      </w:tblGrid>
      <w:tr w:rsidR="007A5B10" w:rsidRPr="007A7551" w14:paraId="65F02D23" w14:textId="77777777" w:rsidTr="008F044B">
        <w:trPr>
          <w:trHeight w:val="284"/>
          <w:jc w:val="center"/>
        </w:trPr>
        <w:tc>
          <w:tcPr>
            <w:tcW w:w="15553" w:type="dxa"/>
            <w:gridSpan w:val="2"/>
            <w:tcBorders>
              <w:top w:val="single" w:sz="6" w:space="0" w:color="auto"/>
              <w:bottom w:val="single" w:sz="6" w:space="0" w:color="auto"/>
            </w:tcBorders>
            <w:shd w:val="clear" w:color="auto" w:fill="C0C0C0"/>
            <w:tcMar>
              <w:top w:w="57" w:type="dxa"/>
            </w:tcMar>
            <w:vAlign w:val="center"/>
          </w:tcPr>
          <w:p w14:paraId="07551415" w14:textId="77777777" w:rsidR="007A5B10" w:rsidRPr="007A7551" w:rsidRDefault="007A5B10" w:rsidP="008F044B">
            <w:pPr>
              <w:rPr>
                <w:b/>
                <w:lang w:eastAsia="en-GB"/>
              </w:rPr>
            </w:pPr>
            <w:r w:rsidRPr="007A7551">
              <w:rPr>
                <w:b/>
                <w:lang w:eastAsia="en-GB"/>
              </w:rPr>
              <w:lastRenderedPageBreak/>
              <w:t>PART 4: Sign Off</w:t>
            </w:r>
          </w:p>
        </w:tc>
      </w:tr>
      <w:tr w:rsidR="007A5B10" w:rsidRPr="007A7551" w14:paraId="11D9DAAE" w14:textId="77777777" w:rsidTr="008F044B">
        <w:trPr>
          <w:trHeight w:val="340"/>
          <w:jc w:val="center"/>
        </w:trPr>
        <w:tc>
          <w:tcPr>
            <w:tcW w:w="15553" w:type="dxa"/>
            <w:gridSpan w:val="2"/>
            <w:tcBorders>
              <w:top w:val="single" w:sz="6" w:space="0" w:color="auto"/>
              <w:bottom w:val="single" w:sz="6" w:space="0" w:color="auto"/>
            </w:tcBorders>
            <w:tcMar>
              <w:top w:w="57" w:type="dxa"/>
            </w:tcMar>
          </w:tcPr>
          <w:p w14:paraId="4A008ACE" w14:textId="77777777" w:rsidR="007A5B10" w:rsidRPr="007A7551" w:rsidRDefault="007A5B10" w:rsidP="008F044B">
            <w:pPr>
              <w:jc w:val="center"/>
              <w:rPr>
                <w:rFonts w:cs="Arial"/>
                <w:b/>
                <w:lang w:eastAsia="en-GB"/>
              </w:rPr>
            </w:pPr>
            <w:r w:rsidRPr="007A7551">
              <w:rPr>
                <w:rFonts w:cs="Arial"/>
                <w:b/>
                <w:color w:val="FFFFFF"/>
                <w:highlight w:val="darkGray"/>
                <w:shd w:val="pct5" w:color="auto" w:fill="000000"/>
                <w:lang w:eastAsia="en-GB"/>
              </w:rPr>
              <w:t>When all additional controls are in place, the risk levels will be as low as is reasonably practicable</w:t>
            </w:r>
            <w:r w:rsidRPr="007A7551">
              <w:rPr>
                <w:rFonts w:cs="Arial"/>
                <w:b/>
                <w:color w:val="FFFFFF"/>
                <w:highlight w:val="darkGray"/>
                <w:shd w:val="pct5" w:color="auto" w:fill="FFFFFF"/>
                <w:lang w:eastAsia="en-GB"/>
              </w:rPr>
              <w:t>.</w:t>
            </w:r>
          </w:p>
        </w:tc>
      </w:tr>
      <w:tr w:rsidR="007A5B10" w:rsidRPr="007A7551" w14:paraId="3ADCA90E" w14:textId="77777777" w:rsidTr="008F044B">
        <w:trPr>
          <w:trHeight w:val="856"/>
          <w:jc w:val="center"/>
        </w:trPr>
        <w:tc>
          <w:tcPr>
            <w:tcW w:w="11184" w:type="dxa"/>
            <w:tcBorders>
              <w:top w:val="single" w:sz="6" w:space="0" w:color="auto"/>
              <w:bottom w:val="single" w:sz="6" w:space="0" w:color="auto"/>
            </w:tcBorders>
            <w:tcMar>
              <w:top w:w="57" w:type="dxa"/>
            </w:tcMar>
          </w:tcPr>
          <w:p w14:paraId="6DA6F084" w14:textId="2D7B9DF2" w:rsidR="007A5B10" w:rsidRPr="007A7551" w:rsidRDefault="007A5B10" w:rsidP="008F044B">
            <w:pPr>
              <w:spacing w:before="60" w:after="60"/>
              <w:rPr>
                <w:rFonts w:cs="Arial"/>
                <w:b/>
                <w:lang w:eastAsia="en-GB"/>
              </w:rPr>
            </w:pPr>
            <w:r w:rsidRPr="007A7551">
              <w:rPr>
                <w:rFonts w:cs="Arial"/>
                <w:b/>
                <w:lang w:eastAsia="en-GB"/>
              </w:rPr>
              <w:t xml:space="preserve">Assessor’s Signature: </w:t>
            </w:r>
            <w:r>
              <w:rPr>
                <w:rFonts w:cs="Arial"/>
                <w:b/>
                <w:lang w:eastAsia="en-GB"/>
              </w:rPr>
              <w:t xml:space="preserve"> Bethan Davies-Jones</w:t>
            </w:r>
          </w:p>
        </w:tc>
        <w:tc>
          <w:tcPr>
            <w:tcW w:w="4369" w:type="dxa"/>
            <w:tcBorders>
              <w:top w:val="single" w:sz="6" w:space="0" w:color="auto"/>
              <w:bottom w:val="single" w:sz="6" w:space="0" w:color="auto"/>
            </w:tcBorders>
          </w:tcPr>
          <w:p w14:paraId="3865F7B5" w14:textId="77777777" w:rsidR="007A5B10" w:rsidRPr="007A7551" w:rsidRDefault="007A5B10" w:rsidP="008F044B">
            <w:pPr>
              <w:spacing w:before="60" w:after="60"/>
              <w:rPr>
                <w:rFonts w:cs="Arial"/>
                <w:b/>
                <w:lang w:eastAsia="en-GB"/>
              </w:rPr>
            </w:pPr>
            <w:r w:rsidRPr="007A7551">
              <w:rPr>
                <w:rFonts w:cs="Arial"/>
                <w:b/>
                <w:lang w:eastAsia="en-GB"/>
              </w:rPr>
              <w:t>Date:</w:t>
            </w:r>
            <w:r>
              <w:rPr>
                <w:rFonts w:cs="Arial"/>
                <w:b/>
                <w:lang w:eastAsia="en-GB"/>
              </w:rPr>
              <w:t xml:space="preserve"> 17/06/2026</w:t>
            </w:r>
          </w:p>
        </w:tc>
      </w:tr>
      <w:tr w:rsidR="007A5B10" w:rsidRPr="007A7551" w14:paraId="66F34357" w14:textId="77777777" w:rsidTr="008F044B">
        <w:trPr>
          <w:trHeight w:val="856"/>
          <w:jc w:val="center"/>
        </w:trPr>
        <w:tc>
          <w:tcPr>
            <w:tcW w:w="11184" w:type="dxa"/>
            <w:tcBorders>
              <w:top w:val="single" w:sz="6" w:space="0" w:color="auto"/>
            </w:tcBorders>
            <w:tcMar>
              <w:top w:w="57" w:type="dxa"/>
            </w:tcMar>
          </w:tcPr>
          <w:p w14:paraId="3E4E50CF" w14:textId="17119F5E" w:rsidR="007A5B10" w:rsidRPr="007A7551" w:rsidRDefault="0026402B" w:rsidP="008F044B">
            <w:pPr>
              <w:spacing w:before="60" w:after="60"/>
              <w:rPr>
                <w:rFonts w:cs="Arial"/>
                <w:b/>
                <w:lang w:eastAsia="en-GB"/>
              </w:rPr>
            </w:pPr>
            <w:r>
              <w:rPr>
                <w:rFonts w:cs="Arial"/>
                <w:b/>
                <w:lang w:eastAsia="en-GB"/>
              </w:rPr>
              <w:t xml:space="preserve">Additional </w:t>
            </w:r>
            <w:r w:rsidR="00933525">
              <w:rPr>
                <w:rFonts w:cs="Arial"/>
                <w:b/>
                <w:lang w:eastAsia="en-GB"/>
              </w:rPr>
              <w:t>Contributors’</w:t>
            </w:r>
            <w:r>
              <w:rPr>
                <w:rFonts w:cs="Arial"/>
                <w:b/>
                <w:lang w:eastAsia="en-GB"/>
              </w:rPr>
              <w:t xml:space="preserve"> Signature</w:t>
            </w:r>
            <w:r w:rsidR="00933525">
              <w:rPr>
                <w:rFonts w:cs="Arial"/>
                <w:b/>
                <w:lang w:eastAsia="en-GB"/>
              </w:rPr>
              <w:t>s</w:t>
            </w:r>
            <w:r>
              <w:rPr>
                <w:rFonts w:cs="Arial"/>
                <w:b/>
                <w:lang w:eastAsia="en-GB"/>
              </w:rPr>
              <w:t>:</w:t>
            </w:r>
            <w:r w:rsidR="007A5B10">
              <w:rPr>
                <w:rFonts w:cs="Arial"/>
                <w:b/>
                <w:lang w:eastAsia="en-GB"/>
              </w:rPr>
              <w:t xml:space="preserve"> </w:t>
            </w:r>
            <w:r>
              <w:rPr>
                <w:rFonts w:cs="Arial"/>
                <w:b/>
                <w:lang w:eastAsia="en-GB"/>
              </w:rPr>
              <w:t>Kieran Howells, Eryn Legg, Elias James, Rory Bowen</w:t>
            </w:r>
          </w:p>
        </w:tc>
        <w:tc>
          <w:tcPr>
            <w:tcW w:w="4369" w:type="dxa"/>
            <w:tcBorders>
              <w:top w:val="single" w:sz="6" w:space="0" w:color="auto"/>
            </w:tcBorders>
          </w:tcPr>
          <w:p w14:paraId="5D7EDD0E" w14:textId="0179143E" w:rsidR="007A5B10" w:rsidRPr="007A7551" w:rsidRDefault="007A5B10" w:rsidP="008F044B">
            <w:pPr>
              <w:spacing w:before="60" w:after="60"/>
              <w:rPr>
                <w:rFonts w:cs="Arial"/>
                <w:b/>
                <w:lang w:eastAsia="en-GB"/>
              </w:rPr>
            </w:pPr>
            <w:r w:rsidRPr="007A7551">
              <w:rPr>
                <w:rFonts w:cs="Arial"/>
                <w:b/>
                <w:lang w:eastAsia="en-GB"/>
              </w:rPr>
              <w:t>Date</w:t>
            </w:r>
            <w:r w:rsidR="0026402B">
              <w:rPr>
                <w:rFonts w:cs="Arial"/>
                <w:b/>
                <w:lang w:eastAsia="en-GB"/>
              </w:rPr>
              <w:t>: 17/06/2026</w:t>
            </w:r>
          </w:p>
        </w:tc>
      </w:tr>
    </w:tbl>
    <w:p w14:paraId="31DC5D99" w14:textId="77777777" w:rsidR="00941D35" w:rsidRPr="00941D35" w:rsidRDefault="00941D35" w:rsidP="00941D35">
      <w:pPr>
        <w:sectPr w:rsidR="00941D35" w:rsidRPr="00941D35" w:rsidSect="007A5B10">
          <w:pgSz w:w="16838" w:h="11906" w:orient="landscape" w:code="9"/>
          <w:pgMar w:top="1701" w:right="1701" w:bottom="1701" w:left="1701" w:header="709" w:footer="851" w:gutter="0"/>
          <w:pgNumType w:start="1"/>
          <w:cols w:space="708"/>
          <w:docGrid w:linePitch="360"/>
        </w:sectPr>
      </w:pPr>
    </w:p>
    <w:p w14:paraId="39645545" w14:textId="58EF2BA2" w:rsidR="00DA28B2" w:rsidRDefault="00E22930" w:rsidP="00E22930">
      <w:pPr>
        <w:pStyle w:val="Heading1"/>
      </w:pPr>
      <w:bookmarkStart w:id="25" w:name="_Toc235605585"/>
      <w:r>
        <w:lastRenderedPageBreak/>
        <w:t>ALARP Justification</w:t>
      </w:r>
      <w:bookmarkEnd w:id="25"/>
    </w:p>
    <w:p w14:paraId="5701ED42" w14:textId="4224AC23" w:rsidR="00ED5821" w:rsidRDefault="00ED5821" w:rsidP="00E22930">
      <w:r>
        <w:t xml:space="preserve">From the </w:t>
      </w:r>
      <w:r w:rsidR="00B00661">
        <w:t>HAZID via HAZOP</w:t>
      </w:r>
      <w:r>
        <w:t xml:space="preserve">, the identified hazards </w:t>
      </w:r>
      <w:r w:rsidR="00233A2F">
        <w:t xml:space="preserve">of the Ajax FCS calibration trial </w:t>
      </w:r>
      <w:r>
        <w:t>were heat-induced risks, physical hazards, chemical toxicity, vibration and noise, and munition storage and quality.</w:t>
      </w:r>
      <w:r w:rsidR="00B00661">
        <w:t xml:space="preserve"> These hazards underwent a quantitative risk assessment (see section </w:t>
      </w:r>
      <w:r w:rsidR="00B00661">
        <w:fldChar w:fldCharType="begin"/>
      </w:r>
      <w:r w:rsidR="00B00661">
        <w:instrText xml:space="preserve"> REF _Ref235436573 \r \h </w:instrText>
      </w:r>
      <w:r w:rsidR="00B00661">
        <w:fldChar w:fldCharType="separate"/>
      </w:r>
      <w:r w:rsidR="00B00661">
        <w:rPr>
          <w:cs/>
        </w:rPr>
        <w:t>‎</w:t>
      </w:r>
      <w:r w:rsidR="00B00661">
        <w:t>2</w:t>
      </w:r>
      <w:r w:rsidR="00B00661">
        <w:fldChar w:fldCharType="end"/>
      </w:r>
      <w:r w:rsidR="00B00661">
        <w:t>), and their effects and risk ratings were determined before and after mitigation</w:t>
      </w:r>
      <w:r w:rsidR="00944904">
        <w:t>s were in place</w:t>
      </w:r>
      <w:r w:rsidR="00B00661">
        <w:t>.</w:t>
      </w:r>
    </w:p>
    <w:p w14:paraId="3D0E5C9F" w14:textId="20CD4C55" w:rsidR="00B00661" w:rsidRDefault="00B00661" w:rsidP="00E22930">
      <w:r>
        <w:t xml:space="preserve">The chemical toxicity hazard </w:t>
      </w:r>
      <w:r w:rsidR="00090ACB">
        <w:t>was determined to have</w:t>
      </w:r>
      <w:r>
        <w:t xml:space="preserve"> </w:t>
      </w:r>
      <w:r w:rsidR="001A5253">
        <w:t>four</w:t>
      </w:r>
      <w:r>
        <w:t xml:space="preserve"> effects</w:t>
      </w:r>
      <w:r w:rsidR="00090ACB">
        <w:t>:</w:t>
      </w:r>
    </w:p>
    <w:p w14:paraId="3FD517BE" w14:textId="6DC5BAD0" w:rsidR="00090ACB" w:rsidRDefault="00F23FBC" w:rsidP="00441731">
      <w:pPr>
        <w:pStyle w:val="ListParagraph"/>
        <w:numPr>
          <w:ilvl w:val="0"/>
          <w:numId w:val="34"/>
        </w:numPr>
      </w:pPr>
      <w:r>
        <w:t>Inhalation of toxic gases immediately after firing</w:t>
      </w:r>
      <w:r w:rsidR="00A3770C">
        <w:t>,</w:t>
      </w:r>
    </w:p>
    <w:p w14:paraId="76C7755D" w14:textId="358CD93F" w:rsidR="00A3770C" w:rsidRDefault="00A3770C" w:rsidP="00441731">
      <w:pPr>
        <w:pStyle w:val="ListParagraph"/>
        <w:numPr>
          <w:ilvl w:val="0"/>
          <w:numId w:val="34"/>
        </w:numPr>
      </w:pPr>
      <w:r>
        <w:t>Inhalation of toxic gases due to a cabin buildup</w:t>
      </w:r>
      <w:r w:rsidR="001A5253">
        <w:t>,</w:t>
      </w:r>
    </w:p>
    <w:p w14:paraId="7727A120" w14:textId="7A99F384" w:rsidR="00F23FBC" w:rsidRDefault="00F23FBC" w:rsidP="00441731">
      <w:pPr>
        <w:pStyle w:val="ListParagraph"/>
        <w:numPr>
          <w:ilvl w:val="0"/>
          <w:numId w:val="34"/>
        </w:numPr>
      </w:pPr>
      <w:r>
        <w:t>Absorption or ingestion of toxic materials when cleaning</w:t>
      </w:r>
      <w:r w:rsidR="005260A5">
        <w:t>,</w:t>
      </w:r>
    </w:p>
    <w:p w14:paraId="768144D6" w14:textId="0012F6B5" w:rsidR="00296CD3" w:rsidRDefault="00F23FBC" w:rsidP="00441731">
      <w:pPr>
        <w:pStyle w:val="ListParagraph"/>
        <w:numPr>
          <w:ilvl w:val="0"/>
          <w:numId w:val="34"/>
        </w:numPr>
      </w:pPr>
      <w:r>
        <w:t>And environmental pollution</w:t>
      </w:r>
      <w:r w:rsidR="005260A5">
        <w:t>.</w:t>
      </w:r>
    </w:p>
    <w:p w14:paraId="5DDCACF4" w14:textId="4475B790" w:rsidR="00296CD3" w:rsidRDefault="00F23FBC" w:rsidP="00601451">
      <w:r>
        <w:t>P</w:t>
      </w:r>
      <w:r w:rsidR="00601451">
        <w:t xml:space="preserve">re-mitigation, one effect was rated as intolerable and three of the four were deemed tolerable if mitigated as low as reasonably practicable (ALARP). This means that the risk can be tolerated if any further reduction would require disproportionate effort in terms of time, difficulty and cost </w:t>
      </w:r>
      <w:sdt>
        <w:sdtPr>
          <w:id w:val="352930143"/>
          <w:citation/>
        </w:sdtPr>
        <w:sdtEndPr/>
        <w:sdtContent>
          <w:r w:rsidR="00601451">
            <w:fldChar w:fldCharType="begin"/>
          </w:r>
          <w:r w:rsidR="00601451">
            <w:instrText xml:space="preserve"> CITATION Bun18 \l 2057 </w:instrText>
          </w:r>
          <w:r w:rsidR="00601451">
            <w:fldChar w:fldCharType="separate"/>
          </w:r>
          <w:r w:rsidR="00601451">
            <w:rPr>
              <w:noProof/>
            </w:rPr>
            <w:t>[3]</w:t>
          </w:r>
          <w:r w:rsidR="00601451">
            <w:fldChar w:fldCharType="end"/>
          </w:r>
        </w:sdtContent>
      </w:sdt>
      <w:r w:rsidR="00601451">
        <w:t>. P</w:t>
      </w:r>
      <w:r>
        <w:t xml:space="preserve">ost-mitigation, </w:t>
      </w:r>
      <w:r w:rsidR="00601451">
        <w:t>the same three effects</w:t>
      </w:r>
      <w:r w:rsidR="00A3770C">
        <w:t xml:space="preserve"> </w:t>
      </w:r>
      <w:r>
        <w:t xml:space="preserve">were graded within the broadly acceptable region, meaning they are not deemed to be within the threshold of unacceptable risk and therefore the mitigations in place are sufficient without further investigation </w:t>
      </w:r>
      <w:sdt>
        <w:sdtPr>
          <w:id w:val="2109774712"/>
          <w:citation/>
        </w:sdtPr>
        <w:sdtEndPr/>
        <w:sdtContent>
          <w:r>
            <w:fldChar w:fldCharType="begin"/>
          </w:r>
          <w:r>
            <w:instrText xml:space="preserve"> CITATION Rhy18 \l 2057 </w:instrText>
          </w:r>
          <w:r>
            <w:fldChar w:fldCharType="separate"/>
          </w:r>
          <w:r w:rsidR="00601451">
            <w:rPr>
              <w:noProof/>
            </w:rPr>
            <w:t>[4]</w:t>
          </w:r>
          <w:r>
            <w:fldChar w:fldCharType="end"/>
          </w:r>
        </w:sdtContent>
      </w:sdt>
      <w:r>
        <w:t>.</w:t>
      </w:r>
      <w:r w:rsidR="00601451">
        <w:t xml:space="preserve"> </w:t>
      </w:r>
      <w:r w:rsidR="00A3770C">
        <w:t>H</w:t>
      </w:r>
      <w:r>
        <w:t>owever,</w:t>
      </w:r>
      <w:r w:rsidR="00601451">
        <w:t xml:space="preserve"> even with mitigations in place,</w:t>
      </w:r>
      <w:r>
        <w:t xml:space="preserve"> </w:t>
      </w:r>
      <w:r w:rsidR="00A3770C">
        <w:t xml:space="preserve">the inhalation of toxic gases due to cabin buildup </w:t>
      </w:r>
      <w:r>
        <w:t xml:space="preserve">was </w:t>
      </w:r>
      <w:r w:rsidR="006712E7">
        <w:t xml:space="preserve">only </w:t>
      </w:r>
      <w:r>
        <w:t xml:space="preserve">deemed tolerable if </w:t>
      </w:r>
      <w:r w:rsidR="006712E7">
        <w:t xml:space="preserve">mitigated </w:t>
      </w:r>
      <w:r w:rsidR="00601451">
        <w:t>to an ALARP status.</w:t>
      </w:r>
    </w:p>
    <w:p w14:paraId="0980210E" w14:textId="25DDD3A6" w:rsidR="001A5253" w:rsidRDefault="00601451" w:rsidP="0076629C">
      <w:r>
        <w:t xml:space="preserve">This effect was rated </w:t>
      </w:r>
      <w:r w:rsidR="001A5253">
        <w:t xml:space="preserve">as a 4 for severity, following the risk matrix stating a 4 to be a risk that would cause under 5 fatalities. </w:t>
      </w:r>
      <w:r w:rsidR="00782737">
        <w:t>Considering that</w:t>
      </w:r>
      <w:r w:rsidR="001A5253">
        <w:t xml:space="preserve"> there are 3 tank crew members</w:t>
      </w:r>
      <w:r w:rsidR="00782737">
        <w:t xml:space="preserve"> within an operational Ajax armoured vehicle</w:t>
      </w:r>
      <w:r w:rsidR="001A5253">
        <w:t>, and</w:t>
      </w:r>
      <w:r w:rsidR="00782737">
        <w:t xml:space="preserve"> that</w:t>
      </w:r>
      <w:r w:rsidR="001A5253">
        <w:t xml:space="preserve"> carbon monoxide is a known poisonous gas </w:t>
      </w:r>
      <w:r w:rsidR="00782737">
        <w:t>with the capacity to kill upon exposure, this was deemed by the participants to be a suitable rating. Pre-mitigation, the frequency level was also rated at a 4, which is defined within the risk matrix as likely to occur a few times in the plant lifetime. Given the extensive evidence on carbon monoxide sickness previously experienced by Ajax crew members</w:t>
      </w:r>
      <w:sdt>
        <w:sdtPr>
          <w:id w:val="-1144128252"/>
          <w:citation/>
        </w:sdtPr>
        <w:sdtEndPr/>
        <w:sdtContent>
          <w:r w:rsidR="008309E0">
            <w:fldChar w:fldCharType="begin"/>
          </w:r>
          <w:r w:rsidR="00F42287">
            <w:instrText xml:space="preserve">CITATION Reb26 \l 2057 </w:instrText>
          </w:r>
          <w:r w:rsidR="008309E0">
            <w:fldChar w:fldCharType="separate"/>
          </w:r>
          <w:r w:rsidR="00F42287">
            <w:rPr>
              <w:noProof/>
            </w:rPr>
            <w:t xml:space="preserve"> [5]</w:t>
          </w:r>
          <w:r w:rsidR="008309E0">
            <w:fldChar w:fldCharType="end"/>
          </w:r>
        </w:sdtContent>
      </w:sdt>
      <w:r w:rsidR="008309E0">
        <w:t xml:space="preserve"> </w:t>
      </w:r>
      <w:sdt>
        <w:sdtPr>
          <w:id w:val="-1675495269"/>
          <w:citation/>
        </w:sdtPr>
        <w:sdtEndPr/>
        <w:sdtContent>
          <w:r w:rsidR="00F42287">
            <w:fldChar w:fldCharType="begin"/>
          </w:r>
          <w:r w:rsidR="00F42287">
            <w:instrText xml:space="preserve">CITATION Tim26 \l 2057 </w:instrText>
          </w:r>
          <w:r w:rsidR="00F42287">
            <w:fldChar w:fldCharType="separate"/>
          </w:r>
          <w:r w:rsidR="00F42287">
            <w:rPr>
              <w:noProof/>
            </w:rPr>
            <w:t>[6]</w:t>
          </w:r>
          <w:r w:rsidR="00F42287">
            <w:fldChar w:fldCharType="end"/>
          </w:r>
        </w:sdtContent>
      </w:sdt>
      <w:r w:rsidR="00F42287">
        <w:t xml:space="preserve"> </w:t>
      </w:r>
      <w:sdt>
        <w:sdtPr>
          <w:id w:val="1912742058"/>
          <w:citation/>
        </w:sdtPr>
        <w:sdtEndPr/>
        <w:sdtContent>
          <w:r w:rsidR="00F42287">
            <w:fldChar w:fldCharType="begin"/>
          </w:r>
          <w:r w:rsidR="00F42287">
            <w:instrText xml:space="preserve"> CITATION Ank26 \l 2057 </w:instrText>
          </w:r>
          <w:r w:rsidR="00F42287">
            <w:fldChar w:fldCharType="separate"/>
          </w:r>
          <w:r w:rsidR="00F42287">
            <w:rPr>
              <w:noProof/>
            </w:rPr>
            <w:t>[7]</w:t>
          </w:r>
          <w:r w:rsidR="00F42287">
            <w:fldChar w:fldCharType="end"/>
          </w:r>
        </w:sdtContent>
      </w:sdt>
      <w:r w:rsidR="00782737">
        <w:t xml:space="preserve">, it is </w:t>
      </w:r>
      <w:r w:rsidR="00F42287">
        <w:t>clear</w:t>
      </w:r>
      <w:r w:rsidR="00782737">
        <w:t xml:space="preserve"> that exposure is </w:t>
      </w:r>
      <w:r w:rsidR="00944904">
        <w:t>recurrent</w:t>
      </w:r>
      <w:r w:rsidR="00782737">
        <w:t xml:space="preserve">, and therefore </w:t>
      </w:r>
      <w:r w:rsidR="0076629C">
        <w:t>reasonable</w:t>
      </w:r>
      <w:r w:rsidR="00782737">
        <w:t xml:space="preserve"> to assume deaths </w:t>
      </w:r>
      <w:r w:rsidR="0076629C">
        <w:t>could</w:t>
      </w:r>
      <w:r w:rsidR="00782737">
        <w:t xml:space="preserve"> occur</w:t>
      </w:r>
      <w:r w:rsidR="0076629C">
        <w:t xml:space="preserve"> at this frequency</w:t>
      </w:r>
      <w:r w:rsidR="00782737">
        <w:t>.</w:t>
      </w:r>
    </w:p>
    <w:p w14:paraId="55F539BF" w14:textId="6BECAA40" w:rsidR="00A65F8B" w:rsidRDefault="00881E7C" w:rsidP="009474E3">
      <w:r>
        <w:lastRenderedPageBreak/>
        <w:t xml:space="preserve">There is no option to completely remove personnel from the situation involving the risk, due to the unavoidable need for the tank crew to be present within the cabin to operate the Ajax platform. This means that </w:t>
      </w:r>
      <w:r w:rsidR="0076629C">
        <w:t>the risk</w:t>
      </w:r>
      <w:r>
        <w:t xml:space="preserve"> will have to be mitigated to an ALARP status to prevent any harm to personnel</w:t>
      </w:r>
      <w:r w:rsidR="008F6564">
        <w:t>, else the as the duty holder in this specific scenario, General Dynamics would be liable for any injuries sustained.</w:t>
      </w:r>
      <w:r w:rsidR="009474E3">
        <w:t xml:space="preserve"> </w:t>
      </w:r>
      <w:r w:rsidR="00A65F8B">
        <w:t xml:space="preserve">The duty holder is responsible </w:t>
      </w:r>
      <w:r w:rsidR="00D154BD">
        <w:t xml:space="preserve">for assessing the risks presented by the situation and ensuring that they are appropriately mitigated </w:t>
      </w:r>
      <w:sdt>
        <w:sdtPr>
          <w:id w:val="1045023099"/>
          <w:citation/>
        </w:sdtPr>
        <w:sdtEndPr/>
        <w:sdtContent>
          <w:r w:rsidR="00D154BD">
            <w:fldChar w:fldCharType="begin"/>
          </w:r>
          <w:r w:rsidR="00D154BD">
            <w:instrText xml:space="preserve"> CITATION HSE23 \l 2057 </w:instrText>
          </w:r>
          <w:r w:rsidR="00D154BD">
            <w:fldChar w:fldCharType="separate"/>
          </w:r>
          <w:r w:rsidR="00D154BD">
            <w:rPr>
              <w:noProof/>
            </w:rPr>
            <w:t>[8]</w:t>
          </w:r>
          <w:r w:rsidR="00D154BD">
            <w:fldChar w:fldCharType="end"/>
          </w:r>
        </w:sdtContent>
      </w:sdt>
      <w:r w:rsidR="00D154BD">
        <w:t xml:space="preserve"> </w:t>
      </w:r>
      <w:sdt>
        <w:sdtPr>
          <w:id w:val="-334689952"/>
          <w:citation/>
        </w:sdtPr>
        <w:sdtEndPr/>
        <w:sdtContent>
          <w:r w:rsidR="00D154BD">
            <w:fldChar w:fldCharType="begin"/>
          </w:r>
          <w:r w:rsidR="00D154BD">
            <w:instrText xml:space="preserve"> CITATION HSE74 \l 2057 </w:instrText>
          </w:r>
          <w:r w:rsidR="00D154BD">
            <w:fldChar w:fldCharType="separate"/>
          </w:r>
          <w:r w:rsidR="00D154BD">
            <w:rPr>
              <w:noProof/>
            </w:rPr>
            <w:t>[9]</w:t>
          </w:r>
          <w:r w:rsidR="00D154BD">
            <w:fldChar w:fldCharType="end"/>
          </w:r>
        </w:sdtContent>
      </w:sdt>
      <w:r w:rsidR="00D154BD">
        <w:t>.</w:t>
      </w:r>
    </w:p>
    <w:p w14:paraId="58E9009B" w14:textId="27A738FA" w:rsidR="008F6564" w:rsidRDefault="0076629C" w:rsidP="00296CD3">
      <w:r>
        <w:t xml:space="preserve">The existing mitigations in place </w:t>
      </w:r>
      <w:r w:rsidR="00D154BD">
        <w:t xml:space="preserve">for the inhalation of carbon monoxide within the Ajax armoured vehicle </w:t>
      </w:r>
      <w:r>
        <w:t>consist</w:t>
      </w:r>
      <w:r w:rsidR="00D154BD">
        <w:t>s</w:t>
      </w:r>
      <w:r>
        <w:t xml:space="preserve"> of seals around the engine deck to prevent any </w:t>
      </w:r>
      <w:r w:rsidR="00D154BD">
        <w:t>toxic gases</w:t>
      </w:r>
      <w:r>
        <w:t xml:space="preserve"> from leaking into the cabin where the tank crew sit</w:t>
      </w:r>
      <w:r w:rsidR="00D154BD">
        <w:t>,</w:t>
      </w:r>
      <w:r>
        <w:t xml:space="preserve"> and ventilation systems, however </w:t>
      </w:r>
      <w:r w:rsidR="00A65F8B">
        <w:t xml:space="preserve">both of these mitigations have shown to be ineffective due to the lack of quality in the equipment and the environment created by the vehicle when in use due to extreme vibration </w:t>
      </w:r>
      <w:sdt>
        <w:sdtPr>
          <w:id w:val="864031305"/>
          <w:citation/>
        </w:sdtPr>
        <w:sdtEndPr/>
        <w:sdtContent>
          <w:r w:rsidR="00A65F8B">
            <w:fldChar w:fldCharType="begin"/>
          </w:r>
          <w:r w:rsidR="00A65F8B">
            <w:instrText xml:space="preserve"> CITATION Tom26 \l 2057 </w:instrText>
          </w:r>
          <w:r w:rsidR="00A65F8B">
            <w:fldChar w:fldCharType="separate"/>
          </w:r>
          <w:r w:rsidR="00D154BD">
            <w:rPr>
              <w:noProof/>
            </w:rPr>
            <w:t>[10]</w:t>
          </w:r>
          <w:r w:rsidR="00A65F8B">
            <w:fldChar w:fldCharType="end"/>
          </w:r>
        </w:sdtContent>
      </w:sdt>
      <w:r w:rsidR="00A65F8B">
        <w:t>.</w:t>
      </w:r>
    </w:p>
    <w:p w14:paraId="559F08B4" w14:textId="336D9BFF" w:rsidR="00A65F8B" w:rsidRDefault="00A0427A" w:rsidP="00296CD3">
      <w:r>
        <w:t xml:space="preserve">In the UK there are </w:t>
      </w:r>
      <w:r w:rsidR="008143DB">
        <w:t xml:space="preserve">pieces of legislation that dictate the regulations in place concerning the safety of personnel at work, such as The Health and Safety at Work Act 1974 </w:t>
      </w:r>
      <w:sdt>
        <w:sdtPr>
          <w:id w:val="1037935446"/>
          <w:citation/>
        </w:sdtPr>
        <w:sdtEndPr/>
        <w:sdtContent>
          <w:r w:rsidR="008143DB">
            <w:fldChar w:fldCharType="begin"/>
          </w:r>
          <w:r w:rsidR="008143DB">
            <w:instrText xml:space="preserve"> CITATION HSE74 \l 2057 </w:instrText>
          </w:r>
          <w:r w:rsidR="008143DB">
            <w:fldChar w:fldCharType="separate"/>
          </w:r>
          <w:r w:rsidR="008143DB">
            <w:rPr>
              <w:noProof/>
            </w:rPr>
            <w:t>[9]</w:t>
          </w:r>
          <w:r w:rsidR="008143DB">
            <w:fldChar w:fldCharType="end"/>
          </w:r>
        </w:sdtContent>
      </w:sdt>
      <w:r w:rsidR="008143DB">
        <w:t xml:space="preserve"> and The Management of Health and Safety at Work Regulations 1999 </w:t>
      </w:r>
      <w:sdt>
        <w:sdtPr>
          <w:id w:val="-182752874"/>
          <w:citation/>
        </w:sdtPr>
        <w:sdtEndPr/>
        <w:sdtContent>
          <w:r w:rsidR="008143DB">
            <w:fldChar w:fldCharType="begin"/>
          </w:r>
          <w:r w:rsidR="008143DB">
            <w:instrText xml:space="preserve">CITATION HSE99 \l 2057 </w:instrText>
          </w:r>
          <w:r w:rsidR="008143DB">
            <w:fldChar w:fldCharType="separate"/>
          </w:r>
          <w:r w:rsidR="008143DB">
            <w:rPr>
              <w:noProof/>
            </w:rPr>
            <w:t>[11]</w:t>
          </w:r>
          <w:r w:rsidR="008143DB">
            <w:fldChar w:fldCharType="end"/>
          </w:r>
        </w:sdtContent>
      </w:sdt>
      <w:r w:rsidR="008143DB">
        <w:t xml:space="preserve">. Both of these pieces of legislation state that a duty holder has a duty of care to suitably assess all risks that personnel could be exposed to and mitigate them to a reasonable level. The Control of Substances Hazardous to Health (COSHH) 2002 </w:t>
      </w:r>
      <w:sdt>
        <w:sdtPr>
          <w:id w:val="-752358601"/>
          <w:citation/>
        </w:sdtPr>
        <w:sdtEndPr/>
        <w:sdtContent>
          <w:r w:rsidR="008143DB">
            <w:fldChar w:fldCharType="begin"/>
          </w:r>
          <w:r w:rsidR="008143DB">
            <w:instrText xml:space="preserve"> CITATION HSE02 \l 2057 </w:instrText>
          </w:r>
          <w:r w:rsidR="008143DB">
            <w:fldChar w:fldCharType="separate"/>
          </w:r>
          <w:r w:rsidR="008143DB">
            <w:rPr>
              <w:noProof/>
            </w:rPr>
            <w:t>[12]</w:t>
          </w:r>
          <w:r w:rsidR="008143DB">
            <w:fldChar w:fldCharType="end"/>
          </w:r>
        </w:sdtContent>
      </w:sdt>
      <w:r w:rsidR="008143DB">
        <w:t xml:space="preserve"> specifically states that duty holders must prevent or appropriately control exposure to any hazardous substances, which therefore includes the exposure to poisonous gases such as carbon monoxide. </w:t>
      </w:r>
      <w:r w:rsidR="00BD4EEC">
        <w:t xml:space="preserve">These three </w:t>
      </w:r>
      <w:r w:rsidR="00E65500">
        <w:t>documents</w:t>
      </w:r>
      <w:r w:rsidR="00BD4EEC">
        <w:t xml:space="preserve"> are vital pieces of UK statutory legislation, meaning every</w:t>
      </w:r>
      <w:r w:rsidR="00E65500">
        <w:t xml:space="preserve"> employer and</w:t>
      </w:r>
      <w:r w:rsidR="00BD4EEC">
        <w:t xml:space="preserve"> duty holder has a legal requirement to adhere to them.</w:t>
      </w:r>
    </w:p>
    <w:p w14:paraId="01D4F645" w14:textId="0EE86F3F" w:rsidR="008F6564" w:rsidRDefault="00594BD3" w:rsidP="00296CD3">
      <w:r>
        <w:t xml:space="preserve">While there is a legal obligation to follow these frameworks, it is also recognised as good practice by the majority of workplaces to establish a healthy safety culture. </w:t>
      </w:r>
      <w:r w:rsidR="00BD075B">
        <w:t>A common approach advised for use by the Health and Safety Executive (HSE) is t</w:t>
      </w:r>
      <w:r w:rsidR="005E54B7">
        <w:t xml:space="preserve">o “Plan, Do, Check, Act” </w:t>
      </w:r>
      <w:sdt>
        <w:sdtPr>
          <w:id w:val="-1741862875"/>
          <w:citation/>
        </w:sdtPr>
        <w:sdtEndPr/>
        <w:sdtContent>
          <w:r w:rsidR="005E54B7">
            <w:fldChar w:fldCharType="begin"/>
          </w:r>
          <w:r w:rsidR="005E54B7">
            <w:instrText xml:space="preserve"> CITATION HSE13 \l 2057 </w:instrText>
          </w:r>
          <w:r w:rsidR="005E54B7">
            <w:fldChar w:fldCharType="separate"/>
          </w:r>
          <w:r w:rsidR="005E54B7">
            <w:rPr>
              <w:noProof/>
            </w:rPr>
            <w:t>[13]</w:t>
          </w:r>
          <w:r w:rsidR="005E54B7">
            <w:fldChar w:fldCharType="end"/>
          </w:r>
        </w:sdtContent>
      </w:sdt>
      <w:r w:rsidR="005E54B7">
        <w:t xml:space="preserve">, which encourages a proactive mindset and centralises health and safety as a core part of general management. There should also be consistent documentation and record-keeping of incidents, to </w:t>
      </w:r>
      <w:r w:rsidR="005E54B7">
        <w:lastRenderedPageBreak/>
        <w:t xml:space="preserve">ensure mistakes are not repeated and incidents are dealt with accordingly. </w:t>
      </w:r>
      <w:r w:rsidR="00DA1D73">
        <w:t>Additionally, a</w:t>
      </w:r>
      <w:r w:rsidR="005E54B7">
        <w:t xml:space="preserve">ll personnel involved in any procedures should receive adequate competency training </w:t>
      </w:r>
      <w:sdt>
        <w:sdtPr>
          <w:id w:val="-733931416"/>
          <w:citation/>
        </w:sdtPr>
        <w:sdtEndPr/>
        <w:sdtContent>
          <w:r w:rsidR="00DA1D73">
            <w:fldChar w:fldCharType="begin"/>
          </w:r>
          <w:r w:rsidR="00DA1D73">
            <w:instrText xml:space="preserve"> CITATION HSE98 \l 2057 </w:instrText>
          </w:r>
          <w:r w:rsidR="00DA1D73">
            <w:fldChar w:fldCharType="separate"/>
          </w:r>
          <w:r w:rsidR="00DA1D73">
            <w:rPr>
              <w:noProof/>
            </w:rPr>
            <w:t>[14]</w:t>
          </w:r>
          <w:r w:rsidR="00DA1D73">
            <w:fldChar w:fldCharType="end"/>
          </w:r>
        </w:sdtContent>
      </w:sdt>
      <w:r w:rsidR="00DA1D73">
        <w:t xml:space="preserve"> and risk assessments should be generated for every procedure as a baseline.</w:t>
      </w:r>
    </w:p>
    <w:p w14:paraId="5B041B8D" w14:textId="48B5B505" w:rsidR="00DA1D73" w:rsidRDefault="00DA1D73" w:rsidP="00296CD3">
      <w:r>
        <w:t>Th</w:t>
      </w:r>
      <w:r w:rsidR="00CF2D02">
        <w:t xml:space="preserve">is information </w:t>
      </w:r>
      <w:r w:rsidR="00BB78DA">
        <w:t>supports the fact</w:t>
      </w:r>
      <w:r w:rsidR="00CF2D02">
        <w:t xml:space="preserve"> that General Dynamics did not </w:t>
      </w:r>
      <w:r w:rsidR="00BB78DA">
        <w:t xml:space="preserve">directly </w:t>
      </w:r>
      <w:r w:rsidR="00CF2D02">
        <w:t xml:space="preserve">adhere to the safety </w:t>
      </w:r>
      <w:r w:rsidR="00BB78DA">
        <w:t>legislation,</w:t>
      </w:r>
      <w:r w:rsidR="00CF2D02">
        <w:t xml:space="preserve"> </w:t>
      </w:r>
      <w:r w:rsidR="00127783">
        <w:t>nor did they practice a good safety culture.</w:t>
      </w:r>
      <w:r w:rsidR="00BB78DA">
        <w:t xml:space="preserve"> Within the risk assessment in section </w:t>
      </w:r>
      <w:r w:rsidR="00BB78DA">
        <w:fldChar w:fldCharType="begin"/>
      </w:r>
      <w:r w:rsidR="00BB78DA">
        <w:instrText xml:space="preserve"> REF _Ref235436573 \r \h </w:instrText>
      </w:r>
      <w:r w:rsidR="00BB78DA">
        <w:fldChar w:fldCharType="separate"/>
      </w:r>
      <w:r w:rsidR="00BB78DA">
        <w:rPr>
          <w:cs/>
        </w:rPr>
        <w:t>‎</w:t>
      </w:r>
      <w:r w:rsidR="00BB78DA">
        <w:t>2</w:t>
      </w:r>
      <w:r w:rsidR="00BB78DA">
        <w:fldChar w:fldCharType="end"/>
      </w:r>
      <w:r w:rsidR="00BB78DA">
        <w:t xml:space="preserve">, </w:t>
      </w:r>
      <w:r w:rsidR="00944904">
        <w:t>additional</w:t>
      </w:r>
      <w:r w:rsidR="00BB78DA">
        <w:t xml:space="preserve"> controls were added to reduce the risk level further. These consisted of:</w:t>
      </w:r>
    </w:p>
    <w:p w14:paraId="3BC18A57" w14:textId="40538B30" w:rsidR="00BB78DA" w:rsidRDefault="00BB78DA" w:rsidP="00441731">
      <w:pPr>
        <w:pStyle w:val="ListParagraph"/>
        <w:numPr>
          <w:ilvl w:val="0"/>
          <w:numId w:val="39"/>
        </w:numPr>
      </w:pPr>
      <w:r>
        <w:t>Personnel to wear appropriate PPE such as filtered masks,</w:t>
      </w:r>
    </w:p>
    <w:p w14:paraId="6184EEB1" w14:textId="6E689FE4" w:rsidR="00BB78DA" w:rsidRDefault="00BB78DA" w:rsidP="00441731">
      <w:pPr>
        <w:pStyle w:val="ListParagraph"/>
        <w:numPr>
          <w:ilvl w:val="0"/>
          <w:numId w:val="39"/>
        </w:numPr>
      </w:pPr>
      <w:r>
        <w:t>The introduction of higher efficienc</w:t>
      </w:r>
      <w:r w:rsidR="00664F3E">
        <w:t>y</w:t>
      </w:r>
      <w:r>
        <w:t xml:space="preserve"> ventilation syste</w:t>
      </w:r>
      <w:r w:rsidR="00AC0315">
        <w:t>m</w:t>
      </w:r>
      <w:r>
        <w:t>s,</w:t>
      </w:r>
    </w:p>
    <w:p w14:paraId="72C32687" w14:textId="5263B264" w:rsidR="00BB78DA" w:rsidRDefault="00BB78DA" w:rsidP="00441731">
      <w:pPr>
        <w:pStyle w:val="ListParagraph"/>
        <w:numPr>
          <w:ilvl w:val="0"/>
          <w:numId w:val="39"/>
        </w:numPr>
      </w:pPr>
      <w:r>
        <w:t>Updated seals that can</w:t>
      </w:r>
      <w:r w:rsidR="00B05624">
        <w:t xml:space="preserve"> </w:t>
      </w:r>
      <w:r>
        <w:t>withstand the vibrations exerted by the vehicle when in use,</w:t>
      </w:r>
    </w:p>
    <w:p w14:paraId="1FCB2A4E" w14:textId="5940E656" w:rsidR="00BB78DA" w:rsidRDefault="00BB78DA" w:rsidP="00441731">
      <w:pPr>
        <w:pStyle w:val="ListParagraph"/>
        <w:numPr>
          <w:ilvl w:val="0"/>
          <w:numId w:val="39"/>
        </w:numPr>
      </w:pPr>
      <w:r>
        <w:t>Carbon monoxide monitors within the cabin,</w:t>
      </w:r>
    </w:p>
    <w:p w14:paraId="05F50546" w14:textId="7CE45E65" w:rsidR="00BB78DA" w:rsidRDefault="00BB78DA" w:rsidP="00441731">
      <w:pPr>
        <w:pStyle w:val="ListParagraph"/>
        <w:numPr>
          <w:ilvl w:val="0"/>
          <w:numId w:val="39"/>
        </w:numPr>
      </w:pPr>
      <w:r>
        <w:t xml:space="preserve">Routine testing off all </w:t>
      </w:r>
      <w:r w:rsidR="00F031BF">
        <w:t xml:space="preserve">PPE and </w:t>
      </w:r>
      <w:r>
        <w:t>equipment within the cabin,</w:t>
      </w:r>
    </w:p>
    <w:p w14:paraId="51CD2529" w14:textId="78AA1AB3" w:rsidR="00AE39AB" w:rsidRDefault="00BB78DA" w:rsidP="00441731">
      <w:pPr>
        <w:pStyle w:val="ListParagraph"/>
        <w:numPr>
          <w:ilvl w:val="0"/>
          <w:numId w:val="39"/>
        </w:numPr>
      </w:pPr>
      <w:r>
        <w:t>And crew competency training to assess</w:t>
      </w:r>
      <w:r w:rsidR="00F031BF">
        <w:t xml:space="preserve"> whether</w:t>
      </w:r>
      <w:r>
        <w:t xml:space="preserve"> the wo</w:t>
      </w:r>
      <w:r w:rsidR="00664F3E">
        <w:t>r</w:t>
      </w:r>
      <w:r>
        <w:t xml:space="preserve">kspace is safe for </w:t>
      </w:r>
      <w:r w:rsidR="00AC0315">
        <w:t xml:space="preserve">use </w:t>
      </w:r>
      <w:r>
        <w:t xml:space="preserve">before </w:t>
      </w:r>
      <w:r w:rsidR="00AE39AB">
        <w:t>any interaction takes place.</w:t>
      </w:r>
    </w:p>
    <w:p w14:paraId="02F38315" w14:textId="44E3BD9A" w:rsidR="00AE39AB" w:rsidRDefault="0009571B" w:rsidP="00F031BF">
      <w:r>
        <w:t>The</w:t>
      </w:r>
      <w:r w:rsidR="0068237F">
        <w:t xml:space="preserve"> </w:t>
      </w:r>
      <w:r w:rsidR="00F031BF">
        <w:t xml:space="preserve">controls were selected due to their low cost and high risk-reduction, making them reasonably practicable to have in place. </w:t>
      </w:r>
      <w:r w:rsidR="00AE39AB">
        <w:t xml:space="preserve">The controls could not reduce the severity rating of the effects of inhaling carbon monoxide, however </w:t>
      </w:r>
      <w:r w:rsidR="00664F3E">
        <w:t>it was determined that when implemented they would</w:t>
      </w:r>
      <w:r w:rsidR="00AE39AB">
        <w:t xml:space="preserve"> decrease the frequency of which it is likely to happen, taking the overall risk rating down from a score of 16 to 8.</w:t>
      </w:r>
    </w:p>
    <w:p w14:paraId="64F9F82C" w14:textId="30FE9664" w:rsidR="00AE39AB" w:rsidRDefault="00AE39AB" w:rsidP="00AE39AB">
      <w:r>
        <w:t xml:space="preserve">Referring to the risk rating matrix, a score of 8 is not within the broadly acceptable region but can be classified as tolerable if ALARP. Whether or not a risk </w:t>
      </w:r>
      <w:r w:rsidR="00AC0315">
        <w:t>has been appropriately reduced to an</w:t>
      </w:r>
      <w:r>
        <w:t xml:space="preserve"> ALARP </w:t>
      </w:r>
      <w:r w:rsidR="00AC0315">
        <w:t xml:space="preserve">level </w:t>
      </w:r>
      <w:r>
        <w:t xml:space="preserve">can be determined </w:t>
      </w:r>
      <w:r w:rsidR="00AC0315">
        <w:t xml:space="preserve">by evaluating if any further reductions would cost a disproportionate amount of time, trouble or money </w:t>
      </w:r>
      <w:sdt>
        <w:sdtPr>
          <w:id w:val="-1335306521"/>
          <w:citation/>
        </w:sdtPr>
        <w:sdtEndPr/>
        <w:sdtContent>
          <w:r w:rsidR="00AC0315">
            <w:fldChar w:fldCharType="begin"/>
          </w:r>
          <w:r w:rsidR="00AC0315">
            <w:instrText xml:space="preserve"> CITATION MOD07 \l 2057 </w:instrText>
          </w:r>
          <w:r w:rsidR="00AC0315">
            <w:fldChar w:fldCharType="separate"/>
          </w:r>
          <w:r w:rsidR="00AC0315">
            <w:rPr>
              <w:noProof/>
            </w:rPr>
            <w:t>[15]</w:t>
          </w:r>
          <w:r w:rsidR="00AC0315">
            <w:fldChar w:fldCharType="end"/>
          </w:r>
        </w:sdtContent>
      </w:sdt>
      <w:r w:rsidR="00AC0315">
        <w:t xml:space="preserve">. </w:t>
      </w:r>
      <w:r w:rsidR="00B05624">
        <w:t>One way this</w:t>
      </w:r>
      <w:r w:rsidR="00AC0315">
        <w:t xml:space="preserve"> can be done </w:t>
      </w:r>
      <w:r w:rsidR="00B05624">
        <w:t xml:space="preserve">is </w:t>
      </w:r>
      <w:r w:rsidR="00AC0315">
        <w:t xml:space="preserve">through a cost benefit analysis (CBA) if the risk assessment was completed quantitively </w:t>
      </w:r>
      <w:sdt>
        <w:sdtPr>
          <w:id w:val="436106044"/>
          <w:citation/>
        </w:sdtPr>
        <w:sdtEndPr/>
        <w:sdtContent>
          <w:r w:rsidR="00AC0315">
            <w:fldChar w:fldCharType="begin"/>
          </w:r>
          <w:r w:rsidR="00AC0315">
            <w:instrText xml:space="preserve"> CITATION MOD21 \l 2057 </w:instrText>
          </w:r>
          <w:r w:rsidR="00AC0315">
            <w:fldChar w:fldCharType="separate"/>
          </w:r>
          <w:r w:rsidR="00AC0315">
            <w:rPr>
              <w:noProof/>
            </w:rPr>
            <w:t>[2]</w:t>
          </w:r>
          <w:r w:rsidR="00AC0315">
            <w:fldChar w:fldCharType="end"/>
          </w:r>
        </w:sdtContent>
      </w:sdt>
      <w:r w:rsidR="00AC0315">
        <w:t>.</w:t>
      </w:r>
    </w:p>
    <w:p w14:paraId="31BC0745" w14:textId="0C8F5991" w:rsidR="00AC0315" w:rsidRDefault="00AC0315" w:rsidP="00923863">
      <w:r>
        <w:t xml:space="preserve">A CBA proves that </w:t>
      </w:r>
      <w:r w:rsidR="00B05624">
        <w:t xml:space="preserve">the cost of implementing a risk-reduction measure is grossly disproportionate to the reduction that would be achieved </w:t>
      </w:r>
      <w:sdt>
        <w:sdtPr>
          <w:id w:val="-1250729423"/>
          <w:citation/>
        </w:sdtPr>
        <w:sdtEndPr/>
        <w:sdtContent>
          <w:r w:rsidR="00B05624">
            <w:fldChar w:fldCharType="begin"/>
          </w:r>
          <w:r w:rsidR="00B05624">
            <w:instrText xml:space="preserve"> CITATION Cli06 \l 2057 </w:instrText>
          </w:r>
          <w:r w:rsidR="00B05624">
            <w:fldChar w:fldCharType="separate"/>
          </w:r>
          <w:r w:rsidR="00B05624">
            <w:rPr>
              <w:noProof/>
            </w:rPr>
            <w:t>[16]</w:t>
          </w:r>
          <w:r w:rsidR="00B05624">
            <w:fldChar w:fldCharType="end"/>
          </w:r>
        </w:sdtContent>
      </w:sdt>
      <w:r w:rsidR="00B05624">
        <w:t xml:space="preserve">, meaning that the measure is not reasonably practicable and therefore the risk is reduced to an </w:t>
      </w:r>
      <w:r w:rsidR="00B05624">
        <w:lastRenderedPageBreak/>
        <w:t>ALARP status</w:t>
      </w:r>
      <w:r w:rsidR="00913A69">
        <w:t>, making it tolerable. A CBA can be completed using a grossly disproportionate cost (GDC)</w:t>
      </w:r>
      <w:r w:rsidR="00923863">
        <w:t xml:space="preserve">, which can then be compared to the cost of implementing a reduction. If the cost of the reduction is higher than the GDC, then it is considered to be grossly disproportionate and is not necessary to implement. A GDC can be calculated using the </w:t>
      </w:r>
      <w:r w:rsidR="00913A69">
        <w:t xml:space="preserve">equation </w:t>
      </w:r>
      <w:r w:rsidR="00923863">
        <w:t xml:space="preserve">below </w:t>
      </w:r>
      <w:r w:rsidR="00913A69">
        <w:t>(</w:t>
      </w:r>
      <w:r w:rsidR="00913A69">
        <w:fldChar w:fldCharType="begin"/>
      </w:r>
      <w:r w:rsidR="00913A69">
        <w:instrText xml:space="preserve"> REF _Ref235527138 \h </w:instrText>
      </w:r>
      <w:r w:rsidR="00913A69">
        <w:fldChar w:fldCharType="separate"/>
      </w:r>
      <w:r w:rsidR="00913A69">
        <w:t xml:space="preserve">Equation </w:t>
      </w:r>
      <w:r w:rsidR="00913A69">
        <w:rPr>
          <w:noProof/>
        </w:rPr>
        <w:t>1</w:t>
      </w:r>
      <w:r w:rsidR="00913A69">
        <w:fldChar w:fldCharType="end"/>
      </w:r>
      <w:r w:rsidR="00913A69">
        <w:t>).</w:t>
      </w:r>
    </w:p>
    <w:p w14:paraId="0D71DCFD" w14:textId="0DDE2DBB" w:rsidR="00913A69" w:rsidRDefault="00913A69" w:rsidP="00913A69">
      <w:pPr>
        <w:pStyle w:val="Caption"/>
        <w:keepNext/>
      </w:pPr>
      <w:bookmarkStart w:id="26" w:name="_Ref235527138"/>
      <w:bookmarkStart w:id="27" w:name="_Ref235527134"/>
      <w:bookmarkStart w:id="28" w:name="_Toc235605588"/>
      <w:r>
        <w:t xml:space="preserve">Equation </w:t>
      </w:r>
      <w:fldSimple w:instr=" SEQ Equation \* ARABIC ">
        <w:r>
          <w:rPr>
            <w:noProof/>
          </w:rPr>
          <w:t>1</w:t>
        </w:r>
      </w:fldSimple>
      <w:bookmarkEnd w:id="26"/>
      <w:r>
        <w:t xml:space="preserve"> – GDC Equation</w:t>
      </w:r>
      <w:bookmarkEnd w:id="27"/>
      <w:bookmarkEnd w:id="28"/>
    </w:p>
    <w:p w14:paraId="151F8DF1" w14:textId="45FF92DD" w:rsidR="00913A69" w:rsidRDefault="00913A69" w:rsidP="00AE39AB">
      <m:oMathPara>
        <m:oMath>
          <m:r>
            <w:rPr>
              <w:rFonts w:ascii="Cambria Math" w:hAnsi="Cambria Math"/>
            </w:rPr>
            <m:t>GDC=P×VPF×GDF</m:t>
          </m:r>
        </m:oMath>
      </m:oMathPara>
    </w:p>
    <w:p w14:paraId="5E77DF96" w14:textId="77777777" w:rsidR="005260A5" w:rsidRDefault="00913A69" w:rsidP="00AE39AB">
      <w:r>
        <w:t>Where</w:t>
      </w:r>
      <w:r w:rsidR="005260A5">
        <w:t>:</w:t>
      </w:r>
    </w:p>
    <w:p w14:paraId="3D102895" w14:textId="77777777" w:rsidR="005260A5" w:rsidRDefault="00913A69" w:rsidP="00AE39AB">
      <w:r>
        <w:t>P is the probability of an accident under review,</w:t>
      </w:r>
    </w:p>
    <w:p w14:paraId="0F496D56" w14:textId="0EF424DB" w:rsidR="005260A5" w:rsidRDefault="00913A69" w:rsidP="00AE39AB">
      <w:r>
        <w:t>VPF is the value of the prevented fatality, injury or har</w:t>
      </w:r>
      <w:r w:rsidR="005260A5">
        <w:t>m,</w:t>
      </w:r>
    </w:p>
    <w:p w14:paraId="51B473AA" w14:textId="66C84F69" w:rsidR="00913A69" w:rsidRDefault="005260A5" w:rsidP="00AE39AB">
      <w:r>
        <w:t xml:space="preserve">And </w:t>
      </w:r>
      <w:r w:rsidR="00913A69">
        <w:t>GDF is the grossly disproportionate factor.</w:t>
      </w:r>
    </w:p>
    <w:p w14:paraId="4C50EAE0" w14:textId="6FED9BF4" w:rsidR="00054A5A" w:rsidRDefault="00923863" w:rsidP="009137E1">
      <w:r>
        <w:t>Using this equation, the GDC of the risk of tank crew personnel inhaling carbon monoxide due to cabin buildup can be calculated.</w:t>
      </w:r>
      <w:r w:rsidR="009137E1">
        <w:t xml:space="preserve"> The probability derived from the risk assessment is quantified as 1, the VPF is </w:t>
      </w:r>
      <w:r w:rsidR="00054A5A">
        <w:t>£2,000,000 for fatalit</w:t>
      </w:r>
      <w:r w:rsidR="009137E1">
        <w:t>ies in the munitions industry</w:t>
      </w:r>
      <w:r w:rsidR="00054A5A">
        <w:t xml:space="preserve"> </w:t>
      </w:r>
      <w:sdt>
        <w:sdtPr>
          <w:id w:val="631841648"/>
          <w:citation/>
        </w:sdtPr>
        <w:sdtEndPr/>
        <w:sdtContent>
          <w:r w:rsidR="00054A5A">
            <w:fldChar w:fldCharType="begin"/>
          </w:r>
          <w:r w:rsidR="00054A5A">
            <w:instrText xml:space="preserve"> CITATION Cli06 \l 2057 </w:instrText>
          </w:r>
          <w:r w:rsidR="00054A5A">
            <w:fldChar w:fldCharType="separate"/>
          </w:r>
          <w:r w:rsidR="00054A5A">
            <w:rPr>
              <w:noProof/>
            </w:rPr>
            <w:t>[16]</w:t>
          </w:r>
          <w:r w:rsidR="00054A5A">
            <w:fldChar w:fldCharType="end"/>
          </w:r>
        </w:sdtContent>
      </w:sdt>
      <w:r w:rsidR="009137E1">
        <w:t xml:space="preserve"> and the </w:t>
      </w:r>
      <w:r w:rsidR="00054A5A">
        <w:t xml:space="preserve">GDF </w:t>
      </w:r>
      <w:r w:rsidR="009137E1">
        <w:t xml:space="preserve">is 3 </w:t>
      </w:r>
      <w:sdt>
        <w:sdtPr>
          <w:id w:val="-639337816"/>
          <w:citation/>
        </w:sdtPr>
        <w:sdtEndPr/>
        <w:sdtContent>
          <w:r w:rsidR="009137E1">
            <w:fldChar w:fldCharType="begin"/>
          </w:r>
          <w:r w:rsidR="009137E1">
            <w:instrText xml:space="preserve"> CITATION Eur06 \l 2057 </w:instrText>
          </w:r>
          <w:r w:rsidR="009137E1">
            <w:fldChar w:fldCharType="separate"/>
          </w:r>
          <w:r w:rsidR="009137E1">
            <w:rPr>
              <w:noProof/>
            </w:rPr>
            <w:t>[17]</w:t>
          </w:r>
          <w:r w:rsidR="009137E1">
            <w:fldChar w:fldCharType="end"/>
          </w:r>
        </w:sdtContent>
      </w:sdt>
      <w:r w:rsidR="009137E1">
        <w:t>. This means that the GDC is calculated to be £6,000,000 and any mitigation that costs less than this figure should be implemented to reduce the risk to an ALARP status.</w:t>
      </w:r>
      <w:r w:rsidR="00F031BF">
        <w:t xml:space="preserve"> </w:t>
      </w:r>
    </w:p>
    <w:p w14:paraId="69925045" w14:textId="4EF588A9" w:rsidR="009137E1" w:rsidRDefault="00441731" w:rsidP="006431A3">
      <w:r>
        <w:t xml:space="preserve">The mitigations mentioned above (page 12) cost under £6,000,000 to implement, meaning that they are proportionate reductions to make and should be in place. However, the proof that the risk has been mitigated to an ALARP status lies in the fact that all other potential mitigations cost more than the GDC. </w:t>
      </w:r>
      <w:r w:rsidR="006431A3">
        <w:t xml:space="preserve">For example, the ideal scenario would be to eliminate the risk entirely. As the tank crew cannot be removed from the cabin, the solution would be to remove the source of the carbon monoxide. </w:t>
      </w:r>
      <w:r w:rsidR="00AC724A">
        <w:t xml:space="preserve">Carbon monoxide is a product of incomplete </w:t>
      </w:r>
      <w:r w:rsidR="009C367A">
        <w:t>combustion and</w:t>
      </w:r>
      <w:r w:rsidR="00AC724A">
        <w:t xml:space="preserve"> is highly present in engine exhausts </w:t>
      </w:r>
      <w:sdt>
        <w:sdtPr>
          <w:id w:val="2000535133"/>
          <w:citation/>
        </w:sdtPr>
        <w:sdtContent>
          <w:r w:rsidR="00AC724A">
            <w:fldChar w:fldCharType="begin"/>
          </w:r>
          <w:r w:rsidR="00AC724A">
            <w:instrText xml:space="preserve"> CITATION AMa20 \l 2057 </w:instrText>
          </w:r>
          <w:r w:rsidR="00AC724A">
            <w:fldChar w:fldCharType="separate"/>
          </w:r>
          <w:r w:rsidR="00AC724A">
            <w:rPr>
              <w:noProof/>
            </w:rPr>
            <w:t>[18]</w:t>
          </w:r>
          <w:r w:rsidR="00AC724A">
            <w:fldChar w:fldCharType="end"/>
          </w:r>
        </w:sdtContent>
      </w:sdt>
      <w:r w:rsidR="00AC724A">
        <w:t xml:space="preserve">, </w:t>
      </w:r>
      <w:r w:rsidR="00944904">
        <w:t>and it was shown that the damaged seals where the carbon monoxide entered the cabin were around the engine block. L</w:t>
      </w:r>
      <w:r w:rsidR="009C367A">
        <w:t>ogically</w:t>
      </w:r>
      <w:r w:rsidR="00944904">
        <w:t>,</w:t>
      </w:r>
      <w:r w:rsidR="009C367A">
        <w:t xml:space="preserve"> the solution would be to use an alternative powering method to an internal combustion engine (ICE).</w:t>
      </w:r>
    </w:p>
    <w:p w14:paraId="07A2E5EC" w14:textId="3A369FD8" w:rsidR="009C367A" w:rsidRDefault="009C367A" w:rsidP="006431A3">
      <w:r>
        <w:lastRenderedPageBreak/>
        <w:t xml:space="preserve">To convert the Ajax armoured vehicle to an entirely different power source, it could be assumed that the price would be near to that of </w:t>
      </w:r>
      <w:r w:rsidR="006B2F46">
        <w:t>the entire price of a single vehicle, due to the complete and utter rework that would be required; it may even be more cost-effective to simply redesign the product and implement the change to the newly manufactured line. If this is assumed, the cost of this risk reduction can be compared to the GDC.</w:t>
      </w:r>
    </w:p>
    <w:p w14:paraId="5A7D92F9" w14:textId="199434EA" w:rsidR="006B2F46" w:rsidRDefault="006B2F46" w:rsidP="006431A3">
      <w:r>
        <w:t xml:space="preserve">The cost of the Ajax programme so far has surmounted to approximately £5.5 billion for the British Army, which purchases 589 vehicles </w:t>
      </w:r>
      <w:sdt>
        <w:sdtPr>
          <w:id w:val="-1736693442"/>
          <w:citation/>
        </w:sdtPr>
        <w:sdtContent>
          <w:r>
            <w:fldChar w:fldCharType="begin"/>
          </w:r>
          <w:r>
            <w:instrText xml:space="preserve"> CITATION Lou23 \l 2057 </w:instrText>
          </w:r>
          <w:r>
            <w:fldChar w:fldCharType="separate"/>
          </w:r>
          <w:r>
            <w:rPr>
              <w:noProof/>
            </w:rPr>
            <w:t>[19]</w:t>
          </w:r>
          <w:r>
            <w:fldChar w:fldCharType="end"/>
          </w:r>
        </w:sdtContent>
      </w:sdt>
      <w:r w:rsidR="001C768E">
        <w:t>. This means that the average price per vehicle is over £9,000,000. As the GDC is £6,000,000, this means that the implementation of this risk reduction would be grossly disproportionate and was therefore discounted, meaning that the risk has been mitigated to an ALARP status.</w:t>
      </w:r>
    </w:p>
    <w:p w14:paraId="485A6704" w14:textId="4E7717B1" w:rsidR="0059541F" w:rsidRDefault="001C768E" w:rsidP="001C768E">
      <w:r>
        <w:t xml:space="preserve">In the future, however, there may be more scope to implement this </w:t>
      </w:r>
      <w:r w:rsidR="00944904">
        <w:t xml:space="preserve">removal of the ICE </w:t>
      </w:r>
      <w:r>
        <w:t>mitigatio</w:t>
      </w:r>
      <w:r w:rsidR="00944904">
        <w:t>n</w:t>
      </w:r>
      <w:r>
        <w:t>. It is likely that the cost of this reduction would decrease</w:t>
      </w:r>
      <w:r w:rsidR="00944904">
        <w:t xml:space="preserve"> as technology advances</w:t>
      </w:r>
      <w:r>
        <w:t>, and if it were to price below the GDC then it would be feasible to make the change. Risk assessments should be periodically reviewed to account for these various changes in environment, and this could be considered on the next review.</w:t>
      </w:r>
      <w:r w:rsidR="0059541F">
        <w:br w:type="page"/>
      </w:r>
    </w:p>
    <w:p w14:paraId="1E0F91E8" w14:textId="2DF679EA" w:rsidR="0059541F" w:rsidRDefault="0059541F" w:rsidP="0059541F">
      <w:pPr>
        <w:pStyle w:val="Heading1"/>
      </w:pPr>
      <w:bookmarkStart w:id="29" w:name="_Toc235605586"/>
      <w:r>
        <w:lastRenderedPageBreak/>
        <w:t>Conclusion</w:t>
      </w:r>
      <w:bookmarkEnd w:id="29"/>
    </w:p>
    <w:p w14:paraId="38671A46" w14:textId="0B7AD3FB" w:rsidR="00030508" w:rsidRDefault="00030508" w:rsidP="0059541F">
      <w:r>
        <w:t xml:space="preserve">In conclusion, </w:t>
      </w:r>
      <w:r w:rsidR="009678A1">
        <w:t xml:space="preserve">the current mitigations in place for the inhalation of carbon monoxide due to cabin buildup in the Ajax armoured vehicle are inefficient and the hazard poses a high risk to personnel. There are several further risk-reductions that </w:t>
      </w:r>
      <w:r w:rsidR="00944904">
        <w:t>would need to</w:t>
      </w:r>
      <w:r w:rsidR="009678A1">
        <w:t xml:space="preserve"> be introduced to make this risk ALARP and tolerable, but only those under the GDC </w:t>
      </w:r>
      <w:r w:rsidR="00944904">
        <w:t xml:space="preserve">threshold </w:t>
      </w:r>
      <w:r w:rsidR="009678A1">
        <w:t>are necessary.</w:t>
      </w:r>
    </w:p>
    <w:p w14:paraId="1FFB7F44" w14:textId="062CF115" w:rsidR="0059541F" w:rsidRPr="0059541F" w:rsidRDefault="009678A1" w:rsidP="009678A1">
      <w:r>
        <w:t xml:space="preserve">If the safety process undertaken originally by General Dynamics had been more thorough, and they had followed good practice, they could have predicted these risks through a HAZOP or other HAZID method and therefore prevented them from occurring through the incorporation of safety-led design, which would have saved on time, cost and effort. </w:t>
      </w:r>
    </w:p>
    <w:p w14:paraId="3FBBAB04" w14:textId="77777777" w:rsidR="00E22930" w:rsidRDefault="00E22930" w:rsidP="00E22930"/>
    <w:p w14:paraId="27FD4832" w14:textId="77777777" w:rsidR="00E22930" w:rsidRPr="00E22930" w:rsidRDefault="00E22930" w:rsidP="00E22930">
      <w:pPr>
        <w:sectPr w:rsidR="00E22930" w:rsidRPr="00E22930" w:rsidSect="00623A81">
          <w:headerReference w:type="even" r:id="rId31"/>
          <w:headerReference w:type="default" r:id="rId32"/>
          <w:footerReference w:type="even" r:id="rId33"/>
          <w:footerReference w:type="default" r:id="rId34"/>
          <w:headerReference w:type="first" r:id="rId35"/>
          <w:footerReference w:type="first" r:id="rId36"/>
          <w:pgSz w:w="11906" w:h="16838" w:code="9"/>
          <w:pgMar w:top="1701" w:right="1701" w:bottom="1701" w:left="1701" w:header="709" w:footer="851" w:gutter="0"/>
          <w:cols w:space="708"/>
          <w:docGrid w:linePitch="360"/>
        </w:sectPr>
      </w:pPr>
    </w:p>
    <w:bookmarkStart w:id="30" w:name="_Toc235605587" w:displacedByCustomXml="next"/>
    <w:sdt>
      <w:sdtPr>
        <w:rPr>
          <w:rFonts w:cs="Times New Roman"/>
          <w:b w:val="0"/>
          <w:bCs w:val="0"/>
          <w:kern w:val="0"/>
          <w:sz w:val="24"/>
          <w:szCs w:val="24"/>
        </w:rPr>
        <w:id w:val="811291157"/>
        <w:docPartObj>
          <w:docPartGallery w:val="Bibliographies"/>
          <w:docPartUnique/>
        </w:docPartObj>
      </w:sdtPr>
      <w:sdtEndPr/>
      <w:sdtContent>
        <w:p w14:paraId="2D62A53A" w14:textId="63B0FED8" w:rsidR="00B8607F" w:rsidRDefault="00B8607F">
          <w:pPr>
            <w:pStyle w:val="Heading1"/>
          </w:pPr>
          <w:r>
            <w:t>References</w:t>
          </w:r>
          <w:bookmarkEnd w:id="30"/>
        </w:p>
        <w:sdt>
          <w:sdtPr>
            <w:id w:val="-573587230"/>
            <w:bibliography/>
          </w:sdtPr>
          <w:sdtEndPr/>
          <w:sdtContent>
            <w:p w14:paraId="2C260BDD" w14:textId="77777777" w:rsidR="00056DF0" w:rsidRDefault="00B8607F">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028"/>
              </w:tblGrid>
              <w:tr w:rsidR="00056DF0" w14:paraId="0FFA7FCF" w14:textId="77777777">
                <w:trPr>
                  <w:divId w:val="548496964"/>
                  <w:tblCellSpacing w:w="15" w:type="dxa"/>
                </w:trPr>
                <w:tc>
                  <w:tcPr>
                    <w:tcW w:w="50" w:type="pct"/>
                    <w:hideMark/>
                  </w:tcPr>
                  <w:p w14:paraId="7439442A" w14:textId="0976C311" w:rsidR="00056DF0" w:rsidRDefault="00056DF0">
                    <w:pPr>
                      <w:pStyle w:val="Bibliography"/>
                      <w:rPr>
                        <w:noProof/>
                      </w:rPr>
                    </w:pPr>
                    <w:r>
                      <w:rPr>
                        <w:noProof/>
                      </w:rPr>
                      <w:t xml:space="preserve">[1] </w:t>
                    </w:r>
                  </w:p>
                </w:tc>
                <w:tc>
                  <w:tcPr>
                    <w:tcW w:w="0" w:type="auto"/>
                    <w:hideMark/>
                  </w:tcPr>
                  <w:p w14:paraId="53F8EF20" w14:textId="77777777" w:rsidR="00056DF0" w:rsidRDefault="00056DF0">
                    <w:pPr>
                      <w:pStyle w:val="Bibliography"/>
                      <w:rPr>
                        <w:noProof/>
                      </w:rPr>
                    </w:pPr>
                    <w:r>
                      <w:rPr>
                        <w:noProof/>
                      </w:rPr>
                      <w:t>MOD, “ASEMS SMP05,” MOD, 09 01 2017. [Online]. Available: https://www.asems.mod.uk/toolkit/hazop. [Accessed 20 07 2026].</w:t>
                    </w:r>
                  </w:p>
                </w:tc>
              </w:tr>
              <w:tr w:rsidR="00056DF0" w14:paraId="757A41CB" w14:textId="77777777">
                <w:trPr>
                  <w:divId w:val="548496964"/>
                  <w:tblCellSpacing w:w="15" w:type="dxa"/>
                </w:trPr>
                <w:tc>
                  <w:tcPr>
                    <w:tcW w:w="50" w:type="pct"/>
                    <w:hideMark/>
                  </w:tcPr>
                  <w:p w14:paraId="1805F23B" w14:textId="77777777" w:rsidR="00056DF0" w:rsidRDefault="00056DF0">
                    <w:pPr>
                      <w:pStyle w:val="Bibliography"/>
                      <w:rPr>
                        <w:noProof/>
                      </w:rPr>
                    </w:pPr>
                    <w:r>
                      <w:rPr>
                        <w:noProof/>
                      </w:rPr>
                      <w:t xml:space="preserve">[2] </w:t>
                    </w:r>
                  </w:p>
                </w:tc>
                <w:tc>
                  <w:tcPr>
                    <w:tcW w:w="0" w:type="auto"/>
                    <w:hideMark/>
                  </w:tcPr>
                  <w:p w14:paraId="372A8698" w14:textId="77777777" w:rsidR="00056DF0" w:rsidRDefault="00056DF0">
                    <w:pPr>
                      <w:pStyle w:val="Bibliography"/>
                      <w:rPr>
                        <w:noProof/>
                      </w:rPr>
                    </w:pPr>
                    <w:r>
                      <w:rPr>
                        <w:noProof/>
                      </w:rPr>
                      <w:t>MOD, “ASEMS SMP06,” MOD, 16 07 2021. [Online]. Available: https://www.asems.mod.uk/guidance/posms/smp06. [Accessed 20 07 2026].</w:t>
                    </w:r>
                  </w:p>
                </w:tc>
              </w:tr>
              <w:tr w:rsidR="00056DF0" w14:paraId="44F0EAF3" w14:textId="77777777">
                <w:trPr>
                  <w:divId w:val="548496964"/>
                  <w:tblCellSpacing w:w="15" w:type="dxa"/>
                </w:trPr>
                <w:tc>
                  <w:tcPr>
                    <w:tcW w:w="50" w:type="pct"/>
                    <w:hideMark/>
                  </w:tcPr>
                  <w:p w14:paraId="6E3AFB02" w14:textId="77777777" w:rsidR="00056DF0" w:rsidRDefault="00056DF0">
                    <w:pPr>
                      <w:pStyle w:val="Bibliography"/>
                      <w:rPr>
                        <w:noProof/>
                      </w:rPr>
                    </w:pPr>
                    <w:r>
                      <w:rPr>
                        <w:noProof/>
                      </w:rPr>
                      <w:t xml:space="preserve">[3] </w:t>
                    </w:r>
                  </w:p>
                </w:tc>
                <w:tc>
                  <w:tcPr>
                    <w:tcW w:w="0" w:type="auto"/>
                    <w:hideMark/>
                  </w:tcPr>
                  <w:p w14:paraId="67BC7C14" w14:textId="77777777" w:rsidR="00056DF0" w:rsidRDefault="00056DF0">
                    <w:pPr>
                      <w:pStyle w:val="Bibliography"/>
                      <w:rPr>
                        <w:noProof/>
                      </w:rPr>
                    </w:pPr>
                    <w:r>
                      <w:rPr>
                        <w:noProof/>
                      </w:rPr>
                      <w:t>A. Bunn, “Guidance on ALARP for Major Hazard Facilities,” IChemE, Rugby, 2018.</w:t>
                    </w:r>
                  </w:p>
                </w:tc>
              </w:tr>
              <w:tr w:rsidR="00056DF0" w14:paraId="7C603CF1" w14:textId="77777777">
                <w:trPr>
                  <w:divId w:val="548496964"/>
                  <w:tblCellSpacing w:w="15" w:type="dxa"/>
                </w:trPr>
                <w:tc>
                  <w:tcPr>
                    <w:tcW w:w="50" w:type="pct"/>
                    <w:hideMark/>
                  </w:tcPr>
                  <w:p w14:paraId="69724464" w14:textId="77777777" w:rsidR="00056DF0" w:rsidRDefault="00056DF0">
                    <w:pPr>
                      <w:pStyle w:val="Bibliography"/>
                      <w:rPr>
                        <w:noProof/>
                      </w:rPr>
                    </w:pPr>
                    <w:r>
                      <w:rPr>
                        <w:noProof/>
                      </w:rPr>
                      <w:t xml:space="preserve">[4] </w:t>
                    </w:r>
                  </w:p>
                </w:tc>
                <w:tc>
                  <w:tcPr>
                    <w:tcW w:w="0" w:type="auto"/>
                    <w:hideMark/>
                  </w:tcPr>
                  <w:p w14:paraId="5FB6A18B" w14:textId="77777777" w:rsidR="00056DF0" w:rsidRDefault="00056DF0">
                    <w:pPr>
                      <w:pStyle w:val="Bibliography"/>
                      <w:rPr>
                        <w:noProof/>
                      </w:rPr>
                    </w:pPr>
                    <w:r>
                      <w:rPr>
                        <w:noProof/>
                      </w:rPr>
                      <w:t>R. David, “An Introduction to System Safety Management in the MOD Issue 4,” MOD, London, 2018.</w:t>
                    </w:r>
                  </w:p>
                </w:tc>
              </w:tr>
              <w:tr w:rsidR="00056DF0" w14:paraId="2CDBC3CD" w14:textId="77777777">
                <w:trPr>
                  <w:divId w:val="548496964"/>
                  <w:tblCellSpacing w:w="15" w:type="dxa"/>
                </w:trPr>
                <w:tc>
                  <w:tcPr>
                    <w:tcW w:w="50" w:type="pct"/>
                    <w:hideMark/>
                  </w:tcPr>
                  <w:p w14:paraId="130ED587" w14:textId="77777777" w:rsidR="00056DF0" w:rsidRDefault="00056DF0">
                    <w:pPr>
                      <w:pStyle w:val="Bibliography"/>
                      <w:rPr>
                        <w:noProof/>
                      </w:rPr>
                    </w:pPr>
                    <w:r>
                      <w:rPr>
                        <w:noProof/>
                      </w:rPr>
                      <w:t xml:space="preserve">[5] </w:t>
                    </w:r>
                  </w:p>
                </w:tc>
                <w:tc>
                  <w:tcPr>
                    <w:tcW w:w="0" w:type="auto"/>
                    <w:hideMark/>
                  </w:tcPr>
                  <w:p w14:paraId="3B2245C7" w14:textId="77777777" w:rsidR="00056DF0" w:rsidRDefault="00056DF0">
                    <w:pPr>
                      <w:pStyle w:val="Bibliography"/>
                      <w:rPr>
                        <w:noProof/>
                      </w:rPr>
                    </w:pPr>
                    <w:r>
                      <w:rPr>
                        <w:noProof/>
                      </w:rPr>
                      <w:t>R. Wood, “British Army personnel may have been exposed to toxic fumes, reports suggest,” Irwin Mitchell, 15 May 2026. [Online]. Available: https://www.irwinmitchell.com/news-and-insights/expert-comment/post/102mtzp/ajax-vehicle. [Accessed 20 July 2026].</w:t>
                    </w:r>
                  </w:p>
                </w:tc>
              </w:tr>
              <w:tr w:rsidR="00056DF0" w14:paraId="02C85F51" w14:textId="77777777">
                <w:trPr>
                  <w:divId w:val="548496964"/>
                  <w:tblCellSpacing w:w="15" w:type="dxa"/>
                </w:trPr>
                <w:tc>
                  <w:tcPr>
                    <w:tcW w:w="50" w:type="pct"/>
                    <w:hideMark/>
                  </w:tcPr>
                  <w:p w14:paraId="05F36784" w14:textId="77777777" w:rsidR="00056DF0" w:rsidRDefault="00056DF0">
                    <w:pPr>
                      <w:pStyle w:val="Bibliography"/>
                      <w:rPr>
                        <w:noProof/>
                      </w:rPr>
                    </w:pPr>
                    <w:r>
                      <w:rPr>
                        <w:noProof/>
                      </w:rPr>
                      <w:t xml:space="preserve">[6] </w:t>
                    </w:r>
                  </w:p>
                </w:tc>
                <w:tc>
                  <w:tcPr>
                    <w:tcW w:w="0" w:type="auto"/>
                    <w:hideMark/>
                  </w:tcPr>
                  <w:p w14:paraId="65D6F6D6" w14:textId="77777777" w:rsidR="00056DF0" w:rsidRDefault="00056DF0">
                    <w:pPr>
                      <w:pStyle w:val="Bibliography"/>
                      <w:rPr>
                        <w:noProof/>
                      </w:rPr>
                    </w:pPr>
                    <w:r>
                      <w:rPr>
                        <w:noProof/>
                      </w:rPr>
                      <w:t>T. Sigsworth, “Army’s troubled Ajax may never reach battlefield,” The Telegraph, 07 June 2026. [Online]. Available: https://www.telegraph.co.uk/news/2026/06/07/armys-troubled-ajax-may-never-reach-battlefield/. [Accessed 21 July 2026].</w:t>
                    </w:r>
                  </w:p>
                </w:tc>
              </w:tr>
              <w:tr w:rsidR="00056DF0" w14:paraId="3BD50551" w14:textId="77777777">
                <w:trPr>
                  <w:divId w:val="548496964"/>
                  <w:tblCellSpacing w:w="15" w:type="dxa"/>
                </w:trPr>
                <w:tc>
                  <w:tcPr>
                    <w:tcW w:w="50" w:type="pct"/>
                    <w:hideMark/>
                  </w:tcPr>
                  <w:p w14:paraId="5BFD454B" w14:textId="77777777" w:rsidR="00056DF0" w:rsidRDefault="00056DF0">
                    <w:pPr>
                      <w:pStyle w:val="Bibliography"/>
                      <w:rPr>
                        <w:noProof/>
                      </w:rPr>
                    </w:pPr>
                    <w:r>
                      <w:rPr>
                        <w:noProof/>
                      </w:rPr>
                      <w:t xml:space="preserve">[7] </w:t>
                    </w:r>
                  </w:p>
                </w:tc>
                <w:tc>
                  <w:tcPr>
                    <w:tcW w:w="0" w:type="auto"/>
                    <w:hideMark/>
                  </w:tcPr>
                  <w:p w14:paraId="1E584829" w14:textId="77777777" w:rsidR="00056DF0" w:rsidRDefault="00056DF0">
                    <w:pPr>
                      <w:pStyle w:val="Bibliography"/>
                      <w:rPr>
                        <w:noProof/>
                      </w:rPr>
                    </w:pPr>
                    <w:r>
                      <w:rPr>
                        <w:noProof/>
                      </w:rPr>
                      <w:t>A. Sharma, “British Army Restarts Troubled Ajax Armoured Vehicle Trials,” Kalkine, 29 April 2026. [Online]. Available: https://kalkine.co.uk/news/premium/british-army-restarts-troubled-ajax-armoured-vehicle-trials. [Accessed 21 July 2026].</w:t>
                    </w:r>
                  </w:p>
                </w:tc>
              </w:tr>
              <w:tr w:rsidR="00056DF0" w14:paraId="059A22EB" w14:textId="77777777">
                <w:trPr>
                  <w:divId w:val="548496964"/>
                  <w:tblCellSpacing w:w="15" w:type="dxa"/>
                </w:trPr>
                <w:tc>
                  <w:tcPr>
                    <w:tcW w:w="50" w:type="pct"/>
                    <w:hideMark/>
                  </w:tcPr>
                  <w:p w14:paraId="7639C5A5" w14:textId="77777777" w:rsidR="00056DF0" w:rsidRDefault="00056DF0">
                    <w:pPr>
                      <w:pStyle w:val="Bibliography"/>
                      <w:rPr>
                        <w:noProof/>
                      </w:rPr>
                    </w:pPr>
                    <w:r>
                      <w:rPr>
                        <w:noProof/>
                      </w:rPr>
                      <w:t xml:space="preserve">[8] </w:t>
                    </w:r>
                  </w:p>
                </w:tc>
                <w:tc>
                  <w:tcPr>
                    <w:tcW w:w="0" w:type="auto"/>
                    <w:hideMark/>
                  </w:tcPr>
                  <w:p w14:paraId="21604740" w14:textId="77777777" w:rsidR="00056DF0" w:rsidRDefault="00056DF0">
                    <w:pPr>
                      <w:pStyle w:val="Bibliography"/>
                      <w:rPr>
                        <w:noProof/>
                      </w:rPr>
                    </w:pPr>
                    <w:r>
                      <w:rPr>
                        <w:noProof/>
                      </w:rPr>
                      <w:t>HSE, “How HSE regulates risks to health and safety from work activities,” Health and Safety Executive, Bootle, 2023.</w:t>
                    </w:r>
                  </w:p>
                </w:tc>
              </w:tr>
              <w:tr w:rsidR="00056DF0" w14:paraId="37EE1BEC" w14:textId="77777777">
                <w:trPr>
                  <w:divId w:val="548496964"/>
                  <w:tblCellSpacing w:w="15" w:type="dxa"/>
                </w:trPr>
                <w:tc>
                  <w:tcPr>
                    <w:tcW w:w="50" w:type="pct"/>
                    <w:hideMark/>
                  </w:tcPr>
                  <w:p w14:paraId="053A3B7C" w14:textId="77777777" w:rsidR="00056DF0" w:rsidRDefault="00056DF0">
                    <w:pPr>
                      <w:pStyle w:val="Bibliography"/>
                      <w:rPr>
                        <w:noProof/>
                      </w:rPr>
                    </w:pPr>
                    <w:r>
                      <w:rPr>
                        <w:noProof/>
                      </w:rPr>
                      <w:lastRenderedPageBreak/>
                      <w:t xml:space="preserve">[9] </w:t>
                    </w:r>
                  </w:p>
                </w:tc>
                <w:tc>
                  <w:tcPr>
                    <w:tcW w:w="0" w:type="auto"/>
                    <w:hideMark/>
                  </w:tcPr>
                  <w:p w14:paraId="2608BAAC" w14:textId="77777777" w:rsidR="00056DF0" w:rsidRDefault="00056DF0">
                    <w:pPr>
                      <w:pStyle w:val="Bibliography"/>
                      <w:rPr>
                        <w:noProof/>
                      </w:rPr>
                    </w:pPr>
                    <w:r>
                      <w:rPr>
                        <w:noProof/>
                      </w:rPr>
                      <w:t>HSE, “Health and Safety at Work Act,” Health and Safety Executive, Bootle, 1974.</w:t>
                    </w:r>
                  </w:p>
                </w:tc>
              </w:tr>
              <w:tr w:rsidR="00056DF0" w14:paraId="096C6299" w14:textId="77777777">
                <w:trPr>
                  <w:divId w:val="548496964"/>
                  <w:tblCellSpacing w:w="15" w:type="dxa"/>
                </w:trPr>
                <w:tc>
                  <w:tcPr>
                    <w:tcW w:w="50" w:type="pct"/>
                    <w:hideMark/>
                  </w:tcPr>
                  <w:p w14:paraId="44B1F27E" w14:textId="77777777" w:rsidR="00056DF0" w:rsidRDefault="00056DF0">
                    <w:pPr>
                      <w:pStyle w:val="Bibliography"/>
                      <w:rPr>
                        <w:noProof/>
                      </w:rPr>
                    </w:pPr>
                    <w:r>
                      <w:rPr>
                        <w:noProof/>
                      </w:rPr>
                      <w:t xml:space="preserve">[10] </w:t>
                    </w:r>
                  </w:p>
                </w:tc>
                <w:tc>
                  <w:tcPr>
                    <w:tcW w:w="0" w:type="auto"/>
                    <w:hideMark/>
                  </w:tcPr>
                  <w:p w14:paraId="79B0A9BB" w14:textId="77777777" w:rsidR="00056DF0" w:rsidRDefault="00056DF0">
                    <w:pPr>
                      <w:pStyle w:val="Bibliography"/>
                      <w:rPr>
                        <w:noProof/>
                      </w:rPr>
                    </w:pPr>
                    <w:r>
                      <w:rPr>
                        <w:noProof/>
                      </w:rPr>
                      <w:t>T. Cotterill, “Army’s troubled Ajax programme to resume despite soldiers’ injuries,” The Telegraph, 28 April 2026. [Online]. Available: https://www.telegraph.co.uk/news/2026/04/28/army-ajax-programme-resumes-despite-soldiers-injuries/. [Accessed 21 July 2026].</w:t>
                    </w:r>
                  </w:p>
                </w:tc>
              </w:tr>
              <w:tr w:rsidR="00056DF0" w14:paraId="21225E10" w14:textId="77777777">
                <w:trPr>
                  <w:divId w:val="548496964"/>
                  <w:tblCellSpacing w:w="15" w:type="dxa"/>
                </w:trPr>
                <w:tc>
                  <w:tcPr>
                    <w:tcW w:w="50" w:type="pct"/>
                    <w:hideMark/>
                  </w:tcPr>
                  <w:p w14:paraId="1E0F3E35" w14:textId="77777777" w:rsidR="00056DF0" w:rsidRDefault="00056DF0">
                    <w:pPr>
                      <w:pStyle w:val="Bibliography"/>
                      <w:rPr>
                        <w:noProof/>
                      </w:rPr>
                    </w:pPr>
                    <w:r>
                      <w:rPr>
                        <w:noProof/>
                      </w:rPr>
                      <w:t xml:space="preserve">[11] </w:t>
                    </w:r>
                  </w:p>
                </w:tc>
                <w:tc>
                  <w:tcPr>
                    <w:tcW w:w="0" w:type="auto"/>
                    <w:hideMark/>
                  </w:tcPr>
                  <w:p w14:paraId="49D23AB0" w14:textId="77777777" w:rsidR="00056DF0" w:rsidRDefault="00056DF0">
                    <w:pPr>
                      <w:pStyle w:val="Bibliography"/>
                      <w:rPr>
                        <w:noProof/>
                      </w:rPr>
                    </w:pPr>
                    <w:r>
                      <w:rPr>
                        <w:noProof/>
                      </w:rPr>
                      <w:t>HSE, “The Management of Health and Safety at Work Regulations,” Health and Safety Executive, Bootle, 1999.</w:t>
                    </w:r>
                  </w:p>
                </w:tc>
              </w:tr>
              <w:tr w:rsidR="00056DF0" w14:paraId="34CD9FF6" w14:textId="77777777">
                <w:trPr>
                  <w:divId w:val="548496964"/>
                  <w:tblCellSpacing w:w="15" w:type="dxa"/>
                </w:trPr>
                <w:tc>
                  <w:tcPr>
                    <w:tcW w:w="50" w:type="pct"/>
                    <w:hideMark/>
                  </w:tcPr>
                  <w:p w14:paraId="3E7F4369" w14:textId="77777777" w:rsidR="00056DF0" w:rsidRDefault="00056DF0">
                    <w:pPr>
                      <w:pStyle w:val="Bibliography"/>
                      <w:rPr>
                        <w:noProof/>
                      </w:rPr>
                    </w:pPr>
                    <w:r>
                      <w:rPr>
                        <w:noProof/>
                      </w:rPr>
                      <w:t xml:space="preserve">[12] </w:t>
                    </w:r>
                  </w:p>
                </w:tc>
                <w:tc>
                  <w:tcPr>
                    <w:tcW w:w="0" w:type="auto"/>
                    <w:hideMark/>
                  </w:tcPr>
                  <w:p w14:paraId="3349E471" w14:textId="77777777" w:rsidR="00056DF0" w:rsidRDefault="00056DF0">
                    <w:pPr>
                      <w:pStyle w:val="Bibliography"/>
                      <w:rPr>
                        <w:noProof/>
                      </w:rPr>
                    </w:pPr>
                    <w:r>
                      <w:rPr>
                        <w:noProof/>
                      </w:rPr>
                      <w:t>HSE, “Control of Substances Hazardous to Health,” Health and Safety Executive, Bootle, 2002.</w:t>
                    </w:r>
                  </w:p>
                </w:tc>
              </w:tr>
              <w:tr w:rsidR="00056DF0" w14:paraId="07E8445F" w14:textId="77777777">
                <w:trPr>
                  <w:divId w:val="548496964"/>
                  <w:tblCellSpacing w:w="15" w:type="dxa"/>
                </w:trPr>
                <w:tc>
                  <w:tcPr>
                    <w:tcW w:w="50" w:type="pct"/>
                    <w:hideMark/>
                  </w:tcPr>
                  <w:p w14:paraId="4F7E8332" w14:textId="77777777" w:rsidR="00056DF0" w:rsidRDefault="00056DF0">
                    <w:pPr>
                      <w:pStyle w:val="Bibliography"/>
                      <w:rPr>
                        <w:noProof/>
                      </w:rPr>
                    </w:pPr>
                    <w:r>
                      <w:rPr>
                        <w:noProof/>
                      </w:rPr>
                      <w:t xml:space="preserve">[13] </w:t>
                    </w:r>
                  </w:p>
                </w:tc>
                <w:tc>
                  <w:tcPr>
                    <w:tcW w:w="0" w:type="auto"/>
                    <w:hideMark/>
                  </w:tcPr>
                  <w:p w14:paraId="437C0568" w14:textId="77777777" w:rsidR="00056DF0" w:rsidRDefault="00056DF0">
                    <w:pPr>
                      <w:pStyle w:val="Bibliography"/>
                      <w:rPr>
                        <w:noProof/>
                      </w:rPr>
                    </w:pPr>
                    <w:r>
                      <w:rPr>
                        <w:noProof/>
                      </w:rPr>
                      <w:t>HSE, “Managing for health and safety (HSG65),” Health and Safety Executive, Bootle, 2013.</w:t>
                    </w:r>
                  </w:p>
                </w:tc>
              </w:tr>
              <w:tr w:rsidR="00056DF0" w14:paraId="4C2760EB" w14:textId="77777777">
                <w:trPr>
                  <w:divId w:val="548496964"/>
                  <w:tblCellSpacing w:w="15" w:type="dxa"/>
                </w:trPr>
                <w:tc>
                  <w:tcPr>
                    <w:tcW w:w="50" w:type="pct"/>
                    <w:hideMark/>
                  </w:tcPr>
                  <w:p w14:paraId="74939EF7" w14:textId="77777777" w:rsidR="00056DF0" w:rsidRDefault="00056DF0">
                    <w:pPr>
                      <w:pStyle w:val="Bibliography"/>
                      <w:rPr>
                        <w:noProof/>
                      </w:rPr>
                    </w:pPr>
                    <w:r>
                      <w:rPr>
                        <w:noProof/>
                      </w:rPr>
                      <w:t xml:space="preserve">[14] </w:t>
                    </w:r>
                  </w:p>
                </w:tc>
                <w:tc>
                  <w:tcPr>
                    <w:tcW w:w="0" w:type="auto"/>
                    <w:hideMark/>
                  </w:tcPr>
                  <w:p w14:paraId="5E465B3F" w14:textId="77777777" w:rsidR="00056DF0" w:rsidRDefault="00056DF0">
                    <w:pPr>
                      <w:pStyle w:val="Bibliography"/>
                      <w:rPr>
                        <w:noProof/>
                      </w:rPr>
                    </w:pPr>
                    <w:r>
                      <w:rPr>
                        <w:noProof/>
                      </w:rPr>
                      <w:t>HSE, “Provision and Use of Work Equipment Regulations,” Health and Safety Executive, Bootle, 1998.</w:t>
                    </w:r>
                  </w:p>
                </w:tc>
              </w:tr>
              <w:tr w:rsidR="00056DF0" w14:paraId="79F75FB2" w14:textId="77777777">
                <w:trPr>
                  <w:divId w:val="548496964"/>
                  <w:tblCellSpacing w:w="15" w:type="dxa"/>
                </w:trPr>
                <w:tc>
                  <w:tcPr>
                    <w:tcW w:w="50" w:type="pct"/>
                    <w:hideMark/>
                  </w:tcPr>
                  <w:p w14:paraId="1DBDF9D4" w14:textId="77777777" w:rsidR="00056DF0" w:rsidRDefault="00056DF0">
                    <w:pPr>
                      <w:pStyle w:val="Bibliography"/>
                      <w:rPr>
                        <w:noProof/>
                      </w:rPr>
                    </w:pPr>
                    <w:r>
                      <w:rPr>
                        <w:noProof/>
                      </w:rPr>
                      <w:t xml:space="preserve">[15] </w:t>
                    </w:r>
                  </w:p>
                </w:tc>
                <w:tc>
                  <w:tcPr>
                    <w:tcW w:w="0" w:type="auto"/>
                    <w:hideMark/>
                  </w:tcPr>
                  <w:p w14:paraId="1C26076B" w14:textId="77777777" w:rsidR="00056DF0" w:rsidRDefault="00056DF0">
                    <w:pPr>
                      <w:pStyle w:val="Bibliography"/>
                      <w:rPr>
                        <w:noProof/>
                      </w:rPr>
                    </w:pPr>
                    <w:r>
                      <w:rPr>
                        <w:noProof/>
                      </w:rPr>
                      <w:t>MOD, “Ministry of Defence Standard DEF STAN 00-56,” Ministry of Defence UK, London, 2007.</w:t>
                    </w:r>
                  </w:p>
                </w:tc>
              </w:tr>
              <w:tr w:rsidR="00056DF0" w14:paraId="11FEDA1C" w14:textId="77777777">
                <w:trPr>
                  <w:divId w:val="548496964"/>
                  <w:tblCellSpacing w:w="15" w:type="dxa"/>
                </w:trPr>
                <w:tc>
                  <w:tcPr>
                    <w:tcW w:w="50" w:type="pct"/>
                    <w:hideMark/>
                  </w:tcPr>
                  <w:p w14:paraId="221F28FA" w14:textId="77777777" w:rsidR="00056DF0" w:rsidRDefault="00056DF0">
                    <w:pPr>
                      <w:pStyle w:val="Bibliography"/>
                      <w:rPr>
                        <w:noProof/>
                      </w:rPr>
                    </w:pPr>
                    <w:r>
                      <w:rPr>
                        <w:noProof/>
                      </w:rPr>
                      <w:t xml:space="preserve">[16] </w:t>
                    </w:r>
                  </w:p>
                </w:tc>
                <w:tc>
                  <w:tcPr>
                    <w:tcW w:w="0" w:type="auto"/>
                    <w:hideMark/>
                  </w:tcPr>
                  <w:p w14:paraId="2073B54C" w14:textId="77777777" w:rsidR="00056DF0" w:rsidRDefault="00056DF0">
                    <w:pPr>
                      <w:pStyle w:val="Bibliography"/>
                      <w:rPr>
                        <w:noProof/>
                      </w:rPr>
                    </w:pPr>
                    <w:r>
                      <w:rPr>
                        <w:noProof/>
                      </w:rPr>
                      <w:t>C. Timms, “DETERMINATION OF SAFETY INTEGRITY LEVELS TAKING INTO ACCOUNT ALARP – COST BENEFIT ANALYSIS,” IChemE, Rugby, 2006.</w:t>
                    </w:r>
                  </w:p>
                </w:tc>
              </w:tr>
              <w:tr w:rsidR="00056DF0" w14:paraId="44271981" w14:textId="77777777">
                <w:trPr>
                  <w:divId w:val="548496964"/>
                  <w:tblCellSpacing w:w="15" w:type="dxa"/>
                </w:trPr>
                <w:tc>
                  <w:tcPr>
                    <w:tcW w:w="50" w:type="pct"/>
                    <w:hideMark/>
                  </w:tcPr>
                  <w:p w14:paraId="7902322B" w14:textId="77777777" w:rsidR="00056DF0" w:rsidRDefault="00056DF0">
                    <w:pPr>
                      <w:pStyle w:val="Bibliography"/>
                      <w:rPr>
                        <w:noProof/>
                      </w:rPr>
                    </w:pPr>
                    <w:r>
                      <w:rPr>
                        <w:noProof/>
                      </w:rPr>
                      <w:t xml:space="preserve">[17] </w:t>
                    </w:r>
                  </w:p>
                </w:tc>
                <w:tc>
                  <w:tcPr>
                    <w:tcW w:w="0" w:type="auto"/>
                    <w:hideMark/>
                  </w:tcPr>
                  <w:p w14:paraId="644B9F31" w14:textId="77777777" w:rsidR="00056DF0" w:rsidRDefault="00056DF0">
                    <w:pPr>
                      <w:pStyle w:val="Bibliography"/>
                      <w:rPr>
                        <w:noProof/>
                      </w:rPr>
                    </w:pPr>
                    <w:r>
                      <w:rPr>
                        <w:noProof/>
                      </w:rPr>
                      <w:t>E. I. M. H. Goose, “GROSS DISPROPORTION, STEP BY STEP – A POSSIBLE APPROACH TO EVALUATING ADDITIONAL MEASURES AT COMAH SITES,” IChemE, Rugby, 2006.</w:t>
                    </w:r>
                  </w:p>
                </w:tc>
              </w:tr>
              <w:tr w:rsidR="00056DF0" w14:paraId="43E64690" w14:textId="77777777">
                <w:trPr>
                  <w:divId w:val="548496964"/>
                  <w:tblCellSpacing w:w="15" w:type="dxa"/>
                </w:trPr>
                <w:tc>
                  <w:tcPr>
                    <w:tcW w:w="50" w:type="pct"/>
                    <w:hideMark/>
                  </w:tcPr>
                  <w:p w14:paraId="2B0A49A0" w14:textId="77777777" w:rsidR="00056DF0" w:rsidRDefault="00056DF0">
                    <w:pPr>
                      <w:pStyle w:val="Bibliography"/>
                      <w:rPr>
                        <w:noProof/>
                      </w:rPr>
                    </w:pPr>
                    <w:r>
                      <w:rPr>
                        <w:noProof/>
                      </w:rPr>
                      <w:t xml:space="preserve">[18] </w:t>
                    </w:r>
                  </w:p>
                </w:tc>
                <w:tc>
                  <w:tcPr>
                    <w:tcW w:w="0" w:type="auto"/>
                    <w:hideMark/>
                  </w:tcPr>
                  <w:p w14:paraId="44B737D9" w14:textId="77777777" w:rsidR="00056DF0" w:rsidRDefault="00056DF0">
                    <w:pPr>
                      <w:pStyle w:val="Bibliography"/>
                      <w:rPr>
                        <w:noProof/>
                      </w:rPr>
                    </w:pPr>
                    <w:r>
                      <w:rPr>
                        <w:noProof/>
                      </w:rPr>
                      <w:t xml:space="preserve">A. Majstorović, “Carbon monoxide in the process of uncontrolled combustion - occurrence, hazards and first aid,” </w:t>
                    </w:r>
                    <w:r>
                      <w:rPr>
                        <w:i/>
                        <w:iCs/>
                        <w:noProof/>
                      </w:rPr>
                      <w:t xml:space="preserve">Journal of Physics: Conference Series, </w:t>
                    </w:r>
                    <w:r>
                      <w:rPr>
                        <w:noProof/>
                      </w:rPr>
                      <w:t xml:space="preserve">vol. 1426, no. 1, 2020. </w:t>
                    </w:r>
                  </w:p>
                </w:tc>
              </w:tr>
              <w:tr w:rsidR="00056DF0" w14:paraId="4F7B7867" w14:textId="77777777">
                <w:trPr>
                  <w:divId w:val="548496964"/>
                  <w:tblCellSpacing w:w="15" w:type="dxa"/>
                </w:trPr>
                <w:tc>
                  <w:tcPr>
                    <w:tcW w:w="50" w:type="pct"/>
                    <w:hideMark/>
                  </w:tcPr>
                  <w:p w14:paraId="742DEE22" w14:textId="77777777" w:rsidR="00056DF0" w:rsidRDefault="00056DF0">
                    <w:pPr>
                      <w:pStyle w:val="Bibliography"/>
                      <w:rPr>
                        <w:noProof/>
                      </w:rPr>
                    </w:pPr>
                    <w:r>
                      <w:rPr>
                        <w:noProof/>
                      </w:rPr>
                      <w:lastRenderedPageBreak/>
                      <w:t xml:space="preserve">[19] </w:t>
                    </w:r>
                  </w:p>
                </w:tc>
                <w:tc>
                  <w:tcPr>
                    <w:tcW w:w="0" w:type="auto"/>
                    <w:hideMark/>
                  </w:tcPr>
                  <w:p w14:paraId="211576CE" w14:textId="77777777" w:rsidR="00056DF0" w:rsidRDefault="00056DF0">
                    <w:pPr>
                      <w:pStyle w:val="Bibliography"/>
                      <w:rPr>
                        <w:noProof/>
                      </w:rPr>
                    </w:pPr>
                    <w:r>
                      <w:rPr>
                        <w:noProof/>
                      </w:rPr>
                      <w:t>L. Brooke-Holland, “Ajax: The British Army’s troubled armoured vehicle programme,” UK Parliament House of Commons Library, London, 2023.</w:t>
                    </w:r>
                  </w:p>
                </w:tc>
              </w:tr>
            </w:tbl>
            <w:p w14:paraId="4EC6F0C4" w14:textId="77777777" w:rsidR="00056DF0" w:rsidRDefault="00056DF0">
              <w:pPr>
                <w:divId w:val="548496964"/>
                <w:rPr>
                  <w:noProof/>
                </w:rPr>
              </w:pPr>
            </w:p>
            <w:p w14:paraId="3C697F48" w14:textId="41CB0179" w:rsidR="00B8607F" w:rsidRDefault="00B8607F">
              <w:r>
                <w:rPr>
                  <w:b/>
                  <w:bCs/>
                </w:rPr>
                <w:fldChar w:fldCharType="end"/>
              </w:r>
            </w:p>
          </w:sdtContent>
        </w:sdt>
      </w:sdtContent>
    </w:sdt>
    <w:p w14:paraId="6131CB69" w14:textId="77777777" w:rsidR="004747AF" w:rsidRDefault="004747AF" w:rsidP="00B8607F">
      <w:pPr>
        <w:pStyle w:val="BodyText"/>
      </w:pPr>
    </w:p>
    <w:sectPr w:rsidR="004747AF" w:rsidSect="000D3AB7">
      <w:headerReference w:type="even" r:id="rId37"/>
      <w:headerReference w:type="default" r:id="rId38"/>
      <w:footerReference w:type="even" r:id="rId39"/>
      <w:footerReference w:type="default" r:id="rId40"/>
      <w:headerReference w:type="first" r:id="rId41"/>
      <w:footerReference w:type="first" r:id="rId42"/>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BD133" w14:textId="77777777" w:rsidR="00A5532F" w:rsidRDefault="00A5532F">
      <w:r>
        <w:separator/>
      </w:r>
    </w:p>
  </w:endnote>
  <w:endnote w:type="continuationSeparator" w:id="0">
    <w:p w14:paraId="7C2DACE5" w14:textId="77777777" w:rsidR="00A5532F" w:rsidRDefault="00A553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F7EB4E" w14:textId="77777777" w:rsidR="00CA12EC" w:rsidRDefault="00CA12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0B09D851" w:rsidR="002B0693" w:rsidRDefault="002B0693" w:rsidP="00056DF0">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9DF4E0" w14:textId="77777777" w:rsidR="00CA12EC" w:rsidRDefault="00CA12E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7BE9D"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A78BF" w14:textId="3374A203" w:rsidR="00F40B9D" w:rsidRDefault="00F40B9D" w:rsidP="00056DF0">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AF62A"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D4D81"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64211A" w14:textId="1D57C150" w:rsidR="00F40B9D" w:rsidRDefault="00F40B9D" w:rsidP="00056DF0">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37A10"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A91C67"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04B9CB" w14:textId="62F3ED65" w:rsidR="00F40B9D" w:rsidRDefault="00F40B9D" w:rsidP="00056DF0">
    <w:pPr>
      <w:pStyle w:val="Footer"/>
      <w:spacing w:before="0"/>
      <w:jc w:val="center"/>
      <w:rPr>
        <w:rStyle w:val="PageNumber"/>
      </w:rPr>
    </w:pPr>
  </w:p>
  <w:p w14:paraId="148EB104" w14:textId="1CA92532"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4211B3"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38BEC" w14:textId="77777777" w:rsidR="00F40B9D" w:rsidRDefault="00F40B9D">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C5EFF" w14:textId="33AE79E9" w:rsidR="00F40B9D" w:rsidRDefault="00F40B9D" w:rsidP="00056DF0">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105F63" w14:textId="77777777" w:rsidR="00A5532F" w:rsidRDefault="00A5532F">
      <w:r>
        <w:separator/>
      </w:r>
    </w:p>
  </w:footnote>
  <w:footnote w:type="continuationSeparator" w:id="0">
    <w:p w14:paraId="1F697D1D" w14:textId="77777777" w:rsidR="00A5532F" w:rsidRDefault="00A5532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4DE27" w14:textId="77777777" w:rsidR="00CA12EC" w:rsidRDefault="00CA12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325EB" w14:textId="195607AB" w:rsidR="00CA12EC" w:rsidRDefault="00CA12EC" w:rsidP="00056D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A8A15" w14:textId="77777777" w:rsidR="00CA12EC" w:rsidRDefault="00CA12E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48B74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CDF1E3" w14:textId="53F487C2" w:rsidR="00F40B9D" w:rsidRDefault="00F40B9D" w:rsidP="00056DF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14E325"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7A45F8"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7101A659" w:rsidR="002B0693" w:rsidRPr="00807CDF" w:rsidRDefault="002B0693" w:rsidP="00056DF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97E4B7"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318B0C"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0B12BB36" w:rsidR="002B0693" w:rsidRDefault="002B0693" w:rsidP="00056DF0">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3393E1"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F1E59D" w14:textId="77777777" w:rsidR="00F40B9D" w:rsidRDefault="00F40B9D">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5332D1" w14:textId="62EED210" w:rsidR="00F40B9D" w:rsidRDefault="00F40B9D" w:rsidP="00056DF0">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55765F4"/>
    <w:multiLevelType w:val="hybridMultilevel"/>
    <w:tmpl w:val="37D07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1D091E77"/>
    <w:multiLevelType w:val="hybridMultilevel"/>
    <w:tmpl w:val="7458C8D6"/>
    <w:lvl w:ilvl="0" w:tplc="08E48D3A">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D8520A4"/>
    <w:multiLevelType w:val="hybridMultilevel"/>
    <w:tmpl w:val="B450E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0"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5" w15:restartNumberingAfterBreak="0">
    <w:nsid w:val="43106F12"/>
    <w:multiLevelType w:val="hybridMultilevel"/>
    <w:tmpl w:val="0A8C0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7DE5770"/>
    <w:multiLevelType w:val="hybridMultilevel"/>
    <w:tmpl w:val="3460B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31"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3" w15:restartNumberingAfterBreak="0">
    <w:nsid w:val="68BD59CC"/>
    <w:multiLevelType w:val="hybridMultilevel"/>
    <w:tmpl w:val="C134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7"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8"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714497783">
    <w:abstractNumId w:val="37"/>
  </w:num>
  <w:num w:numId="2" w16cid:durableId="1260599837">
    <w:abstractNumId w:val="21"/>
  </w:num>
  <w:num w:numId="3" w16cid:durableId="527135511">
    <w:abstractNumId w:val="15"/>
  </w:num>
  <w:num w:numId="4" w16cid:durableId="1296717857">
    <w:abstractNumId w:val="10"/>
  </w:num>
  <w:num w:numId="5" w16cid:durableId="1371762412">
    <w:abstractNumId w:val="36"/>
  </w:num>
  <w:num w:numId="6" w16cid:durableId="1757358634">
    <w:abstractNumId w:val="23"/>
  </w:num>
  <w:num w:numId="7" w16cid:durableId="595481347">
    <w:abstractNumId w:val="26"/>
  </w:num>
  <w:num w:numId="8" w16cid:durableId="231309248">
    <w:abstractNumId w:val="19"/>
  </w:num>
  <w:num w:numId="9" w16cid:durableId="78136777">
    <w:abstractNumId w:val="32"/>
  </w:num>
  <w:num w:numId="10" w16cid:durableId="1559784625">
    <w:abstractNumId w:val="38"/>
  </w:num>
  <w:num w:numId="11" w16cid:durableId="526066193">
    <w:abstractNumId w:val="14"/>
  </w:num>
  <w:num w:numId="12" w16cid:durableId="707877263">
    <w:abstractNumId w:val="24"/>
  </w:num>
  <w:num w:numId="13" w16cid:durableId="982080239">
    <w:abstractNumId w:val="9"/>
  </w:num>
  <w:num w:numId="14" w16cid:durableId="753669775">
    <w:abstractNumId w:val="7"/>
  </w:num>
  <w:num w:numId="15" w16cid:durableId="641739330">
    <w:abstractNumId w:val="6"/>
  </w:num>
  <w:num w:numId="16" w16cid:durableId="1761564018">
    <w:abstractNumId w:val="5"/>
  </w:num>
  <w:num w:numId="17" w16cid:durableId="1411582454">
    <w:abstractNumId w:val="4"/>
  </w:num>
  <w:num w:numId="18" w16cid:durableId="45497234">
    <w:abstractNumId w:val="8"/>
  </w:num>
  <w:num w:numId="19" w16cid:durableId="152306330">
    <w:abstractNumId w:val="3"/>
  </w:num>
  <w:num w:numId="20" w16cid:durableId="143277589">
    <w:abstractNumId w:val="2"/>
  </w:num>
  <w:num w:numId="21" w16cid:durableId="656693196">
    <w:abstractNumId w:val="1"/>
  </w:num>
  <w:num w:numId="22" w16cid:durableId="899822967">
    <w:abstractNumId w:val="0"/>
  </w:num>
  <w:num w:numId="23" w16cid:durableId="539755263">
    <w:abstractNumId w:val="35"/>
  </w:num>
  <w:num w:numId="24" w16cid:durableId="1693219401">
    <w:abstractNumId w:val="11"/>
  </w:num>
  <w:num w:numId="25" w16cid:durableId="496072223">
    <w:abstractNumId w:val="28"/>
  </w:num>
  <w:num w:numId="26" w16cid:durableId="2079941380">
    <w:abstractNumId w:val="13"/>
  </w:num>
  <w:num w:numId="27" w16cid:durableId="725445986">
    <w:abstractNumId w:val="30"/>
  </w:num>
  <w:num w:numId="28" w16cid:durableId="1583415618">
    <w:abstractNumId w:val="16"/>
  </w:num>
  <w:num w:numId="29" w16cid:durableId="563488008">
    <w:abstractNumId w:val="34"/>
  </w:num>
  <w:num w:numId="30" w16cid:durableId="333799029">
    <w:abstractNumId w:val="31"/>
  </w:num>
  <w:num w:numId="31" w16cid:durableId="1441684132">
    <w:abstractNumId w:val="20"/>
  </w:num>
  <w:num w:numId="32" w16cid:durableId="1798182696">
    <w:abstractNumId w:val="29"/>
  </w:num>
  <w:num w:numId="33" w16cid:durableId="1194417012">
    <w:abstractNumId w:val="22"/>
  </w:num>
  <w:num w:numId="34" w16cid:durableId="685405686">
    <w:abstractNumId w:val="25"/>
  </w:num>
  <w:num w:numId="35" w16cid:durableId="183710405">
    <w:abstractNumId w:val="33"/>
  </w:num>
  <w:num w:numId="36" w16cid:durableId="395978837">
    <w:abstractNumId w:val="17"/>
  </w:num>
  <w:num w:numId="37" w16cid:durableId="1024869585">
    <w:abstractNumId w:val="27"/>
  </w:num>
  <w:num w:numId="38" w16cid:durableId="190608075">
    <w:abstractNumId w:val="18"/>
  </w:num>
  <w:num w:numId="39" w16cid:durableId="185672243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28B2"/>
    <w:rsid w:val="000146A5"/>
    <w:rsid w:val="00015A13"/>
    <w:rsid w:val="00016BC8"/>
    <w:rsid w:val="00030508"/>
    <w:rsid w:val="0003188E"/>
    <w:rsid w:val="00045D6F"/>
    <w:rsid w:val="00054A5A"/>
    <w:rsid w:val="00056DF0"/>
    <w:rsid w:val="00063CEE"/>
    <w:rsid w:val="00064915"/>
    <w:rsid w:val="00065259"/>
    <w:rsid w:val="00065A60"/>
    <w:rsid w:val="00067512"/>
    <w:rsid w:val="00071CD5"/>
    <w:rsid w:val="00086305"/>
    <w:rsid w:val="00090ACB"/>
    <w:rsid w:val="0009571B"/>
    <w:rsid w:val="00097727"/>
    <w:rsid w:val="000A4407"/>
    <w:rsid w:val="000B6677"/>
    <w:rsid w:val="000C6559"/>
    <w:rsid w:val="000D2D81"/>
    <w:rsid w:val="000D3236"/>
    <w:rsid w:val="000D3AB7"/>
    <w:rsid w:val="000E1E14"/>
    <w:rsid w:val="000E5531"/>
    <w:rsid w:val="000F25F2"/>
    <w:rsid w:val="000F3FC7"/>
    <w:rsid w:val="000F5578"/>
    <w:rsid w:val="00114AA0"/>
    <w:rsid w:val="001240C2"/>
    <w:rsid w:val="00126903"/>
    <w:rsid w:val="00127783"/>
    <w:rsid w:val="001279B2"/>
    <w:rsid w:val="00130109"/>
    <w:rsid w:val="00132B6A"/>
    <w:rsid w:val="00145332"/>
    <w:rsid w:val="001507DE"/>
    <w:rsid w:val="001633E2"/>
    <w:rsid w:val="00171953"/>
    <w:rsid w:val="00184E46"/>
    <w:rsid w:val="001850E2"/>
    <w:rsid w:val="00187AAB"/>
    <w:rsid w:val="00196CAA"/>
    <w:rsid w:val="001A5253"/>
    <w:rsid w:val="001B0633"/>
    <w:rsid w:val="001B63F7"/>
    <w:rsid w:val="001C1A69"/>
    <w:rsid w:val="001C2208"/>
    <w:rsid w:val="001C23E5"/>
    <w:rsid w:val="001C768E"/>
    <w:rsid w:val="001D1974"/>
    <w:rsid w:val="001D2FAF"/>
    <w:rsid w:val="001D636A"/>
    <w:rsid w:val="001D7982"/>
    <w:rsid w:val="001D7ED1"/>
    <w:rsid w:val="001E00D5"/>
    <w:rsid w:val="001E388D"/>
    <w:rsid w:val="001E7302"/>
    <w:rsid w:val="001F1539"/>
    <w:rsid w:val="001F3055"/>
    <w:rsid w:val="001F41DE"/>
    <w:rsid w:val="001F7EBB"/>
    <w:rsid w:val="00204473"/>
    <w:rsid w:val="002121F3"/>
    <w:rsid w:val="00212EB6"/>
    <w:rsid w:val="00224C6D"/>
    <w:rsid w:val="00224E7F"/>
    <w:rsid w:val="00230B99"/>
    <w:rsid w:val="00232B80"/>
    <w:rsid w:val="00233A2F"/>
    <w:rsid w:val="002353B7"/>
    <w:rsid w:val="00243313"/>
    <w:rsid w:val="00245DA7"/>
    <w:rsid w:val="00246995"/>
    <w:rsid w:val="0025099B"/>
    <w:rsid w:val="00255C2C"/>
    <w:rsid w:val="0026402B"/>
    <w:rsid w:val="00267F4D"/>
    <w:rsid w:val="00285034"/>
    <w:rsid w:val="00296CD3"/>
    <w:rsid w:val="002A5491"/>
    <w:rsid w:val="002A7DD0"/>
    <w:rsid w:val="002B0693"/>
    <w:rsid w:val="002B133F"/>
    <w:rsid w:val="002B7456"/>
    <w:rsid w:val="002B7B28"/>
    <w:rsid w:val="002C081A"/>
    <w:rsid w:val="002C1BEA"/>
    <w:rsid w:val="002D05CE"/>
    <w:rsid w:val="002D4A7B"/>
    <w:rsid w:val="002E05A5"/>
    <w:rsid w:val="002F1713"/>
    <w:rsid w:val="002F7211"/>
    <w:rsid w:val="003034EF"/>
    <w:rsid w:val="00304798"/>
    <w:rsid w:val="003500A4"/>
    <w:rsid w:val="00351B45"/>
    <w:rsid w:val="00351E83"/>
    <w:rsid w:val="00353828"/>
    <w:rsid w:val="003550A0"/>
    <w:rsid w:val="0035720C"/>
    <w:rsid w:val="00361EFD"/>
    <w:rsid w:val="0037068D"/>
    <w:rsid w:val="00372935"/>
    <w:rsid w:val="0037704A"/>
    <w:rsid w:val="00393F05"/>
    <w:rsid w:val="003A21AC"/>
    <w:rsid w:val="003A5815"/>
    <w:rsid w:val="003B075E"/>
    <w:rsid w:val="003B1C9F"/>
    <w:rsid w:val="003B2155"/>
    <w:rsid w:val="003E26EA"/>
    <w:rsid w:val="003F67A2"/>
    <w:rsid w:val="004015E2"/>
    <w:rsid w:val="0040302E"/>
    <w:rsid w:val="00404309"/>
    <w:rsid w:val="0041685B"/>
    <w:rsid w:val="00423DB3"/>
    <w:rsid w:val="00441731"/>
    <w:rsid w:val="00445061"/>
    <w:rsid w:val="00445556"/>
    <w:rsid w:val="00451421"/>
    <w:rsid w:val="004534AC"/>
    <w:rsid w:val="00460314"/>
    <w:rsid w:val="0046152D"/>
    <w:rsid w:val="004747AF"/>
    <w:rsid w:val="0049076B"/>
    <w:rsid w:val="004A1164"/>
    <w:rsid w:val="004A133A"/>
    <w:rsid w:val="004A71EB"/>
    <w:rsid w:val="004B5597"/>
    <w:rsid w:val="004B5D2E"/>
    <w:rsid w:val="004C03F0"/>
    <w:rsid w:val="004C2C9C"/>
    <w:rsid w:val="004D265B"/>
    <w:rsid w:val="004D5EBD"/>
    <w:rsid w:val="004E7AF1"/>
    <w:rsid w:val="005064F6"/>
    <w:rsid w:val="005125CD"/>
    <w:rsid w:val="005134B3"/>
    <w:rsid w:val="0052247A"/>
    <w:rsid w:val="00522ED1"/>
    <w:rsid w:val="005244BB"/>
    <w:rsid w:val="00524E57"/>
    <w:rsid w:val="005260A5"/>
    <w:rsid w:val="005304A9"/>
    <w:rsid w:val="00536CE9"/>
    <w:rsid w:val="00541950"/>
    <w:rsid w:val="00543179"/>
    <w:rsid w:val="00547EA4"/>
    <w:rsid w:val="005528A4"/>
    <w:rsid w:val="005548EF"/>
    <w:rsid w:val="00571D27"/>
    <w:rsid w:val="005800F4"/>
    <w:rsid w:val="00594BD3"/>
    <w:rsid w:val="0059541F"/>
    <w:rsid w:val="005A29B0"/>
    <w:rsid w:val="005B57F9"/>
    <w:rsid w:val="005C0AF1"/>
    <w:rsid w:val="005C6FA2"/>
    <w:rsid w:val="005D4968"/>
    <w:rsid w:val="005D68D1"/>
    <w:rsid w:val="005D7AEA"/>
    <w:rsid w:val="005E3ACA"/>
    <w:rsid w:val="005E4B39"/>
    <w:rsid w:val="005E54B7"/>
    <w:rsid w:val="00600F1E"/>
    <w:rsid w:val="00601451"/>
    <w:rsid w:val="006159AA"/>
    <w:rsid w:val="00620197"/>
    <w:rsid w:val="006222E4"/>
    <w:rsid w:val="00623A81"/>
    <w:rsid w:val="00626744"/>
    <w:rsid w:val="0062728E"/>
    <w:rsid w:val="0063075B"/>
    <w:rsid w:val="006342AB"/>
    <w:rsid w:val="006431A3"/>
    <w:rsid w:val="006454D8"/>
    <w:rsid w:val="006520A1"/>
    <w:rsid w:val="0065601E"/>
    <w:rsid w:val="006573D9"/>
    <w:rsid w:val="006575E8"/>
    <w:rsid w:val="00664F3E"/>
    <w:rsid w:val="006712E7"/>
    <w:rsid w:val="00671FA2"/>
    <w:rsid w:val="0068237F"/>
    <w:rsid w:val="00684F95"/>
    <w:rsid w:val="00685088"/>
    <w:rsid w:val="00692AE1"/>
    <w:rsid w:val="00693975"/>
    <w:rsid w:val="006A19EC"/>
    <w:rsid w:val="006A3182"/>
    <w:rsid w:val="006A57E9"/>
    <w:rsid w:val="006A797F"/>
    <w:rsid w:val="006B2F46"/>
    <w:rsid w:val="006C6C98"/>
    <w:rsid w:val="006D680A"/>
    <w:rsid w:val="006E7473"/>
    <w:rsid w:val="006F48A8"/>
    <w:rsid w:val="006F6F09"/>
    <w:rsid w:val="00700D30"/>
    <w:rsid w:val="0070144B"/>
    <w:rsid w:val="0070544E"/>
    <w:rsid w:val="00706FC0"/>
    <w:rsid w:val="00720589"/>
    <w:rsid w:val="007240B6"/>
    <w:rsid w:val="00725D00"/>
    <w:rsid w:val="00735256"/>
    <w:rsid w:val="00744813"/>
    <w:rsid w:val="00747900"/>
    <w:rsid w:val="0075020C"/>
    <w:rsid w:val="00751BC0"/>
    <w:rsid w:val="0076629C"/>
    <w:rsid w:val="0077386D"/>
    <w:rsid w:val="00782737"/>
    <w:rsid w:val="007929CC"/>
    <w:rsid w:val="00792A54"/>
    <w:rsid w:val="00795AC0"/>
    <w:rsid w:val="007A5657"/>
    <w:rsid w:val="007A5B10"/>
    <w:rsid w:val="007D48F0"/>
    <w:rsid w:val="007E3CD9"/>
    <w:rsid w:val="007F0255"/>
    <w:rsid w:val="007F0B58"/>
    <w:rsid w:val="007F186D"/>
    <w:rsid w:val="007F5C55"/>
    <w:rsid w:val="008014A5"/>
    <w:rsid w:val="00801843"/>
    <w:rsid w:val="008035D7"/>
    <w:rsid w:val="00805751"/>
    <w:rsid w:val="00806B8E"/>
    <w:rsid w:val="00807610"/>
    <w:rsid w:val="00807CDF"/>
    <w:rsid w:val="008143DB"/>
    <w:rsid w:val="00830238"/>
    <w:rsid w:val="008309E0"/>
    <w:rsid w:val="00833618"/>
    <w:rsid w:val="00835E1B"/>
    <w:rsid w:val="00836443"/>
    <w:rsid w:val="00837448"/>
    <w:rsid w:val="008428F4"/>
    <w:rsid w:val="0084478A"/>
    <w:rsid w:val="00845129"/>
    <w:rsid w:val="00845C48"/>
    <w:rsid w:val="008462C0"/>
    <w:rsid w:val="00851ADB"/>
    <w:rsid w:val="00875B58"/>
    <w:rsid w:val="00876ECB"/>
    <w:rsid w:val="0088087A"/>
    <w:rsid w:val="00881E7C"/>
    <w:rsid w:val="00884ECE"/>
    <w:rsid w:val="008906BD"/>
    <w:rsid w:val="00894C70"/>
    <w:rsid w:val="008A1C1D"/>
    <w:rsid w:val="008B0E97"/>
    <w:rsid w:val="008B6C55"/>
    <w:rsid w:val="008B72AE"/>
    <w:rsid w:val="008B731F"/>
    <w:rsid w:val="008C56B9"/>
    <w:rsid w:val="008D00C5"/>
    <w:rsid w:val="008D0F71"/>
    <w:rsid w:val="008D0F94"/>
    <w:rsid w:val="008D1F23"/>
    <w:rsid w:val="008D5D60"/>
    <w:rsid w:val="008D5DD7"/>
    <w:rsid w:val="008D5E4C"/>
    <w:rsid w:val="008E5A35"/>
    <w:rsid w:val="008E7822"/>
    <w:rsid w:val="008F044B"/>
    <w:rsid w:val="008F0A2B"/>
    <w:rsid w:val="008F2598"/>
    <w:rsid w:val="008F6564"/>
    <w:rsid w:val="00902CE6"/>
    <w:rsid w:val="009137E1"/>
    <w:rsid w:val="00913A69"/>
    <w:rsid w:val="00916BBD"/>
    <w:rsid w:val="009220F4"/>
    <w:rsid w:val="00922BCA"/>
    <w:rsid w:val="00923863"/>
    <w:rsid w:val="00925B40"/>
    <w:rsid w:val="00933525"/>
    <w:rsid w:val="0093381A"/>
    <w:rsid w:val="009404A4"/>
    <w:rsid w:val="0094060A"/>
    <w:rsid w:val="00941D35"/>
    <w:rsid w:val="00944904"/>
    <w:rsid w:val="009474E3"/>
    <w:rsid w:val="009504C2"/>
    <w:rsid w:val="009616E1"/>
    <w:rsid w:val="00962DDE"/>
    <w:rsid w:val="009678A1"/>
    <w:rsid w:val="0097058B"/>
    <w:rsid w:val="00974BD2"/>
    <w:rsid w:val="00975FC9"/>
    <w:rsid w:val="0098184B"/>
    <w:rsid w:val="00995B4F"/>
    <w:rsid w:val="00996FFA"/>
    <w:rsid w:val="009B52E2"/>
    <w:rsid w:val="009B68EF"/>
    <w:rsid w:val="009B7734"/>
    <w:rsid w:val="009C367A"/>
    <w:rsid w:val="009D736E"/>
    <w:rsid w:val="009F42D6"/>
    <w:rsid w:val="009F4F9E"/>
    <w:rsid w:val="00A0329E"/>
    <w:rsid w:val="00A0427A"/>
    <w:rsid w:val="00A128AB"/>
    <w:rsid w:val="00A226AF"/>
    <w:rsid w:val="00A259D4"/>
    <w:rsid w:val="00A25E3F"/>
    <w:rsid w:val="00A33D5D"/>
    <w:rsid w:val="00A35A77"/>
    <w:rsid w:val="00A36F61"/>
    <w:rsid w:val="00A3770C"/>
    <w:rsid w:val="00A4290F"/>
    <w:rsid w:val="00A5532F"/>
    <w:rsid w:val="00A633BD"/>
    <w:rsid w:val="00A651C5"/>
    <w:rsid w:val="00A65F8B"/>
    <w:rsid w:val="00A66351"/>
    <w:rsid w:val="00A916EE"/>
    <w:rsid w:val="00A938D8"/>
    <w:rsid w:val="00A95671"/>
    <w:rsid w:val="00AA1E42"/>
    <w:rsid w:val="00AA2009"/>
    <w:rsid w:val="00AA4D83"/>
    <w:rsid w:val="00AA61F1"/>
    <w:rsid w:val="00AC0315"/>
    <w:rsid w:val="00AC724A"/>
    <w:rsid w:val="00AC792B"/>
    <w:rsid w:val="00AD1A00"/>
    <w:rsid w:val="00AD6D75"/>
    <w:rsid w:val="00AE39AB"/>
    <w:rsid w:val="00AE480E"/>
    <w:rsid w:val="00AE6823"/>
    <w:rsid w:val="00B00661"/>
    <w:rsid w:val="00B03D9F"/>
    <w:rsid w:val="00B05624"/>
    <w:rsid w:val="00B1530F"/>
    <w:rsid w:val="00B17824"/>
    <w:rsid w:val="00B20072"/>
    <w:rsid w:val="00B20B2C"/>
    <w:rsid w:val="00B2492B"/>
    <w:rsid w:val="00B30745"/>
    <w:rsid w:val="00B37C05"/>
    <w:rsid w:val="00B40908"/>
    <w:rsid w:val="00B516D8"/>
    <w:rsid w:val="00B53E08"/>
    <w:rsid w:val="00B62048"/>
    <w:rsid w:val="00B7518B"/>
    <w:rsid w:val="00B765F2"/>
    <w:rsid w:val="00B77263"/>
    <w:rsid w:val="00B8607F"/>
    <w:rsid w:val="00B8752D"/>
    <w:rsid w:val="00B94401"/>
    <w:rsid w:val="00B94480"/>
    <w:rsid w:val="00B96699"/>
    <w:rsid w:val="00B9798F"/>
    <w:rsid w:val="00BA0D4C"/>
    <w:rsid w:val="00BA279E"/>
    <w:rsid w:val="00BA5321"/>
    <w:rsid w:val="00BB78DA"/>
    <w:rsid w:val="00BC00B2"/>
    <w:rsid w:val="00BC4978"/>
    <w:rsid w:val="00BD075B"/>
    <w:rsid w:val="00BD2A70"/>
    <w:rsid w:val="00BD4EEC"/>
    <w:rsid w:val="00BD61B5"/>
    <w:rsid w:val="00BD62A2"/>
    <w:rsid w:val="00BE1C94"/>
    <w:rsid w:val="00BE3443"/>
    <w:rsid w:val="00BE77DE"/>
    <w:rsid w:val="00BF4B1B"/>
    <w:rsid w:val="00BF5778"/>
    <w:rsid w:val="00C01000"/>
    <w:rsid w:val="00C04DD4"/>
    <w:rsid w:val="00C10332"/>
    <w:rsid w:val="00C127FF"/>
    <w:rsid w:val="00C23009"/>
    <w:rsid w:val="00C27103"/>
    <w:rsid w:val="00C4482E"/>
    <w:rsid w:val="00C44DF7"/>
    <w:rsid w:val="00C473DF"/>
    <w:rsid w:val="00C51F1C"/>
    <w:rsid w:val="00C52F9C"/>
    <w:rsid w:val="00C53236"/>
    <w:rsid w:val="00C6199A"/>
    <w:rsid w:val="00C626AF"/>
    <w:rsid w:val="00C62DD8"/>
    <w:rsid w:val="00C658CA"/>
    <w:rsid w:val="00C71D1F"/>
    <w:rsid w:val="00C82E8D"/>
    <w:rsid w:val="00C90A14"/>
    <w:rsid w:val="00CA12EC"/>
    <w:rsid w:val="00CA715B"/>
    <w:rsid w:val="00CA7AF4"/>
    <w:rsid w:val="00CB19D2"/>
    <w:rsid w:val="00CC21F1"/>
    <w:rsid w:val="00CC495A"/>
    <w:rsid w:val="00CD61B4"/>
    <w:rsid w:val="00CD6BE3"/>
    <w:rsid w:val="00CD7166"/>
    <w:rsid w:val="00CE327F"/>
    <w:rsid w:val="00CE3F44"/>
    <w:rsid w:val="00CF1109"/>
    <w:rsid w:val="00CF2D02"/>
    <w:rsid w:val="00CF66E5"/>
    <w:rsid w:val="00CF6AA9"/>
    <w:rsid w:val="00D00922"/>
    <w:rsid w:val="00D03E8E"/>
    <w:rsid w:val="00D04795"/>
    <w:rsid w:val="00D12F18"/>
    <w:rsid w:val="00D135C3"/>
    <w:rsid w:val="00D154BD"/>
    <w:rsid w:val="00D233FE"/>
    <w:rsid w:val="00D234C6"/>
    <w:rsid w:val="00D23D5B"/>
    <w:rsid w:val="00D32837"/>
    <w:rsid w:val="00D333B2"/>
    <w:rsid w:val="00D34064"/>
    <w:rsid w:val="00D351A6"/>
    <w:rsid w:val="00D3724C"/>
    <w:rsid w:val="00D449BD"/>
    <w:rsid w:val="00D507DF"/>
    <w:rsid w:val="00D52AC3"/>
    <w:rsid w:val="00D530C1"/>
    <w:rsid w:val="00D54B4D"/>
    <w:rsid w:val="00D76AC0"/>
    <w:rsid w:val="00DA1D73"/>
    <w:rsid w:val="00DA28B2"/>
    <w:rsid w:val="00DA7B8C"/>
    <w:rsid w:val="00DB0932"/>
    <w:rsid w:val="00DC6E45"/>
    <w:rsid w:val="00DD3DA3"/>
    <w:rsid w:val="00DE05EF"/>
    <w:rsid w:val="00DE4B07"/>
    <w:rsid w:val="00DF44F2"/>
    <w:rsid w:val="00DF6781"/>
    <w:rsid w:val="00DF7AFD"/>
    <w:rsid w:val="00E025DC"/>
    <w:rsid w:val="00E06505"/>
    <w:rsid w:val="00E06D3F"/>
    <w:rsid w:val="00E10436"/>
    <w:rsid w:val="00E110E6"/>
    <w:rsid w:val="00E123F0"/>
    <w:rsid w:val="00E17857"/>
    <w:rsid w:val="00E22930"/>
    <w:rsid w:val="00E27131"/>
    <w:rsid w:val="00E27644"/>
    <w:rsid w:val="00E367E5"/>
    <w:rsid w:val="00E37F83"/>
    <w:rsid w:val="00E53D4B"/>
    <w:rsid w:val="00E60686"/>
    <w:rsid w:val="00E65500"/>
    <w:rsid w:val="00E66614"/>
    <w:rsid w:val="00E71C90"/>
    <w:rsid w:val="00E71D2C"/>
    <w:rsid w:val="00E75826"/>
    <w:rsid w:val="00E8030E"/>
    <w:rsid w:val="00E81DD4"/>
    <w:rsid w:val="00E94F51"/>
    <w:rsid w:val="00E94FC1"/>
    <w:rsid w:val="00EA01EA"/>
    <w:rsid w:val="00EA3654"/>
    <w:rsid w:val="00EA6D44"/>
    <w:rsid w:val="00EB311A"/>
    <w:rsid w:val="00EB47D6"/>
    <w:rsid w:val="00EB788B"/>
    <w:rsid w:val="00EC42E2"/>
    <w:rsid w:val="00EC4663"/>
    <w:rsid w:val="00EC473B"/>
    <w:rsid w:val="00EC746C"/>
    <w:rsid w:val="00ED5821"/>
    <w:rsid w:val="00EE07F2"/>
    <w:rsid w:val="00EF21A6"/>
    <w:rsid w:val="00EF35D7"/>
    <w:rsid w:val="00EF5C69"/>
    <w:rsid w:val="00F031BF"/>
    <w:rsid w:val="00F04C03"/>
    <w:rsid w:val="00F15523"/>
    <w:rsid w:val="00F16E24"/>
    <w:rsid w:val="00F2159F"/>
    <w:rsid w:val="00F23FBC"/>
    <w:rsid w:val="00F24950"/>
    <w:rsid w:val="00F32ADB"/>
    <w:rsid w:val="00F33B50"/>
    <w:rsid w:val="00F351BD"/>
    <w:rsid w:val="00F4072F"/>
    <w:rsid w:val="00F40B9D"/>
    <w:rsid w:val="00F42287"/>
    <w:rsid w:val="00F44E18"/>
    <w:rsid w:val="00F466EF"/>
    <w:rsid w:val="00F4729A"/>
    <w:rsid w:val="00F509C2"/>
    <w:rsid w:val="00F510A7"/>
    <w:rsid w:val="00F551D0"/>
    <w:rsid w:val="00F65825"/>
    <w:rsid w:val="00F665AE"/>
    <w:rsid w:val="00F70D29"/>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Title">
    <w:name w:val="Title"/>
    <w:basedOn w:val="Normal"/>
    <w:link w:val="TitleChar"/>
    <w:qFormat/>
    <w:rsid w:val="007A5B10"/>
    <w:pPr>
      <w:spacing w:before="0" w:after="240" w:line="240" w:lineRule="auto"/>
      <w:jc w:val="center"/>
      <w:outlineLvl w:val="0"/>
    </w:pPr>
    <w:rPr>
      <w:caps/>
      <w:kern w:val="28"/>
      <w:sz w:val="32"/>
      <w:szCs w:val="20"/>
    </w:rPr>
  </w:style>
  <w:style w:type="character" w:customStyle="1" w:styleId="TitleChar">
    <w:name w:val="Title Char"/>
    <w:basedOn w:val="DefaultParagraphFont"/>
    <w:link w:val="Title"/>
    <w:rsid w:val="007A5B10"/>
    <w:rPr>
      <w:rFonts w:ascii="Arial" w:eastAsia="Times New Roman" w:hAnsi="Arial" w:cs="Times New Roman"/>
      <w:caps/>
      <w:kern w:val="28"/>
      <w:sz w:val="32"/>
      <w:szCs w:val="20"/>
    </w:rPr>
  </w:style>
  <w:style w:type="paragraph" w:styleId="Bibliography">
    <w:name w:val="Bibliography"/>
    <w:basedOn w:val="Normal"/>
    <w:next w:val="Normal"/>
    <w:uiPriority w:val="37"/>
    <w:unhideWhenUsed/>
    <w:rsid w:val="00B05624"/>
  </w:style>
  <w:style w:type="character" w:styleId="PlaceholderText">
    <w:name w:val="Placeholder Text"/>
    <w:basedOn w:val="DefaultParagraphFont"/>
    <w:uiPriority w:val="99"/>
    <w:semiHidden/>
    <w:rsid w:val="00913A6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929324">
      <w:bodyDiv w:val="1"/>
      <w:marLeft w:val="0"/>
      <w:marRight w:val="0"/>
      <w:marTop w:val="0"/>
      <w:marBottom w:val="0"/>
      <w:divBdr>
        <w:top w:val="none" w:sz="0" w:space="0" w:color="auto"/>
        <w:left w:val="none" w:sz="0" w:space="0" w:color="auto"/>
        <w:bottom w:val="none" w:sz="0" w:space="0" w:color="auto"/>
        <w:right w:val="none" w:sz="0" w:space="0" w:color="auto"/>
      </w:divBdr>
    </w:div>
    <w:div w:id="225727983">
      <w:bodyDiv w:val="1"/>
      <w:marLeft w:val="0"/>
      <w:marRight w:val="0"/>
      <w:marTop w:val="0"/>
      <w:marBottom w:val="0"/>
      <w:divBdr>
        <w:top w:val="none" w:sz="0" w:space="0" w:color="auto"/>
        <w:left w:val="none" w:sz="0" w:space="0" w:color="auto"/>
        <w:bottom w:val="none" w:sz="0" w:space="0" w:color="auto"/>
        <w:right w:val="none" w:sz="0" w:space="0" w:color="auto"/>
      </w:divBdr>
    </w:div>
    <w:div w:id="358631765">
      <w:bodyDiv w:val="1"/>
      <w:marLeft w:val="0"/>
      <w:marRight w:val="0"/>
      <w:marTop w:val="0"/>
      <w:marBottom w:val="0"/>
      <w:divBdr>
        <w:top w:val="none" w:sz="0" w:space="0" w:color="auto"/>
        <w:left w:val="none" w:sz="0" w:space="0" w:color="auto"/>
        <w:bottom w:val="none" w:sz="0" w:space="0" w:color="auto"/>
        <w:right w:val="none" w:sz="0" w:space="0" w:color="auto"/>
      </w:divBdr>
    </w:div>
    <w:div w:id="378827318">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526531080">
      <w:bodyDiv w:val="1"/>
      <w:marLeft w:val="0"/>
      <w:marRight w:val="0"/>
      <w:marTop w:val="0"/>
      <w:marBottom w:val="0"/>
      <w:divBdr>
        <w:top w:val="none" w:sz="0" w:space="0" w:color="auto"/>
        <w:left w:val="none" w:sz="0" w:space="0" w:color="auto"/>
        <w:bottom w:val="none" w:sz="0" w:space="0" w:color="auto"/>
        <w:right w:val="none" w:sz="0" w:space="0" w:color="auto"/>
      </w:divBdr>
    </w:div>
    <w:div w:id="548496964">
      <w:bodyDiv w:val="1"/>
      <w:marLeft w:val="0"/>
      <w:marRight w:val="0"/>
      <w:marTop w:val="0"/>
      <w:marBottom w:val="0"/>
      <w:divBdr>
        <w:top w:val="none" w:sz="0" w:space="0" w:color="auto"/>
        <w:left w:val="none" w:sz="0" w:space="0" w:color="auto"/>
        <w:bottom w:val="none" w:sz="0" w:space="0" w:color="auto"/>
        <w:right w:val="none" w:sz="0" w:space="0" w:color="auto"/>
      </w:divBdr>
    </w:div>
    <w:div w:id="558592477">
      <w:bodyDiv w:val="1"/>
      <w:marLeft w:val="0"/>
      <w:marRight w:val="0"/>
      <w:marTop w:val="0"/>
      <w:marBottom w:val="0"/>
      <w:divBdr>
        <w:top w:val="none" w:sz="0" w:space="0" w:color="auto"/>
        <w:left w:val="none" w:sz="0" w:space="0" w:color="auto"/>
        <w:bottom w:val="none" w:sz="0" w:space="0" w:color="auto"/>
        <w:right w:val="none" w:sz="0" w:space="0" w:color="auto"/>
      </w:divBdr>
    </w:div>
    <w:div w:id="567035871">
      <w:bodyDiv w:val="1"/>
      <w:marLeft w:val="0"/>
      <w:marRight w:val="0"/>
      <w:marTop w:val="0"/>
      <w:marBottom w:val="0"/>
      <w:divBdr>
        <w:top w:val="none" w:sz="0" w:space="0" w:color="auto"/>
        <w:left w:val="none" w:sz="0" w:space="0" w:color="auto"/>
        <w:bottom w:val="none" w:sz="0" w:space="0" w:color="auto"/>
        <w:right w:val="none" w:sz="0" w:space="0" w:color="auto"/>
      </w:divBdr>
    </w:div>
    <w:div w:id="640378959">
      <w:bodyDiv w:val="1"/>
      <w:marLeft w:val="0"/>
      <w:marRight w:val="0"/>
      <w:marTop w:val="0"/>
      <w:marBottom w:val="0"/>
      <w:divBdr>
        <w:top w:val="none" w:sz="0" w:space="0" w:color="auto"/>
        <w:left w:val="none" w:sz="0" w:space="0" w:color="auto"/>
        <w:bottom w:val="none" w:sz="0" w:space="0" w:color="auto"/>
        <w:right w:val="none" w:sz="0" w:space="0" w:color="auto"/>
      </w:divBdr>
    </w:div>
    <w:div w:id="656761244">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05180498">
      <w:bodyDiv w:val="1"/>
      <w:marLeft w:val="0"/>
      <w:marRight w:val="0"/>
      <w:marTop w:val="0"/>
      <w:marBottom w:val="0"/>
      <w:divBdr>
        <w:top w:val="none" w:sz="0" w:space="0" w:color="auto"/>
        <w:left w:val="none" w:sz="0" w:space="0" w:color="auto"/>
        <w:bottom w:val="none" w:sz="0" w:space="0" w:color="auto"/>
        <w:right w:val="none" w:sz="0" w:space="0" w:color="auto"/>
      </w:divBdr>
    </w:div>
    <w:div w:id="870604575">
      <w:bodyDiv w:val="1"/>
      <w:marLeft w:val="0"/>
      <w:marRight w:val="0"/>
      <w:marTop w:val="0"/>
      <w:marBottom w:val="0"/>
      <w:divBdr>
        <w:top w:val="none" w:sz="0" w:space="0" w:color="auto"/>
        <w:left w:val="none" w:sz="0" w:space="0" w:color="auto"/>
        <w:bottom w:val="none" w:sz="0" w:space="0" w:color="auto"/>
        <w:right w:val="none" w:sz="0" w:space="0" w:color="auto"/>
      </w:divBdr>
    </w:div>
    <w:div w:id="1070074724">
      <w:bodyDiv w:val="1"/>
      <w:marLeft w:val="0"/>
      <w:marRight w:val="0"/>
      <w:marTop w:val="0"/>
      <w:marBottom w:val="0"/>
      <w:divBdr>
        <w:top w:val="none" w:sz="0" w:space="0" w:color="auto"/>
        <w:left w:val="none" w:sz="0" w:space="0" w:color="auto"/>
        <w:bottom w:val="none" w:sz="0" w:space="0" w:color="auto"/>
        <w:right w:val="none" w:sz="0" w:space="0" w:color="auto"/>
      </w:divBdr>
    </w:div>
    <w:div w:id="1098914885">
      <w:bodyDiv w:val="1"/>
      <w:marLeft w:val="0"/>
      <w:marRight w:val="0"/>
      <w:marTop w:val="0"/>
      <w:marBottom w:val="0"/>
      <w:divBdr>
        <w:top w:val="none" w:sz="0" w:space="0" w:color="auto"/>
        <w:left w:val="none" w:sz="0" w:space="0" w:color="auto"/>
        <w:bottom w:val="none" w:sz="0" w:space="0" w:color="auto"/>
        <w:right w:val="none" w:sz="0" w:space="0" w:color="auto"/>
      </w:divBdr>
    </w:div>
    <w:div w:id="1168131897">
      <w:bodyDiv w:val="1"/>
      <w:marLeft w:val="0"/>
      <w:marRight w:val="0"/>
      <w:marTop w:val="0"/>
      <w:marBottom w:val="0"/>
      <w:divBdr>
        <w:top w:val="none" w:sz="0" w:space="0" w:color="auto"/>
        <w:left w:val="none" w:sz="0" w:space="0" w:color="auto"/>
        <w:bottom w:val="none" w:sz="0" w:space="0" w:color="auto"/>
        <w:right w:val="none" w:sz="0" w:space="0" w:color="auto"/>
      </w:divBdr>
    </w:div>
    <w:div w:id="1175418340">
      <w:bodyDiv w:val="1"/>
      <w:marLeft w:val="0"/>
      <w:marRight w:val="0"/>
      <w:marTop w:val="0"/>
      <w:marBottom w:val="0"/>
      <w:divBdr>
        <w:top w:val="none" w:sz="0" w:space="0" w:color="auto"/>
        <w:left w:val="none" w:sz="0" w:space="0" w:color="auto"/>
        <w:bottom w:val="none" w:sz="0" w:space="0" w:color="auto"/>
        <w:right w:val="none" w:sz="0" w:space="0" w:color="auto"/>
      </w:divBdr>
    </w:div>
    <w:div w:id="1193568956">
      <w:bodyDiv w:val="1"/>
      <w:marLeft w:val="0"/>
      <w:marRight w:val="0"/>
      <w:marTop w:val="0"/>
      <w:marBottom w:val="0"/>
      <w:divBdr>
        <w:top w:val="none" w:sz="0" w:space="0" w:color="auto"/>
        <w:left w:val="none" w:sz="0" w:space="0" w:color="auto"/>
        <w:bottom w:val="none" w:sz="0" w:space="0" w:color="auto"/>
        <w:right w:val="none" w:sz="0" w:space="0" w:color="auto"/>
      </w:divBdr>
    </w:div>
    <w:div w:id="1198157076">
      <w:bodyDiv w:val="1"/>
      <w:marLeft w:val="0"/>
      <w:marRight w:val="0"/>
      <w:marTop w:val="0"/>
      <w:marBottom w:val="0"/>
      <w:divBdr>
        <w:top w:val="none" w:sz="0" w:space="0" w:color="auto"/>
        <w:left w:val="none" w:sz="0" w:space="0" w:color="auto"/>
        <w:bottom w:val="none" w:sz="0" w:space="0" w:color="auto"/>
        <w:right w:val="none" w:sz="0" w:space="0" w:color="auto"/>
      </w:divBdr>
    </w:div>
    <w:div w:id="1264217522">
      <w:bodyDiv w:val="1"/>
      <w:marLeft w:val="0"/>
      <w:marRight w:val="0"/>
      <w:marTop w:val="0"/>
      <w:marBottom w:val="0"/>
      <w:divBdr>
        <w:top w:val="none" w:sz="0" w:space="0" w:color="auto"/>
        <w:left w:val="none" w:sz="0" w:space="0" w:color="auto"/>
        <w:bottom w:val="none" w:sz="0" w:space="0" w:color="auto"/>
        <w:right w:val="none" w:sz="0" w:space="0" w:color="auto"/>
      </w:divBdr>
    </w:div>
    <w:div w:id="1279798171">
      <w:bodyDiv w:val="1"/>
      <w:marLeft w:val="0"/>
      <w:marRight w:val="0"/>
      <w:marTop w:val="0"/>
      <w:marBottom w:val="0"/>
      <w:divBdr>
        <w:top w:val="none" w:sz="0" w:space="0" w:color="auto"/>
        <w:left w:val="none" w:sz="0" w:space="0" w:color="auto"/>
        <w:bottom w:val="none" w:sz="0" w:space="0" w:color="auto"/>
        <w:right w:val="none" w:sz="0" w:space="0" w:color="auto"/>
      </w:divBdr>
    </w:div>
    <w:div w:id="1305428106">
      <w:bodyDiv w:val="1"/>
      <w:marLeft w:val="0"/>
      <w:marRight w:val="0"/>
      <w:marTop w:val="0"/>
      <w:marBottom w:val="0"/>
      <w:divBdr>
        <w:top w:val="none" w:sz="0" w:space="0" w:color="auto"/>
        <w:left w:val="none" w:sz="0" w:space="0" w:color="auto"/>
        <w:bottom w:val="none" w:sz="0" w:space="0" w:color="auto"/>
        <w:right w:val="none" w:sz="0" w:space="0" w:color="auto"/>
      </w:divBdr>
    </w:div>
    <w:div w:id="1338074131">
      <w:bodyDiv w:val="1"/>
      <w:marLeft w:val="0"/>
      <w:marRight w:val="0"/>
      <w:marTop w:val="0"/>
      <w:marBottom w:val="0"/>
      <w:divBdr>
        <w:top w:val="none" w:sz="0" w:space="0" w:color="auto"/>
        <w:left w:val="none" w:sz="0" w:space="0" w:color="auto"/>
        <w:bottom w:val="none" w:sz="0" w:space="0" w:color="auto"/>
        <w:right w:val="none" w:sz="0" w:space="0" w:color="auto"/>
      </w:divBdr>
    </w:div>
    <w:div w:id="1451629164">
      <w:bodyDiv w:val="1"/>
      <w:marLeft w:val="0"/>
      <w:marRight w:val="0"/>
      <w:marTop w:val="0"/>
      <w:marBottom w:val="0"/>
      <w:divBdr>
        <w:top w:val="none" w:sz="0" w:space="0" w:color="auto"/>
        <w:left w:val="none" w:sz="0" w:space="0" w:color="auto"/>
        <w:bottom w:val="none" w:sz="0" w:space="0" w:color="auto"/>
        <w:right w:val="none" w:sz="0" w:space="0" w:color="auto"/>
      </w:divBdr>
    </w:div>
    <w:div w:id="1476990385">
      <w:bodyDiv w:val="1"/>
      <w:marLeft w:val="0"/>
      <w:marRight w:val="0"/>
      <w:marTop w:val="0"/>
      <w:marBottom w:val="0"/>
      <w:divBdr>
        <w:top w:val="none" w:sz="0" w:space="0" w:color="auto"/>
        <w:left w:val="none" w:sz="0" w:space="0" w:color="auto"/>
        <w:bottom w:val="none" w:sz="0" w:space="0" w:color="auto"/>
        <w:right w:val="none" w:sz="0" w:space="0" w:color="auto"/>
      </w:divBdr>
    </w:div>
    <w:div w:id="1518695896">
      <w:bodyDiv w:val="1"/>
      <w:marLeft w:val="0"/>
      <w:marRight w:val="0"/>
      <w:marTop w:val="0"/>
      <w:marBottom w:val="0"/>
      <w:divBdr>
        <w:top w:val="none" w:sz="0" w:space="0" w:color="auto"/>
        <w:left w:val="none" w:sz="0" w:space="0" w:color="auto"/>
        <w:bottom w:val="none" w:sz="0" w:space="0" w:color="auto"/>
        <w:right w:val="none" w:sz="0" w:space="0" w:color="auto"/>
      </w:divBdr>
    </w:div>
    <w:div w:id="1542858630">
      <w:bodyDiv w:val="1"/>
      <w:marLeft w:val="0"/>
      <w:marRight w:val="0"/>
      <w:marTop w:val="0"/>
      <w:marBottom w:val="0"/>
      <w:divBdr>
        <w:top w:val="none" w:sz="0" w:space="0" w:color="auto"/>
        <w:left w:val="none" w:sz="0" w:space="0" w:color="auto"/>
        <w:bottom w:val="none" w:sz="0" w:space="0" w:color="auto"/>
        <w:right w:val="none" w:sz="0" w:space="0" w:color="auto"/>
      </w:divBdr>
    </w:div>
    <w:div w:id="1558083615">
      <w:bodyDiv w:val="1"/>
      <w:marLeft w:val="0"/>
      <w:marRight w:val="0"/>
      <w:marTop w:val="0"/>
      <w:marBottom w:val="0"/>
      <w:divBdr>
        <w:top w:val="none" w:sz="0" w:space="0" w:color="auto"/>
        <w:left w:val="none" w:sz="0" w:space="0" w:color="auto"/>
        <w:bottom w:val="none" w:sz="0" w:space="0" w:color="auto"/>
        <w:right w:val="none" w:sz="0" w:space="0" w:color="auto"/>
      </w:divBdr>
    </w:div>
    <w:div w:id="1580139450">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19544993">
      <w:bodyDiv w:val="1"/>
      <w:marLeft w:val="0"/>
      <w:marRight w:val="0"/>
      <w:marTop w:val="0"/>
      <w:marBottom w:val="0"/>
      <w:divBdr>
        <w:top w:val="none" w:sz="0" w:space="0" w:color="auto"/>
        <w:left w:val="none" w:sz="0" w:space="0" w:color="auto"/>
        <w:bottom w:val="none" w:sz="0" w:space="0" w:color="auto"/>
        <w:right w:val="none" w:sz="0" w:space="0" w:color="auto"/>
      </w:divBdr>
    </w:div>
    <w:div w:id="1783501114">
      <w:bodyDiv w:val="1"/>
      <w:marLeft w:val="0"/>
      <w:marRight w:val="0"/>
      <w:marTop w:val="0"/>
      <w:marBottom w:val="0"/>
      <w:divBdr>
        <w:top w:val="none" w:sz="0" w:space="0" w:color="auto"/>
        <w:left w:val="none" w:sz="0" w:space="0" w:color="auto"/>
        <w:bottom w:val="none" w:sz="0" w:space="0" w:color="auto"/>
        <w:right w:val="none" w:sz="0" w:space="0" w:color="auto"/>
      </w:divBdr>
    </w:div>
    <w:div w:id="1802921351">
      <w:bodyDiv w:val="1"/>
      <w:marLeft w:val="0"/>
      <w:marRight w:val="0"/>
      <w:marTop w:val="0"/>
      <w:marBottom w:val="0"/>
      <w:divBdr>
        <w:top w:val="none" w:sz="0" w:space="0" w:color="auto"/>
        <w:left w:val="none" w:sz="0" w:space="0" w:color="auto"/>
        <w:bottom w:val="none" w:sz="0" w:space="0" w:color="auto"/>
        <w:right w:val="none" w:sz="0" w:space="0" w:color="auto"/>
      </w:divBdr>
    </w:div>
    <w:div w:id="1891913792">
      <w:bodyDiv w:val="1"/>
      <w:marLeft w:val="0"/>
      <w:marRight w:val="0"/>
      <w:marTop w:val="0"/>
      <w:marBottom w:val="0"/>
      <w:divBdr>
        <w:top w:val="none" w:sz="0" w:space="0" w:color="auto"/>
        <w:left w:val="none" w:sz="0" w:space="0" w:color="auto"/>
        <w:bottom w:val="none" w:sz="0" w:space="0" w:color="auto"/>
        <w:right w:val="none" w:sz="0" w:space="0" w:color="auto"/>
      </w:divBdr>
    </w:div>
    <w:div w:id="1950047414">
      <w:bodyDiv w:val="1"/>
      <w:marLeft w:val="0"/>
      <w:marRight w:val="0"/>
      <w:marTop w:val="0"/>
      <w:marBottom w:val="0"/>
      <w:divBdr>
        <w:top w:val="none" w:sz="0" w:space="0" w:color="auto"/>
        <w:left w:val="none" w:sz="0" w:space="0" w:color="auto"/>
        <w:bottom w:val="none" w:sz="0" w:space="0" w:color="auto"/>
        <w:right w:val="none" w:sz="0" w:space="0" w:color="auto"/>
      </w:divBdr>
    </w:div>
    <w:div w:id="2045665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footer" Target="footer3.xml"/><Relationship Id="rId26" Type="http://schemas.openxmlformats.org/officeDocument/2006/relationships/header" Target="header8.xml"/><Relationship Id="rId39" Type="http://schemas.openxmlformats.org/officeDocument/2006/relationships/footer" Target="footer13.xml"/><Relationship Id="rId21" Type="http://schemas.openxmlformats.org/officeDocument/2006/relationships/footer" Target="footer4.xml"/><Relationship Id="rId34" Type="http://schemas.openxmlformats.org/officeDocument/2006/relationships/footer" Target="footer11.xml"/><Relationship Id="rId42" Type="http://schemas.openxmlformats.org/officeDocument/2006/relationships/footer" Target="footer15.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5.xml"/><Relationship Id="rId29" Type="http://schemas.openxmlformats.org/officeDocument/2006/relationships/header" Target="header9.xml"/><Relationship Id="rId41" Type="http://schemas.openxmlformats.org/officeDocument/2006/relationships/header" Target="header15.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header" Target="header13.xml"/><Relationship Id="rId40" Type="http://schemas.openxmlformats.org/officeDocument/2006/relationships/footer" Target="footer14.xml"/><Relationship Id="rId5" Type="http://schemas.openxmlformats.org/officeDocument/2006/relationships/customXml" Target="../customXml/item5.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10" Type="http://schemas.openxmlformats.org/officeDocument/2006/relationships/footnotes" Target="footnotes.xml"/><Relationship Id="rId19" Type="http://schemas.openxmlformats.org/officeDocument/2006/relationships/header" Target="header4.xml"/><Relationship Id="rId31" Type="http://schemas.openxmlformats.org/officeDocument/2006/relationships/header" Target="header10.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 Id="rId43" Type="http://schemas.openxmlformats.org/officeDocument/2006/relationships/fontTable" Target="fontTable.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header" Target="header1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titus xmlns="http://schemas.titus.com/TitusProperties/">
  <TitusGUID xmlns="">88ce082d-d3b4-4e9f-95be-e8d49814443a</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b:Sources xmlns:b="http://schemas.openxmlformats.org/officeDocument/2006/bibliography" xmlns="http://schemas.openxmlformats.org/officeDocument/2006/bibliography" SelectedStyle="\IEEE2006OfficeOnline.xsl" StyleName="IEEE" Version="2006">
  <b:Source>
    <b:Tag>MOD21</b:Tag>
    <b:SourceType>InternetSite</b:SourceType>
    <b:Guid>{0AADA072-0BC4-4FE5-99E0-48A5183DE167}</b:Guid>
    <b:Author>
      <b:Author>
        <b:NameList>
          <b:Person>
            <b:Last>MOD</b:Last>
          </b:Person>
        </b:NameList>
      </b:Author>
    </b:Author>
    <b:Title>ASEMS SMP06</b:Title>
    <b:ProductionCompany>MOD</b:ProductionCompany>
    <b:Year>2021</b:Year>
    <b:Month>07</b:Month>
    <b:Day>16</b:Day>
    <b:YearAccessed>2026</b:YearAccessed>
    <b:MonthAccessed>07</b:MonthAccessed>
    <b:DayAccessed>20</b:DayAccessed>
    <b:URL>https://www.asems.mod.uk/guidance/posms/smp06</b:URL>
    <b:RefOrder>2</b:RefOrder>
  </b:Source>
  <b:Source>
    <b:Tag>MOD17</b:Tag>
    <b:SourceType>InternetSite</b:SourceType>
    <b:Guid>{1DC90DAD-3D3C-4FDC-94D7-2BC13E7F1AF2}</b:Guid>
    <b:Author>
      <b:Author>
        <b:NameList>
          <b:Person>
            <b:Last>MOD</b:Last>
          </b:Person>
        </b:NameList>
      </b:Author>
    </b:Author>
    <b:Title>ASEMS SMP05</b:Title>
    <b:ProductionCompany>MOD</b:ProductionCompany>
    <b:Year>2017</b:Year>
    <b:Month>01</b:Month>
    <b:Day>09</b:Day>
    <b:YearAccessed>2026</b:YearAccessed>
    <b:MonthAccessed>07</b:MonthAccessed>
    <b:DayAccessed>20</b:DayAccessed>
    <b:URL>https://www.asems.mod.uk/toolkit/hazop</b:URL>
    <b:RefOrder>1</b:RefOrder>
  </b:Source>
  <b:Source>
    <b:Tag>Rhy18</b:Tag>
    <b:SourceType>Report</b:SourceType>
    <b:Guid>{BE47C1BC-4098-4D16-AED6-02F2E7C3564C}</b:Guid>
    <b:Title>An Introduction to System Safety Management in the MOD Issue 4</b:Title>
    <b:Year>2018</b:Year>
    <b:Author>
      <b:Author>
        <b:NameList>
          <b:Person>
            <b:Last>David</b:Last>
            <b:First>Rhys</b:First>
          </b:Person>
        </b:NameList>
      </b:Author>
    </b:Author>
    <b:Publisher>MOD</b:Publisher>
    <b:City>London</b:City>
    <b:RefOrder>4</b:RefOrder>
  </b:Source>
  <b:Source>
    <b:Tag>Bun18</b:Tag>
    <b:SourceType>Report</b:SourceType>
    <b:Guid>{455B8783-9C2E-4475-98F8-0BF723CC755D}</b:Guid>
    <b:Author>
      <b:Author>
        <b:NameList>
          <b:Person>
            <b:Last>Bunn</b:Last>
            <b:First>Adrian</b:First>
          </b:Person>
        </b:NameList>
      </b:Author>
    </b:Author>
    <b:Title>Guidance on ALARP for Major Hazard Facilities</b:Title>
    <b:Year>2018</b:Year>
    <b:Publisher>IChemE</b:Publisher>
    <b:City>Rugby</b:City>
    <b:RefOrder>3</b:RefOrder>
  </b:Source>
  <b:Source>
    <b:Tag>Ank26</b:Tag>
    <b:SourceType>InternetSite</b:SourceType>
    <b:Guid>{DB0361B6-F47D-4484-943F-1EB37D85111F}</b:Guid>
    <b:Author>
      <b:Author>
        <b:NameList>
          <b:Person>
            <b:Last>Sharma</b:Last>
            <b:First>Ankur</b:First>
          </b:Person>
        </b:NameList>
      </b:Author>
    </b:Author>
    <b:Title>British Army Restarts Troubled Ajax Armoured Vehicle Trials</b:Title>
    <b:ProductionCompany>Kalkine</b:ProductionCompany>
    <b:Year>2026</b:Year>
    <b:Month>April</b:Month>
    <b:Day>29</b:Day>
    <b:YearAccessed>2026</b:YearAccessed>
    <b:MonthAccessed>July</b:MonthAccessed>
    <b:DayAccessed>21</b:DayAccessed>
    <b:URL>https://kalkine.co.uk/news/premium/british-army-restarts-troubled-ajax-armoured-vehicle-trials</b:URL>
    <b:RefOrder>7</b:RefOrder>
  </b:Source>
  <b:Source>
    <b:Tag>Tim26</b:Tag>
    <b:SourceType>InternetSite</b:SourceType>
    <b:Guid>{133587CA-CDF0-46E5-8F91-7AB538ED96C6}</b:Guid>
    <b:Author>
      <b:Author>
        <b:NameList>
          <b:Person>
            <b:Last>Sigsworth</b:Last>
            <b:First>Tim</b:First>
          </b:Person>
        </b:NameList>
      </b:Author>
    </b:Author>
    <b:Title>Army’s troubled Ajax may never reach battlefield</b:Title>
    <b:ProductionCompany>The Telegraph</b:ProductionCompany>
    <b:Year>2026</b:Year>
    <b:Month>June</b:Month>
    <b:Day>07</b:Day>
    <b:YearAccessed>2026</b:YearAccessed>
    <b:MonthAccessed>July</b:MonthAccessed>
    <b:DayAccessed>21</b:DayAccessed>
    <b:URL>https://www.telegraph.co.uk/news/2026/06/07/armys-troubled-ajax-may-never-reach-battlefield/</b:URL>
    <b:RefOrder>6</b:RefOrder>
  </b:Source>
  <b:Source>
    <b:Tag>Reb26</b:Tag>
    <b:SourceType>InternetSite</b:SourceType>
    <b:Guid>{470ED2E0-8DFE-4B47-A883-260F40904916}</b:Guid>
    <b:Author>
      <b:Author>
        <b:NameList>
          <b:Person>
            <b:Last>Wood</b:Last>
            <b:First>Rebecca</b:First>
          </b:Person>
        </b:NameList>
      </b:Author>
    </b:Author>
    <b:Title>British Army personnel may have been exposed to toxic fumes, reports suggest</b:Title>
    <b:ProductionCompany>Irwin Mitchell</b:ProductionCompany>
    <b:Year>2026</b:Year>
    <b:Month>May</b:Month>
    <b:Day>15</b:Day>
    <b:YearAccessed>2026</b:YearAccessed>
    <b:MonthAccessed>July</b:MonthAccessed>
    <b:DayAccessed>20</b:DayAccessed>
    <b:URL>https://www.irwinmitchell.com/news-and-insights/expert-comment/post/102mtzp/ajax-vehicle</b:URL>
    <b:RefOrder>5</b:RefOrder>
  </b:Source>
  <b:Source>
    <b:Tag>Tom26</b:Tag>
    <b:SourceType>InternetSite</b:SourceType>
    <b:Guid>{FF6F1D55-F7CD-409C-B9B7-601D15660062}</b:Guid>
    <b:Author>
      <b:Author>
        <b:NameList>
          <b:Person>
            <b:Last>Cotterill</b:Last>
            <b:First>Tom</b:First>
          </b:Person>
        </b:NameList>
      </b:Author>
    </b:Author>
    <b:Title>Army’s troubled Ajax programme to resume despite soldiers’ injuries</b:Title>
    <b:ProductionCompany>The Telegraph</b:ProductionCompany>
    <b:Year>2026</b:Year>
    <b:Month>April</b:Month>
    <b:Day>28</b:Day>
    <b:YearAccessed>2026</b:YearAccessed>
    <b:MonthAccessed>July</b:MonthAccessed>
    <b:DayAccessed>21</b:DayAccessed>
    <b:URL>https://www.telegraph.co.uk/news/2026/04/28/army-ajax-programme-resumes-despite-soldiers-injuries/</b:URL>
    <b:RefOrder>10</b:RefOrder>
  </b:Source>
  <b:Source>
    <b:Tag>HSE23</b:Tag>
    <b:SourceType>Report</b:SourceType>
    <b:Guid>{253579ED-682F-409D-B5D1-5C0E79F0C4E9}</b:Guid>
    <b:Title>How HSE regulates risks to health and safety from work activities</b:Title>
    <b:Year>2023</b:Year>
    <b:City>Bootle</b:City>
    <b:Author>
      <b:Author>
        <b:NameList>
          <b:Person>
            <b:Last>HSE</b:Last>
          </b:Person>
        </b:NameList>
      </b:Author>
    </b:Author>
    <b:Publisher>Health and Safety Executive</b:Publisher>
    <b:RefOrder>8</b:RefOrder>
  </b:Source>
  <b:Source>
    <b:Tag>HSE74</b:Tag>
    <b:SourceType>Report</b:SourceType>
    <b:Guid>{16ED3423-3806-4A08-A628-19E1A19B3777}</b:Guid>
    <b:Author>
      <b:Author>
        <b:NameList>
          <b:Person>
            <b:Last>HSE</b:Last>
          </b:Person>
        </b:NameList>
      </b:Author>
    </b:Author>
    <b:Title>Health and Safety at Work Act</b:Title>
    <b:Year>1974</b:Year>
    <b:Publisher>Health and Safety Executive</b:Publisher>
    <b:City>Bootle</b:City>
    <b:RefOrder>9</b:RefOrder>
  </b:Source>
  <b:Source>
    <b:Tag>HSE02</b:Tag>
    <b:SourceType>Report</b:SourceType>
    <b:Guid>{D6D6D8E9-43C0-4AD3-9F23-6A90D9837148}</b:Guid>
    <b:Author>
      <b:Author>
        <b:NameList>
          <b:Person>
            <b:Last>HSE</b:Last>
          </b:Person>
        </b:NameList>
      </b:Author>
    </b:Author>
    <b:Title>Control of Substances Hazardous to Health</b:Title>
    <b:Year>2002</b:Year>
    <b:Publisher>Health and Safety Executive</b:Publisher>
    <b:City>Bootle</b:City>
    <b:RefOrder>12</b:RefOrder>
  </b:Source>
  <b:Source>
    <b:Tag>HSE99</b:Tag>
    <b:SourceType>Report</b:SourceType>
    <b:Guid>{B15DADA4-893F-4CE6-9BA1-A58A4F46F5AB}</b:Guid>
    <b:Author>
      <b:Author>
        <b:NameList>
          <b:Person>
            <b:Last>HSE</b:Last>
          </b:Person>
        </b:NameList>
      </b:Author>
    </b:Author>
    <b:Title>The Management of Health and Safety at Work Regulations</b:Title>
    <b:Year>1999</b:Year>
    <b:Publisher>Health and Safety Executive</b:Publisher>
    <b:City>Bootle</b:City>
    <b:RefOrder>11</b:RefOrder>
  </b:Source>
  <b:Source>
    <b:Tag>HSE13</b:Tag>
    <b:SourceType>Report</b:SourceType>
    <b:Guid>{FFD67A8A-B21B-4697-92C1-F6A96E4538CE}</b:Guid>
    <b:Author>
      <b:Author>
        <b:NameList>
          <b:Person>
            <b:Last>HSE</b:Last>
          </b:Person>
        </b:NameList>
      </b:Author>
    </b:Author>
    <b:Title>Managing for health and safety (HSG65)</b:Title>
    <b:Year>2013</b:Year>
    <b:Publisher>Health and Safety Executive</b:Publisher>
    <b:City>Bootle</b:City>
    <b:RefOrder>13</b:RefOrder>
  </b:Source>
  <b:Source>
    <b:Tag>HSE98</b:Tag>
    <b:SourceType>Report</b:SourceType>
    <b:Guid>{74104BE5-0FE1-41F7-8578-1B6797BA4C39}</b:Guid>
    <b:Author>
      <b:Author>
        <b:NameList>
          <b:Person>
            <b:Last>HSE</b:Last>
          </b:Person>
        </b:NameList>
      </b:Author>
    </b:Author>
    <b:Title>Provision and Use of Work Equipment Regulations</b:Title>
    <b:Year>1998</b:Year>
    <b:Publisher>Health and Safety Executive</b:Publisher>
    <b:City>Bootle</b:City>
    <b:RefOrder>14</b:RefOrder>
  </b:Source>
  <b:Source>
    <b:Tag>MOD07</b:Tag>
    <b:SourceType>Report</b:SourceType>
    <b:Guid>{05238F5F-3276-4F74-94C2-7BD08AC0BE58}</b:Guid>
    <b:Author>
      <b:Author>
        <b:NameList>
          <b:Person>
            <b:Last>MOD</b:Last>
          </b:Person>
        </b:NameList>
      </b:Author>
    </b:Author>
    <b:Title>Ministry of Defence Standard DEF STAN 00-56</b:Title>
    <b:Year>2007</b:Year>
    <b:Publisher>Ministry of Defence UK</b:Publisher>
    <b:City>London</b:City>
    <b:RefOrder>15</b:RefOrder>
  </b:Source>
  <b:Source>
    <b:Tag>Cli06</b:Tag>
    <b:SourceType>Report</b:SourceType>
    <b:Guid>{5D0238B2-B53C-47EA-83ED-271D97A3916F}</b:Guid>
    <b:Author>
      <b:Author>
        <b:NameList>
          <b:Person>
            <b:Last>Timms</b:Last>
            <b:First>Clive</b:First>
          </b:Person>
        </b:NameList>
      </b:Author>
    </b:Author>
    <b:Title>DETERMINATION OF SAFETY INTEGRITY LEVELS TAKING INTO ACCOUNT ALARP – COST BENEFIT ANALYSIS</b:Title>
    <b:Year>2006</b:Year>
    <b:Publisher>IChemE</b:Publisher>
    <b:City>Rugby</b:City>
    <b:RefOrder>16</b:RefOrder>
  </b:Source>
  <b:Source>
    <b:Tag>Eur06</b:Tag>
    <b:SourceType>Report</b:SourceType>
    <b:Guid>{F9C95BBF-11A2-4619-AB18-43CB7EC58E2F}</b:Guid>
    <b:Author>
      <b:Author>
        <b:NameList>
          <b:Person>
            <b:Last>Goose</b:Last>
            <b:First>Eur</b:First>
            <b:Middle>Ing Martin H</b:Middle>
          </b:Person>
        </b:NameList>
      </b:Author>
    </b:Author>
    <b:Title>GROSS DISPROPORTION, STEP BY STEP – A POSSIBLE APPROACH TO EVALUATING ADDITIONAL MEASURES AT COMAH SITES</b:Title>
    <b:Year>2006</b:Year>
    <b:Publisher>IChemE</b:Publisher>
    <b:City>Rugby</b:City>
    <b:RefOrder>17</b:RefOrder>
  </b:Source>
  <b:Source>
    <b:Tag>AMa20</b:Tag>
    <b:SourceType>JournalArticle</b:SourceType>
    <b:Guid>{8EAF67B2-934E-4FDD-9E20-BAF84EF0BEA9}</b:Guid>
    <b:Title>Carbon monoxide in the process of uncontrolled combustion - occurrence, hazards and first aid</b:Title>
    <b:Year>2020</b:Year>
    <b:Author>
      <b:Author>
        <b:NameList>
          <b:Person>
            <b:Last>Majstorović</b:Last>
            <b:First>A</b:First>
          </b:Person>
        </b:NameList>
      </b:Author>
    </b:Author>
    <b:JournalName>Journal of Physics: Conference Series</b:JournalName>
    <b:Volume>1426</b:Volume>
    <b:Issue>1</b:Issue>
    <b:RefOrder>18</b:RefOrder>
  </b:Source>
  <b:Source>
    <b:Tag>Lou23</b:Tag>
    <b:SourceType>Report</b:SourceType>
    <b:Guid>{90FEE8B9-6F55-43E9-9AE2-A441533DC4C2}</b:Guid>
    <b:Title>Ajax: The British Army’s troubled armoured vehicle programme</b:Title>
    <b:Year>2023</b:Year>
    <b:Author>
      <b:Author>
        <b:NameList>
          <b:Person>
            <b:Last>Brooke-Holland</b:Last>
            <b:First>Louisa</b:First>
          </b:Person>
        </b:NameList>
      </b:Author>
    </b:Author>
    <b:Publisher>UK Parliament House of Commons Library</b:Publisher>
    <b:City>London</b:City>
    <b:RefOrder>19</b:RefOrder>
  </b:Source>
</b:Sourc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3.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4.xml><?xml version="1.0" encoding="utf-8"?>
<ds:datastoreItem xmlns:ds="http://schemas.openxmlformats.org/officeDocument/2006/customXml" ds:itemID="{0565EFC8-073D-47A1-BFEB-CDD82097D6BF}">
  <ds:schemaRefs>
    <ds:schemaRef ds:uri="http://schemas.titus.com/TitusProperties/"/>
    <ds:schemaRef ds:uri=""/>
  </ds:schemaRefs>
</ds:datastoreItem>
</file>

<file path=customXml/itemProps5.xml><?xml version="1.0" encoding="utf-8"?>
<ds:datastoreItem xmlns:ds="http://schemas.openxmlformats.org/officeDocument/2006/customXml" ds:itemID="{7EACBF67-78B0-4B29-AC73-9F95C8F3A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2116</TotalTime>
  <Pages>24</Pages>
  <Words>3948</Words>
  <Characters>22509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26405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Davies, Beth (UK)</cp:lastModifiedBy>
  <cp:revision>68</cp:revision>
  <dcterms:created xsi:type="dcterms:W3CDTF">2026-07-02T06:51:00Z</dcterms:created>
  <dcterms:modified xsi:type="dcterms:W3CDTF">2026-07-22T08:39:00Z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88ce082d-d3b4-4e9f-95be-e8d49814443a</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