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4A5895" w14:textId="77777777" w:rsidR="00864324" w:rsidRPr="00331213" w:rsidRDefault="00864324" w:rsidP="00864324">
      <w:pPr>
        <w:rPr>
          <w:rFonts w:ascii="Arial" w:hAnsi="Arial" w:cs="Arial"/>
          <w:sz w:val="22"/>
          <w:szCs w:val="22"/>
        </w:rPr>
      </w:pPr>
      <w:r w:rsidRPr="00331213">
        <w:rPr>
          <w:rFonts w:ascii="Arial" w:hAnsi="Arial" w:cs="Arial"/>
          <w:sz w:val="22"/>
          <w:szCs w:val="22"/>
        </w:rPr>
        <w:t>BA (Hons) Leadership and Management Skills for the Workplace</w:t>
      </w:r>
    </w:p>
    <w:p w14:paraId="6A35169B" w14:textId="77777777" w:rsidR="00864324" w:rsidRPr="00331213" w:rsidRDefault="00864324" w:rsidP="00864324">
      <w:pPr>
        <w:rPr>
          <w:rFonts w:ascii="Arial" w:hAnsi="Arial" w:cs="Arial"/>
          <w:sz w:val="22"/>
          <w:szCs w:val="22"/>
        </w:rPr>
      </w:pPr>
    </w:p>
    <w:p w14:paraId="11B12748" w14:textId="77777777" w:rsidR="00864324" w:rsidRPr="00331213" w:rsidRDefault="00864324" w:rsidP="00864324">
      <w:pPr>
        <w:rPr>
          <w:rFonts w:ascii="Arial" w:hAnsi="Arial" w:cs="Arial"/>
          <w:sz w:val="22"/>
          <w:szCs w:val="22"/>
        </w:rPr>
      </w:pPr>
      <w:r w:rsidRPr="00331213">
        <w:rPr>
          <w:rFonts w:ascii="Arial" w:hAnsi="Arial" w:cs="Arial"/>
          <w:sz w:val="22"/>
          <w:szCs w:val="22"/>
        </w:rPr>
        <w:t>Module Title: Developing and Managing Individuals and Teams</w:t>
      </w:r>
    </w:p>
    <w:p w14:paraId="543CA901" w14:textId="77777777" w:rsidR="00864324" w:rsidRPr="00331213" w:rsidRDefault="00864324" w:rsidP="00864324">
      <w:pPr>
        <w:rPr>
          <w:rFonts w:ascii="Arial" w:hAnsi="Arial" w:cs="Arial"/>
          <w:sz w:val="22"/>
          <w:szCs w:val="22"/>
        </w:rPr>
      </w:pPr>
      <w:r w:rsidRPr="00331213">
        <w:rPr>
          <w:rFonts w:ascii="Arial" w:hAnsi="Arial" w:cs="Arial"/>
          <w:sz w:val="22"/>
          <w:szCs w:val="22"/>
        </w:rPr>
        <w:t>Module Code: LCLM5002</w:t>
      </w:r>
    </w:p>
    <w:p w14:paraId="362C7FE1" w14:textId="77777777" w:rsidR="00864324" w:rsidRPr="00331213" w:rsidRDefault="00864324" w:rsidP="00864324">
      <w:pPr>
        <w:rPr>
          <w:rFonts w:ascii="Arial" w:hAnsi="Arial" w:cs="Arial"/>
          <w:sz w:val="22"/>
          <w:szCs w:val="22"/>
        </w:rPr>
      </w:pPr>
    </w:p>
    <w:p w14:paraId="64329F85" w14:textId="77777777" w:rsidR="00864324" w:rsidRPr="00331213" w:rsidRDefault="00864324" w:rsidP="00864324">
      <w:pPr>
        <w:rPr>
          <w:rFonts w:ascii="Arial" w:hAnsi="Arial" w:cs="Arial"/>
          <w:sz w:val="22"/>
          <w:szCs w:val="22"/>
        </w:rPr>
      </w:pPr>
      <w:r w:rsidRPr="00331213">
        <w:rPr>
          <w:rFonts w:ascii="Arial" w:hAnsi="Arial" w:cs="Arial"/>
          <w:sz w:val="22"/>
          <w:szCs w:val="22"/>
        </w:rPr>
        <w:t>Assignment Title: Component 2 – Individual Report</w:t>
      </w:r>
    </w:p>
    <w:p w14:paraId="051EA7C8" w14:textId="77777777" w:rsidR="00864324" w:rsidRPr="00331213" w:rsidRDefault="00864324" w:rsidP="00864324">
      <w:pPr>
        <w:rPr>
          <w:rFonts w:ascii="Arial" w:hAnsi="Arial" w:cs="Arial"/>
          <w:sz w:val="22"/>
          <w:szCs w:val="22"/>
        </w:rPr>
      </w:pPr>
    </w:p>
    <w:p w14:paraId="04175DCE" w14:textId="77777777" w:rsidR="00864324" w:rsidRPr="00331213" w:rsidRDefault="00864324" w:rsidP="00864324">
      <w:pPr>
        <w:rPr>
          <w:rFonts w:ascii="Arial" w:hAnsi="Arial" w:cs="Arial"/>
          <w:sz w:val="22"/>
          <w:szCs w:val="22"/>
        </w:rPr>
      </w:pPr>
      <w:r w:rsidRPr="00331213">
        <w:rPr>
          <w:rFonts w:ascii="Arial" w:hAnsi="Arial" w:cs="Arial"/>
          <w:sz w:val="22"/>
          <w:szCs w:val="22"/>
        </w:rPr>
        <w:t>Report Title:</w:t>
      </w:r>
    </w:p>
    <w:p w14:paraId="0F765984" w14:textId="77777777" w:rsidR="00864324" w:rsidRPr="00331213" w:rsidRDefault="00864324" w:rsidP="00864324">
      <w:pPr>
        <w:rPr>
          <w:rFonts w:ascii="Arial" w:hAnsi="Arial" w:cs="Arial"/>
          <w:sz w:val="22"/>
          <w:szCs w:val="22"/>
        </w:rPr>
      </w:pPr>
      <w:r w:rsidRPr="00331213">
        <w:rPr>
          <w:rFonts w:ascii="Arial" w:hAnsi="Arial" w:cs="Arial"/>
          <w:sz w:val="22"/>
          <w:szCs w:val="22"/>
        </w:rPr>
        <w:t>HR Report on Contemporary Challenges at Tesco PLC</w:t>
      </w:r>
    </w:p>
    <w:p w14:paraId="4A54E0D6" w14:textId="77777777" w:rsidR="00864324" w:rsidRPr="00331213" w:rsidRDefault="00864324" w:rsidP="00864324">
      <w:pPr>
        <w:rPr>
          <w:rFonts w:ascii="Arial" w:hAnsi="Arial" w:cs="Arial"/>
          <w:sz w:val="22"/>
          <w:szCs w:val="22"/>
        </w:rPr>
      </w:pPr>
    </w:p>
    <w:p w14:paraId="35426150" w14:textId="77777777" w:rsidR="00864324" w:rsidRPr="00331213" w:rsidRDefault="00864324" w:rsidP="00864324">
      <w:pPr>
        <w:rPr>
          <w:rFonts w:ascii="Arial" w:hAnsi="Arial" w:cs="Arial"/>
          <w:sz w:val="22"/>
          <w:szCs w:val="22"/>
        </w:rPr>
      </w:pPr>
      <w:r w:rsidRPr="00331213">
        <w:rPr>
          <w:rFonts w:ascii="Arial" w:hAnsi="Arial" w:cs="Arial"/>
          <w:sz w:val="22"/>
          <w:szCs w:val="22"/>
        </w:rPr>
        <w:t>Student Name: Vasile Calin</w:t>
      </w:r>
    </w:p>
    <w:p w14:paraId="4E9BFF4C" w14:textId="77777777" w:rsidR="00864324" w:rsidRPr="00331213" w:rsidRDefault="00864324" w:rsidP="00864324">
      <w:pPr>
        <w:rPr>
          <w:rFonts w:ascii="Arial" w:hAnsi="Arial" w:cs="Arial"/>
          <w:sz w:val="22"/>
          <w:szCs w:val="22"/>
        </w:rPr>
      </w:pPr>
      <w:r w:rsidRPr="00331213">
        <w:rPr>
          <w:rFonts w:ascii="Arial" w:hAnsi="Arial" w:cs="Arial"/>
          <w:sz w:val="22"/>
          <w:szCs w:val="22"/>
        </w:rPr>
        <w:t>Student Number: 2315026</w:t>
      </w:r>
    </w:p>
    <w:p w14:paraId="519DDA27" w14:textId="77777777" w:rsidR="00864324" w:rsidRPr="00331213" w:rsidRDefault="00864324" w:rsidP="00864324">
      <w:pPr>
        <w:rPr>
          <w:rFonts w:ascii="Arial" w:hAnsi="Arial" w:cs="Arial"/>
          <w:sz w:val="22"/>
          <w:szCs w:val="22"/>
        </w:rPr>
      </w:pPr>
    </w:p>
    <w:p w14:paraId="2FC6F850" w14:textId="77777777" w:rsidR="00864324" w:rsidRPr="00331213" w:rsidRDefault="00864324" w:rsidP="00864324">
      <w:pPr>
        <w:rPr>
          <w:rFonts w:ascii="Arial" w:hAnsi="Arial" w:cs="Arial"/>
          <w:sz w:val="22"/>
          <w:szCs w:val="22"/>
        </w:rPr>
      </w:pPr>
      <w:r w:rsidRPr="00331213">
        <w:rPr>
          <w:rFonts w:ascii="Arial" w:hAnsi="Arial" w:cs="Arial"/>
          <w:sz w:val="22"/>
          <w:szCs w:val="22"/>
        </w:rPr>
        <w:t xml:space="preserve">Lecturer: Doreen </w:t>
      </w:r>
      <w:proofErr w:type="spellStart"/>
      <w:r w:rsidRPr="00331213">
        <w:rPr>
          <w:rFonts w:ascii="Arial" w:hAnsi="Arial" w:cs="Arial"/>
          <w:sz w:val="22"/>
          <w:szCs w:val="22"/>
        </w:rPr>
        <w:t>Nyaa</w:t>
      </w:r>
      <w:proofErr w:type="spellEnd"/>
      <w:r w:rsidRPr="00331213">
        <w:rPr>
          <w:rFonts w:ascii="Arial" w:hAnsi="Arial" w:cs="Arial"/>
          <w:sz w:val="22"/>
          <w:szCs w:val="22"/>
        </w:rPr>
        <w:t xml:space="preserve"> </w:t>
      </w:r>
      <w:proofErr w:type="spellStart"/>
      <w:r w:rsidRPr="00331213">
        <w:rPr>
          <w:rFonts w:ascii="Arial" w:hAnsi="Arial" w:cs="Arial"/>
          <w:sz w:val="22"/>
          <w:szCs w:val="22"/>
        </w:rPr>
        <w:t>Amundam</w:t>
      </w:r>
      <w:proofErr w:type="spellEnd"/>
      <w:r w:rsidRPr="00331213">
        <w:rPr>
          <w:rFonts w:ascii="Arial" w:hAnsi="Arial" w:cs="Arial"/>
          <w:sz w:val="22"/>
          <w:szCs w:val="22"/>
        </w:rPr>
        <w:t xml:space="preserve"> / </w:t>
      </w:r>
      <w:proofErr w:type="spellStart"/>
      <w:r w:rsidRPr="00331213">
        <w:rPr>
          <w:rFonts w:ascii="Arial" w:hAnsi="Arial" w:cs="Arial"/>
          <w:sz w:val="22"/>
          <w:szCs w:val="22"/>
        </w:rPr>
        <w:t>Nishi</w:t>
      </w:r>
      <w:proofErr w:type="spellEnd"/>
      <w:r w:rsidRPr="00331213">
        <w:rPr>
          <w:rFonts w:ascii="Arial" w:hAnsi="Arial" w:cs="Arial"/>
          <w:sz w:val="22"/>
          <w:szCs w:val="22"/>
        </w:rPr>
        <w:t xml:space="preserve"> </w:t>
      </w:r>
      <w:proofErr w:type="spellStart"/>
      <w:r w:rsidRPr="00331213">
        <w:rPr>
          <w:rFonts w:ascii="Arial" w:hAnsi="Arial" w:cs="Arial"/>
          <w:sz w:val="22"/>
          <w:szCs w:val="22"/>
        </w:rPr>
        <w:t>Ramsurrun</w:t>
      </w:r>
      <w:proofErr w:type="spellEnd"/>
    </w:p>
    <w:p w14:paraId="7F30EF59" w14:textId="77777777" w:rsidR="00864324" w:rsidRPr="00331213" w:rsidRDefault="00864324" w:rsidP="00864324">
      <w:pPr>
        <w:rPr>
          <w:rFonts w:ascii="Arial" w:hAnsi="Arial" w:cs="Arial"/>
          <w:sz w:val="22"/>
          <w:szCs w:val="22"/>
        </w:rPr>
      </w:pPr>
    </w:p>
    <w:p w14:paraId="135B24D1" w14:textId="77777777" w:rsidR="00864324" w:rsidRPr="00331213" w:rsidRDefault="00864324" w:rsidP="00864324">
      <w:pPr>
        <w:rPr>
          <w:rFonts w:ascii="Arial" w:hAnsi="Arial" w:cs="Arial"/>
          <w:sz w:val="22"/>
          <w:szCs w:val="22"/>
        </w:rPr>
      </w:pPr>
      <w:r w:rsidRPr="00331213">
        <w:rPr>
          <w:rFonts w:ascii="Arial" w:hAnsi="Arial" w:cs="Arial"/>
          <w:sz w:val="22"/>
          <w:szCs w:val="22"/>
        </w:rPr>
        <w:t>Submission Date: 30 March 2026</w:t>
      </w:r>
    </w:p>
    <w:p w14:paraId="2AA02697" w14:textId="77777777" w:rsidR="00864324" w:rsidRPr="00331213" w:rsidRDefault="00864324" w:rsidP="00864324">
      <w:pPr>
        <w:rPr>
          <w:rFonts w:ascii="Arial" w:hAnsi="Arial" w:cs="Arial"/>
          <w:sz w:val="22"/>
          <w:szCs w:val="22"/>
        </w:rPr>
      </w:pPr>
    </w:p>
    <w:p w14:paraId="5CF53F54" w14:textId="77777777" w:rsidR="00864324" w:rsidRPr="00331213" w:rsidRDefault="00864324" w:rsidP="00864324">
      <w:pPr>
        <w:rPr>
          <w:rFonts w:ascii="Arial" w:hAnsi="Arial" w:cs="Arial"/>
          <w:sz w:val="22"/>
          <w:szCs w:val="22"/>
        </w:rPr>
      </w:pPr>
      <w:r w:rsidRPr="00331213">
        <w:rPr>
          <w:rFonts w:ascii="Arial" w:hAnsi="Arial" w:cs="Arial"/>
          <w:sz w:val="22"/>
          <w:szCs w:val="22"/>
        </w:rPr>
        <w:t>Word Count: (Insert your final word count here)</w:t>
      </w:r>
    </w:p>
    <w:p w14:paraId="2208B2F1" w14:textId="77777777" w:rsidR="002A015C" w:rsidRPr="00331213" w:rsidRDefault="002A015C" w:rsidP="00864324">
      <w:pPr>
        <w:rPr>
          <w:rFonts w:ascii="Arial" w:hAnsi="Arial" w:cs="Arial"/>
          <w:sz w:val="22"/>
          <w:szCs w:val="22"/>
        </w:rPr>
      </w:pPr>
    </w:p>
    <w:p w14:paraId="178B1CE5" w14:textId="6F6F75D7" w:rsidR="00864324" w:rsidRPr="00331213" w:rsidRDefault="00864324" w:rsidP="00864324">
      <w:pPr>
        <w:rPr>
          <w:rFonts w:ascii="Arial" w:hAnsi="Arial" w:cs="Arial"/>
          <w:sz w:val="22"/>
          <w:szCs w:val="22"/>
        </w:rPr>
      </w:pPr>
      <w:r w:rsidRPr="00331213">
        <w:rPr>
          <w:rFonts w:ascii="Arial" w:hAnsi="Arial" w:cs="Arial"/>
          <w:sz w:val="22"/>
          <w:szCs w:val="22"/>
        </w:rPr>
        <w:t>Table of Contents</w:t>
      </w:r>
    </w:p>
    <w:p w14:paraId="4FD15292" w14:textId="77777777" w:rsidR="002A015C" w:rsidRPr="00331213" w:rsidRDefault="002A015C" w:rsidP="00864324">
      <w:pPr>
        <w:rPr>
          <w:rFonts w:ascii="Arial" w:hAnsi="Arial" w:cs="Arial"/>
          <w:sz w:val="22"/>
          <w:szCs w:val="22"/>
        </w:rPr>
      </w:pPr>
    </w:p>
    <w:p w14:paraId="4EE04EA3" w14:textId="77777777" w:rsidR="00864324" w:rsidRPr="00331213" w:rsidRDefault="00864324" w:rsidP="00864324">
      <w:pPr>
        <w:rPr>
          <w:rFonts w:ascii="Arial" w:hAnsi="Arial" w:cs="Arial"/>
          <w:sz w:val="22"/>
          <w:szCs w:val="22"/>
        </w:rPr>
      </w:pPr>
      <w:r w:rsidRPr="00331213">
        <w:rPr>
          <w:rFonts w:ascii="Arial" w:hAnsi="Arial" w:cs="Arial"/>
          <w:sz w:val="22"/>
          <w:szCs w:val="22"/>
        </w:rPr>
        <w:tab/>
        <w:t>1.</w:t>
      </w:r>
      <w:r w:rsidRPr="00331213">
        <w:rPr>
          <w:rFonts w:ascii="Arial" w:hAnsi="Arial" w:cs="Arial"/>
          <w:sz w:val="22"/>
          <w:szCs w:val="22"/>
        </w:rPr>
        <w:tab/>
        <w:t>Introduction …………………………………………….. 1</w:t>
      </w:r>
    </w:p>
    <w:p w14:paraId="0E35AE11" w14:textId="77777777" w:rsidR="00864324" w:rsidRPr="00331213" w:rsidRDefault="00864324" w:rsidP="00864324">
      <w:pPr>
        <w:rPr>
          <w:rFonts w:ascii="Arial" w:hAnsi="Arial" w:cs="Arial"/>
          <w:sz w:val="22"/>
          <w:szCs w:val="22"/>
        </w:rPr>
      </w:pPr>
      <w:r w:rsidRPr="00331213">
        <w:rPr>
          <w:rFonts w:ascii="Arial" w:hAnsi="Arial" w:cs="Arial"/>
          <w:sz w:val="22"/>
          <w:szCs w:val="22"/>
        </w:rPr>
        <w:tab/>
        <w:t>2.</w:t>
      </w:r>
      <w:r w:rsidRPr="00331213">
        <w:rPr>
          <w:rFonts w:ascii="Arial" w:hAnsi="Arial" w:cs="Arial"/>
          <w:sz w:val="22"/>
          <w:szCs w:val="22"/>
        </w:rPr>
        <w:tab/>
        <w:t>Explanation of Specific HR Factors …………………….. 2</w:t>
      </w:r>
    </w:p>
    <w:p w14:paraId="3C637667" w14:textId="61EB36C0" w:rsidR="00864324" w:rsidRPr="00331213" w:rsidRDefault="00864324" w:rsidP="00864324">
      <w:pPr>
        <w:rPr>
          <w:rFonts w:ascii="Arial" w:hAnsi="Arial" w:cs="Arial"/>
          <w:sz w:val="22"/>
          <w:szCs w:val="22"/>
        </w:rPr>
      </w:pPr>
      <w:r w:rsidRPr="00331213">
        <w:rPr>
          <w:rFonts w:ascii="Arial" w:hAnsi="Arial" w:cs="Arial"/>
          <w:sz w:val="22"/>
          <w:szCs w:val="22"/>
        </w:rPr>
        <w:t> </w:t>
      </w:r>
      <w:r w:rsidR="00145A30" w:rsidRPr="00331213">
        <w:rPr>
          <w:rFonts w:ascii="Arial" w:hAnsi="Arial" w:cs="Arial"/>
          <w:sz w:val="22"/>
          <w:szCs w:val="22"/>
        </w:rPr>
        <w:t xml:space="preserve">        </w:t>
      </w:r>
      <w:r w:rsidRPr="00331213">
        <w:rPr>
          <w:rFonts w:ascii="Arial" w:hAnsi="Arial" w:cs="Arial"/>
          <w:sz w:val="22"/>
          <w:szCs w:val="22"/>
        </w:rPr>
        <w:t>2.1 Meeting Technological Advancement ………………… 2</w:t>
      </w:r>
    </w:p>
    <w:p w14:paraId="4EC2180C" w14:textId="168BEDC9" w:rsidR="00864324" w:rsidRPr="00331213" w:rsidRDefault="00864324" w:rsidP="00864324">
      <w:pPr>
        <w:rPr>
          <w:rFonts w:ascii="Arial" w:hAnsi="Arial" w:cs="Arial"/>
          <w:sz w:val="22"/>
          <w:szCs w:val="22"/>
        </w:rPr>
      </w:pPr>
      <w:r w:rsidRPr="00331213">
        <w:rPr>
          <w:rFonts w:ascii="Arial" w:hAnsi="Arial" w:cs="Arial"/>
          <w:sz w:val="22"/>
          <w:szCs w:val="22"/>
        </w:rPr>
        <w:t> </w:t>
      </w:r>
      <w:r w:rsidR="00145A30" w:rsidRPr="00331213">
        <w:rPr>
          <w:rFonts w:ascii="Arial" w:hAnsi="Arial" w:cs="Arial"/>
          <w:sz w:val="22"/>
          <w:szCs w:val="22"/>
        </w:rPr>
        <w:t xml:space="preserve">        </w:t>
      </w:r>
      <w:r w:rsidRPr="00331213">
        <w:rPr>
          <w:rFonts w:ascii="Arial" w:hAnsi="Arial" w:cs="Arial"/>
          <w:sz w:val="22"/>
          <w:szCs w:val="22"/>
        </w:rPr>
        <w:t>2.2 Talent Acquisition and Retention …………………….. 3</w:t>
      </w:r>
    </w:p>
    <w:p w14:paraId="07215AE8" w14:textId="1DBAD9BD" w:rsidR="00864324" w:rsidRPr="00331213" w:rsidRDefault="00864324" w:rsidP="00864324">
      <w:pPr>
        <w:rPr>
          <w:rFonts w:ascii="Arial" w:hAnsi="Arial" w:cs="Arial"/>
          <w:sz w:val="22"/>
          <w:szCs w:val="22"/>
        </w:rPr>
      </w:pPr>
      <w:r w:rsidRPr="00331213">
        <w:rPr>
          <w:rFonts w:ascii="Arial" w:hAnsi="Arial" w:cs="Arial"/>
          <w:sz w:val="22"/>
          <w:szCs w:val="22"/>
        </w:rPr>
        <w:t> </w:t>
      </w:r>
      <w:r w:rsidR="00145A30" w:rsidRPr="00331213">
        <w:rPr>
          <w:rFonts w:ascii="Arial" w:hAnsi="Arial" w:cs="Arial"/>
          <w:sz w:val="22"/>
          <w:szCs w:val="22"/>
        </w:rPr>
        <w:t xml:space="preserve">        </w:t>
      </w:r>
      <w:r w:rsidRPr="00331213">
        <w:rPr>
          <w:rFonts w:ascii="Arial" w:hAnsi="Arial" w:cs="Arial"/>
          <w:sz w:val="22"/>
          <w:szCs w:val="22"/>
        </w:rPr>
        <w:t>2.3 Diversity, Equity and Inclusion (DEI) …………………. 4</w:t>
      </w:r>
    </w:p>
    <w:p w14:paraId="25A921E4" w14:textId="77777777" w:rsidR="00864324" w:rsidRPr="00331213" w:rsidRDefault="00864324" w:rsidP="00864324">
      <w:pPr>
        <w:rPr>
          <w:rFonts w:ascii="Arial" w:hAnsi="Arial" w:cs="Arial"/>
          <w:sz w:val="22"/>
          <w:szCs w:val="22"/>
        </w:rPr>
      </w:pPr>
      <w:r w:rsidRPr="00331213">
        <w:rPr>
          <w:rFonts w:ascii="Arial" w:hAnsi="Arial" w:cs="Arial"/>
          <w:sz w:val="22"/>
          <w:szCs w:val="22"/>
        </w:rPr>
        <w:tab/>
        <w:t>3.</w:t>
      </w:r>
      <w:r w:rsidRPr="00331213">
        <w:rPr>
          <w:rFonts w:ascii="Arial" w:hAnsi="Arial" w:cs="Arial"/>
          <w:sz w:val="22"/>
          <w:szCs w:val="22"/>
        </w:rPr>
        <w:tab/>
        <w:t>Evaluation of Contemporary HR Practices ………….. 5</w:t>
      </w:r>
    </w:p>
    <w:p w14:paraId="6485F6BA" w14:textId="4E38AD84" w:rsidR="00864324" w:rsidRPr="00331213" w:rsidRDefault="00145A30" w:rsidP="00864324">
      <w:pPr>
        <w:rPr>
          <w:rFonts w:ascii="Arial" w:hAnsi="Arial" w:cs="Arial"/>
          <w:sz w:val="22"/>
          <w:szCs w:val="22"/>
        </w:rPr>
      </w:pPr>
      <w:r w:rsidRPr="00331213">
        <w:rPr>
          <w:rFonts w:ascii="Arial" w:hAnsi="Arial" w:cs="Arial"/>
          <w:sz w:val="22"/>
          <w:szCs w:val="22"/>
        </w:rPr>
        <w:t xml:space="preserve">        </w:t>
      </w:r>
      <w:r w:rsidR="00864324" w:rsidRPr="00331213">
        <w:rPr>
          <w:rFonts w:ascii="Arial" w:hAnsi="Arial" w:cs="Arial"/>
          <w:sz w:val="22"/>
          <w:szCs w:val="22"/>
        </w:rPr>
        <w:t> 3.1 Addressing Technological Advancement ………….. 5</w:t>
      </w:r>
    </w:p>
    <w:p w14:paraId="025721AE" w14:textId="7FD4BEBB" w:rsidR="00864324" w:rsidRPr="00331213" w:rsidRDefault="00864324" w:rsidP="00864324">
      <w:pPr>
        <w:rPr>
          <w:rFonts w:ascii="Arial" w:hAnsi="Arial" w:cs="Arial"/>
          <w:sz w:val="22"/>
          <w:szCs w:val="22"/>
        </w:rPr>
      </w:pPr>
      <w:r w:rsidRPr="00331213">
        <w:rPr>
          <w:rFonts w:ascii="Arial" w:hAnsi="Arial" w:cs="Arial"/>
          <w:sz w:val="22"/>
          <w:szCs w:val="22"/>
        </w:rPr>
        <w:t> </w:t>
      </w:r>
      <w:r w:rsidR="00145A30" w:rsidRPr="00331213">
        <w:rPr>
          <w:rFonts w:ascii="Arial" w:hAnsi="Arial" w:cs="Arial"/>
          <w:sz w:val="22"/>
          <w:szCs w:val="22"/>
        </w:rPr>
        <w:t xml:space="preserve">        </w:t>
      </w:r>
      <w:r w:rsidRPr="00331213">
        <w:rPr>
          <w:rFonts w:ascii="Arial" w:hAnsi="Arial" w:cs="Arial"/>
          <w:sz w:val="22"/>
          <w:szCs w:val="22"/>
        </w:rPr>
        <w:t>3.2 Addressing Talent Acquisition and Retention …… 6</w:t>
      </w:r>
    </w:p>
    <w:p w14:paraId="71C45EA9" w14:textId="270B0D12" w:rsidR="00864324" w:rsidRPr="00331213" w:rsidRDefault="00864324" w:rsidP="00864324">
      <w:pPr>
        <w:rPr>
          <w:rFonts w:ascii="Arial" w:hAnsi="Arial" w:cs="Arial"/>
          <w:sz w:val="22"/>
          <w:szCs w:val="22"/>
        </w:rPr>
      </w:pPr>
      <w:r w:rsidRPr="00331213">
        <w:rPr>
          <w:rFonts w:ascii="Arial" w:hAnsi="Arial" w:cs="Arial"/>
          <w:sz w:val="22"/>
          <w:szCs w:val="22"/>
        </w:rPr>
        <w:lastRenderedPageBreak/>
        <w:t> </w:t>
      </w:r>
      <w:r w:rsidR="00145A30" w:rsidRPr="00331213">
        <w:rPr>
          <w:rFonts w:ascii="Arial" w:hAnsi="Arial" w:cs="Arial"/>
          <w:sz w:val="22"/>
          <w:szCs w:val="22"/>
        </w:rPr>
        <w:t xml:space="preserve">        </w:t>
      </w:r>
      <w:r w:rsidRPr="00331213">
        <w:rPr>
          <w:rFonts w:ascii="Arial" w:hAnsi="Arial" w:cs="Arial"/>
          <w:sz w:val="22"/>
          <w:szCs w:val="22"/>
        </w:rPr>
        <w:t>3.3 Addressing Diversity, Equity and Inclusion ………. 7</w:t>
      </w:r>
    </w:p>
    <w:p w14:paraId="00841E58" w14:textId="224667EE" w:rsidR="00864324" w:rsidRPr="00331213" w:rsidRDefault="00145A30" w:rsidP="00864324">
      <w:pPr>
        <w:rPr>
          <w:rFonts w:ascii="Arial" w:hAnsi="Arial" w:cs="Arial"/>
          <w:sz w:val="22"/>
          <w:szCs w:val="22"/>
        </w:rPr>
      </w:pPr>
      <w:r w:rsidRPr="00331213">
        <w:rPr>
          <w:rFonts w:ascii="Arial" w:hAnsi="Arial" w:cs="Arial"/>
          <w:sz w:val="22"/>
          <w:szCs w:val="22"/>
        </w:rPr>
        <w:t xml:space="preserve">            </w:t>
      </w:r>
      <w:r w:rsidR="00864324" w:rsidRPr="00331213">
        <w:rPr>
          <w:rFonts w:ascii="Arial" w:hAnsi="Arial" w:cs="Arial"/>
          <w:sz w:val="22"/>
          <w:szCs w:val="22"/>
        </w:rPr>
        <w:t>4.</w:t>
      </w:r>
      <w:r w:rsidRPr="00331213">
        <w:rPr>
          <w:rFonts w:ascii="Arial" w:hAnsi="Arial" w:cs="Arial"/>
          <w:sz w:val="22"/>
          <w:szCs w:val="22"/>
        </w:rPr>
        <w:t xml:space="preserve">         </w:t>
      </w:r>
      <w:r w:rsidR="00864324" w:rsidRPr="00331213">
        <w:rPr>
          <w:rFonts w:ascii="Arial" w:hAnsi="Arial" w:cs="Arial"/>
          <w:sz w:val="22"/>
          <w:szCs w:val="22"/>
        </w:rPr>
        <w:t>Alignment of HR Issues, Practices and Implementation at Tesco ……………………………………………………….. 8</w:t>
      </w:r>
    </w:p>
    <w:p w14:paraId="678CBB6E" w14:textId="77777777" w:rsidR="00864324" w:rsidRPr="00331213" w:rsidRDefault="00864324" w:rsidP="00864324">
      <w:pPr>
        <w:rPr>
          <w:rFonts w:ascii="Arial" w:hAnsi="Arial" w:cs="Arial"/>
          <w:sz w:val="22"/>
          <w:szCs w:val="22"/>
        </w:rPr>
      </w:pPr>
      <w:r w:rsidRPr="00331213">
        <w:rPr>
          <w:rFonts w:ascii="Arial" w:hAnsi="Arial" w:cs="Arial"/>
          <w:sz w:val="22"/>
          <w:szCs w:val="22"/>
        </w:rPr>
        <w:tab/>
        <w:t>5.</w:t>
      </w:r>
      <w:r w:rsidRPr="00331213">
        <w:rPr>
          <w:rFonts w:ascii="Arial" w:hAnsi="Arial" w:cs="Arial"/>
          <w:sz w:val="22"/>
          <w:szCs w:val="22"/>
        </w:rPr>
        <w:tab/>
        <w:t>Critical Evaluation of Managerial Implementation …. 9</w:t>
      </w:r>
    </w:p>
    <w:p w14:paraId="1CFF6446" w14:textId="77777777" w:rsidR="00864324" w:rsidRPr="00331213" w:rsidRDefault="00864324" w:rsidP="00864324">
      <w:pPr>
        <w:rPr>
          <w:rFonts w:ascii="Arial" w:hAnsi="Arial" w:cs="Arial"/>
          <w:sz w:val="22"/>
          <w:szCs w:val="22"/>
        </w:rPr>
      </w:pPr>
      <w:r w:rsidRPr="00331213">
        <w:rPr>
          <w:rFonts w:ascii="Arial" w:hAnsi="Arial" w:cs="Arial"/>
          <w:sz w:val="22"/>
          <w:szCs w:val="22"/>
        </w:rPr>
        <w:tab/>
        <w:t>6.</w:t>
      </w:r>
      <w:r w:rsidRPr="00331213">
        <w:rPr>
          <w:rFonts w:ascii="Arial" w:hAnsi="Arial" w:cs="Arial"/>
          <w:sz w:val="22"/>
          <w:szCs w:val="22"/>
        </w:rPr>
        <w:tab/>
        <w:t>Strategic Integration and Long-Term Sustainability .. 10</w:t>
      </w:r>
    </w:p>
    <w:p w14:paraId="0CB6934C" w14:textId="77777777" w:rsidR="00864324" w:rsidRPr="00331213" w:rsidRDefault="00864324" w:rsidP="00864324">
      <w:pPr>
        <w:rPr>
          <w:rFonts w:ascii="Arial" w:hAnsi="Arial" w:cs="Arial"/>
          <w:sz w:val="22"/>
          <w:szCs w:val="22"/>
        </w:rPr>
      </w:pPr>
      <w:r w:rsidRPr="00331213">
        <w:rPr>
          <w:rFonts w:ascii="Arial" w:hAnsi="Arial" w:cs="Arial"/>
          <w:sz w:val="22"/>
          <w:szCs w:val="22"/>
        </w:rPr>
        <w:tab/>
        <w:t>7.</w:t>
      </w:r>
      <w:r w:rsidRPr="00331213">
        <w:rPr>
          <w:rFonts w:ascii="Arial" w:hAnsi="Arial" w:cs="Arial"/>
          <w:sz w:val="22"/>
          <w:szCs w:val="22"/>
        </w:rPr>
        <w:tab/>
        <w:t>Conclusion and Recommendations ………………….. 11</w:t>
      </w:r>
    </w:p>
    <w:p w14:paraId="7A3D3EDF" w14:textId="37882021" w:rsidR="002A015C" w:rsidRPr="00331213" w:rsidRDefault="00864324" w:rsidP="00C8337E">
      <w:pPr>
        <w:rPr>
          <w:rFonts w:ascii="Arial" w:hAnsi="Arial" w:cs="Arial"/>
          <w:sz w:val="22"/>
          <w:szCs w:val="22"/>
        </w:rPr>
      </w:pPr>
      <w:r w:rsidRPr="00331213">
        <w:rPr>
          <w:rFonts w:ascii="Arial" w:hAnsi="Arial" w:cs="Arial"/>
          <w:sz w:val="22"/>
          <w:szCs w:val="22"/>
        </w:rPr>
        <w:tab/>
        <w:t>8.</w:t>
      </w:r>
      <w:r w:rsidRPr="00331213">
        <w:rPr>
          <w:rFonts w:ascii="Arial" w:hAnsi="Arial" w:cs="Arial"/>
          <w:sz w:val="22"/>
          <w:szCs w:val="22"/>
        </w:rPr>
        <w:tab/>
        <w:t>Reference List ………………………………………….. 12</w:t>
      </w:r>
    </w:p>
    <w:p w14:paraId="4936D09E" w14:textId="77777777" w:rsidR="00C8337E" w:rsidRPr="00331213" w:rsidRDefault="00C8337E" w:rsidP="00C8337E">
      <w:pPr>
        <w:rPr>
          <w:rFonts w:ascii="Arial" w:hAnsi="Arial" w:cs="Arial"/>
          <w:sz w:val="22"/>
          <w:szCs w:val="22"/>
        </w:rPr>
      </w:pPr>
    </w:p>
    <w:p w14:paraId="56EE210D" w14:textId="4DE704A2" w:rsidR="00C8337E" w:rsidRPr="00331213" w:rsidRDefault="00C8337E" w:rsidP="00C8337E">
      <w:pPr>
        <w:rPr>
          <w:rFonts w:ascii="Arial" w:hAnsi="Arial" w:cs="Arial"/>
          <w:sz w:val="22"/>
          <w:szCs w:val="22"/>
        </w:rPr>
      </w:pPr>
      <w:r w:rsidRPr="00331213">
        <w:rPr>
          <w:rFonts w:ascii="Arial" w:hAnsi="Arial" w:cs="Arial"/>
          <w:sz w:val="22"/>
          <w:szCs w:val="22"/>
        </w:rPr>
        <w:t xml:space="preserve">Introduction </w:t>
      </w:r>
    </w:p>
    <w:p w14:paraId="0876DFE5" w14:textId="77777777" w:rsidR="00C8337E" w:rsidRPr="00331213" w:rsidRDefault="00C8337E" w:rsidP="00C8337E">
      <w:pPr>
        <w:rPr>
          <w:rFonts w:ascii="Arial" w:hAnsi="Arial" w:cs="Arial"/>
          <w:sz w:val="22"/>
          <w:szCs w:val="22"/>
        </w:rPr>
      </w:pPr>
    </w:p>
    <w:p w14:paraId="3F5B7261" w14:textId="1C931CFA" w:rsidR="00083EAD" w:rsidRPr="00083EAD" w:rsidRDefault="00D71D39" w:rsidP="00083EAD">
      <w:pPr>
        <w:pStyle w:val="p1"/>
        <w:rPr>
          <w:rFonts w:ascii="Arial" w:hAnsi="Arial" w:cs="Arial"/>
          <w:sz w:val="22"/>
          <w:szCs w:val="22"/>
        </w:rPr>
      </w:pPr>
      <w:r w:rsidRPr="00331213">
        <w:rPr>
          <w:rStyle w:val="s1"/>
          <w:rFonts w:ascii="Arial" w:hAnsi="Arial" w:cs="Arial"/>
          <w:sz w:val="22"/>
          <w:szCs w:val="22"/>
        </w:rPr>
        <w:t xml:space="preserve">Human Resource Management (HRM) plays a crucial role in helping organisations respond to technological, economic and social changes (Armstrong &amp; Taylor, 2020). The UK retail sector has experienced significant transformation due to digitalisation, labour market competition and increasing expectations for workplace equality. These developments create new challenges for organisations such as </w:t>
      </w:r>
      <w:hyperlink r:id="rId4" w:history="1">
        <w:r w:rsidRPr="00331213">
          <w:rPr>
            <w:rStyle w:val="s2"/>
            <w:rFonts w:ascii="Arial" w:hAnsi="Arial" w:cs="Arial"/>
            <w:color w:val="0000FF"/>
            <w:sz w:val="22"/>
            <w:szCs w:val="22"/>
            <w:u w:val="single"/>
          </w:rPr>
          <w:t>Tesco PLC</w:t>
        </w:r>
      </w:hyperlink>
      <w:r w:rsidRPr="00331213">
        <w:rPr>
          <w:rStyle w:val="s1"/>
          <w:rFonts w:ascii="Arial" w:hAnsi="Arial" w:cs="Arial"/>
          <w:sz w:val="22"/>
          <w:szCs w:val="22"/>
        </w:rPr>
        <w:t>, one of the largest retailers in the United Kingdom.</w:t>
      </w:r>
    </w:p>
    <w:p w14:paraId="323FC729" w14:textId="77777777" w:rsidR="00083EAD" w:rsidRPr="00083EAD" w:rsidRDefault="00083EAD" w:rsidP="00083EAD">
      <w:pPr>
        <w:spacing w:after="0" w:line="240" w:lineRule="auto"/>
        <w:rPr>
          <w:rFonts w:ascii="Arial" w:eastAsia="Times New Roman" w:hAnsi="Arial" w:cs="Arial"/>
          <w:color w:val="111111"/>
          <w:kern w:val="0"/>
          <w:sz w:val="22"/>
          <w:szCs w:val="22"/>
          <w:lang w:val="ro-GB" w:eastAsia="ro-RO"/>
          <w14:ligatures w14:val="none"/>
        </w:rPr>
      </w:pPr>
      <w:r w:rsidRPr="00083EAD">
        <w:rPr>
          <w:rFonts w:ascii="Arial" w:eastAsia="Times New Roman" w:hAnsi="Arial" w:cs="Arial"/>
          <w:color w:val="111111"/>
          <w:kern w:val="0"/>
          <w:sz w:val="22"/>
          <w:szCs w:val="22"/>
          <w:lang w:val="ro-GB" w:eastAsia="ro-RO"/>
          <w14:ligatures w14:val="none"/>
        </w:rPr>
        <w:t>This report examines three key HR challenges affecting Tesco: technological advancement, talent acquisition and retention, and diversity, equity and inclusion (DEI). It evaluates contemporary HR practices and discusses how managers can ensure their effective implementation.</w:t>
      </w:r>
    </w:p>
    <w:p w14:paraId="69A2DB2D" w14:textId="77777777" w:rsidR="007C1B11" w:rsidRPr="00331213" w:rsidRDefault="007C1B11" w:rsidP="00C8337E">
      <w:pPr>
        <w:rPr>
          <w:rFonts w:ascii="Arial" w:hAnsi="Arial" w:cs="Arial"/>
          <w:sz w:val="22"/>
          <w:szCs w:val="22"/>
        </w:rPr>
      </w:pPr>
    </w:p>
    <w:p w14:paraId="7AD845BB" w14:textId="7F7FEC8D" w:rsidR="00C8337E" w:rsidRPr="00331213" w:rsidRDefault="00C8337E" w:rsidP="00C8337E">
      <w:pPr>
        <w:rPr>
          <w:rFonts w:ascii="Arial" w:hAnsi="Arial" w:cs="Arial"/>
          <w:sz w:val="22"/>
          <w:szCs w:val="22"/>
        </w:rPr>
      </w:pPr>
      <w:r w:rsidRPr="00331213">
        <w:rPr>
          <w:rFonts w:ascii="Arial" w:hAnsi="Arial" w:cs="Arial"/>
          <w:sz w:val="22"/>
          <w:szCs w:val="22"/>
        </w:rPr>
        <w:t xml:space="preserve">1. Explanation of Specific HR Factors </w:t>
      </w:r>
    </w:p>
    <w:p w14:paraId="55F82299" w14:textId="77777777" w:rsidR="00C8337E" w:rsidRPr="00331213" w:rsidRDefault="00C8337E" w:rsidP="00C8337E">
      <w:pPr>
        <w:rPr>
          <w:rFonts w:ascii="Arial" w:hAnsi="Arial" w:cs="Arial"/>
          <w:sz w:val="22"/>
          <w:szCs w:val="22"/>
        </w:rPr>
      </w:pPr>
    </w:p>
    <w:p w14:paraId="58E5D7A0" w14:textId="28E66F3A" w:rsidR="00C8337E" w:rsidRPr="00331213" w:rsidRDefault="00C8337E" w:rsidP="00C8337E">
      <w:pPr>
        <w:rPr>
          <w:rFonts w:ascii="Arial" w:hAnsi="Arial" w:cs="Arial"/>
          <w:sz w:val="22"/>
          <w:szCs w:val="22"/>
        </w:rPr>
      </w:pPr>
      <w:r w:rsidRPr="00331213">
        <w:rPr>
          <w:rFonts w:ascii="Arial" w:hAnsi="Arial" w:cs="Arial"/>
          <w:sz w:val="22"/>
          <w:szCs w:val="22"/>
        </w:rPr>
        <w:t>1.1 Meeting Technological Advancement</w:t>
      </w:r>
    </w:p>
    <w:p w14:paraId="37F06664" w14:textId="14FFBB7B" w:rsidR="00705E95" w:rsidRPr="00705E95" w:rsidRDefault="00145A30" w:rsidP="003F2580">
      <w:pPr>
        <w:rPr>
          <w:rFonts w:ascii="Arial" w:hAnsi="Arial" w:cs="Arial"/>
          <w:sz w:val="22"/>
          <w:szCs w:val="22"/>
        </w:rPr>
      </w:pPr>
      <w:r w:rsidRPr="00331213">
        <w:rPr>
          <w:rFonts w:ascii="Arial" w:hAnsi="Arial" w:cs="Arial"/>
          <w:sz w:val="22"/>
          <w:szCs w:val="22"/>
        </w:rPr>
        <w:t>Technological advancement is one of the defining factors in the modern retail market. This is particularly evident in Tesco, which has expanded its online grocery services, introduced self-checkout systems, and invested in automated systems for managing stock. These factors necessitate that employees get used to new technological systems. Strategic HRM theory highlights the importance of matching employee skills with organizational strategy (Boxall &amp; Purcell, 2016). In this respect, technological advancement in the modern market places a significant HR obligation on ensuring that employees have technological skills.</w:t>
      </w:r>
    </w:p>
    <w:p w14:paraId="1C94EE36" w14:textId="77777777" w:rsidR="00705E95" w:rsidRPr="00705E95" w:rsidRDefault="00705E95" w:rsidP="00705E95">
      <w:pPr>
        <w:spacing w:after="0" w:line="240" w:lineRule="auto"/>
        <w:rPr>
          <w:rFonts w:ascii="Arial" w:eastAsia="Times New Roman" w:hAnsi="Arial" w:cs="Arial"/>
          <w:color w:val="111111"/>
          <w:kern w:val="0"/>
          <w:sz w:val="22"/>
          <w:szCs w:val="22"/>
          <w:lang w:val="ro-GB" w:eastAsia="ro-RO"/>
          <w14:ligatures w14:val="none"/>
        </w:rPr>
      </w:pPr>
      <w:r w:rsidRPr="00705E95">
        <w:rPr>
          <w:rFonts w:ascii="Arial" w:eastAsia="Times New Roman" w:hAnsi="Arial" w:cs="Arial"/>
          <w:color w:val="111111"/>
          <w:kern w:val="0"/>
          <w:sz w:val="22"/>
          <w:szCs w:val="22"/>
          <w:lang w:val="ro-GB" w:eastAsia="ro-RO"/>
          <w14:ligatures w14:val="none"/>
        </w:rPr>
        <w:t>Workforce reskilling is essential as technological systems increasingly replace manual processes. Training and development therefore play a key role in maintaining employee productivity and competitiveness (Noe et al., 2017).</w:t>
      </w:r>
    </w:p>
    <w:p w14:paraId="6AD0BB1C" w14:textId="409F6D9D" w:rsidR="00145A30" w:rsidRPr="00331213" w:rsidRDefault="00145A30" w:rsidP="00145A30">
      <w:pPr>
        <w:rPr>
          <w:rFonts w:ascii="Arial" w:hAnsi="Arial" w:cs="Arial"/>
          <w:sz w:val="22"/>
          <w:szCs w:val="22"/>
        </w:rPr>
      </w:pPr>
      <w:r w:rsidRPr="00331213">
        <w:rPr>
          <w:rFonts w:ascii="Arial" w:hAnsi="Arial" w:cs="Arial"/>
          <w:sz w:val="22"/>
          <w:szCs w:val="22"/>
        </w:rPr>
        <w:t xml:space="preserve">If employees perceive that technological systems threaten their job security without providing adequate training and development opportunities, they are likely to respond negatively. Psychological contract theory highlights that employees expect organizations to invest in their </w:t>
      </w:r>
      <w:r w:rsidRPr="00331213">
        <w:rPr>
          <w:rFonts w:ascii="Arial" w:hAnsi="Arial" w:cs="Arial"/>
          <w:sz w:val="22"/>
          <w:szCs w:val="22"/>
        </w:rPr>
        <w:lastRenderedPageBreak/>
        <w:t>training and development in exchange for their commitment and productivity (Rousseau, 1995). If organizations fail to satisfy this expectation, they risk employee commitment or driving up turnover.</w:t>
      </w:r>
    </w:p>
    <w:p w14:paraId="6EA27D27" w14:textId="77777777" w:rsidR="00A67F17" w:rsidRPr="00331213" w:rsidRDefault="00A67F17" w:rsidP="00145A30">
      <w:pPr>
        <w:rPr>
          <w:rFonts w:ascii="Arial" w:hAnsi="Arial" w:cs="Arial"/>
          <w:sz w:val="22"/>
          <w:szCs w:val="22"/>
        </w:rPr>
      </w:pPr>
    </w:p>
    <w:p w14:paraId="705AE324" w14:textId="015C6883" w:rsidR="00C8337E" w:rsidRPr="00331213" w:rsidRDefault="00C8337E" w:rsidP="00C8337E">
      <w:pPr>
        <w:rPr>
          <w:rFonts w:ascii="Arial" w:hAnsi="Arial" w:cs="Arial"/>
          <w:sz w:val="22"/>
          <w:szCs w:val="22"/>
        </w:rPr>
      </w:pPr>
      <w:r w:rsidRPr="00331213">
        <w:rPr>
          <w:rFonts w:ascii="Arial" w:hAnsi="Arial" w:cs="Arial"/>
          <w:sz w:val="22"/>
          <w:szCs w:val="22"/>
        </w:rPr>
        <w:t>1.2 Talent Acquisition and Retention</w:t>
      </w:r>
    </w:p>
    <w:p w14:paraId="01C06B7D" w14:textId="42C0828F" w:rsidR="00AC30E3" w:rsidRPr="00331213" w:rsidRDefault="00AC30E3" w:rsidP="00AC30E3">
      <w:pPr>
        <w:rPr>
          <w:rFonts w:ascii="Arial" w:hAnsi="Arial" w:cs="Arial"/>
          <w:sz w:val="22"/>
          <w:szCs w:val="22"/>
        </w:rPr>
      </w:pPr>
      <w:r w:rsidRPr="00331213">
        <w:rPr>
          <w:rFonts w:ascii="Arial" w:hAnsi="Arial" w:cs="Arial"/>
          <w:sz w:val="22"/>
          <w:szCs w:val="22"/>
        </w:rPr>
        <w:t>The UK retail industry has high employee turnover and competition for human resources. Moreover, Tesco has to compete with other major retail organizations such as Sainsbury’s and Asda. As such, it becomes imperative for the company to address human resource issues as a priority.</w:t>
      </w:r>
    </w:p>
    <w:p w14:paraId="62DE7C33" w14:textId="62BC753F" w:rsidR="00AC30E3" w:rsidRPr="00331213" w:rsidRDefault="00AC30E3" w:rsidP="00AC30E3">
      <w:pPr>
        <w:rPr>
          <w:rFonts w:ascii="Arial" w:hAnsi="Arial" w:cs="Arial"/>
          <w:sz w:val="22"/>
          <w:szCs w:val="22"/>
        </w:rPr>
      </w:pPr>
      <w:r w:rsidRPr="00331213">
        <w:rPr>
          <w:rFonts w:ascii="Arial" w:hAnsi="Arial" w:cs="Arial"/>
          <w:sz w:val="22"/>
          <w:szCs w:val="22"/>
        </w:rPr>
        <w:t xml:space="preserve">Employer branding is an essential driver of human resource acquisition. A robust employer value proposition (EVP) makes an organization more attractive to potential employees. The EVP impacts employee decision-making (Backhaus &amp; Tikoo, 2004). Nowadays, employees are more inclined to seek organizations that provide opportunities for growth, security, and meaningful jobs. If Tesco does not differentiate itself as a better employer than other organizations in these areas, it will be at risk of losing talented employees to other </w:t>
      </w:r>
      <w:proofErr w:type="spellStart"/>
      <w:r w:rsidRPr="00331213">
        <w:rPr>
          <w:rFonts w:ascii="Arial" w:hAnsi="Arial" w:cs="Arial"/>
          <w:sz w:val="22"/>
          <w:szCs w:val="22"/>
        </w:rPr>
        <w:t>organizations</w:t>
      </w:r>
      <w:proofErr w:type="spellEnd"/>
      <w:r w:rsidRPr="00331213">
        <w:rPr>
          <w:rFonts w:ascii="Arial" w:hAnsi="Arial" w:cs="Arial"/>
          <w:sz w:val="22"/>
          <w:szCs w:val="22"/>
        </w:rPr>
        <w:t>.</w:t>
      </w:r>
    </w:p>
    <w:p w14:paraId="64FFECD9" w14:textId="4945B522" w:rsidR="00AC30E3" w:rsidRPr="00331213" w:rsidRDefault="00AC30E3" w:rsidP="00AC30E3">
      <w:pPr>
        <w:rPr>
          <w:rFonts w:ascii="Arial" w:hAnsi="Arial" w:cs="Arial"/>
          <w:sz w:val="22"/>
          <w:szCs w:val="22"/>
        </w:rPr>
      </w:pPr>
      <w:r w:rsidRPr="00331213">
        <w:rPr>
          <w:rFonts w:ascii="Arial" w:hAnsi="Arial" w:cs="Arial"/>
          <w:sz w:val="22"/>
          <w:szCs w:val="22"/>
        </w:rPr>
        <w:t xml:space="preserve">Motivation theory will also be used to understand the issues affecting employee retention at Tesco. Herzberg’s Two-Factor Theory posits that intrinsic factors such as recognition, achievement, and growth are major contributors to employee satisfaction. On the other hand, factors such as salary and working conditions are hygiene factors (Herzberg, Mausner, &amp; Snyderman, 1959). </w:t>
      </w:r>
    </w:p>
    <w:p w14:paraId="5CB26300" w14:textId="2F965562" w:rsidR="00834251" w:rsidRPr="00834251" w:rsidRDefault="00AC30E3" w:rsidP="00834251">
      <w:pPr>
        <w:rPr>
          <w:rFonts w:ascii="Arial" w:hAnsi="Arial" w:cs="Arial"/>
          <w:sz w:val="22"/>
          <w:szCs w:val="22"/>
        </w:rPr>
      </w:pPr>
      <w:r w:rsidRPr="00331213">
        <w:rPr>
          <w:rFonts w:ascii="Arial" w:hAnsi="Arial" w:cs="Arial"/>
          <w:sz w:val="22"/>
          <w:szCs w:val="22"/>
        </w:rPr>
        <w:t>Employee engagement also plays an essential role in employee retention. Engaged employees are more productive and tend to have lower employee turnover intentions (MacLeod &amp; Clarke, 2009). In the retail industry, where employee interaction with clients is paramount, employee disengagement will be detrimental to the company.</w:t>
      </w:r>
    </w:p>
    <w:p w14:paraId="428CD363" w14:textId="77777777" w:rsidR="00834251" w:rsidRPr="00834251" w:rsidRDefault="00834251" w:rsidP="00834251">
      <w:pPr>
        <w:spacing w:after="0" w:line="240" w:lineRule="auto"/>
        <w:rPr>
          <w:rFonts w:ascii="Arial" w:eastAsia="Times New Roman" w:hAnsi="Arial" w:cs="Arial"/>
          <w:color w:val="111111"/>
          <w:kern w:val="0"/>
          <w:sz w:val="22"/>
          <w:szCs w:val="22"/>
          <w:lang w:val="ro-GB" w:eastAsia="ro-RO"/>
          <w14:ligatures w14:val="none"/>
        </w:rPr>
      </w:pPr>
      <w:r w:rsidRPr="00834251">
        <w:rPr>
          <w:rFonts w:ascii="Arial" w:eastAsia="Times New Roman" w:hAnsi="Arial" w:cs="Arial"/>
          <w:color w:val="111111"/>
          <w:kern w:val="0"/>
          <w:sz w:val="22"/>
          <w:szCs w:val="22"/>
          <w:lang w:val="ro-GB" w:eastAsia="ro-RO"/>
          <w14:ligatures w14:val="none"/>
        </w:rPr>
        <w:t>Changing workforce expectations, particularly among younger employees, have increased demand for flexibility and work–life balance, although this can be challenging within retail shift structures.</w:t>
      </w:r>
    </w:p>
    <w:p w14:paraId="6353378C" w14:textId="77777777" w:rsidR="00C8337E" w:rsidRPr="00331213" w:rsidRDefault="00C8337E" w:rsidP="00C8337E">
      <w:pPr>
        <w:rPr>
          <w:rFonts w:ascii="Arial" w:hAnsi="Arial" w:cs="Arial"/>
          <w:sz w:val="22"/>
          <w:szCs w:val="22"/>
        </w:rPr>
      </w:pPr>
    </w:p>
    <w:p w14:paraId="73E014E8" w14:textId="723ABFC3" w:rsidR="00C8337E" w:rsidRPr="00331213" w:rsidRDefault="00C8337E" w:rsidP="00C8337E">
      <w:pPr>
        <w:rPr>
          <w:rFonts w:ascii="Arial" w:hAnsi="Arial" w:cs="Arial"/>
          <w:sz w:val="22"/>
          <w:szCs w:val="22"/>
        </w:rPr>
      </w:pPr>
      <w:r w:rsidRPr="00331213">
        <w:rPr>
          <w:rFonts w:ascii="Arial" w:hAnsi="Arial" w:cs="Arial"/>
          <w:sz w:val="22"/>
          <w:szCs w:val="22"/>
        </w:rPr>
        <w:t>1.3 Diversity, Equity and Inclusion (DEI)</w:t>
      </w:r>
    </w:p>
    <w:p w14:paraId="1C67AA0E" w14:textId="1CDE3381" w:rsidR="00AC30E3" w:rsidRPr="00331213" w:rsidRDefault="00AC30E3" w:rsidP="00AC30E3">
      <w:pPr>
        <w:rPr>
          <w:rFonts w:ascii="Arial" w:hAnsi="Arial" w:cs="Arial"/>
          <w:sz w:val="22"/>
          <w:szCs w:val="22"/>
        </w:rPr>
      </w:pPr>
      <w:r w:rsidRPr="00331213">
        <w:rPr>
          <w:rFonts w:ascii="Arial" w:hAnsi="Arial" w:cs="Arial"/>
          <w:sz w:val="22"/>
          <w:szCs w:val="22"/>
        </w:rPr>
        <w:t>Diversity, equity, and inclusion (DEI) is both a legal requirement and a business opportunity. According to the Equality Act 2010, organizations in the United Kingdom must ensure that they do not discriminate against their employees based on certain characteristics. Compliance with this is therefore important in order to avoid legal and reputational risk. However, according to empirical literature, organizations that manage diversity effectively are more likely to realize business benefits, such as innovation and better decision-making (Shen et al., 2009).</w:t>
      </w:r>
    </w:p>
    <w:p w14:paraId="2E8604E9" w14:textId="2D117ADD" w:rsidR="00C8337E" w:rsidRPr="00331213" w:rsidRDefault="00AC30E3" w:rsidP="00AC30E3">
      <w:pPr>
        <w:rPr>
          <w:rFonts w:ascii="Arial" w:hAnsi="Arial" w:cs="Arial"/>
          <w:sz w:val="22"/>
          <w:szCs w:val="22"/>
        </w:rPr>
      </w:pPr>
      <w:r w:rsidRPr="00331213">
        <w:rPr>
          <w:rFonts w:ascii="Arial" w:hAnsi="Arial" w:cs="Arial"/>
          <w:sz w:val="22"/>
          <w:szCs w:val="22"/>
        </w:rPr>
        <w:t>In conclusion, diversity, equity, and inclusion in Tesco involves legal compliance, representation, inclusive culture, and equity in terms of opportunities for growth.</w:t>
      </w:r>
    </w:p>
    <w:p w14:paraId="66771C15" w14:textId="77777777" w:rsidR="00C8337E" w:rsidRPr="00331213" w:rsidRDefault="00C8337E" w:rsidP="00C8337E">
      <w:pPr>
        <w:rPr>
          <w:rFonts w:ascii="Arial" w:hAnsi="Arial" w:cs="Arial"/>
          <w:sz w:val="22"/>
          <w:szCs w:val="22"/>
        </w:rPr>
      </w:pPr>
    </w:p>
    <w:p w14:paraId="1C68ADAD" w14:textId="74BA4302" w:rsidR="00C8337E" w:rsidRPr="00331213" w:rsidRDefault="00C8337E" w:rsidP="00C8337E">
      <w:pPr>
        <w:rPr>
          <w:rFonts w:ascii="Arial" w:hAnsi="Arial" w:cs="Arial"/>
          <w:sz w:val="22"/>
          <w:szCs w:val="22"/>
        </w:rPr>
      </w:pPr>
      <w:r w:rsidRPr="00331213">
        <w:rPr>
          <w:rFonts w:ascii="Arial" w:hAnsi="Arial" w:cs="Arial"/>
          <w:sz w:val="22"/>
          <w:szCs w:val="22"/>
        </w:rPr>
        <w:lastRenderedPageBreak/>
        <w:t xml:space="preserve">2. Evaluation of Contemporary HR Practices </w:t>
      </w:r>
    </w:p>
    <w:p w14:paraId="5CC48E16" w14:textId="2566990A" w:rsidR="00C8337E" w:rsidRPr="00331213" w:rsidRDefault="00C8337E" w:rsidP="00C8337E">
      <w:pPr>
        <w:rPr>
          <w:rFonts w:ascii="Arial" w:hAnsi="Arial" w:cs="Arial"/>
          <w:sz w:val="22"/>
          <w:szCs w:val="22"/>
        </w:rPr>
      </w:pPr>
      <w:r w:rsidRPr="00331213">
        <w:rPr>
          <w:rFonts w:ascii="Arial" w:hAnsi="Arial" w:cs="Arial"/>
          <w:sz w:val="22"/>
          <w:szCs w:val="22"/>
        </w:rPr>
        <w:t>2.1 Addressing Technological Advancement</w:t>
      </w:r>
    </w:p>
    <w:p w14:paraId="3A92913C" w14:textId="34BC8982" w:rsidR="00AC30E3" w:rsidRPr="00331213" w:rsidRDefault="00AC30E3" w:rsidP="00AC30E3">
      <w:pPr>
        <w:rPr>
          <w:rFonts w:ascii="Arial" w:hAnsi="Arial" w:cs="Arial"/>
          <w:sz w:val="22"/>
          <w:szCs w:val="22"/>
        </w:rPr>
      </w:pPr>
      <w:r w:rsidRPr="00331213">
        <w:rPr>
          <w:rFonts w:ascii="Arial" w:hAnsi="Arial" w:cs="Arial"/>
          <w:sz w:val="22"/>
          <w:szCs w:val="22"/>
        </w:rPr>
        <w:t>Digital learning platforms represent one of the modern approaches to reskilling employees. E-learning and blended learning approaches can facilitate training in various store locations, thus minimizing logistical expenses (Noe et al., 2017).</w:t>
      </w:r>
    </w:p>
    <w:p w14:paraId="06212440" w14:textId="2927AA7A" w:rsidR="00C8337E" w:rsidRPr="00331213" w:rsidRDefault="00AC30E3" w:rsidP="00C8337E">
      <w:pPr>
        <w:rPr>
          <w:rFonts w:ascii="Arial" w:hAnsi="Arial" w:cs="Arial"/>
          <w:sz w:val="22"/>
          <w:szCs w:val="22"/>
        </w:rPr>
      </w:pPr>
      <w:r w:rsidRPr="00331213">
        <w:rPr>
          <w:rFonts w:ascii="Arial" w:hAnsi="Arial" w:cs="Arial"/>
          <w:sz w:val="22"/>
          <w:szCs w:val="22"/>
        </w:rPr>
        <w:t xml:space="preserve">Human resource analytics form one of the foundations for evidence-based human resource planning. Through the analysis of turnover rates, performance, and training, human resources can identify gaps and forecast future requirements (CIPD, 2024). This helps to achieve a better fit between people management and </w:t>
      </w:r>
      <w:proofErr w:type="spellStart"/>
      <w:r w:rsidRPr="00331213">
        <w:rPr>
          <w:rFonts w:ascii="Arial" w:hAnsi="Arial" w:cs="Arial"/>
          <w:sz w:val="22"/>
          <w:szCs w:val="22"/>
        </w:rPr>
        <w:t>organizational</w:t>
      </w:r>
      <w:proofErr w:type="spellEnd"/>
      <w:r w:rsidRPr="00331213">
        <w:rPr>
          <w:rFonts w:ascii="Arial" w:hAnsi="Arial" w:cs="Arial"/>
          <w:sz w:val="22"/>
          <w:szCs w:val="22"/>
        </w:rPr>
        <w:t xml:space="preserve"> aims.</w:t>
      </w:r>
    </w:p>
    <w:p w14:paraId="620DF750" w14:textId="59B0B510" w:rsidR="00C8337E" w:rsidRPr="00331213" w:rsidRDefault="00C8337E" w:rsidP="00C8337E">
      <w:pPr>
        <w:rPr>
          <w:rFonts w:ascii="Arial" w:hAnsi="Arial" w:cs="Arial"/>
          <w:sz w:val="22"/>
          <w:szCs w:val="22"/>
        </w:rPr>
      </w:pPr>
      <w:r w:rsidRPr="00331213">
        <w:rPr>
          <w:rFonts w:ascii="Arial" w:hAnsi="Arial" w:cs="Arial"/>
          <w:sz w:val="22"/>
          <w:szCs w:val="22"/>
        </w:rPr>
        <w:t>2.2 Addressing Talent Acquisition and Retention</w:t>
      </w:r>
    </w:p>
    <w:p w14:paraId="20285562" w14:textId="77777777" w:rsidR="00AC30E3" w:rsidRPr="00331213" w:rsidRDefault="00AC30E3" w:rsidP="00AC30E3">
      <w:pPr>
        <w:rPr>
          <w:rFonts w:ascii="Arial" w:hAnsi="Arial" w:cs="Arial"/>
          <w:sz w:val="22"/>
          <w:szCs w:val="22"/>
        </w:rPr>
      </w:pPr>
      <w:r w:rsidRPr="00331213">
        <w:rPr>
          <w:rFonts w:ascii="Arial" w:hAnsi="Arial" w:cs="Arial"/>
          <w:sz w:val="22"/>
          <w:szCs w:val="22"/>
        </w:rPr>
        <w:t>Structured recruitment processes have been shown to improve the fairness and predictive validity of selection decisions (Armstrong &amp; Taylor, 2020).</w:t>
      </w:r>
    </w:p>
    <w:p w14:paraId="46606439" w14:textId="77777777" w:rsidR="00AC30E3" w:rsidRPr="00331213" w:rsidRDefault="00AC30E3" w:rsidP="00AC30E3">
      <w:pPr>
        <w:rPr>
          <w:rFonts w:ascii="Arial" w:hAnsi="Arial" w:cs="Arial"/>
          <w:sz w:val="22"/>
          <w:szCs w:val="22"/>
        </w:rPr>
      </w:pPr>
      <w:r w:rsidRPr="00331213">
        <w:rPr>
          <w:rFonts w:ascii="Arial" w:hAnsi="Arial" w:cs="Arial"/>
          <w:sz w:val="22"/>
          <w:szCs w:val="22"/>
        </w:rPr>
        <w:t>Continuous performance management systems have been shown to replace traditional annual appraisal systems (Aguinis, 2019).</w:t>
      </w:r>
    </w:p>
    <w:p w14:paraId="249837AC" w14:textId="77777777" w:rsidR="00AC30E3" w:rsidRPr="00331213" w:rsidRDefault="00AC30E3" w:rsidP="00AC30E3">
      <w:pPr>
        <w:rPr>
          <w:rFonts w:ascii="Arial" w:hAnsi="Arial" w:cs="Arial"/>
          <w:sz w:val="22"/>
          <w:szCs w:val="22"/>
        </w:rPr>
      </w:pPr>
      <w:r w:rsidRPr="00331213">
        <w:rPr>
          <w:rFonts w:ascii="Arial" w:hAnsi="Arial" w:cs="Arial"/>
          <w:sz w:val="22"/>
          <w:szCs w:val="22"/>
        </w:rPr>
        <w:t>Employer branding strategies have been shown to improve the effectiveness of recruitment strategies (Backhaus &amp; Tikoo, 2004).</w:t>
      </w:r>
    </w:p>
    <w:p w14:paraId="192AF247" w14:textId="77777777" w:rsidR="00036A83" w:rsidRPr="00331213" w:rsidRDefault="00036A83" w:rsidP="00036A83">
      <w:pPr>
        <w:spacing w:after="0" w:line="240" w:lineRule="auto"/>
        <w:rPr>
          <w:rFonts w:ascii="Arial" w:eastAsia="Times New Roman" w:hAnsi="Arial" w:cs="Arial"/>
          <w:color w:val="111111"/>
          <w:kern w:val="0"/>
          <w:sz w:val="22"/>
          <w:szCs w:val="22"/>
          <w:lang w:val="ro-GB" w:eastAsia="ro-RO"/>
          <w14:ligatures w14:val="none"/>
        </w:rPr>
      </w:pPr>
      <w:r w:rsidRPr="00036A83">
        <w:rPr>
          <w:rFonts w:ascii="Arial" w:eastAsia="Times New Roman" w:hAnsi="Arial" w:cs="Arial"/>
          <w:color w:val="111111"/>
          <w:kern w:val="0"/>
          <w:sz w:val="22"/>
          <w:szCs w:val="22"/>
          <w:lang w:val="ro-GB" w:eastAsia="ro-RO"/>
          <w14:ligatures w14:val="none"/>
        </w:rPr>
        <w:t>Flexible working can improve retention, although implementation is more difficult in retail environments.</w:t>
      </w:r>
    </w:p>
    <w:p w14:paraId="23ED21D4" w14:textId="77777777" w:rsidR="00275EB6" w:rsidRPr="00036A83" w:rsidRDefault="00275EB6" w:rsidP="00036A83">
      <w:pPr>
        <w:spacing w:after="0" w:line="240" w:lineRule="auto"/>
        <w:rPr>
          <w:rFonts w:ascii="Arial" w:eastAsia="Times New Roman" w:hAnsi="Arial" w:cs="Arial"/>
          <w:color w:val="111111"/>
          <w:kern w:val="0"/>
          <w:sz w:val="22"/>
          <w:szCs w:val="22"/>
          <w:lang w:val="ro-GB" w:eastAsia="ro-RO"/>
          <w14:ligatures w14:val="none"/>
        </w:rPr>
      </w:pPr>
    </w:p>
    <w:p w14:paraId="797F75D5" w14:textId="77777777" w:rsidR="00C8337E" w:rsidRPr="00331213" w:rsidRDefault="00C8337E" w:rsidP="00C8337E">
      <w:pPr>
        <w:rPr>
          <w:rFonts w:ascii="Arial" w:hAnsi="Arial" w:cs="Arial"/>
          <w:sz w:val="22"/>
          <w:szCs w:val="22"/>
        </w:rPr>
      </w:pPr>
      <w:r w:rsidRPr="00331213">
        <w:rPr>
          <w:rFonts w:ascii="Arial" w:hAnsi="Arial" w:cs="Arial"/>
          <w:sz w:val="22"/>
          <w:szCs w:val="22"/>
        </w:rPr>
        <w:t>2.3 Addressing DEI</w:t>
      </w:r>
    </w:p>
    <w:p w14:paraId="29D869F6" w14:textId="77777777" w:rsidR="00C8337E" w:rsidRPr="00331213" w:rsidRDefault="00C8337E" w:rsidP="00C8337E">
      <w:pPr>
        <w:rPr>
          <w:rFonts w:ascii="Arial" w:hAnsi="Arial" w:cs="Arial"/>
          <w:sz w:val="22"/>
          <w:szCs w:val="22"/>
        </w:rPr>
      </w:pPr>
    </w:p>
    <w:p w14:paraId="75073457" w14:textId="4F598316" w:rsidR="00AC30E3" w:rsidRPr="00331213" w:rsidRDefault="00AC30E3" w:rsidP="00AC30E3">
      <w:pPr>
        <w:rPr>
          <w:rFonts w:ascii="Arial" w:hAnsi="Arial" w:cs="Arial"/>
          <w:sz w:val="22"/>
          <w:szCs w:val="22"/>
        </w:rPr>
      </w:pPr>
      <w:r w:rsidRPr="00331213">
        <w:rPr>
          <w:rFonts w:ascii="Arial" w:hAnsi="Arial" w:cs="Arial"/>
          <w:sz w:val="22"/>
          <w:szCs w:val="22"/>
        </w:rPr>
        <w:t xml:space="preserve">Anonymized recruitment and the use of diverse interviewing panels can help to eliminate bias in selection decisions (Dobbin &amp; Kalev, 2016). Inclusion training can help to raise awareness of discriminatory </w:t>
      </w:r>
      <w:proofErr w:type="spellStart"/>
      <w:r w:rsidRPr="00331213">
        <w:rPr>
          <w:rFonts w:ascii="Arial" w:hAnsi="Arial" w:cs="Arial"/>
          <w:sz w:val="22"/>
          <w:szCs w:val="22"/>
        </w:rPr>
        <w:t>behaviors</w:t>
      </w:r>
      <w:proofErr w:type="spellEnd"/>
      <w:r w:rsidRPr="00331213">
        <w:rPr>
          <w:rFonts w:ascii="Arial" w:hAnsi="Arial" w:cs="Arial"/>
          <w:sz w:val="22"/>
          <w:szCs w:val="22"/>
        </w:rPr>
        <w:t>, but to have a lasting effect, engagement is necessary. Employee voice can help to create a culture of heightened psychological safety and inclusion (Nishii &amp; Mayer, 2009). Diversity metrics can help to monitor and ensure accountability and transparency in progression and reward structures. However, DEI initiatives may not have credibility if they are not linked to performance evaluation processes. Cultural change requires reinforcement at all levels, including leaders and managers.</w:t>
      </w:r>
    </w:p>
    <w:p w14:paraId="7BC6EFF7" w14:textId="306FE2B8" w:rsidR="004635CF" w:rsidRPr="00331213" w:rsidRDefault="00AC30E3" w:rsidP="00AC30E3">
      <w:pPr>
        <w:rPr>
          <w:rFonts w:ascii="Arial" w:hAnsi="Arial" w:cs="Arial"/>
          <w:sz w:val="22"/>
          <w:szCs w:val="22"/>
        </w:rPr>
      </w:pPr>
      <w:r w:rsidRPr="00331213">
        <w:rPr>
          <w:rFonts w:ascii="Arial" w:hAnsi="Arial" w:cs="Arial"/>
          <w:sz w:val="22"/>
          <w:szCs w:val="22"/>
        </w:rPr>
        <w:t>Therefore, to ensure that HR strategies are effective in addressing the key organizational issues that Tesco is facing, it is critical to link the issues identified with HR practices and their operationalization. The discussion that follows illustrates how technological advancement, talent acquisition and retention, and DEI issues can be addressed through HR practices and their operationalization in the context of Tesco.</w:t>
      </w:r>
    </w:p>
    <w:p w14:paraId="4F695F4A" w14:textId="77777777" w:rsidR="009B6B43" w:rsidRPr="00331213" w:rsidRDefault="009B6B43" w:rsidP="009B6B43">
      <w:pPr>
        <w:rPr>
          <w:rFonts w:ascii="Arial" w:hAnsi="Arial" w:cs="Arial"/>
          <w:sz w:val="22"/>
          <w:szCs w:val="22"/>
        </w:rPr>
      </w:pPr>
      <w:r w:rsidRPr="00331213">
        <w:rPr>
          <w:rFonts w:ascii="Arial" w:hAnsi="Arial" w:cs="Arial"/>
          <w:sz w:val="22"/>
          <w:szCs w:val="22"/>
        </w:rPr>
        <w:lastRenderedPageBreak/>
        <w:t>Alignment of HR Issues, Practices and Implementation at Tesco</w:t>
      </w:r>
    </w:p>
    <w:tbl>
      <w:tblPr>
        <w:tblpPr w:leftFromText="180" w:rightFromText="180" w:vertAnchor="text" w:tblpX="-709" w:tblpY="1"/>
        <w:tblOverlap w:val="never"/>
        <w:tblW w:w="10207" w:type="dxa"/>
        <w:tblCellSpacing w:w="15" w:type="dxa"/>
        <w:tblBorders>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971"/>
        <w:gridCol w:w="2292"/>
        <w:gridCol w:w="3944"/>
      </w:tblGrid>
      <w:tr w:rsidR="009B6B43" w:rsidRPr="00331213" w14:paraId="029182F0" w14:textId="77777777" w:rsidTr="00317FBA">
        <w:trPr>
          <w:tblHeader/>
          <w:tblCellSpacing w:w="15" w:type="dxa"/>
        </w:trPr>
        <w:tc>
          <w:tcPr>
            <w:tcW w:w="3926" w:type="dxa"/>
            <w:vAlign w:val="center"/>
            <w:hideMark/>
          </w:tcPr>
          <w:p w14:paraId="187966B0" w14:textId="77777777" w:rsidR="009B6B43" w:rsidRPr="00331213" w:rsidRDefault="009B6B43" w:rsidP="00D26ACE">
            <w:pPr>
              <w:rPr>
                <w:rFonts w:ascii="Arial" w:hAnsi="Arial" w:cs="Arial"/>
                <w:sz w:val="22"/>
                <w:szCs w:val="22"/>
              </w:rPr>
            </w:pPr>
            <w:r w:rsidRPr="00331213">
              <w:rPr>
                <w:rFonts w:ascii="Arial" w:hAnsi="Arial" w:cs="Arial"/>
                <w:sz w:val="22"/>
                <w:szCs w:val="22"/>
              </w:rPr>
              <w:t>Issue Identified</w:t>
            </w:r>
          </w:p>
        </w:tc>
        <w:tc>
          <w:tcPr>
            <w:tcW w:w="0" w:type="auto"/>
            <w:vAlign w:val="center"/>
            <w:hideMark/>
          </w:tcPr>
          <w:p w14:paraId="04652863" w14:textId="77777777" w:rsidR="009B6B43" w:rsidRPr="00331213" w:rsidRDefault="009B6B43" w:rsidP="00D26ACE">
            <w:pPr>
              <w:rPr>
                <w:rFonts w:ascii="Arial" w:hAnsi="Arial" w:cs="Arial"/>
                <w:sz w:val="22"/>
                <w:szCs w:val="22"/>
              </w:rPr>
            </w:pPr>
            <w:r w:rsidRPr="00331213">
              <w:rPr>
                <w:rFonts w:ascii="Arial" w:hAnsi="Arial" w:cs="Arial"/>
                <w:sz w:val="22"/>
                <w:szCs w:val="22"/>
              </w:rPr>
              <w:t>HR Practice</w:t>
            </w:r>
          </w:p>
        </w:tc>
        <w:tc>
          <w:tcPr>
            <w:tcW w:w="3899" w:type="dxa"/>
            <w:vAlign w:val="center"/>
            <w:hideMark/>
          </w:tcPr>
          <w:p w14:paraId="37CB0527" w14:textId="77777777" w:rsidR="009B6B43" w:rsidRPr="00331213" w:rsidRDefault="009B6B43" w:rsidP="00D26ACE">
            <w:pPr>
              <w:rPr>
                <w:rFonts w:ascii="Arial" w:hAnsi="Arial" w:cs="Arial"/>
                <w:sz w:val="22"/>
                <w:szCs w:val="22"/>
              </w:rPr>
            </w:pPr>
            <w:r w:rsidRPr="00331213">
              <w:rPr>
                <w:rFonts w:ascii="Arial" w:hAnsi="Arial" w:cs="Arial"/>
                <w:sz w:val="22"/>
                <w:szCs w:val="22"/>
              </w:rPr>
              <w:t>Implementation at Tesco</w:t>
            </w:r>
          </w:p>
        </w:tc>
      </w:tr>
      <w:tr w:rsidR="009B6B43" w:rsidRPr="00331213" w14:paraId="52E7B242" w14:textId="77777777" w:rsidTr="00317FBA">
        <w:trPr>
          <w:tblCellSpacing w:w="15" w:type="dxa"/>
        </w:trPr>
        <w:tc>
          <w:tcPr>
            <w:tcW w:w="3926" w:type="dxa"/>
            <w:vAlign w:val="center"/>
            <w:hideMark/>
          </w:tcPr>
          <w:p w14:paraId="2358D588" w14:textId="3333FBCC" w:rsidR="009B6B43" w:rsidRPr="00331213" w:rsidRDefault="00AC30E3" w:rsidP="00D26ACE">
            <w:pPr>
              <w:rPr>
                <w:rFonts w:ascii="Arial" w:hAnsi="Arial" w:cs="Arial"/>
                <w:sz w:val="22"/>
                <w:szCs w:val="22"/>
              </w:rPr>
            </w:pPr>
            <w:r w:rsidRPr="00331213">
              <w:rPr>
                <w:rFonts w:ascii="Arial" w:hAnsi="Arial" w:cs="Arial"/>
                <w:sz w:val="22"/>
                <w:szCs w:val="22"/>
              </w:rPr>
              <w:t>Employees at Tesco lack digital competencies that can help them use new technology, including self-scanning, automated inventory management systems, and online shopping. This results in inefficiencies in the business and resistance to new technology.</w:t>
            </w:r>
          </w:p>
        </w:tc>
        <w:tc>
          <w:tcPr>
            <w:tcW w:w="0" w:type="auto"/>
            <w:vAlign w:val="center"/>
            <w:hideMark/>
          </w:tcPr>
          <w:p w14:paraId="2204798F" w14:textId="7E32E0AF" w:rsidR="009B6B43" w:rsidRPr="00331213" w:rsidRDefault="0067510E" w:rsidP="00D26ACE">
            <w:pPr>
              <w:rPr>
                <w:rFonts w:ascii="Arial" w:hAnsi="Arial" w:cs="Arial"/>
                <w:sz w:val="22"/>
                <w:szCs w:val="22"/>
              </w:rPr>
            </w:pPr>
            <w:r w:rsidRPr="00331213">
              <w:rPr>
                <w:rFonts w:ascii="Arial" w:hAnsi="Arial" w:cs="Arial"/>
                <w:sz w:val="22"/>
                <w:szCs w:val="22"/>
              </w:rPr>
              <w:t>Digital training initiatives and employee reskilling strategies involving e-learning and blended learning technologies.</w:t>
            </w:r>
          </w:p>
        </w:tc>
        <w:tc>
          <w:tcPr>
            <w:tcW w:w="3899" w:type="dxa"/>
            <w:vAlign w:val="center"/>
            <w:hideMark/>
          </w:tcPr>
          <w:p w14:paraId="20B82171" w14:textId="54616AEF" w:rsidR="009B6B43" w:rsidRPr="00331213" w:rsidRDefault="005F17BA" w:rsidP="00D26ACE">
            <w:pPr>
              <w:rPr>
                <w:rFonts w:ascii="Arial" w:hAnsi="Arial" w:cs="Arial"/>
                <w:sz w:val="22"/>
                <w:szCs w:val="22"/>
              </w:rPr>
            </w:pPr>
            <w:r w:rsidRPr="00331213">
              <w:rPr>
                <w:rFonts w:ascii="Arial" w:hAnsi="Arial" w:cs="Arial"/>
                <w:sz w:val="22"/>
                <w:szCs w:val="22"/>
              </w:rPr>
              <w:t>Tesco Human Resources can provide structured digital training programs for employees through in-house e-learning platforms. The digital training programs can include information about self-checkout systems, digital inventory systems, and information security. The store managers can schedule the digital training programs within the employees’ shift schedules using HR analytics.</w:t>
            </w:r>
          </w:p>
        </w:tc>
      </w:tr>
      <w:tr w:rsidR="009B6B43" w:rsidRPr="00331213" w14:paraId="560F2F29" w14:textId="77777777" w:rsidTr="00317FBA">
        <w:trPr>
          <w:tblCellSpacing w:w="15" w:type="dxa"/>
        </w:trPr>
        <w:tc>
          <w:tcPr>
            <w:tcW w:w="3926" w:type="dxa"/>
            <w:vAlign w:val="center"/>
            <w:hideMark/>
          </w:tcPr>
          <w:p w14:paraId="1DAE6F63" w14:textId="63F88BDE" w:rsidR="009B6B43" w:rsidRPr="00331213" w:rsidRDefault="00AC30E3" w:rsidP="00D26ACE">
            <w:pPr>
              <w:rPr>
                <w:rFonts w:ascii="Arial" w:hAnsi="Arial" w:cs="Arial"/>
                <w:sz w:val="22"/>
                <w:szCs w:val="22"/>
              </w:rPr>
            </w:pPr>
            <w:r w:rsidRPr="00331213">
              <w:rPr>
                <w:rFonts w:ascii="Arial" w:hAnsi="Arial" w:cs="Arial"/>
                <w:sz w:val="22"/>
                <w:szCs w:val="22"/>
              </w:rPr>
              <w:t>Technological changes may lead to employee anxiety about their job security, thus causing low employee engagement and resistance to change in the organization.</w:t>
            </w:r>
          </w:p>
        </w:tc>
        <w:tc>
          <w:tcPr>
            <w:tcW w:w="0" w:type="auto"/>
            <w:vAlign w:val="center"/>
            <w:hideMark/>
          </w:tcPr>
          <w:p w14:paraId="47F3E189" w14:textId="6C56FCC2" w:rsidR="009B6B43" w:rsidRPr="00331213" w:rsidRDefault="0067510E" w:rsidP="00D26ACE">
            <w:pPr>
              <w:rPr>
                <w:rFonts w:ascii="Arial" w:hAnsi="Arial" w:cs="Arial"/>
                <w:sz w:val="22"/>
                <w:szCs w:val="22"/>
              </w:rPr>
            </w:pPr>
            <w:r w:rsidRPr="00331213">
              <w:rPr>
                <w:rFonts w:ascii="Arial" w:hAnsi="Arial" w:cs="Arial"/>
                <w:sz w:val="22"/>
                <w:szCs w:val="22"/>
              </w:rPr>
              <w:t>Change management initiatives and associated change management communications.</w:t>
            </w:r>
          </w:p>
        </w:tc>
        <w:tc>
          <w:tcPr>
            <w:tcW w:w="3899" w:type="dxa"/>
            <w:vAlign w:val="center"/>
            <w:hideMark/>
          </w:tcPr>
          <w:p w14:paraId="722023ED" w14:textId="62651650" w:rsidR="009B6B43" w:rsidRPr="00331213" w:rsidRDefault="005F17BA" w:rsidP="00D26ACE">
            <w:pPr>
              <w:rPr>
                <w:rFonts w:ascii="Arial" w:hAnsi="Arial" w:cs="Arial"/>
                <w:sz w:val="22"/>
                <w:szCs w:val="22"/>
              </w:rPr>
            </w:pPr>
            <w:r w:rsidRPr="00331213">
              <w:rPr>
                <w:rFonts w:ascii="Arial" w:hAnsi="Arial" w:cs="Arial"/>
                <w:sz w:val="22"/>
                <w:szCs w:val="22"/>
              </w:rPr>
              <w:t>The managers at Tesco should also conduct team briefings to discuss the importance of the technology upgrade. Human Resources should provide change management workshops and ensure employee participation in feedback sessions before the introduction of new technology.</w:t>
            </w:r>
          </w:p>
        </w:tc>
      </w:tr>
      <w:tr w:rsidR="009B6B43" w:rsidRPr="00331213" w14:paraId="1D43B9FD" w14:textId="77777777" w:rsidTr="00317FBA">
        <w:trPr>
          <w:tblCellSpacing w:w="15" w:type="dxa"/>
        </w:trPr>
        <w:tc>
          <w:tcPr>
            <w:tcW w:w="3926" w:type="dxa"/>
            <w:vAlign w:val="center"/>
            <w:hideMark/>
          </w:tcPr>
          <w:p w14:paraId="1F911FAC" w14:textId="4823ABB1" w:rsidR="009B6B43" w:rsidRPr="00331213" w:rsidRDefault="001E6E81" w:rsidP="00D26ACE">
            <w:pPr>
              <w:rPr>
                <w:rFonts w:ascii="Arial" w:hAnsi="Arial" w:cs="Arial"/>
                <w:sz w:val="22"/>
                <w:szCs w:val="22"/>
              </w:rPr>
            </w:pPr>
            <w:r w:rsidRPr="00331213">
              <w:rPr>
                <w:rFonts w:ascii="Arial" w:hAnsi="Arial" w:cs="Arial"/>
                <w:sz w:val="22"/>
                <w:szCs w:val="22"/>
              </w:rPr>
              <w:t>Higher employee turnover rates in the retail sector make it difficult for Tesco to maintain high-quality services from experienced employees.</w:t>
            </w:r>
          </w:p>
        </w:tc>
        <w:tc>
          <w:tcPr>
            <w:tcW w:w="0" w:type="auto"/>
            <w:vAlign w:val="center"/>
            <w:hideMark/>
          </w:tcPr>
          <w:p w14:paraId="1D78D2EB" w14:textId="481E0B5E" w:rsidR="009B6B43" w:rsidRPr="00331213" w:rsidRDefault="005F17BA" w:rsidP="00D26ACE">
            <w:pPr>
              <w:rPr>
                <w:rFonts w:ascii="Arial" w:hAnsi="Arial" w:cs="Arial"/>
                <w:sz w:val="22"/>
                <w:szCs w:val="22"/>
              </w:rPr>
            </w:pPr>
            <w:r w:rsidRPr="00331213">
              <w:rPr>
                <w:rFonts w:ascii="Arial" w:hAnsi="Arial" w:cs="Arial"/>
                <w:sz w:val="22"/>
                <w:szCs w:val="22"/>
              </w:rPr>
              <w:t>Employer branding strategies and employee career development initiatives.</w:t>
            </w:r>
          </w:p>
        </w:tc>
        <w:tc>
          <w:tcPr>
            <w:tcW w:w="3899" w:type="dxa"/>
            <w:vAlign w:val="center"/>
            <w:hideMark/>
          </w:tcPr>
          <w:p w14:paraId="3F403526" w14:textId="4E2CC292" w:rsidR="009B6B43" w:rsidRPr="00331213" w:rsidRDefault="005F17BA" w:rsidP="00D26ACE">
            <w:pPr>
              <w:rPr>
                <w:rFonts w:ascii="Arial" w:hAnsi="Arial" w:cs="Arial"/>
                <w:sz w:val="22"/>
                <w:szCs w:val="22"/>
              </w:rPr>
            </w:pPr>
            <w:r w:rsidRPr="00331213">
              <w:rPr>
                <w:rFonts w:ascii="Arial" w:hAnsi="Arial" w:cs="Arial"/>
                <w:sz w:val="22"/>
                <w:szCs w:val="22"/>
              </w:rPr>
              <w:t xml:space="preserve">One possible improvement for Tesco’s Employer Value Proposition is emphasizing the opportunities for internal promotions and career progression in their recruitment campaigns. Mentoring and training workshops could help employees develop their long-term career prospects within the </w:t>
            </w:r>
            <w:bookmarkStart w:id="0" w:name="_Int_XDPMfDTt"/>
            <w:r w:rsidRPr="00331213">
              <w:rPr>
                <w:rFonts w:ascii="Arial" w:hAnsi="Arial" w:cs="Arial"/>
                <w:sz w:val="22"/>
                <w:szCs w:val="22"/>
              </w:rPr>
              <w:t>organization.</w:t>
            </w:r>
            <w:r w:rsidR="009B6B43" w:rsidRPr="00331213">
              <w:rPr>
                <w:rFonts w:ascii="Arial" w:hAnsi="Arial" w:cs="Arial"/>
                <w:sz w:val="22"/>
                <w:szCs w:val="22"/>
              </w:rPr>
              <w:t>.</w:t>
            </w:r>
            <w:bookmarkEnd w:id="0"/>
          </w:p>
        </w:tc>
      </w:tr>
      <w:tr w:rsidR="009B6B43" w:rsidRPr="00331213" w14:paraId="38B34987" w14:textId="77777777" w:rsidTr="00317FBA">
        <w:trPr>
          <w:tblCellSpacing w:w="15" w:type="dxa"/>
        </w:trPr>
        <w:tc>
          <w:tcPr>
            <w:tcW w:w="3926" w:type="dxa"/>
            <w:vAlign w:val="center"/>
            <w:hideMark/>
          </w:tcPr>
          <w:p w14:paraId="4A42E7D1" w14:textId="7994C23F" w:rsidR="009B6B43" w:rsidRPr="00331213" w:rsidRDefault="001E6E81" w:rsidP="00D26ACE">
            <w:pPr>
              <w:rPr>
                <w:rFonts w:ascii="Arial" w:hAnsi="Arial" w:cs="Arial"/>
                <w:sz w:val="22"/>
                <w:szCs w:val="22"/>
              </w:rPr>
            </w:pPr>
            <w:r w:rsidRPr="00331213">
              <w:rPr>
                <w:rFonts w:ascii="Arial" w:hAnsi="Arial" w:cs="Arial"/>
                <w:sz w:val="22"/>
                <w:szCs w:val="22"/>
              </w:rPr>
              <w:t>The employees in customer-handling positions might experience perceived underappreciation, which can affect their motivation and increase the risk of turnover.</w:t>
            </w:r>
          </w:p>
        </w:tc>
        <w:tc>
          <w:tcPr>
            <w:tcW w:w="0" w:type="auto"/>
            <w:vAlign w:val="center"/>
            <w:hideMark/>
          </w:tcPr>
          <w:p w14:paraId="03C40CA7" w14:textId="72F71364" w:rsidR="009B6B43" w:rsidRPr="00331213" w:rsidRDefault="005F17BA" w:rsidP="00D26ACE">
            <w:pPr>
              <w:rPr>
                <w:rFonts w:ascii="Arial" w:hAnsi="Arial" w:cs="Arial"/>
                <w:sz w:val="22"/>
                <w:szCs w:val="22"/>
              </w:rPr>
            </w:pPr>
            <w:r w:rsidRPr="00331213">
              <w:rPr>
                <w:rFonts w:ascii="Arial" w:hAnsi="Arial" w:cs="Arial"/>
                <w:sz w:val="22"/>
                <w:szCs w:val="22"/>
              </w:rPr>
              <w:t>Continuous performance management and employee recognition schemes.</w:t>
            </w:r>
          </w:p>
        </w:tc>
        <w:tc>
          <w:tcPr>
            <w:tcW w:w="3899" w:type="dxa"/>
            <w:vAlign w:val="center"/>
            <w:hideMark/>
          </w:tcPr>
          <w:p w14:paraId="13262056" w14:textId="43952C94" w:rsidR="009B6B43" w:rsidRPr="00331213" w:rsidRDefault="005F17BA" w:rsidP="00D26ACE">
            <w:pPr>
              <w:rPr>
                <w:rFonts w:ascii="Arial" w:hAnsi="Arial" w:cs="Arial"/>
                <w:sz w:val="22"/>
                <w:szCs w:val="22"/>
              </w:rPr>
            </w:pPr>
            <w:r w:rsidRPr="00331213">
              <w:rPr>
                <w:rFonts w:ascii="Arial" w:hAnsi="Arial" w:cs="Arial"/>
                <w:sz w:val="22"/>
                <w:szCs w:val="22"/>
              </w:rPr>
              <w:t>Tesco management must conduct performance check-ins once a month instead of once a year. To increase motivation levels, recognition programs such as Employee of the Month and customer service recognition must be implemented.</w:t>
            </w:r>
          </w:p>
        </w:tc>
      </w:tr>
      <w:tr w:rsidR="009B6B43" w:rsidRPr="00331213" w14:paraId="785B2C88" w14:textId="77777777" w:rsidTr="00317FBA">
        <w:trPr>
          <w:tblCellSpacing w:w="15" w:type="dxa"/>
        </w:trPr>
        <w:tc>
          <w:tcPr>
            <w:tcW w:w="3926" w:type="dxa"/>
            <w:vAlign w:val="center"/>
            <w:hideMark/>
          </w:tcPr>
          <w:p w14:paraId="1BA323A2" w14:textId="77777777" w:rsidR="0067510E" w:rsidRPr="00331213" w:rsidRDefault="0067510E" w:rsidP="00D26ACE">
            <w:pPr>
              <w:rPr>
                <w:rFonts w:ascii="Arial" w:hAnsi="Arial" w:cs="Arial"/>
                <w:sz w:val="22"/>
                <w:szCs w:val="22"/>
              </w:rPr>
            </w:pPr>
            <w:r w:rsidRPr="00331213">
              <w:rPr>
                <w:rFonts w:ascii="Arial" w:hAnsi="Arial" w:cs="Arial"/>
                <w:sz w:val="22"/>
                <w:szCs w:val="22"/>
              </w:rPr>
              <w:lastRenderedPageBreak/>
              <w:t xml:space="preserve">The recruitment and promotional practices might have unconscious bias, which can </w:t>
            </w:r>
          </w:p>
          <w:p w14:paraId="5118820E" w14:textId="5B23D80E" w:rsidR="009B6B43" w:rsidRPr="00331213" w:rsidRDefault="0067510E" w:rsidP="00D26ACE">
            <w:pPr>
              <w:rPr>
                <w:rFonts w:ascii="Arial" w:hAnsi="Arial" w:cs="Arial"/>
                <w:sz w:val="22"/>
                <w:szCs w:val="22"/>
              </w:rPr>
            </w:pPr>
            <w:r w:rsidRPr="00331213">
              <w:rPr>
                <w:rFonts w:ascii="Arial" w:hAnsi="Arial" w:cs="Arial"/>
                <w:sz w:val="22"/>
                <w:szCs w:val="22"/>
              </w:rPr>
              <w:t xml:space="preserve">limit the employees' potential for </w:t>
            </w:r>
            <w:r w:rsidR="00317FBA" w:rsidRPr="00331213">
              <w:rPr>
                <w:rFonts w:ascii="Arial" w:hAnsi="Arial" w:cs="Arial"/>
                <w:sz w:val="22"/>
                <w:szCs w:val="22"/>
              </w:rPr>
              <w:t xml:space="preserve"> </w:t>
            </w:r>
            <w:r w:rsidR="00317FBA" w:rsidRPr="00331213">
              <w:rPr>
                <w:rFonts w:ascii="Arial" w:hAnsi="Arial" w:cs="Arial"/>
                <w:sz w:val="22"/>
                <w:szCs w:val="22"/>
              </w:rPr>
              <w:t>meritocratic</w:t>
            </w:r>
            <w:r w:rsidR="00317FBA" w:rsidRPr="00331213">
              <w:rPr>
                <w:rFonts w:ascii="Arial" w:hAnsi="Arial" w:cs="Arial"/>
                <w:sz w:val="22"/>
                <w:szCs w:val="22"/>
              </w:rPr>
              <w:t xml:space="preserve"> </w:t>
            </w:r>
            <w:r w:rsidRPr="00331213">
              <w:rPr>
                <w:rFonts w:ascii="Arial" w:hAnsi="Arial" w:cs="Arial"/>
                <w:sz w:val="22"/>
                <w:szCs w:val="22"/>
              </w:rPr>
              <w:t>progression.</w:t>
            </w:r>
          </w:p>
        </w:tc>
        <w:tc>
          <w:tcPr>
            <w:tcW w:w="0" w:type="auto"/>
            <w:vAlign w:val="center"/>
            <w:hideMark/>
          </w:tcPr>
          <w:p w14:paraId="34422DE6" w14:textId="4E6F5326" w:rsidR="009B6B43" w:rsidRPr="00331213" w:rsidRDefault="005F17BA" w:rsidP="00D26ACE">
            <w:pPr>
              <w:rPr>
                <w:rFonts w:ascii="Arial" w:hAnsi="Arial" w:cs="Arial"/>
                <w:sz w:val="22"/>
                <w:szCs w:val="22"/>
              </w:rPr>
            </w:pPr>
            <w:r w:rsidRPr="00331213">
              <w:rPr>
                <w:rFonts w:ascii="Arial" w:hAnsi="Arial" w:cs="Arial"/>
                <w:sz w:val="22"/>
                <w:szCs w:val="22"/>
              </w:rPr>
              <w:t>Anonymous recruitment processes and employee selection processes.</w:t>
            </w:r>
          </w:p>
        </w:tc>
        <w:tc>
          <w:tcPr>
            <w:tcW w:w="3899" w:type="dxa"/>
            <w:vAlign w:val="center"/>
            <w:hideMark/>
          </w:tcPr>
          <w:p w14:paraId="69E7B016" w14:textId="5ABF9165" w:rsidR="009B6B43" w:rsidRPr="00331213" w:rsidRDefault="005F17BA" w:rsidP="00D26ACE">
            <w:pPr>
              <w:rPr>
                <w:rFonts w:ascii="Arial" w:hAnsi="Arial" w:cs="Arial"/>
                <w:sz w:val="22"/>
                <w:szCs w:val="22"/>
              </w:rPr>
            </w:pPr>
            <w:r w:rsidRPr="00331213">
              <w:rPr>
                <w:rFonts w:ascii="Arial" w:hAnsi="Arial" w:cs="Arial"/>
                <w:sz w:val="22"/>
                <w:szCs w:val="22"/>
              </w:rPr>
              <w:t xml:space="preserve">For instance, Tesco Human Resource can use blind CV selection by removing personal information, including names and gender, during the initial stages of the selection process. To improve the fairness of selection decisions, structured competency-based interviews and the use of diverse </w:t>
            </w:r>
            <w:proofErr w:type="spellStart"/>
            <w:r w:rsidRPr="00331213">
              <w:rPr>
                <w:rFonts w:ascii="Arial" w:hAnsi="Arial" w:cs="Arial"/>
                <w:sz w:val="22"/>
                <w:szCs w:val="22"/>
              </w:rPr>
              <w:t>intervie</w:t>
            </w:r>
            <w:proofErr w:type="spellEnd"/>
            <w:r w:rsidRPr="00331213">
              <w:rPr>
                <w:rFonts w:ascii="Arial" w:hAnsi="Arial" w:cs="Arial"/>
                <w:sz w:val="22"/>
                <w:szCs w:val="22"/>
              </w:rPr>
              <w:t xml:space="preserve"> panels can be considered.</w:t>
            </w:r>
          </w:p>
        </w:tc>
      </w:tr>
    </w:tbl>
    <w:p w14:paraId="6B57C19C" w14:textId="77777777" w:rsidR="0013067E" w:rsidRPr="0013067E" w:rsidRDefault="0013067E" w:rsidP="0013067E">
      <w:pPr>
        <w:spacing w:before="100" w:beforeAutospacing="1" w:after="100" w:afterAutospacing="1" w:line="240" w:lineRule="auto"/>
        <w:rPr>
          <w:rFonts w:ascii="Times New Roman" w:eastAsiaTheme="minorEastAsia" w:hAnsi="Times New Roman" w:cs="Times New Roman"/>
          <w:kern w:val="0"/>
          <w:lang w:val="ro-GB" w:eastAsia="ro-RO"/>
          <w14:ligatures w14:val="none"/>
        </w:rPr>
      </w:pPr>
    </w:p>
    <w:p w14:paraId="20AB8033" w14:textId="77777777" w:rsidR="0013067E" w:rsidRPr="0013067E" w:rsidRDefault="0013067E" w:rsidP="0013067E">
      <w:pPr>
        <w:spacing w:after="0" w:line="240" w:lineRule="auto"/>
        <w:rPr>
          <w:rFonts w:ascii="Arial" w:eastAsia="Times New Roman" w:hAnsi="Arial" w:cs="Arial"/>
          <w:color w:val="111111"/>
          <w:kern w:val="0"/>
          <w:sz w:val="22"/>
          <w:szCs w:val="22"/>
          <w:lang w:val="ro-GB" w:eastAsia="ro-RO"/>
          <w14:ligatures w14:val="none"/>
        </w:rPr>
      </w:pPr>
      <w:r w:rsidRPr="0013067E">
        <w:rPr>
          <w:rFonts w:ascii="Arial" w:eastAsia="Times New Roman" w:hAnsi="Arial" w:cs="Arial"/>
          <w:color w:val="111111"/>
          <w:kern w:val="0"/>
          <w:sz w:val="22"/>
          <w:szCs w:val="22"/>
          <w:lang w:val="ro-GB" w:eastAsia="ro-RO"/>
          <w14:ligatures w14:val="none"/>
        </w:rPr>
        <w:t>Such alignment ensures HR practices address technology change, employee retention and inclusion.</w:t>
      </w:r>
    </w:p>
    <w:p w14:paraId="7E015E83" w14:textId="77777777" w:rsidR="0046208C" w:rsidRPr="00331213" w:rsidRDefault="0046208C" w:rsidP="00C8337E">
      <w:pPr>
        <w:rPr>
          <w:rFonts w:ascii="Arial" w:hAnsi="Arial" w:cs="Arial"/>
          <w:sz w:val="22"/>
          <w:szCs w:val="22"/>
        </w:rPr>
      </w:pPr>
    </w:p>
    <w:p w14:paraId="738A3CF8" w14:textId="70D77291" w:rsidR="00C8337E" w:rsidRPr="00331213" w:rsidRDefault="00C8337E" w:rsidP="00C8337E">
      <w:pPr>
        <w:rPr>
          <w:rFonts w:ascii="Arial" w:hAnsi="Arial" w:cs="Arial"/>
          <w:sz w:val="22"/>
          <w:szCs w:val="22"/>
        </w:rPr>
      </w:pPr>
      <w:r w:rsidRPr="00331213">
        <w:rPr>
          <w:rFonts w:ascii="Arial" w:hAnsi="Arial" w:cs="Arial"/>
          <w:sz w:val="22"/>
          <w:szCs w:val="22"/>
        </w:rPr>
        <w:t xml:space="preserve">3. Critical Evaluation of Managerial Implementation </w:t>
      </w:r>
    </w:p>
    <w:p w14:paraId="1951DB79" w14:textId="77777777" w:rsidR="00C8337E" w:rsidRPr="00331213" w:rsidRDefault="00C8337E" w:rsidP="00C8337E">
      <w:pPr>
        <w:rPr>
          <w:rFonts w:ascii="Arial" w:hAnsi="Arial" w:cs="Arial"/>
          <w:sz w:val="22"/>
          <w:szCs w:val="22"/>
        </w:rPr>
      </w:pPr>
    </w:p>
    <w:p w14:paraId="32511874" w14:textId="6052644A" w:rsidR="00D26ACE" w:rsidRPr="00331213" w:rsidRDefault="00D26ACE" w:rsidP="00D26ACE">
      <w:pPr>
        <w:rPr>
          <w:rFonts w:ascii="Arial" w:hAnsi="Arial" w:cs="Arial"/>
          <w:sz w:val="22"/>
          <w:szCs w:val="22"/>
        </w:rPr>
      </w:pPr>
      <w:r w:rsidRPr="00331213">
        <w:rPr>
          <w:rFonts w:ascii="Arial" w:hAnsi="Arial" w:cs="Arial"/>
          <w:sz w:val="22"/>
          <w:szCs w:val="22"/>
        </w:rPr>
        <w:t>Departmental managers play a central role in ensuring that human resource policies are implemented in practice. This is in line with strategic HRM approaches, which argue that line managers have the overall responsibility to implement HR strategies (Armstrong &amp; Taylor, 2020). Without the involvement of departmental managers, human resource policies will be considered theoretical.</w:t>
      </w:r>
    </w:p>
    <w:p w14:paraId="10A9E211" w14:textId="77777777" w:rsidR="00D26ACE" w:rsidRPr="00331213" w:rsidRDefault="00D26ACE" w:rsidP="00D26ACE">
      <w:pPr>
        <w:rPr>
          <w:rFonts w:ascii="Arial" w:hAnsi="Arial" w:cs="Arial"/>
          <w:sz w:val="22"/>
          <w:szCs w:val="22"/>
        </w:rPr>
      </w:pPr>
      <w:r w:rsidRPr="00331213">
        <w:rPr>
          <w:rFonts w:ascii="Arial" w:hAnsi="Arial" w:cs="Arial"/>
          <w:sz w:val="22"/>
          <w:szCs w:val="22"/>
        </w:rPr>
        <w:t>The departmental manager has the task of communicating the need for digital transformation and encouraging employees to take part in the training program. This can be done by clearly explaining the benefits of the program, which will reduce employees' resistance to change (Noe et al., 2017).</w:t>
      </w:r>
    </w:p>
    <w:p w14:paraId="33452C8E" w14:textId="4E9A4DDC" w:rsidR="00D26ACE" w:rsidRPr="00331213" w:rsidRDefault="00D26ACE" w:rsidP="00D26ACE">
      <w:pPr>
        <w:rPr>
          <w:rFonts w:ascii="Arial" w:hAnsi="Arial" w:cs="Arial"/>
          <w:sz w:val="22"/>
          <w:szCs w:val="22"/>
        </w:rPr>
      </w:pPr>
      <w:r w:rsidRPr="00331213">
        <w:rPr>
          <w:rFonts w:ascii="Arial" w:hAnsi="Arial" w:cs="Arial"/>
          <w:sz w:val="22"/>
          <w:szCs w:val="22"/>
        </w:rPr>
        <w:t xml:space="preserve">The impact of inclusive leadership styles should also be considered, as it has a significant impact on the work environment. A departmental manager who demonstrates </w:t>
      </w:r>
      <w:proofErr w:type="spellStart"/>
      <w:r w:rsidRPr="00331213">
        <w:rPr>
          <w:rFonts w:ascii="Arial" w:hAnsi="Arial" w:cs="Arial"/>
          <w:sz w:val="22"/>
          <w:szCs w:val="22"/>
        </w:rPr>
        <w:t>behaviors</w:t>
      </w:r>
      <w:proofErr w:type="spellEnd"/>
      <w:r w:rsidRPr="00331213">
        <w:rPr>
          <w:rFonts w:ascii="Arial" w:hAnsi="Arial" w:cs="Arial"/>
          <w:sz w:val="22"/>
          <w:szCs w:val="22"/>
        </w:rPr>
        <w:t xml:space="preserve"> that show fairness, openness, and respect will be able to create an environment where employees feel appreciated (Nishii &amp; Mayer, 2009). This has significant implications for DEI initiatives and turnover rates.</w:t>
      </w:r>
    </w:p>
    <w:p w14:paraId="2BDECB2C" w14:textId="60980680" w:rsidR="00D26ACE" w:rsidRPr="00331213" w:rsidRDefault="00D26ACE" w:rsidP="00D26ACE">
      <w:pPr>
        <w:rPr>
          <w:rFonts w:ascii="Arial" w:hAnsi="Arial" w:cs="Arial"/>
          <w:sz w:val="22"/>
          <w:szCs w:val="22"/>
        </w:rPr>
      </w:pPr>
      <w:r w:rsidRPr="00331213">
        <w:rPr>
          <w:rFonts w:ascii="Arial" w:hAnsi="Arial" w:cs="Arial"/>
          <w:sz w:val="22"/>
          <w:szCs w:val="22"/>
        </w:rPr>
        <w:t>However, departmental managers might be distracted by other issues, like achieving sales targets or dealing with staff shortages. In this case, it is essential to have enough training for the departmental managers to enhance their capabilities in managing employees.</w:t>
      </w:r>
    </w:p>
    <w:p w14:paraId="7881DD7F" w14:textId="43FC06B7" w:rsidR="00C8337E" w:rsidRPr="00331213" w:rsidRDefault="00D26ACE" w:rsidP="00D26ACE">
      <w:pPr>
        <w:rPr>
          <w:rFonts w:ascii="Arial" w:hAnsi="Arial" w:cs="Arial"/>
          <w:sz w:val="22"/>
          <w:szCs w:val="22"/>
        </w:rPr>
      </w:pPr>
      <w:r w:rsidRPr="00331213">
        <w:rPr>
          <w:rFonts w:ascii="Arial" w:hAnsi="Arial" w:cs="Arial"/>
          <w:sz w:val="22"/>
          <w:szCs w:val="22"/>
        </w:rPr>
        <w:t>The success of HR initiatives will depend on the alignment of HR strategies, departmental manager accountability, and organizational culture. When departmental managers are involved in HR initiatives, they will be able to implement HR strategies in practice, not just in theory.</w:t>
      </w:r>
    </w:p>
    <w:p w14:paraId="5028C471" w14:textId="77777777" w:rsidR="00B366B3" w:rsidRPr="00331213" w:rsidRDefault="00B366B3" w:rsidP="00C8337E">
      <w:pPr>
        <w:rPr>
          <w:rFonts w:ascii="Arial" w:hAnsi="Arial" w:cs="Arial"/>
          <w:sz w:val="22"/>
          <w:szCs w:val="22"/>
        </w:rPr>
      </w:pPr>
    </w:p>
    <w:p w14:paraId="7F4EECD0" w14:textId="470505CE" w:rsidR="00C8337E" w:rsidRPr="00331213" w:rsidRDefault="00C8337E" w:rsidP="00C8337E">
      <w:pPr>
        <w:rPr>
          <w:rFonts w:ascii="Arial" w:hAnsi="Arial" w:cs="Arial"/>
          <w:sz w:val="22"/>
          <w:szCs w:val="22"/>
        </w:rPr>
      </w:pPr>
      <w:r w:rsidRPr="00331213">
        <w:rPr>
          <w:rFonts w:ascii="Arial" w:hAnsi="Arial" w:cs="Arial"/>
          <w:sz w:val="22"/>
          <w:szCs w:val="22"/>
        </w:rPr>
        <w:t xml:space="preserve">Conclusion and Recommendations </w:t>
      </w:r>
    </w:p>
    <w:p w14:paraId="42731637" w14:textId="030FB874" w:rsidR="00D26ACE" w:rsidRPr="00331213" w:rsidRDefault="00D26ACE" w:rsidP="00D26ACE">
      <w:pPr>
        <w:rPr>
          <w:rFonts w:ascii="Arial" w:hAnsi="Arial" w:cs="Arial"/>
          <w:sz w:val="22"/>
          <w:szCs w:val="22"/>
        </w:rPr>
      </w:pPr>
      <w:r w:rsidRPr="00331213">
        <w:rPr>
          <w:rFonts w:ascii="Arial" w:hAnsi="Arial" w:cs="Arial"/>
          <w:sz w:val="22"/>
          <w:szCs w:val="22"/>
        </w:rPr>
        <w:t>Tesco faces interrelated human resource issues related to technology advancements, talent management, and diversity, equity, and inclusion (DEI). Digitalization requires ongoing reskilling and change management. In a competitive environment, employer branding, recruitment, and engagement are critical. DEI involves compliance and opportunities for organizational performance improvement.</w:t>
      </w:r>
    </w:p>
    <w:p w14:paraId="2304B201" w14:textId="0D23FDE1" w:rsidR="00D26ACE" w:rsidRPr="00331213" w:rsidRDefault="00D26ACE" w:rsidP="00D26ACE">
      <w:pPr>
        <w:rPr>
          <w:rFonts w:ascii="Arial" w:hAnsi="Arial" w:cs="Arial"/>
          <w:sz w:val="22"/>
          <w:szCs w:val="22"/>
        </w:rPr>
      </w:pPr>
      <w:r w:rsidRPr="00331213">
        <w:rPr>
          <w:rFonts w:ascii="Arial" w:hAnsi="Arial" w:cs="Arial"/>
          <w:sz w:val="22"/>
          <w:szCs w:val="22"/>
        </w:rPr>
        <w:t>Effective solutions to current human resource issues include current human resource practices such as digital learning, HR analytics, structured recruitment, ongoing performance management, and inclusive leadership development. However, the success of these solutions depends on managerial consistency and accountability.</w:t>
      </w:r>
    </w:p>
    <w:p w14:paraId="062D8DA9" w14:textId="77777777" w:rsidR="00D26ACE" w:rsidRPr="00331213" w:rsidRDefault="00D26ACE" w:rsidP="00D26ACE">
      <w:pPr>
        <w:rPr>
          <w:rFonts w:ascii="Arial" w:hAnsi="Arial" w:cs="Arial"/>
          <w:sz w:val="22"/>
          <w:szCs w:val="22"/>
        </w:rPr>
      </w:pPr>
      <w:r w:rsidRPr="00331213">
        <w:rPr>
          <w:rFonts w:ascii="Arial" w:hAnsi="Arial" w:cs="Arial"/>
          <w:sz w:val="22"/>
          <w:szCs w:val="22"/>
        </w:rPr>
        <w:t>Based on the analysis, the following recommendations are made:</w:t>
      </w:r>
    </w:p>
    <w:p w14:paraId="1CA02FD7" w14:textId="77777777" w:rsidR="00D26ACE" w:rsidRPr="00331213" w:rsidRDefault="00D26ACE" w:rsidP="00D26ACE">
      <w:pPr>
        <w:rPr>
          <w:rFonts w:ascii="Arial" w:hAnsi="Arial" w:cs="Arial"/>
          <w:sz w:val="22"/>
          <w:szCs w:val="22"/>
        </w:rPr>
      </w:pPr>
      <w:r w:rsidRPr="00331213">
        <w:rPr>
          <w:rFonts w:ascii="Arial" w:hAnsi="Arial" w:cs="Arial"/>
          <w:sz w:val="22"/>
          <w:szCs w:val="22"/>
        </w:rPr>
        <w:t>1. Create a structured digital reskilling process using workforce analytics.</w:t>
      </w:r>
    </w:p>
    <w:p w14:paraId="4857FB5C" w14:textId="77777777" w:rsidR="00D26ACE" w:rsidRPr="00331213" w:rsidRDefault="00D26ACE" w:rsidP="00D26ACE">
      <w:pPr>
        <w:rPr>
          <w:rFonts w:ascii="Arial" w:hAnsi="Arial" w:cs="Arial"/>
          <w:sz w:val="22"/>
          <w:szCs w:val="22"/>
        </w:rPr>
      </w:pPr>
      <w:r w:rsidRPr="00331213">
        <w:rPr>
          <w:rFonts w:ascii="Arial" w:hAnsi="Arial" w:cs="Arial"/>
          <w:sz w:val="22"/>
          <w:szCs w:val="22"/>
        </w:rPr>
        <w:t>2. Improve employer branding through transparent career paths and growth opportunities.</w:t>
      </w:r>
    </w:p>
    <w:p w14:paraId="7252D15C" w14:textId="77777777" w:rsidR="00D26ACE" w:rsidRPr="00331213" w:rsidRDefault="00D26ACE" w:rsidP="00D26ACE">
      <w:pPr>
        <w:rPr>
          <w:rFonts w:ascii="Arial" w:hAnsi="Arial" w:cs="Arial"/>
          <w:sz w:val="22"/>
          <w:szCs w:val="22"/>
        </w:rPr>
      </w:pPr>
      <w:r w:rsidRPr="00331213">
        <w:rPr>
          <w:rFonts w:ascii="Arial" w:hAnsi="Arial" w:cs="Arial"/>
          <w:sz w:val="22"/>
          <w:szCs w:val="22"/>
        </w:rPr>
        <w:t>3. Incorporate DEI metrics into managerial performance reviews.</w:t>
      </w:r>
    </w:p>
    <w:p w14:paraId="6E36A790" w14:textId="77777777" w:rsidR="00D26ACE" w:rsidRPr="00331213" w:rsidRDefault="00D26ACE" w:rsidP="00D26ACE">
      <w:pPr>
        <w:rPr>
          <w:rFonts w:ascii="Arial" w:hAnsi="Arial" w:cs="Arial"/>
          <w:sz w:val="22"/>
          <w:szCs w:val="22"/>
        </w:rPr>
      </w:pPr>
      <w:r w:rsidRPr="00331213">
        <w:rPr>
          <w:rFonts w:ascii="Arial" w:hAnsi="Arial" w:cs="Arial"/>
          <w:sz w:val="22"/>
          <w:szCs w:val="22"/>
        </w:rPr>
        <w:t>4. Create an inclusive leadership and change management program for departmental managers.</w:t>
      </w:r>
    </w:p>
    <w:p w14:paraId="0FBAAC4C" w14:textId="38CF5C02" w:rsidR="00D26ACE" w:rsidRPr="00331213" w:rsidRDefault="00D26ACE" w:rsidP="00D26ACE">
      <w:pPr>
        <w:rPr>
          <w:rFonts w:ascii="Arial" w:hAnsi="Arial" w:cs="Arial"/>
          <w:sz w:val="22"/>
          <w:szCs w:val="22"/>
        </w:rPr>
      </w:pPr>
      <w:r w:rsidRPr="00331213">
        <w:rPr>
          <w:rFonts w:ascii="Arial" w:hAnsi="Arial" w:cs="Arial"/>
          <w:sz w:val="22"/>
          <w:szCs w:val="22"/>
        </w:rPr>
        <w:t>5. Create ongoing systems to monitor and measure the performance of the HR department.</w:t>
      </w:r>
    </w:p>
    <w:p w14:paraId="10096DEF" w14:textId="077087A0" w:rsidR="00C8337E" w:rsidRPr="00331213" w:rsidRDefault="00D26ACE" w:rsidP="00D26ACE">
      <w:pPr>
        <w:rPr>
          <w:rFonts w:ascii="Arial" w:hAnsi="Arial" w:cs="Arial"/>
          <w:sz w:val="22"/>
          <w:szCs w:val="22"/>
        </w:rPr>
      </w:pPr>
      <w:r w:rsidRPr="00331213">
        <w:rPr>
          <w:rFonts w:ascii="Arial" w:hAnsi="Arial" w:cs="Arial"/>
          <w:sz w:val="22"/>
          <w:szCs w:val="22"/>
        </w:rPr>
        <w:t>Through an integrated approach to human resources, Tesco can improve performance while developing individuals and teams.</w:t>
      </w:r>
    </w:p>
    <w:p w14:paraId="54CB2923" w14:textId="77777777" w:rsidR="00C8337E" w:rsidRPr="00331213" w:rsidRDefault="00C8337E" w:rsidP="00C8337E">
      <w:pPr>
        <w:rPr>
          <w:rFonts w:ascii="Arial" w:hAnsi="Arial" w:cs="Arial"/>
          <w:sz w:val="22"/>
          <w:szCs w:val="22"/>
        </w:rPr>
      </w:pPr>
    </w:p>
    <w:p w14:paraId="4AD8C20E" w14:textId="26BC991D" w:rsidR="00C8337E" w:rsidRPr="00331213" w:rsidRDefault="00C8337E" w:rsidP="00C8337E">
      <w:pPr>
        <w:rPr>
          <w:rFonts w:ascii="Arial" w:hAnsi="Arial" w:cs="Arial"/>
          <w:sz w:val="22"/>
          <w:szCs w:val="22"/>
        </w:rPr>
      </w:pPr>
      <w:r w:rsidRPr="00331213">
        <w:rPr>
          <w:rFonts w:ascii="Arial" w:hAnsi="Arial" w:cs="Arial"/>
          <w:sz w:val="22"/>
          <w:szCs w:val="22"/>
        </w:rPr>
        <w:t>Reference List (Harvard)</w:t>
      </w:r>
    </w:p>
    <w:p w14:paraId="78997623" w14:textId="77777777" w:rsidR="00C8337E" w:rsidRPr="00331213" w:rsidRDefault="00C8337E" w:rsidP="00C8337E">
      <w:pPr>
        <w:rPr>
          <w:rFonts w:ascii="Arial" w:hAnsi="Arial" w:cs="Arial"/>
          <w:sz w:val="22"/>
          <w:szCs w:val="22"/>
        </w:rPr>
      </w:pPr>
      <w:r w:rsidRPr="00331213">
        <w:rPr>
          <w:rFonts w:ascii="Arial" w:hAnsi="Arial" w:cs="Arial"/>
          <w:sz w:val="22"/>
          <w:szCs w:val="22"/>
        </w:rPr>
        <w:t>Aguinis, H. (2019) Performance Management for Dummies. Wiley.</w:t>
      </w:r>
    </w:p>
    <w:p w14:paraId="325621DD" w14:textId="77777777" w:rsidR="00C8337E" w:rsidRPr="00331213" w:rsidRDefault="00C8337E" w:rsidP="00C8337E">
      <w:pPr>
        <w:rPr>
          <w:rFonts w:ascii="Arial" w:hAnsi="Arial" w:cs="Arial"/>
          <w:sz w:val="22"/>
          <w:szCs w:val="22"/>
        </w:rPr>
      </w:pPr>
      <w:r w:rsidRPr="00331213">
        <w:rPr>
          <w:rFonts w:ascii="Arial" w:hAnsi="Arial" w:cs="Arial"/>
          <w:sz w:val="22"/>
          <w:szCs w:val="22"/>
        </w:rPr>
        <w:t xml:space="preserve">Armstrong, M. and Taylor, S. (2020) Armstrong’s Handbook of Human Resource Management Practice. 15th </w:t>
      </w:r>
      <w:proofErr w:type="spellStart"/>
      <w:r w:rsidRPr="00331213">
        <w:rPr>
          <w:rFonts w:ascii="Arial" w:hAnsi="Arial" w:cs="Arial"/>
          <w:sz w:val="22"/>
          <w:szCs w:val="22"/>
        </w:rPr>
        <w:t>edn</w:t>
      </w:r>
      <w:proofErr w:type="spellEnd"/>
      <w:r w:rsidRPr="00331213">
        <w:rPr>
          <w:rFonts w:ascii="Arial" w:hAnsi="Arial" w:cs="Arial"/>
          <w:sz w:val="22"/>
          <w:szCs w:val="22"/>
        </w:rPr>
        <w:t>. London: Kogan Page.</w:t>
      </w:r>
    </w:p>
    <w:p w14:paraId="2D5DEC95" w14:textId="77777777" w:rsidR="00C8337E" w:rsidRPr="00331213" w:rsidRDefault="00C8337E" w:rsidP="00C8337E">
      <w:pPr>
        <w:rPr>
          <w:rFonts w:ascii="Arial" w:hAnsi="Arial" w:cs="Arial"/>
          <w:sz w:val="22"/>
          <w:szCs w:val="22"/>
        </w:rPr>
      </w:pPr>
      <w:r w:rsidRPr="00331213">
        <w:rPr>
          <w:rFonts w:ascii="Arial" w:hAnsi="Arial" w:cs="Arial"/>
          <w:sz w:val="22"/>
          <w:szCs w:val="22"/>
        </w:rPr>
        <w:t>Backhaus, K. and Tikoo, S. (2004) ‘Conceptualising and researching employer branding’, Career Development International, 9(5), pp. 501–517.</w:t>
      </w:r>
    </w:p>
    <w:p w14:paraId="0749ED0B" w14:textId="77777777" w:rsidR="00C8337E" w:rsidRPr="00331213" w:rsidRDefault="00C8337E" w:rsidP="00C8337E">
      <w:pPr>
        <w:rPr>
          <w:rFonts w:ascii="Arial" w:hAnsi="Arial" w:cs="Arial"/>
          <w:sz w:val="22"/>
          <w:szCs w:val="22"/>
        </w:rPr>
      </w:pPr>
      <w:r w:rsidRPr="00331213">
        <w:rPr>
          <w:rFonts w:ascii="Arial" w:hAnsi="Arial" w:cs="Arial"/>
          <w:sz w:val="22"/>
          <w:szCs w:val="22"/>
        </w:rPr>
        <w:t xml:space="preserve">Boxall, P. and Purcell, J. (2016) Strategy and Human Resource Management. 4th </w:t>
      </w:r>
      <w:proofErr w:type="spellStart"/>
      <w:r w:rsidRPr="00331213">
        <w:rPr>
          <w:rFonts w:ascii="Arial" w:hAnsi="Arial" w:cs="Arial"/>
          <w:sz w:val="22"/>
          <w:szCs w:val="22"/>
        </w:rPr>
        <w:t>edn</w:t>
      </w:r>
      <w:proofErr w:type="spellEnd"/>
      <w:r w:rsidRPr="00331213">
        <w:rPr>
          <w:rFonts w:ascii="Arial" w:hAnsi="Arial" w:cs="Arial"/>
          <w:sz w:val="22"/>
          <w:szCs w:val="22"/>
        </w:rPr>
        <w:t>. London: Palgrave.</w:t>
      </w:r>
    </w:p>
    <w:p w14:paraId="3A177B77" w14:textId="77777777" w:rsidR="00C8337E" w:rsidRPr="00331213" w:rsidRDefault="00C8337E" w:rsidP="00C8337E">
      <w:pPr>
        <w:rPr>
          <w:rFonts w:ascii="Arial" w:hAnsi="Arial" w:cs="Arial"/>
          <w:sz w:val="22"/>
          <w:szCs w:val="22"/>
        </w:rPr>
      </w:pPr>
      <w:r w:rsidRPr="00331213">
        <w:rPr>
          <w:rFonts w:ascii="Arial" w:hAnsi="Arial" w:cs="Arial"/>
          <w:sz w:val="22"/>
          <w:szCs w:val="22"/>
        </w:rPr>
        <w:t>CIPD (2023) Data protection and HR practice. London: CIPD.</w:t>
      </w:r>
    </w:p>
    <w:p w14:paraId="31E84E1C" w14:textId="77777777" w:rsidR="00C8337E" w:rsidRPr="00331213" w:rsidRDefault="00C8337E" w:rsidP="00C8337E">
      <w:pPr>
        <w:rPr>
          <w:rFonts w:ascii="Arial" w:hAnsi="Arial" w:cs="Arial"/>
          <w:sz w:val="22"/>
          <w:szCs w:val="22"/>
        </w:rPr>
      </w:pPr>
      <w:r w:rsidRPr="00331213">
        <w:rPr>
          <w:rFonts w:ascii="Arial" w:hAnsi="Arial" w:cs="Arial"/>
          <w:sz w:val="22"/>
          <w:szCs w:val="22"/>
        </w:rPr>
        <w:t>CIPD (2024) Employee turnover and retention. London: CIPD.</w:t>
      </w:r>
    </w:p>
    <w:p w14:paraId="380965C2" w14:textId="77777777" w:rsidR="00C8337E" w:rsidRPr="00331213" w:rsidRDefault="00C8337E" w:rsidP="00C8337E">
      <w:pPr>
        <w:rPr>
          <w:rFonts w:ascii="Arial" w:hAnsi="Arial" w:cs="Arial"/>
          <w:sz w:val="22"/>
          <w:szCs w:val="22"/>
        </w:rPr>
      </w:pPr>
      <w:r w:rsidRPr="00331213">
        <w:rPr>
          <w:rFonts w:ascii="Arial" w:hAnsi="Arial" w:cs="Arial"/>
          <w:sz w:val="22"/>
          <w:szCs w:val="22"/>
        </w:rPr>
        <w:t>Dobbin, F. and Kalev, A. (2016) ‘Why diversity programs fail’, Harvard Business Review, 94(7/8), pp. 52–60.</w:t>
      </w:r>
    </w:p>
    <w:p w14:paraId="5B91984B" w14:textId="77777777" w:rsidR="00C8337E" w:rsidRPr="00331213" w:rsidRDefault="00C8337E" w:rsidP="00C8337E">
      <w:pPr>
        <w:rPr>
          <w:rFonts w:ascii="Arial" w:hAnsi="Arial" w:cs="Arial"/>
          <w:sz w:val="22"/>
          <w:szCs w:val="22"/>
        </w:rPr>
      </w:pPr>
      <w:r w:rsidRPr="00331213">
        <w:rPr>
          <w:rFonts w:ascii="Arial" w:hAnsi="Arial" w:cs="Arial"/>
          <w:sz w:val="22"/>
          <w:szCs w:val="22"/>
        </w:rPr>
        <w:t>Herzberg, F., Mausner, B. and Snyderman, B. (1959) The Motivation to Work. New York: Wiley.</w:t>
      </w:r>
    </w:p>
    <w:p w14:paraId="7B8C66C2" w14:textId="77777777" w:rsidR="00C8337E" w:rsidRPr="00331213" w:rsidRDefault="00C8337E" w:rsidP="00C8337E">
      <w:pPr>
        <w:rPr>
          <w:rFonts w:ascii="Arial" w:hAnsi="Arial" w:cs="Arial"/>
          <w:sz w:val="22"/>
          <w:szCs w:val="22"/>
        </w:rPr>
      </w:pPr>
      <w:r w:rsidRPr="00331213">
        <w:rPr>
          <w:rFonts w:ascii="Arial" w:hAnsi="Arial" w:cs="Arial"/>
          <w:sz w:val="22"/>
          <w:szCs w:val="22"/>
        </w:rPr>
        <w:t>MacLeod, D. and Clarke, N. (2009) Engaging for Success. London: UK Government.</w:t>
      </w:r>
    </w:p>
    <w:p w14:paraId="544F27CC" w14:textId="77777777" w:rsidR="00C8337E" w:rsidRPr="00331213" w:rsidRDefault="00C8337E" w:rsidP="00C8337E">
      <w:pPr>
        <w:rPr>
          <w:rFonts w:ascii="Arial" w:hAnsi="Arial" w:cs="Arial"/>
          <w:sz w:val="22"/>
          <w:szCs w:val="22"/>
        </w:rPr>
      </w:pPr>
      <w:r w:rsidRPr="00331213">
        <w:rPr>
          <w:rFonts w:ascii="Arial" w:hAnsi="Arial" w:cs="Arial"/>
          <w:sz w:val="22"/>
          <w:szCs w:val="22"/>
        </w:rPr>
        <w:t>Nishii, L.H. and Mayer, D.M. (2009) ‘Do inclusive leaders help to reduce turnover?’, Journal of Applied Psychology, 94(6), pp. 1412–1426.</w:t>
      </w:r>
    </w:p>
    <w:p w14:paraId="7BB698BE" w14:textId="77777777" w:rsidR="00C8337E" w:rsidRPr="00331213" w:rsidRDefault="00C8337E" w:rsidP="00C8337E">
      <w:pPr>
        <w:rPr>
          <w:rFonts w:ascii="Arial" w:hAnsi="Arial" w:cs="Arial"/>
          <w:sz w:val="22"/>
          <w:szCs w:val="22"/>
        </w:rPr>
      </w:pPr>
      <w:r w:rsidRPr="00331213">
        <w:rPr>
          <w:rFonts w:ascii="Arial" w:hAnsi="Arial" w:cs="Arial"/>
          <w:sz w:val="22"/>
          <w:szCs w:val="22"/>
        </w:rPr>
        <w:t xml:space="preserve">Noe, R.A., et al. (2017) Employee Training and Development. 7th </w:t>
      </w:r>
      <w:proofErr w:type="spellStart"/>
      <w:r w:rsidRPr="00331213">
        <w:rPr>
          <w:rFonts w:ascii="Arial" w:hAnsi="Arial" w:cs="Arial"/>
          <w:sz w:val="22"/>
          <w:szCs w:val="22"/>
        </w:rPr>
        <w:t>edn</w:t>
      </w:r>
      <w:proofErr w:type="spellEnd"/>
      <w:r w:rsidRPr="00331213">
        <w:rPr>
          <w:rFonts w:ascii="Arial" w:hAnsi="Arial" w:cs="Arial"/>
          <w:sz w:val="22"/>
          <w:szCs w:val="22"/>
        </w:rPr>
        <w:t>. New York: McGraw-Hill.</w:t>
      </w:r>
    </w:p>
    <w:p w14:paraId="270EB6D9" w14:textId="77777777" w:rsidR="00C8337E" w:rsidRPr="00331213" w:rsidRDefault="00C8337E" w:rsidP="00C8337E">
      <w:pPr>
        <w:rPr>
          <w:rFonts w:ascii="Arial" w:hAnsi="Arial" w:cs="Arial"/>
          <w:sz w:val="22"/>
          <w:szCs w:val="22"/>
        </w:rPr>
      </w:pPr>
      <w:r w:rsidRPr="00331213">
        <w:rPr>
          <w:rFonts w:ascii="Arial" w:hAnsi="Arial" w:cs="Arial"/>
          <w:sz w:val="22"/>
          <w:szCs w:val="22"/>
        </w:rPr>
        <w:t>Rousseau, D.M. (1995) Psychological Contracts in Organizations. Sage.</w:t>
      </w:r>
    </w:p>
    <w:p w14:paraId="7756294F" w14:textId="7A896630" w:rsidR="00082C25" w:rsidRPr="00331213" w:rsidRDefault="00C8337E" w:rsidP="00C8337E">
      <w:pPr>
        <w:rPr>
          <w:rFonts w:ascii="Arial" w:hAnsi="Arial" w:cs="Arial"/>
          <w:sz w:val="22"/>
          <w:szCs w:val="22"/>
        </w:rPr>
      </w:pPr>
      <w:r w:rsidRPr="00331213">
        <w:rPr>
          <w:rFonts w:ascii="Arial" w:hAnsi="Arial" w:cs="Arial"/>
          <w:sz w:val="22"/>
          <w:szCs w:val="22"/>
        </w:rPr>
        <w:t>Shen, J., et al. (2009) ‘Managing diversity through HRM’, European Journal of International Management, 3(2), pp. 173–196.</w:t>
      </w:r>
    </w:p>
    <w:sectPr w:rsidR="00082C25" w:rsidRPr="00331213">
      <w:pgSz w:w="12240" w:h="15840"/>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XDPMfDTt" int2:invalidationBookmarkName="" int2:hashCode="dke+aKBCZY4KJ7" int2:id="9Con6o4z">
      <int2:state int2:value="Rejected" int2:type="gram"/>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062F"/>
    <w:rsid w:val="00036A83"/>
    <w:rsid w:val="00082C25"/>
    <w:rsid w:val="00083EAD"/>
    <w:rsid w:val="000E0288"/>
    <w:rsid w:val="000E0669"/>
    <w:rsid w:val="00112B1D"/>
    <w:rsid w:val="0012382C"/>
    <w:rsid w:val="0013067E"/>
    <w:rsid w:val="00130B3A"/>
    <w:rsid w:val="00145A30"/>
    <w:rsid w:val="001E6E81"/>
    <w:rsid w:val="00275EB6"/>
    <w:rsid w:val="002A015C"/>
    <w:rsid w:val="002B5F97"/>
    <w:rsid w:val="002C018B"/>
    <w:rsid w:val="002F143D"/>
    <w:rsid w:val="002F7CA6"/>
    <w:rsid w:val="00317FBA"/>
    <w:rsid w:val="00331213"/>
    <w:rsid w:val="003A40FF"/>
    <w:rsid w:val="003F2580"/>
    <w:rsid w:val="0046208C"/>
    <w:rsid w:val="004635CF"/>
    <w:rsid w:val="004711EC"/>
    <w:rsid w:val="004F2C76"/>
    <w:rsid w:val="005777CB"/>
    <w:rsid w:val="005909AC"/>
    <w:rsid w:val="00596F65"/>
    <w:rsid w:val="005E3BDE"/>
    <w:rsid w:val="005F17BA"/>
    <w:rsid w:val="00645896"/>
    <w:rsid w:val="00646CFF"/>
    <w:rsid w:val="00652F20"/>
    <w:rsid w:val="0067510E"/>
    <w:rsid w:val="006A017C"/>
    <w:rsid w:val="006C4953"/>
    <w:rsid w:val="006D486B"/>
    <w:rsid w:val="006D6BD4"/>
    <w:rsid w:val="006F3652"/>
    <w:rsid w:val="00705E95"/>
    <w:rsid w:val="007902EA"/>
    <w:rsid w:val="007B0082"/>
    <w:rsid w:val="007B062F"/>
    <w:rsid w:val="007C1B11"/>
    <w:rsid w:val="007C52D1"/>
    <w:rsid w:val="00832AF3"/>
    <w:rsid w:val="00834251"/>
    <w:rsid w:val="008400EA"/>
    <w:rsid w:val="00864324"/>
    <w:rsid w:val="008955B1"/>
    <w:rsid w:val="008B7B27"/>
    <w:rsid w:val="008E7F37"/>
    <w:rsid w:val="00963625"/>
    <w:rsid w:val="009B6B43"/>
    <w:rsid w:val="00A67F17"/>
    <w:rsid w:val="00AA47B7"/>
    <w:rsid w:val="00AC30E3"/>
    <w:rsid w:val="00B308A0"/>
    <w:rsid w:val="00B366B3"/>
    <w:rsid w:val="00B46B8E"/>
    <w:rsid w:val="00B61684"/>
    <w:rsid w:val="00C237E6"/>
    <w:rsid w:val="00C60E1C"/>
    <w:rsid w:val="00C616FC"/>
    <w:rsid w:val="00C8337E"/>
    <w:rsid w:val="00C912D2"/>
    <w:rsid w:val="00C961E2"/>
    <w:rsid w:val="00CA6066"/>
    <w:rsid w:val="00CB0ABE"/>
    <w:rsid w:val="00CB43D5"/>
    <w:rsid w:val="00CB4967"/>
    <w:rsid w:val="00D26ACE"/>
    <w:rsid w:val="00D43A18"/>
    <w:rsid w:val="00D47B18"/>
    <w:rsid w:val="00D6563E"/>
    <w:rsid w:val="00D71D39"/>
    <w:rsid w:val="00D80271"/>
    <w:rsid w:val="00DA2FA8"/>
    <w:rsid w:val="00DA5BAD"/>
    <w:rsid w:val="00DC227C"/>
    <w:rsid w:val="00DE588B"/>
    <w:rsid w:val="00E7639B"/>
    <w:rsid w:val="00E94D09"/>
    <w:rsid w:val="00F151BD"/>
    <w:rsid w:val="00F82C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224AF5"/>
  <w15:chartTrackingRefBased/>
  <w15:docId w15:val="{22F3338A-2C36-41CD-8A1F-95F22B2A54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7B062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uiPriority w:val="9"/>
    <w:semiHidden/>
    <w:unhideWhenUsed/>
    <w:qFormat/>
    <w:rsid w:val="007B062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semiHidden/>
    <w:unhideWhenUsed/>
    <w:qFormat/>
    <w:rsid w:val="007B062F"/>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7B062F"/>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7B062F"/>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7B062F"/>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7B062F"/>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7B062F"/>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7B062F"/>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7B062F"/>
    <w:rPr>
      <w:rFonts w:asciiTheme="majorHAnsi" w:eastAsiaTheme="majorEastAsia" w:hAnsiTheme="majorHAnsi" w:cstheme="majorBidi"/>
      <w:color w:val="0F4761" w:themeColor="accent1" w:themeShade="BF"/>
      <w:sz w:val="40"/>
      <w:szCs w:val="40"/>
    </w:rPr>
  </w:style>
  <w:style w:type="character" w:customStyle="1" w:styleId="Titlu2Caracter">
    <w:name w:val="Titlu 2 Caracter"/>
    <w:basedOn w:val="Fontdeparagrafimplicit"/>
    <w:link w:val="Titlu2"/>
    <w:uiPriority w:val="9"/>
    <w:semiHidden/>
    <w:rsid w:val="007B062F"/>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semiHidden/>
    <w:rsid w:val="007B062F"/>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7B062F"/>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7B062F"/>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7B062F"/>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7B062F"/>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7B062F"/>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7B062F"/>
    <w:rPr>
      <w:rFonts w:eastAsiaTheme="majorEastAsia" w:cstheme="majorBidi"/>
      <w:color w:val="272727" w:themeColor="text1" w:themeTint="D8"/>
    </w:rPr>
  </w:style>
  <w:style w:type="paragraph" w:styleId="Titlu">
    <w:name w:val="Title"/>
    <w:basedOn w:val="Normal"/>
    <w:next w:val="Normal"/>
    <w:link w:val="TitluCaracter"/>
    <w:uiPriority w:val="10"/>
    <w:qFormat/>
    <w:rsid w:val="007B062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7B062F"/>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7B062F"/>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7B062F"/>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7B062F"/>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7B062F"/>
    <w:rPr>
      <w:i/>
      <w:iCs/>
      <w:color w:val="404040" w:themeColor="text1" w:themeTint="BF"/>
    </w:rPr>
  </w:style>
  <w:style w:type="paragraph" w:styleId="Listparagraf">
    <w:name w:val="List Paragraph"/>
    <w:basedOn w:val="Normal"/>
    <w:uiPriority w:val="34"/>
    <w:qFormat/>
    <w:rsid w:val="007B062F"/>
    <w:pPr>
      <w:ind w:left="720"/>
      <w:contextualSpacing/>
    </w:pPr>
  </w:style>
  <w:style w:type="character" w:styleId="Accentuareintens">
    <w:name w:val="Intense Emphasis"/>
    <w:basedOn w:val="Fontdeparagrafimplicit"/>
    <w:uiPriority w:val="21"/>
    <w:qFormat/>
    <w:rsid w:val="007B062F"/>
    <w:rPr>
      <w:i/>
      <w:iCs/>
      <w:color w:val="0F4761" w:themeColor="accent1" w:themeShade="BF"/>
    </w:rPr>
  </w:style>
  <w:style w:type="paragraph" w:styleId="Citatintens">
    <w:name w:val="Intense Quote"/>
    <w:basedOn w:val="Normal"/>
    <w:next w:val="Normal"/>
    <w:link w:val="CitatintensCaracter"/>
    <w:uiPriority w:val="30"/>
    <w:qFormat/>
    <w:rsid w:val="007B062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7B062F"/>
    <w:rPr>
      <w:i/>
      <w:iCs/>
      <w:color w:val="0F4761" w:themeColor="accent1" w:themeShade="BF"/>
    </w:rPr>
  </w:style>
  <w:style w:type="character" w:styleId="Referireintens">
    <w:name w:val="Intense Reference"/>
    <w:basedOn w:val="Fontdeparagrafimplicit"/>
    <w:uiPriority w:val="32"/>
    <w:qFormat/>
    <w:rsid w:val="007B062F"/>
    <w:rPr>
      <w:b/>
      <w:bCs/>
      <w:smallCaps/>
      <w:color w:val="0F4761" w:themeColor="accent1" w:themeShade="BF"/>
      <w:spacing w:val="5"/>
    </w:rPr>
  </w:style>
  <w:style w:type="paragraph" w:customStyle="1" w:styleId="p1">
    <w:name w:val="p1"/>
    <w:basedOn w:val="Normal"/>
    <w:rsid w:val="004635CF"/>
    <w:pPr>
      <w:spacing w:before="100" w:beforeAutospacing="1" w:after="100" w:afterAutospacing="1" w:line="240" w:lineRule="auto"/>
    </w:pPr>
    <w:rPr>
      <w:rFonts w:ascii="Times New Roman" w:eastAsiaTheme="minorEastAsia" w:hAnsi="Times New Roman" w:cs="Times New Roman"/>
      <w:kern w:val="0"/>
      <w:lang w:eastAsia="ro-RO"/>
      <w14:ligatures w14:val="none"/>
    </w:rPr>
  </w:style>
  <w:style w:type="character" w:customStyle="1" w:styleId="s1">
    <w:name w:val="s1"/>
    <w:basedOn w:val="Fontdeparagrafimplicit"/>
    <w:rsid w:val="004635CF"/>
  </w:style>
  <w:style w:type="character" w:customStyle="1" w:styleId="s2">
    <w:name w:val="s2"/>
    <w:basedOn w:val="Fontdeparagrafimplicit"/>
    <w:rsid w:val="00D71D39"/>
  </w:style>
  <w:style w:type="paragraph" w:customStyle="1" w:styleId="p2">
    <w:name w:val="p2"/>
    <w:basedOn w:val="Normal"/>
    <w:rsid w:val="00D71D39"/>
    <w:pPr>
      <w:spacing w:before="100" w:beforeAutospacing="1" w:after="100" w:afterAutospacing="1" w:line="240" w:lineRule="auto"/>
    </w:pPr>
    <w:rPr>
      <w:rFonts w:ascii="Times New Roman" w:eastAsiaTheme="minorEastAsia" w:hAnsi="Times New Roman" w:cs="Times New Roman"/>
      <w:kern w:val="0"/>
      <w:lang w:val="ro-GB" w:eastAsia="ro-RO"/>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microsoft.com/office/2020/10/relationships/intelligence" Target="intelligence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chatgpt://generic-entity?number=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2122</Words>
  <Characters>13359</Characters>
  <Application>Microsoft Office Word</Application>
  <DocSecurity>0</DocSecurity>
  <Lines>304</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 Calin (2315026)</dc:creator>
  <cp:keywords/>
  <dc:description/>
  <cp:lastModifiedBy>Microsoft Office User</cp:lastModifiedBy>
  <cp:revision>2</cp:revision>
  <dcterms:created xsi:type="dcterms:W3CDTF">2026-03-16T12:18:00Z</dcterms:created>
  <dcterms:modified xsi:type="dcterms:W3CDTF">2026-03-16T12:18:00Z</dcterms:modified>
</cp:coreProperties>
</file>