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76706" w14:textId="3407DA75" w:rsidR="00E15D37" w:rsidRDefault="00E15D37" w:rsidP="00E15D37">
      <w:pPr>
        <w:pBdr>
          <w:bottom w:val="single" w:sz="4" w:space="0" w:color="auto"/>
        </w:pBdr>
        <w:jc w:val="center"/>
        <w:rPr>
          <w:rFonts w:ascii="Arial" w:eastAsia="Times New Roman" w:hAnsi="Arial" w:cs="Arial"/>
          <w:bCs/>
          <w:sz w:val="24"/>
          <w:szCs w:val="24"/>
        </w:rPr>
      </w:pPr>
      <w:r>
        <w:rPr>
          <w:noProof/>
        </w:rPr>
        <w:fldChar w:fldCharType="begin"/>
      </w:r>
      <w:r>
        <w:rPr>
          <w:noProof/>
        </w:rPr>
        <w:instrText xml:space="preserve"> INCLUDEPICTURE  "/Users/shajinqi/Library/Containers/com.kingsoft.wpsoffice.mac/Data/tmp/wps-shajinqi/ksohtml/wps1.jpg" \* MERGEFORMATINET </w:instrText>
      </w:r>
      <w:r>
        <w:rPr>
          <w:noProof/>
        </w:rPr>
        <w:fldChar w:fldCharType="separate"/>
      </w:r>
      <w:r>
        <w:rPr>
          <w:noProof/>
        </w:rPr>
        <w:drawing>
          <wp:inline distT="0" distB="0" distL="0" distR="0" wp14:anchorId="516A706A" wp14:editId="73086306">
            <wp:extent cx="2578100" cy="1156970"/>
            <wp:effectExtent l="0" t="0" r="0" b="0"/>
            <wp:docPr id="172875835"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文本&#10;&#10;AI 生成的内容可能不正确。"/>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2578100" cy="1156970"/>
                    </a:xfrm>
                    <a:prstGeom prst="rect">
                      <a:avLst/>
                    </a:prstGeom>
                    <a:noFill/>
                    <a:ln>
                      <a:noFill/>
                    </a:ln>
                  </pic:spPr>
                </pic:pic>
              </a:graphicData>
            </a:graphic>
          </wp:inline>
        </w:drawing>
      </w:r>
      <w:r>
        <w:rPr>
          <w:noProof/>
        </w:rPr>
        <w:fldChar w:fldCharType="end"/>
      </w:r>
    </w:p>
    <w:p w14:paraId="48E84D30" w14:textId="77777777" w:rsidR="00E15D37" w:rsidRDefault="00E15D37" w:rsidP="00E15D37">
      <w:pPr>
        <w:jc w:val="center"/>
        <w:rPr>
          <w:rFonts w:ascii="Arial" w:hAnsi="Arial" w:cs="Arial"/>
          <w:sz w:val="24"/>
          <w:szCs w:val="24"/>
        </w:rPr>
      </w:pPr>
      <w:r>
        <w:rPr>
          <w:rFonts w:ascii="Arial" w:hAnsi="Arial" w:cs="Arial"/>
          <w:sz w:val="24"/>
          <w:szCs w:val="24"/>
        </w:rPr>
        <w:t>Module Code: BMBM6003    Module: Contemporary Issues in Management</w:t>
      </w:r>
    </w:p>
    <w:p w14:paraId="12E5F598" w14:textId="77777777" w:rsidR="00E15D37" w:rsidRDefault="00E15D37" w:rsidP="00E15D37">
      <w:pPr>
        <w:jc w:val="center"/>
        <w:rPr>
          <w:rFonts w:ascii="Arial Regular" w:hAnsi="Arial Regular"/>
          <w:bCs/>
          <w:sz w:val="24"/>
          <w:szCs w:val="24"/>
        </w:rPr>
      </w:pPr>
    </w:p>
    <w:p w14:paraId="1B0B82D1" w14:textId="77777777" w:rsidR="00E15D37" w:rsidRDefault="00E15D37" w:rsidP="00E15D37">
      <w:pPr>
        <w:jc w:val="center"/>
        <w:rPr>
          <w:rFonts w:ascii="Arial Regular" w:hAnsi="Arial Regular"/>
          <w:bCs/>
          <w:sz w:val="24"/>
          <w:szCs w:val="24"/>
        </w:rPr>
      </w:pPr>
    </w:p>
    <w:p w14:paraId="23A6410D" w14:textId="77777777" w:rsidR="00E15D37" w:rsidRDefault="00E15D37" w:rsidP="00E15D37">
      <w:pPr>
        <w:jc w:val="center"/>
        <w:rPr>
          <w:rFonts w:ascii="Arial Regular" w:hAnsi="Arial Regular"/>
          <w:bCs/>
          <w:sz w:val="24"/>
          <w:szCs w:val="24"/>
        </w:rPr>
      </w:pPr>
    </w:p>
    <w:p w14:paraId="3C1A613F" w14:textId="77777777" w:rsidR="00E15D37" w:rsidRDefault="00E15D37" w:rsidP="00E15D37">
      <w:pPr>
        <w:jc w:val="center"/>
        <w:rPr>
          <w:rFonts w:ascii="Arial Regular" w:hAnsi="Arial Regular"/>
          <w:bCs/>
          <w:sz w:val="24"/>
          <w:szCs w:val="24"/>
        </w:rPr>
      </w:pPr>
    </w:p>
    <w:p w14:paraId="5B117957" w14:textId="77777777" w:rsidR="00E15D37" w:rsidRDefault="00E15D37" w:rsidP="00E15D37">
      <w:pPr>
        <w:jc w:val="center"/>
        <w:rPr>
          <w:rFonts w:ascii="Arial Regular" w:hAnsi="Arial Regular"/>
          <w:bCs/>
          <w:sz w:val="24"/>
          <w:szCs w:val="24"/>
        </w:rPr>
      </w:pPr>
    </w:p>
    <w:p w14:paraId="4868D513" w14:textId="77777777" w:rsidR="00E15D37" w:rsidRDefault="00E15D37" w:rsidP="00E15D37">
      <w:pPr>
        <w:jc w:val="center"/>
        <w:rPr>
          <w:rFonts w:ascii="Arial Regular" w:hAnsi="Arial Regular"/>
          <w:bCs/>
          <w:sz w:val="24"/>
          <w:szCs w:val="24"/>
        </w:rPr>
      </w:pPr>
    </w:p>
    <w:p w14:paraId="78C304E7" w14:textId="77777777" w:rsidR="00E15D37" w:rsidRDefault="00E15D37" w:rsidP="00E15D37">
      <w:pPr>
        <w:jc w:val="center"/>
        <w:rPr>
          <w:rFonts w:ascii="Arial Regular" w:hAnsi="Arial Regular"/>
          <w:bCs/>
          <w:sz w:val="24"/>
          <w:szCs w:val="24"/>
        </w:rPr>
      </w:pPr>
    </w:p>
    <w:p w14:paraId="6CA00B4D" w14:textId="77777777" w:rsidR="00E15D37" w:rsidRDefault="00E15D37" w:rsidP="00E15D37">
      <w:pPr>
        <w:jc w:val="center"/>
        <w:rPr>
          <w:rFonts w:ascii="Arial Regular" w:hAnsi="Arial Regular"/>
          <w:bCs/>
          <w:sz w:val="24"/>
          <w:szCs w:val="24"/>
        </w:rPr>
      </w:pPr>
    </w:p>
    <w:p w14:paraId="52DE6CB4" w14:textId="77777777" w:rsidR="00E15D37" w:rsidRDefault="00E15D37" w:rsidP="00E15D37">
      <w:pPr>
        <w:jc w:val="center"/>
        <w:rPr>
          <w:rFonts w:ascii="Arial Regular" w:hAnsi="Arial Regular"/>
          <w:bCs/>
          <w:sz w:val="24"/>
          <w:szCs w:val="24"/>
        </w:rPr>
      </w:pPr>
    </w:p>
    <w:p w14:paraId="39FD063D" w14:textId="77777777" w:rsidR="00E15D37" w:rsidRDefault="00E15D37" w:rsidP="00E15D37">
      <w:pPr>
        <w:jc w:val="center"/>
        <w:rPr>
          <w:rFonts w:ascii="Arial Regular" w:hAnsi="Arial Regular"/>
          <w:bCs/>
          <w:sz w:val="24"/>
          <w:szCs w:val="24"/>
        </w:rPr>
      </w:pPr>
    </w:p>
    <w:p w14:paraId="3AE52BA0" w14:textId="77777777" w:rsidR="00E15D37" w:rsidRDefault="00E15D37" w:rsidP="00E15D37">
      <w:pPr>
        <w:jc w:val="center"/>
        <w:rPr>
          <w:rFonts w:ascii="Arial Regular" w:hAnsi="Arial Regular"/>
          <w:bCs/>
          <w:sz w:val="24"/>
          <w:szCs w:val="24"/>
        </w:rPr>
      </w:pPr>
    </w:p>
    <w:p w14:paraId="04C76E53" w14:textId="77777777" w:rsidR="00E15D37" w:rsidRDefault="00E15D37" w:rsidP="00E15D37">
      <w:pPr>
        <w:jc w:val="center"/>
        <w:rPr>
          <w:rFonts w:ascii="Arial Regular" w:hAnsi="Arial Regular"/>
          <w:bCs/>
          <w:sz w:val="24"/>
          <w:szCs w:val="24"/>
        </w:rPr>
      </w:pPr>
    </w:p>
    <w:p w14:paraId="71E0076B" w14:textId="77777777" w:rsidR="00E15D37" w:rsidRDefault="00E15D37" w:rsidP="00E15D37">
      <w:pPr>
        <w:jc w:val="center"/>
        <w:rPr>
          <w:rFonts w:ascii="Arial Regular" w:hAnsi="Arial Regular"/>
          <w:bCs/>
          <w:sz w:val="24"/>
          <w:szCs w:val="24"/>
        </w:rPr>
      </w:pPr>
    </w:p>
    <w:p w14:paraId="3A898696" w14:textId="77777777" w:rsidR="00E15D37" w:rsidRDefault="00E15D37" w:rsidP="00E15D37">
      <w:pPr>
        <w:jc w:val="center"/>
        <w:rPr>
          <w:rFonts w:ascii="Arial Regular" w:hAnsi="Arial Regular"/>
          <w:bCs/>
          <w:sz w:val="24"/>
          <w:szCs w:val="24"/>
          <w:lang w:val="en-US"/>
        </w:rPr>
      </w:pPr>
    </w:p>
    <w:p w14:paraId="3A8DA050" w14:textId="77777777" w:rsidR="00DA089B" w:rsidRPr="00DA089B" w:rsidRDefault="00DA089B" w:rsidP="00E15D37">
      <w:pPr>
        <w:jc w:val="center"/>
        <w:rPr>
          <w:rFonts w:ascii="Arial Regular" w:hAnsi="Arial Regular"/>
          <w:bCs/>
          <w:sz w:val="24"/>
          <w:szCs w:val="24"/>
          <w:lang w:val="en-US"/>
        </w:rPr>
      </w:pPr>
    </w:p>
    <w:p w14:paraId="48FD05ED" w14:textId="0EEAF17B" w:rsidR="00E15D37" w:rsidRDefault="00DA089B" w:rsidP="00E15D37">
      <w:pPr>
        <w:jc w:val="center"/>
        <w:rPr>
          <w:rFonts w:ascii="Arial Bold" w:hAnsi="Arial Bold"/>
          <w:b/>
          <w:sz w:val="32"/>
          <w:szCs w:val="32"/>
        </w:rPr>
      </w:pPr>
      <w:r w:rsidRPr="00DA089B">
        <w:rPr>
          <w:rFonts w:ascii="Arial Bold" w:hAnsi="Arial Bold"/>
          <w:b/>
          <w:sz w:val="32"/>
          <w:szCs w:val="32"/>
        </w:rPr>
        <w:t xml:space="preserve">Management and Optimization of </w:t>
      </w:r>
      <w:proofErr w:type="spellStart"/>
      <w:r w:rsidRPr="00DA089B">
        <w:rPr>
          <w:rFonts w:ascii="Arial Bold" w:hAnsi="Arial Bold"/>
          <w:b/>
          <w:sz w:val="32"/>
          <w:szCs w:val="32"/>
        </w:rPr>
        <w:t>GreenHaven</w:t>
      </w:r>
      <w:proofErr w:type="spellEnd"/>
    </w:p>
    <w:p w14:paraId="2DD94258" w14:textId="77777777" w:rsidR="00E15D37" w:rsidRDefault="00E15D37" w:rsidP="00E15D37">
      <w:pPr>
        <w:jc w:val="center"/>
        <w:rPr>
          <w:rFonts w:ascii="Arial Regular" w:hAnsi="Arial Regular"/>
          <w:bCs/>
          <w:sz w:val="24"/>
          <w:szCs w:val="24"/>
        </w:rPr>
      </w:pPr>
    </w:p>
    <w:p w14:paraId="02D2FD5E" w14:textId="77777777" w:rsidR="00E15D37" w:rsidRDefault="00E15D37" w:rsidP="00E15D37">
      <w:pPr>
        <w:jc w:val="center"/>
        <w:rPr>
          <w:rFonts w:ascii="Arial Regular" w:hAnsi="Arial Regular"/>
          <w:bCs/>
          <w:sz w:val="24"/>
          <w:szCs w:val="24"/>
        </w:rPr>
      </w:pPr>
    </w:p>
    <w:p w14:paraId="734EB8FE" w14:textId="77777777" w:rsidR="00E15D37" w:rsidRDefault="00E15D37" w:rsidP="00E15D37">
      <w:pPr>
        <w:jc w:val="center"/>
        <w:rPr>
          <w:rFonts w:ascii="Arial Regular" w:hAnsi="Arial Regular"/>
          <w:bCs/>
          <w:sz w:val="24"/>
          <w:szCs w:val="24"/>
        </w:rPr>
      </w:pPr>
    </w:p>
    <w:p w14:paraId="2E1BCACF" w14:textId="77777777" w:rsidR="00E15D37" w:rsidRDefault="00E15D37" w:rsidP="00E15D37">
      <w:pPr>
        <w:jc w:val="center"/>
        <w:rPr>
          <w:rFonts w:ascii="Arial Regular" w:hAnsi="Arial Regular"/>
          <w:bCs/>
          <w:sz w:val="24"/>
          <w:szCs w:val="24"/>
        </w:rPr>
      </w:pPr>
    </w:p>
    <w:p w14:paraId="7B402C34" w14:textId="77777777" w:rsidR="00E15D37" w:rsidRDefault="00E15D37" w:rsidP="00E15D37">
      <w:pPr>
        <w:jc w:val="center"/>
        <w:rPr>
          <w:rFonts w:ascii="Arial Regular" w:hAnsi="Arial Regular"/>
          <w:bCs/>
          <w:sz w:val="24"/>
          <w:szCs w:val="24"/>
        </w:rPr>
      </w:pPr>
    </w:p>
    <w:p w14:paraId="67ECD241" w14:textId="77777777" w:rsidR="00E15D37" w:rsidRDefault="00E15D37" w:rsidP="00E15D37">
      <w:pPr>
        <w:jc w:val="center"/>
        <w:rPr>
          <w:rFonts w:ascii="Arial Regular" w:hAnsi="Arial Regular"/>
          <w:bCs/>
          <w:sz w:val="24"/>
          <w:szCs w:val="24"/>
        </w:rPr>
      </w:pPr>
    </w:p>
    <w:p w14:paraId="034B0220" w14:textId="77777777" w:rsidR="00E15D37" w:rsidRDefault="00E15D37" w:rsidP="00E15D37">
      <w:pPr>
        <w:jc w:val="center"/>
        <w:rPr>
          <w:rFonts w:ascii="Arial Regular" w:hAnsi="Arial Regular"/>
          <w:bCs/>
          <w:sz w:val="24"/>
          <w:szCs w:val="24"/>
          <w:lang w:val="en-US"/>
        </w:rPr>
      </w:pPr>
    </w:p>
    <w:p w14:paraId="559A90CE" w14:textId="77777777" w:rsidR="00DA089B" w:rsidRPr="00DA089B" w:rsidRDefault="00DA089B" w:rsidP="00E15D37">
      <w:pPr>
        <w:jc w:val="center"/>
        <w:rPr>
          <w:rFonts w:ascii="Arial Regular" w:hAnsi="Arial Regular"/>
          <w:bCs/>
          <w:sz w:val="24"/>
          <w:szCs w:val="24"/>
          <w:lang w:val="en-US"/>
        </w:rPr>
      </w:pPr>
    </w:p>
    <w:p w14:paraId="6F9D386C" w14:textId="77777777" w:rsidR="00E15D37" w:rsidRDefault="00E15D37" w:rsidP="00E15D37">
      <w:pPr>
        <w:jc w:val="center"/>
        <w:rPr>
          <w:rFonts w:ascii="Arial Regular" w:hAnsi="Arial Regular"/>
          <w:bCs/>
          <w:sz w:val="24"/>
          <w:szCs w:val="24"/>
        </w:rPr>
      </w:pPr>
    </w:p>
    <w:p w14:paraId="7D8A8D48" w14:textId="77777777" w:rsidR="00E15D37" w:rsidRDefault="00E15D37" w:rsidP="00E15D37">
      <w:pPr>
        <w:jc w:val="center"/>
        <w:rPr>
          <w:rFonts w:ascii="Arial Regular" w:hAnsi="Arial Regular"/>
          <w:bCs/>
          <w:sz w:val="24"/>
          <w:szCs w:val="24"/>
        </w:rPr>
      </w:pPr>
    </w:p>
    <w:p w14:paraId="475AF246" w14:textId="77777777" w:rsidR="00E15D37" w:rsidRDefault="00E15D37" w:rsidP="00E15D37">
      <w:pPr>
        <w:jc w:val="center"/>
        <w:rPr>
          <w:rFonts w:ascii="Arial Regular" w:hAnsi="Arial Regular"/>
          <w:bCs/>
          <w:sz w:val="24"/>
          <w:szCs w:val="24"/>
        </w:rPr>
      </w:pPr>
    </w:p>
    <w:p w14:paraId="070D4FA9" w14:textId="77777777" w:rsidR="00E15D37" w:rsidRDefault="00E15D37" w:rsidP="00E15D37">
      <w:pPr>
        <w:jc w:val="center"/>
        <w:rPr>
          <w:rFonts w:ascii="Arial Regular" w:hAnsi="Arial Regular"/>
          <w:bCs/>
          <w:sz w:val="24"/>
          <w:szCs w:val="24"/>
        </w:rPr>
      </w:pPr>
    </w:p>
    <w:p w14:paraId="24B5ACE9" w14:textId="77777777" w:rsidR="00E15D37" w:rsidRDefault="00E15D37" w:rsidP="00E15D37">
      <w:pPr>
        <w:jc w:val="center"/>
        <w:rPr>
          <w:rFonts w:ascii="Arial Regular" w:hAnsi="Arial Regular"/>
          <w:bCs/>
          <w:sz w:val="24"/>
          <w:szCs w:val="24"/>
        </w:rPr>
      </w:pPr>
    </w:p>
    <w:p w14:paraId="68B7280E" w14:textId="77777777" w:rsidR="00E15D37" w:rsidRDefault="00E15D37" w:rsidP="00E15D37">
      <w:pPr>
        <w:spacing w:line="360" w:lineRule="auto"/>
        <w:jc w:val="center"/>
        <w:rPr>
          <w:rFonts w:ascii="Arial Regular" w:hAnsi="Arial Regular"/>
          <w:bCs/>
          <w:sz w:val="24"/>
          <w:szCs w:val="24"/>
        </w:rPr>
      </w:pPr>
      <w:r>
        <w:rPr>
          <w:rFonts w:ascii="Arial Regular" w:hAnsi="Arial Regular"/>
          <w:bCs/>
          <w:sz w:val="24"/>
          <w:szCs w:val="24"/>
        </w:rPr>
        <w:t>Student Name:</w:t>
      </w:r>
      <w:r>
        <w:rPr>
          <w:rFonts w:ascii="Arial Regular" w:hAnsi="Arial Regular" w:cs="Arial Regular"/>
          <w:bCs/>
          <w:sz w:val="24"/>
          <w:szCs w:val="24"/>
        </w:rPr>
        <w:t xml:space="preserve"> Jinqi Sha</w:t>
      </w:r>
    </w:p>
    <w:p w14:paraId="558890E1" w14:textId="77777777" w:rsidR="00E15D37" w:rsidRDefault="00E15D37" w:rsidP="00E15D37">
      <w:pPr>
        <w:spacing w:line="360" w:lineRule="auto"/>
        <w:jc w:val="center"/>
        <w:rPr>
          <w:rFonts w:ascii="Arial Regular" w:hAnsi="Arial Regular"/>
          <w:bCs/>
          <w:sz w:val="24"/>
          <w:szCs w:val="24"/>
        </w:rPr>
      </w:pPr>
      <w:r>
        <w:rPr>
          <w:rFonts w:ascii="Arial Regular" w:hAnsi="Arial Regular"/>
          <w:bCs/>
          <w:sz w:val="24"/>
          <w:szCs w:val="24"/>
        </w:rPr>
        <w:t>Student ID Number:</w:t>
      </w:r>
      <w:r>
        <w:rPr>
          <w:rFonts w:ascii="Arial Regular" w:hAnsi="Arial Regular" w:cs="Arial Regular"/>
          <w:bCs/>
          <w:sz w:val="24"/>
          <w:szCs w:val="24"/>
        </w:rPr>
        <w:t>2502887</w:t>
      </w:r>
    </w:p>
    <w:p w14:paraId="732AE1E0" w14:textId="77777777" w:rsidR="00E15D37" w:rsidRDefault="00E15D37" w:rsidP="00E15D37">
      <w:pPr>
        <w:spacing w:line="360" w:lineRule="auto"/>
        <w:jc w:val="center"/>
        <w:rPr>
          <w:rFonts w:ascii="Arial Regular" w:hAnsi="Arial Regular"/>
          <w:bCs/>
          <w:sz w:val="24"/>
          <w:szCs w:val="24"/>
        </w:rPr>
      </w:pPr>
      <w:proofErr w:type="spellStart"/>
      <w:proofErr w:type="gramStart"/>
      <w:r>
        <w:rPr>
          <w:rFonts w:ascii="Arial Regular" w:hAnsi="Arial Regular"/>
          <w:bCs/>
          <w:sz w:val="24"/>
          <w:szCs w:val="24"/>
        </w:rPr>
        <w:t>Programme:</w:t>
      </w:r>
      <w:r>
        <w:rPr>
          <w:rFonts w:ascii="Arial Regular" w:hAnsi="Arial Regular" w:cs="Arial Regular"/>
          <w:bCs/>
          <w:sz w:val="24"/>
          <w:szCs w:val="24"/>
        </w:rPr>
        <w:t>International</w:t>
      </w:r>
      <w:proofErr w:type="spellEnd"/>
      <w:proofErr w:type="gramEnd"/>
      <w:r>
        <w:rPr>
          <w:rFonts w:ascii="Arial Regular" w:hAnsi="Arial Regular" w:cs="Arial Regular"/>
          <w:bCs/>
          <w:sz w:val="24"/>
          <w:szCs w:val="24"/>
        </w:rPr>
        <w:t xml:space="preserve"> </w:t>
      </w:r>
      <w:r>
        <w:rPr>
          <w:rFonts w:ascii="Arial Regular" w:hAnsi="Arial Regular"/>
          <w:bCs/>
          <w:sz w:val="24"/>
          <w:szCs w:val="24"/>
        </w:rPr>
        <w:t>Business Management</w:t>
      </w:r>
    </w:p>
    <w:p w14:paraId="4F283BEB" w14:textId="77777777" w:rsidR="00E15D37" w:rsidRDefault="00E15D37" w:rsidP="00E15D37">
      <w:pPr>
        <w:spacing w:line="360" w:lineRule="auto"/>
        <w:jc w:val="center"/>
        <w:rPr>
          <w:rFonts w:ascii="Arial Regular" w:hAnsi="Arial Regular"/>
          <w:bCs/>
          <w:sz w:val="24"/>
          <w:szCs w:val="24"/>
        </w:rPr>
      </w:pPr>
      <w:r>
        <w:rPr>
          <w:rFonts w:ascii="Arial Regular" w:hAnsi="Arial Regular"/>
          <w:bCs/>
          <w:sz w:val="24"/>
          <w:szCs w:val="24"/>
        </w:rPr>
        <w:t>Lecturer Name: Robyn Griffiths</w:t>
      </w:r>
    </w:p>
    <w:p w14:paraId="558F95A3" w14:textId="3875893C" w:rsidR="00E15D37" w:rsidRDefault="00E15D37" w:rsidP="00E15D37">
      <w:pPr>
        <w:spacing w:line="360" w:lineRule="auto"/>
        <w:jc w:val="center"/>
        <w:rPr>
          <w:rFonts w:ascii="Arial Regular" w:hAnsi="Arial Regular" w:hint="eastAsia"/>
          <w:bCs/>
          <w:sz w:val="24"/>
          <w:szCs w:val="24"/>
        </w:rPr>
      </w:pPr>
      <w:r>
        <w:rPr>
          <w:rFonts w:ascii="Arial Regular" w:hAnsi="Arial Regular"/>
          <w:bCs/>
          <w:sz w:val="24"/>
          <w:szCs w:val="24"/>
        </w:rPr>
        <w:t>Submission Deadline: 1</w:t>
      </w:r>
      <w:r w:rsidR="00605828">
        <w:rPr>
          <w:rFonts w:ascii="Arial Regular" w:hAnsi="Arial Regular"/>
          <w:bCs/>
          <w:sz w:val="24"/>
          <w:szCs w:val="24"/>
        </w:rPr>
        <w:t>2</w:t>
      </w:r>
      <w:r>
        <w:rPr>
          <w:rFonts w:ascii="Arial Regular" w:hAnsi="Arial Regular"/>
          <w:bCs/>
          <w:sz w:val="24"/>
          <w:szCs w:val="24"/>
        </w:rPr>
        <w:t>/1</w:t>
      </w:r>
      <w:r w:rsidR="00605828">
        <w:rPr>
          <w:rFonts w:ascii="Arial Regular" w:hAnsi="Arial Regular"/>
          <w:bCs/>
          <w:sz w:val="24"/>
          <w:szCs w:val="24"/>
        </w:rPr>
        <w:t>2</w:t>
      </w:r>
      <w:r>
        <w:rPr>
          <w:rFonts w:ascii="Arial Regular" w:hAnsi="Arial Regular"/>
          <w:bCs/>
          <w:sz w:val="24"/>
          <w:szCs w:val="24"/>
        </w:rPr>
        <w:t>/2025</w:t>
      </w:r>
    </w:p>
    <w:p w14:paraId="4DF59C83" w14:textId="77777777" w:rsidR="00573E63" w:rsidRPr="00573E63" w:rsidRDefault="00573E63" w:rsidP="00573E63">
      <w:pPr>
        <w:spacing w:line="360" w:lineRule="auto"/>
        <w:rPr>
          <w:b/>
          <w:bCs/>
          <w:sz w:val="32"/>
          <w:szCs w:val="32"/>
          <w:lang w:val="en-US"/>
        </w:rPr>
      </w:pPr>
      <w:r w:rsidRPr="00573E63">
        <w:rPr>
          <w:b/>
          <w:bCs/>
          <w:sz w:val="32"/>
          <w:szCs w:val="32"/>
          <w:lang w:val="en-US"/>
        </w:rPr>
        <w:lastRenderedPageBreak/>
        <w:t>PPT video presentation link</w:t>
      </w:r>
    </w:p>
    <w:p w14:paraId="13C31B03" w14:textId="44F471F9" w:rsidR="00E36A97" w:rsidRDefault="00524D63" w:rsidP="00E36A97">
      <w:pPr>
        <w:spacing w:line="360" w:lineRule="auto"/>
        <w:rPr>
          <w:sz w:val="24"/>
          <w:szCs w:val="24"/>
          <w:lang w:val="en-US"/>
        </w:rPr>
      </w:pPr>
      <w:hyperlink r:id="rId6" w:history="1">
        <w:r>
          <w:rPr>
            <w:rStyle w:val="af"/>
          </w:rPr>
          <w:t>视频项目</w:t>
        </w:r>
        <w:r>
          <w:rPr>
            <w:rStyle w:val="af"/>
          </w:rPr>
          <w:t>.mp4</w:t>
        </w:r>
      </w:hyperlink>
    </w:p>
    <w:p w14:paraId="76D77838" w14:textId="77777777" w:rsidR="00E36A97" w:rsidRDefault="00E36A97" w:rsidP="00E36A97">
      <w:pPr>
        <w:spacing w:line="360" w:lineRule="auto"/>
        <w:rPr>
          <w:rFonts w:hint="eastAsia"/>
          <w:sz w:val="24"/>
          <w:szCs w:val="24"/>
          <w:lang w:val="en-US"/>
        </w:rPr>
      </w:pPr>
    </w:p>
    <w:p w14:paraId="7D6B1B52" w14:textId="77777777" w:rsidR="00573E63" w:rsidRPr="00BD20E5" w:rsidRDefault="00573E63" w:rsidP="00573E63">
      <w:pPr>
        <w:spacing w:line="360" w:lineRule="auto"/>
        <w:rPr>
          <w:b/>
          <w:bCs/>
          <w:sz w:val="32"/>
          <w:szCs w:val="32"/>
          <w:lang w:val="en-US"/>
        </w:rPr>
      </w:pPr>
      <w:r w:rsidRPr="00BD20E5">
        <w:rPr>
          <w:b/>
          <w:bCs/>
          <w:sz w:val="32"/>
          <w:szCs w:val="32"/>
          <w:lang w:val="en-US"/>
        </w:rPr>
        <w:t>Narrative</w:t>
      </w:r>
    </w:p>
    <w:p w14:paraId="080329F1" w14:textId="662A2FF8" w:rsidR="00E36A97" w:rsidRDefault="0079642B" w:rsidP="00E36A97">
      <w:pPr>
        <w:spacing w:line="360" w:lineRule="auto"/>
        <w:rPr>
          <w:sz w:val="24"/>
          <w:szCs w:val="24"/>
          <w:lang w:val="en-US"/>
        </w:rPr>
      </w:pPr>
      <w:r w:rsidRPr="0079642B">
        <w:rPr>
          <w:sz w:val="24"/>
          <w:szCs w:val="24"/>
          <w:lang w:val="en-US"/>
        </w:rPr>
        <w:t xml:space="preserve">Hello! I'm Jinqi Sha. The topic of my presentation is "Management and Optimization of </w:t>
      </w:r>
      <w:proofErr w:type="spellStart"/>
      <w:r w:rsidRPr="0079642B">
        <w:rPr>
          <w:sz w:val="24"/>
          <w:szCs w:val="24"/>
          <w:lang w:val="en-US"/>
        </w:rPr>
        <w:t>GreenHaven</w:t>
      </w:r>
      <w:proofErr w:type="spellEnd"/>
      <w:r w:rsidRPr="0079642B">
        <w:rPr>
          <w:sz w:val="24"/>
          <w:szCs w:val="24"/>
          <w:lang w:val="en-US"/>
        </w:rPr>
        <w:t xml:space="preserve">". I will discuss the current management challenges faced by </w:t>
      </w:r>
      <w:proofErr w:type="spellStart"/>
      <w:r w:rsidRPr="0079642B">
        <w:rPr>
          <w:sz w:val="24"/>
          <w:szCs w:val="24"/>
          <w:lang w:val="en-US"/>
        </w:rPr>
        <w:t>GreenHaven</w:t>
      </w:r>
      <w:proofErr w:type="spellEnd"/>
      <w:r w:rsidRPr="0079642B">
        <w:rPr>
          <w:sz w:val="24"/>
          <w:szCs w:val="24"/>
          <w:lang w:val="en-US"/>
        </w:rPr>
        <w:t xml:space="preserve"> and share feasible solutions with all of you.</w:t>
      </w:r>
    </w:p>
    <w:p w14:paraId="09934B35" w14:textId="77777777" w:rsidR="00B81908" w:rsidRDefault="00B81908" w:rsidP="00E36A97">
      <w:pPr>
        <w:spacing w:line="360" w:lineRule="auto"/>
        <w:rPr>
          <w:sz w:val="24"/>
          <w:szCs w:val="24"/>
          <w:lang w:val="en-US"/>
        </w:rPr>
      </w:pPr>
    </w:p>
    <w:p w14:paraId="3A054E9B" w14:textId="346FA724" w:rsidR="00B81908" w:rsidRDefault="000E0897" w:rsidP="00E36A97">
      <w:pPr>
        <w:spacing w:line="360" w:lineRule="auto"/>
        <w:rPr>
          <w:sz w:val="24"/>
          <w:szCs w:val="24"/>
          <w:lang w:val="en-US"/>
        </w:rPr>
      </w:pPr>
      <w:proofErr w:type="spellStart"/>
      <w:r w:rsidRPr="000E0897">
        <w:rPr>
          <w:sz w:val="24"/>
          <w:szCs w:val="24"/>
          <w:lang w:val="en-US"/>
        </w:rPr>
        <w:t>GreenHaven</w:t>
      </w:r>
      <w:proofErr w:type="spellEnd"/>
      <w:r w:rsidRPr="000E0897">
        <w:rPr>
          <w:sz w:val="24"/>
          <w:szCs w:val="24"/>
          <w:lang w:val="en-US"/>
        </w:rPr>
        <w:t xml:space="preserve">, as a benchmark of sustainable retail cooperatives in the UK, focuses on democratic decision-making, people-oriented approach and sustainable development as its core values. However, the data shows that </w:t>
      </w:r>
      <w:proofErr w:type="spellStart"/>
      <w:r w:rsidRPr="000E0897">
        <w:rPr>
          <w:sz w:val="24"/>
          <w:szCs w:val="24"/>
          <w:lang w:val="en-US"/>
        </w:rPr>
        <w:t>GreenHaven</w:t>
      </w:r>
      <w:proofErr w:type="spellEnd"/>
      <w:r w:rsidRPr="000E0897">
        <w:rPr>
          <w:sz w:val="24"/>
          <w:szCs w:val="24"/>
          <w:lang w:val="en-US"/>
        </w:rPr>
        <w:t xml:space="preserve"> has encountered significant problems in areas such as operational efficiency and team collaboration, which have affected the enterprise's market competitiveness and brand reputation</w:t>
      </w:r>
      <w:r w:rsidR="00892BC8">
        <w:rPr>
          <w:sz w:val="24"/>
          <w:szCs w:val="24"/>
          <w:lang w:val="en-US"/>
        </w:rPr>
        <w:fldChar w:fldCharType="begin"/>
      </w:r>
      <w:r w:rsidR="00357EBD">
        <w:rPr>
          <w:sz w:val="24"/>
          <w:szCs w:val="24"/>
          <w:lang w:val="en-US"/>
        </w:rPr>
        <w:instrText xml:space="preserve"> ADDIN ZOTERO_ITEM CSL_CITATION {"citationID":"bPIrPN4r","properties":{"formattedCitation":"(Golovchenko {\\i{}et al.}, 2022)","plainCitation":"(Golovchenko et al., 2022)","noteIndex":0},"citationItems":[{"id":290,"uris":["http://zotero.org/users/18628635/items/L34F4ARS"],"itemData":{"id":290,"type":"article-journal","abstract":"In the era of globalization and internationalization of the economy, the only criterion for efficiency and effectiveness of economic entities is competitiveness. Ensuring the competitiveness of economic entities in the international market in a global pandemic has become especially important. Globalization is a defining feature of the world economy, and economies’ dependence on foreign markets is growing. Thus, the development of global competition necessitates the development of economic strategies aimed at improving the efficiency and competitiveness of enterprises. The authors proposed organizational and financial principles of ensuring the competitiveness of the enterprise, information, and analytical tools for controlling the efficiency and competitiveness of enterprises, identified and demonstrated the logic of harmonizing business management goals using analytical tools for managing the efficiency of the enterprise and developed methods for integrated assessment of enterprise competitiveness. Techniques of statistical, economic, and financial analysis were used in the study; used research methods: grouping, analysis, synthesis, comparison, etc.","language":"en","note":"publisher: New Delhi Publishers","source":"essuir.sumdu.edu.ua","title":"Management of Efficiency and Competitiveness of Enterprises","URL":"https://essuir.sumdu.edu.ua/handle/123456789/89606","author":[{"family":"Golovchenko","given":"O."},{"family":"Saiensus","given":"M."},{"family":"Сорокоумов","given":"Геннадiй Венедиктович"},{"family":"Сорокоумов","given":"Геннадий Венедиктович"},{"family":"Sorokoumov","given":"Hennadii Venedyktovych"},{"family":"Onofriichuk","given":"O."},{"family":"Zubko","given":"O."},{"family":"Liu","given":"Lu"}],"accessed":{"date-parts":[["2025",12,11]]},"issued":{"date-parts":[["2022"]]}}}],"schema":"https://github.com/citation-style-language/schema/raw/master/csl-citation.json"} </w:instrText>
      </w:r>
      <w:r w:rsidR="00892BC8">
        <w:rPr>
          <w:sz w:val="24"/>
          <w:szCs w:val="24"/>
          <w:lang w:val="en-US"/>
        </w:rPr>
        <w:fldChar w:fldCharType="separate"/>
      </w:r>
      <w:r w:rsidR="00357EBD" w:rsidRPr="00357EBD">
        <w:rPr>
          <w:rFonts w:eastAsiaTheme="minorEastAsia" w:cs="Calibri"/>
          <w:kern w:val="0"/>
          <w:sz w:val="24"/>
          <w:szCs w:val="24"/>
          <w:lang w:val="en-US"/>
          <w14:ligatures w14:val="standardContextual"/>
        </w:rPr>
        <w:t>(</w:t>
      </w:r>
      <w:proofErr w:type="spellStart"/>
      <w:r w:rsidR="00357EBD" w:rsidRPr="00357EBD">
        <w:rPr>
          <w:rFonts w:eastAsiaTheme="minorEastAsia" w:cs="Calibri"/>
          <w:kern w:val="0"/>
          <w:sz w:val="24"/>
          <w:szCs w:val="24"/>
          <w:lang w:val="en-US"/>
          <w14:ligatures w14:val="standardContextual"/>
        </w:rPr>
        <w:t>Golovchenko</w:t>
      </w:r>
      <w:proofErr w:type="spellEnd"/>
      <w:r w:rsidR="00357EBD" w:rsidRPr="00357EBD">
        <w:rPr>
          <w:rFonts w:eastAsiaTheme="minorEastAsia" w:cs="Calibri"/>
          <w:kern w:val="0"/>
          <w:sz w:val="24"/>
          <w:szCs w:val="24"/>
          <w:lang w:val="en-US"/>
          <w14:ligatures w14:val="standardContextual"/>
        </w:rPr>
        <w:t xml:space="preserve"> </w:t>
      </w:r>
      <w:r w:rsidR="00357EBD" w:rsidRPr="00357EBD">
        <w:rPr>
          <w:rFonts w:eastAsiaTheme="minorEastAsia" w:cs="Calibri"/>
          <w:i/>
          <w:iCs/>
          <w:kern w:val="0"/>
          <w:sz w:val="24"/>
          <w:szCs w:val="24"/>
          <w:lang w:val="en-US"/>
          <w14:ligatures w14:val="standardContextual"/>
        </w:rPr>
        <w:t>et al.</w:t>
      </w:r>
      <w:r w:rsidR="00357EBD" w:rsidRPr="00357EBD">
        <w:rPr>
          <w:rFonts w:eastAsiaTheme="minorEastAsia" w:cs="Calibri"/>
          <w:kern w:val="0"/>
          <w:sz w:val="24"/>
          <w:szCs w:val="24"/>
          <w:lang w:val="en-US"/>
          <w14:ligatures w14:val="standardContextual"/>
        </w:rPr>
        <w:t>, 2022)</w:t>
      </w:r>
      <w:r w:rsidR="00892BC8">
        <w:rPr>
          <w:sz w:val="24"/>
          <w:szCs w:val="24"/>
          <w:lang w:val="en-US"/>
        </w:rPr>
        <w:fldChar w:fldCharType="end"/>
      </w:r>
      <w:r w:rsidRPr="000E0897">
        <w:rPr>
          <w:sz w:val="24"/>
          <w:szCs w:val="24"/>
          <w:lang w:val="en-US"/>
        </w:rPr>
        <w:t>. Next, I will analyze the issues based on management theories and present a set of optimization solutions for operation. The entire presentation will be divided into four parts: Problem analysis, Theory adaptation, Solution, and Implementation suggestions.</w:t>
      </w:r>
    </w:p>
    <w:p w14:paraId="6CA287CF" w14:textId="77777777" w:rsidR="00A07A58" w:rsidRDefault="00A07A58" w:rsidP="00E36A97">
      <w:pPr>
        <w:spacing w:line="360" w:lineRule="auto"/>
        <w:rPr>
          <w:sz w:val="24"/>
          <w:szCs w:val="24"/>
          <w:lang w:val="en-US"/>
        </w:rPr>
      </w:pPr>
    </w:p>
    <w:p w14:paraId="01B81848" w14:textId="5B004BFC" w:rsidR="00A07A58" w:rsidRDefault="005A0A65" w:rsidP="00E36A97">
      <w:pPr>
        <w:spacing w:line="360" w:lineRule="auto"/>
        <w:rPr>
          <w:rFonts w:hint="eastAsia"/>
          <w:sz w:val="24"/>
          <w:szCs w:val="24"/>
          <w:lang w:val="en-US"/>
        </w:rPr>
      </w:pPr>
      <w:r w:rsidRPr="005A0A65">
        <w:rPr>
          <w:sz w:val="24"/>
          <w:szCs w:val="24"/>
          <w:lang w:val="en-US"/>
        </w:rPr>
        <w:t>Next, I will elaborate on several issues related to enterprise operations. Firstly, there is a conflict between decision-making efficiency and the principle of democracy</w:t>
      </w:r>
      <w:r w:rsidR="005834EF">
        <w:rPr>
          <w:sz w:val="24"/>
          <w:szCs w:val="24"/>
          <w:lang w:val="en-US"/>
        </w:rPr>
        <w:fldChar w:fldCharType="begin"/>
      </w:r>
      <w:r w:rsidR="008055D9">
        <w:rPr>
          <w:sz w:val="24"/>
          <w:szCs w:val="24"/>
          <w:lang w:val="en-US"/>
        </w:rPr>
        <w:instrText xml:space="preserve"> ADDIN ZOTERO_ITEM CSL_CITATION {"citationID":"yL5KKpjz","properties":{"formattedCitation":"(M\\uc0\\u252{}ller, 2021)","plainCitation":"(Müller, 2021)","noteIndex":0},"citationItems":[{"id":292,"uris":["http://zotero.org/users/18628635/items/L48QM3C9"],"itemData":{"id":292,"type":"book","abstract":"'Lively. . . This is one of those rare books about a pressing subject that reads less like a forced march than an inviting stroll . . . A book that encourages thinking, observation and discernment' New York TimesOne of our most essential political thinkers offers a vital account of democracy in the twenty-first centuryEveryone knows that democracy is in trouble, but do we know what democracy actually is? Political philosopher Jan-Werner Müller, author of the widely acclaimed What Is Populism?, takes us back to basics. In this short, elegant volume, he explains how democracy is founded on three vital principles: liberty, equality, and also uncertainty. The latter, he argues, is crucial for ensuring democracy's dynamic and creative character. Authoritarians, as well as Big Tech, seek to render politics (and individual citizens) predictable; democracy holds open the possibility that new ideas, movements and identities can be created.Acknowledging fully the dangers posed by populism, by kleptocratic autocracies like Russia's and by the digital authoritarianism of Xi, Müller also challenges the assumptions made by many liberals defending democracy in recent years. He shows how the secession of plutocratic elites in the West has undermined much of democracy's promise. In response, we need to re-invigorate our institutions, especially political parties and professional media, but also make it easier for citizens to mobilize. Taking on many of the most difficult political questions we face, this book is a vital rethinking of what democracy is, and how we can reinvent our social contract.","ISBN":"978-0-241-38294-3","language":"en","note":"Google-Books-ID: okD3DwAAQBAJ","number-of-pages":"207","publisher":"Penguin UK","source":"Google Books","title":"Democracy Rules","author":[{"family":"Müller","given":"Jan-Werner"}],"issued":{"date-parts":[["2021",7,6]]}}}],"schema":"https://github.com/citation-style-language/schema/raw/master/csl-citation.json"} </w:instrText>
      </w:r>
      <w:r w:rsidR="005834EF">
        <w:rPr>
          <w:sz w:val="24"/>
          <w:szCs w:val="24"/>
          <w:lang w:val="en-US"/>
        </w:rPr>
        <w:fldChar w:fldCharType="separate"/>
      </w:r>
      <w:r w:rsidR="008055D9" w:rsidRPr="008055D9">
        <w:rPr>
          <w:rFonts w:eastAsiaTheme="minorEastAsia" w:cs="Calibri"/>
          <w:kern w:val="0"/>
          <w:sz w:val="24"/>
          <w:szCs w:val="24"/>
          <w:lang w:val="en-US"/>
          <w14:ligatures w14:val="standardContextual"/>
        </w:rPr>
        <w:t>(Müller, 2021)</w:t>
      </w:r>
      <w:r w:rsidR="005834EF">
        <w:rPr>
          <w:sz w:val="24"/>
          <w:szCs w:val="24"/>
          <w:lang w:val="en-US"/>
        </w:rPr>
        <w:fldChar w:fldCharType="end"/>
      </w:r>
      <w:r w:rsidRPr="005A0A65">
        <w:rPr>
          <w:sz w:val="24"/>
          <w:szCs w:val="24"/>
          <w:lang w:val="en-US"/>
        </w:rPr>
        <w:t xml:space="preserve">. </w:t>
      </w:r>
      <w:proofErr w:type="spellStart"/>
      <w:r w:rsidRPr="005A0A65">
        <w:rPr>
          <w:sz w:val="24"/>
          <w:szCs w:val="24"/>
          <w:lang w:val="en-US"/>
        </w:rPr>
        <w:t>GreenHaven</w:t>
      </w:r>
      <w:proofErr w:type="spellEnd"/>
      <w:r w:rsidRPr="005A0A65">
        <w:rPr>
          <w:sz w:val="24"/>
          <w:szCs w:val="24"/>
          <w:lang w:val="en-US"/>
        </w:rPr>
        <w:t xml:space="preserve"> adheres to democratic decision-making, but it overly emphasizes the need for unanimous consent from all employees, resulting in multi-level discussions for key decisions, with the average delay in new product launches reaching 35%, and missed numerous market opportunities. Secondly, there is a serious conflict in leadership style. Managers' excessive intervention and excessive delegation of authority both lead to a lack of unified direction in work, as per Weber's bureaucratic theory, this style conflict seriously undermines collaboration efficiency</w:t>
      </w:r>
      <w:r w:rsidR="000E509F">
        <w:rPr>
          <w:sz w:val="24"/>
          <w:szCs w:val="24"/>
          <w:lang w:val="en-US"/>
        </w:rPr>
        <w:fldChar w:fldCharType="begin"/>
      </w:r>
      <w:r w:rsidR="00865B79">
        <w:rPr>
          <w:sz w:val="24"/>
          <w:szCs w:val="24"/>
          <w:lang w:val="en-US"/>
        </w:rPr>
        <w:instrText xml:space="preserve"> ADDIN ZOTERO_ITEM CSL_CITATION {"citationID":"xuYSTQdg","properties":{"formattedCitation":"(Y\\uc0\\u305{}lmaz and Telsa\\uc0\\u231{}, 2021)","plainCitation":"(Yılmaz and Telsaç, 2021)","noteIndex":0},"citationItems":[{"id":294,"uris":["http://zotero.org/users/18628635/items/SWSDAKG4"],"itemData":{"id":294,"type":"article-journal","abstract":"The first name that the bureaucracy concept evokes today is undoubtedly Max Weber. In Weber's management theory; there are three types of authority, which Weber tries to question why people obey orders. Weber; states that these authorities, which he describes as traditional, charismatic, and legal-rational models, can all provide obedience, but each will suit a different stage in the development of organizations. This study aims to reveal the meaning that Weber attributes to the concept of authority trilogy and bureaucracy. As a method, a literature review has been made. The findings obtained have been analyzed with a critical point of view and in detail and content analysis and interpretation techniques have been used to examine the findings. Also including the ideas of the leading thinkers of the Islamic world on the issues of authority and legitimacy has enriched the article.","container-title":"Mehmet Akif Ersoy University Journal of Social Sciences Institute","DOI":"10.20875/makusobed.903546","ISSN":"1309-1387","issue":"34","journalAbbreviation":"MAKU SOBED","language":"en","note":"publisher: Burdur Mehmet Akif Ersoy University","page":"42-52","source":"dergipark.org.tr","title":"AUTHORITY AND BUREAUCRACY FROM WEBER'S PERSPECTIVE","author":[{"family":"Yılmaz","given":"Vedat"},{"family":"Telsaç","given":"Cüneyt"}],"issued":{"date-parts":[["2021",11,28]]}}}],"schema":"https://github.com/citation-style-language/schema/raw/master/csl-citation.json"} </w:instrText>
      </w:r>
      <w:r w:rsidR="000E509F">
        <w:rPr>
          <w:sz w:val="24"/>
          <w:szCs w:val="24"/>
          <w:lang w:val="en-US"/>
        </w:rPr>
        <w:fldChar w:fldCharType="separate"/>
      </w:r>
      <w:r w:rsidR="00865B79" w:rsidRPr="00865B79">
        <w:rPr>
          <w:rFonts w:eastAsiaTheme="minorEastAsia" w:cs="Calibri"/>
          <w:kern w:val="0"/>
          <w:sz w:val="24"/>
          <w:szCs w:val="24"/>
          <w:lang w:val="en-US"/>
          <w14:ligatures w14:val="standardContextual"/>
        </w:rPr>
        <w:t xml:space="preserve">(Yılmaz and </w:t>
      </w:r>
      <w:proofErr w:type="spellStart"/>
      <w:r w:rsidR="00865B79" w:rsidRPr="00865B79">
        <w:rPr>
          <w:rFonts w:eastAsiaTheme="minorEastAsia" w:cs="Calibri"/>
          <w:kern w:val="0"/>
          <w:sz w:val="24"/>
          <w:szCs w:val="24"/>
          <w:lang w:val="en-US"/>
          <w14:ligatures w14:val="standardContextual"/>
        </w:rPr>
        <w:t>Telsaç</w:t>
      </w:r>
      <w:proofErr w:type="spellEnd"/>
      <w:r w:rsidR="00865B79" w:rsidRPr="00865B79">
        <w:rPr>
          <w:rFonts w:eastAsiaTheme="minorEastAsia" w:cs="Calibri"/>
          <w:kern w:val="0"/>
          <w:sz w:val="24"/>
          <w:szCs w:val="24"/>
          <w:lang w:val="en-US"/>
          <w14:ligatures w14:val="standardContextual"/>
        </w:rPr>
        <w:t>, 2021)</w:t>
      </w:r>
      <w:r w:rsidR="000E509F">
        <w:rPr>
          <w:sz w:val="24"/>
          <w:szCs w:val="24"/>
          <w:lang w:val="en-US"/>
        </w:rPr>
        <w:fldChar w:fldCharType="end"/>
      </w:r>
      <w:r w:rsidRPr="005A0A65">
        <w:rPr>
          <w:sz w:val="24"/>
          <w:szCs w:val="24"/>
          <w:lang w:val="en-US"/>
        </w:rPr>
        <w:t xml:space="preserve">. Finally, there is a disconnection between value concepts and actual </w:t>
      </w:r>
      <w:r w:rsidRPr="005A0A65">
        <w:rPr>
          <w:sz w:val="24"/>
          <w:szCs w:val="24"/>
          <w:lang w:val="en-US"/>
        </w:rPr>
        <w:lastRenderedPageBreak/>
        <w:t>operations. Advocating people-oriented principles, yet the decision to lay off employees lacks adequate assessment and compensation; advocating sustainable development, yet environmental packaging was not implemented in stores in second- and third-tier cities, which violates the core principle of reasonable treatment of employees in scientific management theory</w:t>
      </w:r>
      <w:r w:rsidR="00541100">
        <w:rPr>
          <w:sz w:val="24"/>
          <w:szCs w:val="24"/>
          <w:lang w:val="en-US"/>
        </w:rPr>
        <w:fldChar w:fldCharType="begin"/>
      </w:r>
      <w:r w:rsidR="00541100">
        <w:rPr>
          <w:sz w:val="24"/>
          <w:szCs w:val="24"/>
          <w:lang w:val="en-US"/>
        </w:rPr>
        <w:instrText xml:space="preserve"> ADDIN ZOTERO_ITEM CSL_CITATION {"citationID":"PX04HlDu","properties":{"formattedCitation":"(Ajunwa, 2023)","plainCitation":"(Ajunwa, 2023)","noteIndex":0},"citationItems":[{"id":296,"uris":["http://zotero.org/users/18628635/items/LMRI3E93"],"itemData":{"id":296,"type":"book","abstract":"The information revolution has ushered in a data-driven reorganization of the workplace. Big data and AI are used to surveil workers and shift risk. Workplace wellness programs appraise our health. Personality job tests calibrate our mental state. The monitoring of social media and surveillance of the workplace measure our social behavior. With rich historical sources and contemporary examples, The Quantified Worker explores how the workforce science of today goes far beyond increasing efficiency and threatens to erase individual personhood. With exhaustive detail, Ifeoma Ajunwa shows how different forms of worker quantification are enabled, facilitated, and driven by technological advances. Timely and eye-opening, The Quantified Worker advocates for changes in the law that will mitigate the ill effects of the modern workplace.","ISBN":"978-1-107-18603-3","language":"en","note":"Google-Books-ID: XHa3EAAAQBAJ","number-of-pages":"477","publisher":"Cambridge University Press","source":"Google Books","title":"The Quantified Worker: Law and Technology in the Modern Workplace","title-short":"The Quantified Worker","author":[{"family":"Ajunwa","given":"Ifeoma"}],"issued":{"date-parts":[["2023",5,11]]}}}],"schema":"https://github.com/citation-style-language/schema/raw/master/csl-citation.json"} </w:instrText>
      </w:r>
      <w:r w:rsidR="00541100">
        <w:rPr>
          <w:sz w:val="24"/>
          <w:szCs w:val="24"/>
          <w:lang w:val="en-US"/>
        </w:rPr>
        <w:fldChar w:fldCharType="separate"/>
      </w:r>
      <w:r w:rsidR="00541100">
        <w:rPr>
          <w:noProof/>
          <w:sz w:val="24"/>
          <w:szCs w:val="24"/>
          <w:lang w:val="en-US"/>
        </w:rPr>
        <w:t>(</w:t>
      </w:r>
      <w:proofErr w:type="spellStart"/>
      <w:r w:rsidR="00541100">
        <w:rPr>
          <w:noProof/>
          <w:sz w:val="24"/>
          <w:szCs w:val="24"/>
          <w:lang w:val="en-US"/>
        </w:rPr>
        <w:t>Ajunwa</w:t>
      </w:r>
      <w:proofErr w:type="spellEnd"/>
      <w:r w:rsidR="00541100">
        <w:rPr>
          <w:noProof/>
          <w:sz w:val="24"/>
          <w:szCs w:val="24"/>
          <w:lang w:val="en-US"/>
        </w:rPr>
        <w:t>, 2023)</w:t>
      </w:r>
      <w:r w:rsidR="00541100">
        <w:rPr>
          <w:sz w:val="24"/>
          <w:szCs w:val="24"/>
          <w:lang w:val="en-US"/>
        </w:rPr>
        <w:fldChar w:fldCharType="end"/>
      </w:r>
      <w:r w:rsidRPr="005A0A65">
        <w:rPr>
          <w:sz w:val="24"/>
          <w:szCs w:val="24"/>
          <w:lang w:val="en-US"/>
        </w:rPr>
        <w:t>.</w:t>
      </w:r>
    </w:p>
    <w:p w14:paraId="6F0EF90D" w14:textId="77777777" w:rsidR="00E36A97" w:rsidRDefault="00E36A97" w:rsidP="00E36A97">
      <w:pPr>
        <w:spacing w:line="360" w:lineRule="auto"/>
        <w:rPr>
          <w:sz w:val="24"/>
          <w:szCs w:val="24"/>
          <w:lang w:val="en-US"/>
        </w:rPr>
      </w:pPr>
    </w:p>
    <w:p w14:paraId="2ED04478" w14:textId="291BEFAB" w:rsidR="00E36A97" w:rsidRDefault="00104628" w:rsidP="00E36A97">
      <w:pPr>
        <w:spacing w:line="360" w:lineRule="auto"/>
        <w:rPr>
          <w:sz w:val="24"/>
          <w:szCs w:val="24"/>
          <w:lang w:val="en-US"/>
        </w:rPr>
      </w:pPr>
      <w:r w:rsidRPr="00104628">
        <w:rPr>
          <w:sz w:val="24"/>
          <w:szCs w:val="24"/>
          <w:lang w:val="en-US"/>
        </w:rPr>
        <w:t>To solve these problems, we first need to identify the root causes at the theoretical level. Firstly, it is Taylor's scientific management theory. Employees in the core business departments are chronically overworked, while the workload of some support departments is insufficient. This not only reduces overall efficiency but also leads to a polarization in employee satisfaction, and the efficiency-oriented approach that neglects humanistic care will cause serious employee turnover problems</w:t>
      </w:r>
      <w:r w:rsidR="00CD0564">
        <w:rPr>
          <w:sz w:val="24"/>
          <w:szCs w:val="24"/>
          <w:lang w:val="en-US"/>
        </w:rPr>
        <w:fldChar w:fldCharType="begin"/>
      </w:r>
      <w:r w:rsidR="00007F7A">
        <w:rPr>
          <w:sz w:val="24"/>
          <w:szCs w:val="24"/>
          <w:lang w:val="en-US"/>
        </w:rPr>
        <w:instrText xml:space="preserve"> ADDIN ZOTERO_ITEM CSL_CITATION {"citationID":"iEX2rKeZ","properties":{"formattedCitation":"(Dar, 2022)","plainCitation":"(Dar, 2022)","noteIndex":0},"citationItems":[{"id":298,"uris":["http://zotero.org/users/18628635/items/4X8V8VLC"],"itemData":{"id":298,"type":"article-journal","abstract":"Frederick Winslow was an American and sculptor who lived in the nineteenth century. Taylor was born in 1856 in Philadelphia, Pennsylvania, and died in 1915 in the same city. What is Taylor's contribution to the contemporary business environment? Taylor has provided management principles that can be used to improve the efficiency of an organisation. Taylor provided us with scientific management principles, which are now being implemented by all organisations in order to increase productivity at the shop floor level. The principles help to achieve effective results. Taylor, also known as the \"Father of Scientific Management,\" demonstrated that a scientific method could be applied to management, citing names such as W. Taylor and Fredrick Winslow in his practical theories. Taylor placed a strong emphasis on management at the supervisory level, as well as the performance of managers and employees at the operational level of the organisation. The aim of study is to identify and amylase the Relevance of Taylor's Scientific Management in the Modern Era.","container-title":"Journal of Psychology and Political Science","DOI":"10.55529/jpps.26.1.6","journalAbbreviation":"Journal of Psychology and Political Science","page":"1-6","source":"ResearchGate","title":"The Relevance of Taylor's Scientific Management in the Modern Era","author":[{"family":"Dar","given":"Showkat"}],"issued":{"date-parts":[["2022",10,1]]}}}],"schema":"https://github.com/citation-style-language/schema/raw/master/csl-citation.json"} </w:instrText>
      </w:r>
      <w:r w:rsidR="00CD0564">
        <w:rPr>
          <w:sz w:val="24"/>
          <w:szCs w:val="24"/>
          <w:lang w:val="en-US"/>
        </w:rPr>
        <w:fldChar w:fldCharType="separate"/>
      </w:r>
      <w:r w:rsidR="00007F7A">
        <w:rPr>
          <w:noProof/>
          <w:sz w:val="24"/>
          <w:szCs w:val="24"/>
          <w:lang w:val="en-US"/>
        </w:rPr>
        <w:t>(Dar, 2022)</w:t>
      </w:r>
      <w:r w:rsidR="00CD0564">
        <w:rPr>
          <w:sz w:val="24"/>
          <w:szCs w:val="24"/>
          <w:lang w:val="en-US"/>
        </w:rPr>
        <w:fldChar w:fldCharType="end"/>
      </w:r>
      <w:r w:rsidRPr="00104628">
        <w:rPr>
          <w:sz w:val="24"/>
          <w:szCs w:val="24"/>
          <w:lang w:val="en-US"/>
        </w:rPr>
        <w:t xml:space="preserve">. Secondly, it is </w:t>
      </w:r>
      <w:bookmarkStart w:id="0" w:name="_Hlk216391495"/>
      <w:r w:rsidRPr="00104628">
        <w:rPr>
          <w:sz w:val="24"/>
          <w:szCs w:val="24"/>
          <w:lang w:val="en-US"/>
        </w:rPr>
        <w:t>Weber's bureaucratic theory</w:t>
      </w:r>
      <w:bookmarkEnd w:id="0"/>
      <w:r w:rsidRPr="00104628">
        <w:rPr>
          <w:sz w:val="24"/>
          <w:szCs w:val="24"/>
          <w:lang w:val="en-US"/>
        </w:rPr>
        <w:t>. The rule-based concept was originally intended to stabilize operations, but its excessive application has led to a rigid approval process that prevents the enterprise from adapting to the rapid market changes in the retail industry</w:t>
      </w:r>
      <w:r w:rsidR="00072901">
        <w:rPr>
          <w:sz w:val="24"/>
          <w:szCs w:val="24"/>
          <w:lang w:val="en-US"/>
        </w:rPr>
        <w:fldChar w:fldCharType="begin"/>
      </w:r>
      <w:r w:rsidR="00072901">
        <w:rPr>
          <w:sz w:val="24"/>
          <w:szCs w:val="24"/>
          <w:lang w:val="en-US"/>
        </w:rPr>
        <w:instrText xml:space="preserve"> ADDIN ZOTERO_ITEM CSL_CITATION {"citationID":"GN1LA4E2","properties":{"formattedCitation":"(Weber, 2023)","plainCitation":"(Weber, 2023)","noteIndex":0},"citationItems":[{"id":300,"uris":["http://zotero.org/users/18628635/items/GSV7ADJH"],"itemData":{"id":300,"type":"chapter","abstract":"Bureaucratic organization has usually come into power on the basis of a leveling of economic and social differences. This leveling has been at least relative, and has concerned the significance of social and economic differences for the assumption of administrative functions. Bureaucracy inevitably accompanies modern mass democracy, in contrast to the democratic self-government of small homogeneous units. Every advance of simple election techniques based on numbers alone as, for instance, the system of proportional representation, means a strict and inter-local bureaucratic organization of the parties and therewith an increasing domination of party bureaucracy and discipline, as well as the elimination of the local circles of notables—at least this holds for large states. The progress of bureaucratization within the state administration itself is a phenomenon paralleling the development of democracy, as is quite obvious in France, North America, and now in England.","container-title":"Social Theory Re-Wired","edition":"3","note":"number-of-pages: 6","publisher":"Routledge","title":"Bureaucracy","author":[{"family":"Weber","given":"Max"}],"issued":{"date-parts":[["2023"]]}}}],"schema":"https://github.com/citation-style-language/schema/raw/master/csl-citation.json"} </w:instrText>
      </w:r>
      <w:r w:rsidR="00072901">
        <w:rPr>
          <w:sz w:val="24"/>
          <w:szCs w:val="24"/>
          <w:lang w:val="en-US"/>
        </w:rPr>
        <w:fldChar w:fldCharType="separate"/>
      </w:r>
      <w:r w:rsidR="00072901">
        <w:rPr>
          <w:noProof/>
          <w:sz w:val="24"/>
          <w:szCs w:val="24"/>
          <w:lang w:val="en-US"/>
        </w:rPr>
        <w:t>(Weber, 2023)</w:t>
      </w:r>
      <w:r w:rsidR="00072901">
        <w:rPr>
          <w:sz w:val="24"/>
          <w:szCs w:val="24"/>
          <w:lang w:val="en-US"/>
        </w:rPr>
        <w:fldChar w:fldCharType="end"/>
      </w:r>
      <w:r w:rsidRPr="00104628">
        <w:rPr>
          <w:sz w:val="24"/>
          <w:szCs w:val="24"/>
          <w:lang w:val="en-US"/>
        </w:rPr>
        <w:t xml:space="preserve">. Thirdly, it is </w:t>
      </w:r>
      <w:bookmarkStart w:id="1" w:name="_Hlk216391548"/>
      <w:r w:rsidRPr="00104628">
        <w:rPr>
          <w:sz w:val="24"/>
          <w:szCs w:val="24"/>
          <w:lang w:val="en-US"/>
        </w:rPr>
        <w:t>Fayol's management function theory</w:t>
      </w:r>
      <w:bookmarkEnd w:id="1"/>
      <w:r w:rsidRPr="00104628">
        <w:rPr>
          <w:sz w:val="24"/>
          <w:szCs w:val="24"/>
          <w:lang w:val="en-US"/>
        </w:rPr>
        <w:t xml:space="preserve">. Among the five major functions of management, </w:t>
      </w:r>
      <w:proofErr w:type="spellStart"/>
      <w:r w:rsidRPr="00104628">
        <w:rPr>
          <w:sz w:val="24"/>
          <w:szCs w:val="24"/>
          <w:lang w:val="en-US"/>
        </w:rPr>
        <w:t>GreenHaven</w:t>
      </w:r>
      <w:proofErr w:type="spellEnd"/>
      <w:r w:rsidRPr="00104628">
        <w:rPr>
          <w:sz w:val="24"/>
          <w:szCs w:val="24"/>
          <w:lang w:val="en-US"/>
        </w:rPr>
        <w:t xml:space="preserve"> has obvious shortcomings in planning, coordination, and control, resulting in recurring problems</w:t>
      </w:r>
      <w:r w:rsidR="00F91F19">
        <w:rPr>
          <w:sz w:val="24"/>
          <w:szCs w:val="24"/>
          <w:lang w:val="en-US"/>
        </w:rPr>
        <w:fldChar w:fldCharType="begin"/>
      </w:r>
      <w:r w:rsidR="00F91F19">
        <w:rPr>
          <w:sz w:val="24"/>
          <w:szCs w:val="24"/>
          <w:lang w:val="en-US"/>
        </w:rPr>
        <w:instrText xml:space="preserve"> ADDIN ZOTERO_ITEM CSL_CITATION {"citationID":"UzIPEhI0","properties":{"formattedCitation":"(Hayat, Nudrut and Shah, 2023)","plainCitation":"(Hayat, Nudrut and Shah, 2023)","noteIndex":0},"citationItems":[{"id":301,"uris":["http://zotero.org/users/18628635/items/S5RAYUI6"],"itemData":{"id":301,"type":"article-journal","abstract":"The study aimed to examine the managerial practices of school principals in district Poonch Azad Jammu &amp; Kashmir's private secondary schools, using Henri Fayol's management theory's purpose principles as a framework. The primary goals of the study were to assess how the heads' experience impacted their adherence to Fayol's purpose principles and to compare the implementation of these principles based on gender. The research was founded on Henri Fayol's administrative theory. All the private schools were population of the study which was 94 during the academic year 2012-17. Systematic sampling technique adopted to select the sample. There 76 private schools selected as sample of the study. The data collected through questionnaires. This Instrument had been validated from the experts. Collected data had been entered in Statistical Package for Social Sciences (SPSS). This software supported the scholar for the generation of reports. For data analysis mean, ANNOVA and t-test used to find the relevant results of objectives. Results reported and derived on the basis of data analysis. Some key findings were that principles of Fayol management theory are practiced by heads. However some parts of this theory are being neglected. The implementation of these principles varies based on the previous experience of the team leads. In certain cases, highly experienced individuals may overlook principles that are crucial for those with less experience. The implementation of management principles also varies among leaders based on gender. Based on these variations in results, it is recommended that different performance reviews be provided to the school heads to assess their strengths and weaknesses. In addition, school heads may benefit from proper training sessions and mentoring. It is also suggested that workshops be conducted to raise awareness about management theories","container-title":"sjesr","DOI":"10.36902/sjesr-vol6-iss1-2023(100-106)","ISSN":"2706-6525","issue":"1","language":"en","license":"Copyright (c) 2023 sjesr","page":"100-106","source":"ojs.sjesr.org.pk","title":"Fayol’s Purpose Principles of Management: An Analysis of Practices of Heads at Secondary Level in District Poonch Azad Jammu &amp; Kashmir, Pakistan","title-short":"Fayol’s Purpose Principles of Management","volume":"6","author":[{"family":"Hayat","given":"Anum"},{"family":"Nudrut","given":"Dr Saira"},{"family":"Shah","given":"Syed Jawad Zareen"}],"issued":{"date-parts":[["2023",3,11]]}}}],"schema":"https://github.com/citation-style-language/schema/raw/master/csl-citation.json"} </w:instrText>
      </w:r>
      <w:r w:rsidR="00F91F19">
        <w:rPr>
          <w:sz w:val="24"/>
          <w:szCs w:val="24"/>
          <w:lang w:val="en-US"/>
        </w:rPr>
        <w:fldChar w:fldCharType="separate"/>
      </w:r>
      <w:r w:rsidR="00F91F19">
        <w:rPr>
          <w:noProof/>
          <w:sz w:val="24"/>
          <w:szCs w:val="24"/>
          <w:lang w:val="en-US"/>
        </w:rPr>
        <w:t>(Hayat, Nudrut and Shah, 2023)</w:t>
      </w:r>
      <w:r w:rsidR="00F91F19">
        <w:rPr>
          <w:sz w:val="24"/>
          <w:szCs w:val="24"/>
          <w:lang w:val="en-US"/>
        </w:rPr>
        <w:fldChar w:fldCharType="end"/>
      </w:r>
      <w:r w:rsidRPr="00104628">
        <w:rPr>
          <w:sz w:val="24"/>
          <w:szCs w:val="24"/>
          <w:lang w:val="en-US"/>
        </w:rPr>
        <w:t xml:space="preserve">. Finally, it is the </w:t>
      </w:r>
      <w:bookmarkStart w:id="2" w:name="_Hlk216391595"/>
      <w:r w:rsidRPr="00104628">
        <w:rPr>
          <w:sz w:val="24"/>
          <w:szCs w:val="24"/>
          <w:lang w:val="en-US"/>
        </w:rPr>
        <w:t>contingency theory</w:t>
      </w:r>
      <w:bookmarkEnd w:id="2"/>
      <w:r w:rsidRPr="00104628">
        <w:rPr>
          <w:sz w:val="24"/>
          <w:szCs w:val="24"/>
          <w:lang w:val="en-US"/>
        </w:rPr>
        <w:t xml:space="preserve">. This theory holds that the management model must be adapted to the internal and external environment. However, </w:t>
      </w:r>
      <w:proofErr w:type="spellStart"/>
      <w:r w:rsidRPr="00104628">
        <w:rPr>
          <w:sz w:val="24"/>
          <w:szCs w:val="24"/>
          <w:lang w:val="en-US"/>
        </w:rPr>
        <w:t>GreenHaven's</w:t>
      </w:r>
      <w:proofErr w:type="spellEnd"/>
      <w:r w:rsidRPr="00104628">
        <w:rPr>
          <w:sz w:val="24"/>
          <w:szCs w:val="24"/>
          <w:lang w:val="en-US"/>
        </w:rPr>
        <w:t xml:space="preserve"> management model fails to meet the demand of the retail industry for market response speed and also fails to satisfy employees' need for autonomous decision-making, leading to insufficient organizational adaptability</w:t>
      </w:r>
      <w:r w:rsidR="00AF2F0A">
        <w:rPr>
          <w:sz w:val="24"/>
          <w:szCs w:val="24"/>
          <w:lang w:val="en-US"/>
        </w:rPr>
        <w:fldChar w:fldCharType="begin"/>
      </w:r>
      <w:r w:rsidR="00AF2F0A">
        <w:rPr>
          <w:sz w:val="24"/>
          <w:szCs w:val="24"/>
          <w:lang w:val="en-US"/>
        </w:rPr>
        <w:instrText xml:space="preserve"> ADDIN ZOTERO_ITEM CSL_CITATION {"citationID":"SGwoJ6wg","properties":{"formattedCitation":"(Abedin, 2021)","plainCitation":"(Abedin, 2021)","noteIndex":0},"citationItems":[{"id":303,"uris":["http://zotero.org/users/18628635/items/L57W9GZU"],"itemData":{"id":303,"type":"article-journal","abstract":"Research into the interpretability and explainability of data analytics and artificial intelligence (AI) systems is on the rise. However, most recent studies either solely promote the benefits of explainability or criticize it due to its counterproductive effects. This study addresses this polarized space and aims to identify opposing effects of the explainability of AI and the tensions between them and propose how to manage this tension to optimize AI system performance and trustworthiness.The author systematically reviews the literature and synthesizes it using a contingency theory lens to develop a framework for managing the opposing effects of AI explainability.The author finds five opposing effects of explainability: comprehensibility, conduct, confidentiality, completeness and confidence in AI (5Cs). The author also proposes six perspectives on managing the tensions between the 5Cs: pragmatism in explanation, contextualization of the explanation, cohabitation of human agency and AI agency, metrics and standardization, regulatory and ethical principles, and other emerging solutions (i.e. AI enveloping, blockchain and AI fuzzy systems).As in other systematic literature review studies, the results are limited by the content of the selected papers.The findings show how AI owners and developers can manage tensions between profitability, prediction accuracy and system performance via visibility, accountability and maintaining the “social goodness” of AI. The results guide practitioners in developing metrics and standards for AI explainability, with the context of AI operation as the focus.This study addresses polarized beliefs amongst scholars and practitioners about the benefits of AI explainability versus its counterproductive effects. It poses that there is no single best way to maximize AI explainability. Instead, the co-existence of enabling and constraining effects must be managed.","container-title":"Internet Research","DOI":"10.1108/INTR-05-2020-0300","ISSN":"1066-2243","issue":"2","journalAbbreviation":"Internet Research","note":"TLDR: The findings show how AI owners and developers can manage tensions between profitability, prediction accuracy and system performance via visibility, accountability and maintaining the “social goodness” of AI.","page":"425-453","source":"Silverchair","title":"Managing the tension between opposing effects of explainability of artificial intelligence: a contingency theory perspective","title-short":"Managing the tension between opposing effects of explainability of artificial intelligence","volume":"32","author":[{"family":"Abedin","given":"Babak"}],"issued":{"date-parts":[["2021",7,5]]}}}],"schema":"https://github.com/citation-style-language/schema/raw/master/csl-citation.json"} </w:instrText>
      </w:r>
      <w:r w:rsidR="00AF2F0A">
        <w:rPr>
          <w:sz w:val="24"/>
          <w:szCs w:val="24"/>
          <w:lang w:val="en-US"/>
        </w:rPr>
        <w:fldChar w:fldCharType="separate"/>
      </w:r>
      <w:r w:rsidR="00AF2F0A">
        <w:rPr>
          <w:noProof/>
          <w:sz w:val="24"/>
          <w:szCs w:val="24"/>
          <w:lang w:val="en-US"/>
        </w:rPr>
        <w:t>(Abedin, 2021)</w:t>
      </w:r>
      <w:r w:rsidR="00AF2F0A">
        <w:rPr>
          <w:sz w:val="24"/>
          <w:szCs w:val="24"/>
          <w:lang w:val="en-US"/>
        </w:rPr>
        <w:fldChar w:fldCharType="end"/>
      </w:r>
      <w:r w:rsidRPr="00104628">
        <w:rPr>
          <w:sz w:val="24"/>
          <w:szCs w:val="24"/>
          <w:lang w:val="en-US"/>
        </w:rPr>
        <w:t>.</w:t>
      </w:r>
    </w:p>
    <w:p w14:paraId="6189B8D2" w14:textId="77777777" w:rsidR="00AF2F0A" w:rsidRDefault="00AF2F0A" w:rsidP="00E36A97">
      <w:pPr>
        <w:spacing w:line="360" w:lineRule="auto"/>
        <w:rPr>
          <w:sz w:val="24"/>
          <w:szCs w:val="24"/>
          <w:lang w:val="en-US"/>
        </w:rPr>
      </w:pPr>
    </w:p>
    <w:p w14:paraId="186804A1" w14:textId="30443D35" w:rsidR="00AF2F0A" w:rsidRDefault="000A05E7" w:rsidP="00E36A97">
      <w:pPr>
        <w:spacing w:line="360" w:lineRule="auto"/>
        <w:rPr>
          <w:sz w:val="24"/>
          <w:szCs w:val="24"/>
          <w:lang w:val="en-US"/>
        </w:rPr>
      </w:pPr>
      <w:r w:rsidRPr="000A05E7">
        <w:rPr>
          <w:sz w:val="24"/>
          <w:szCs w:val="24"/>
          <w:lang w:val="en-US"/>
        </w:rPr>
        <w:t xml:space="preserve">If the mainstream theory reveals the issues of efficiency and structure, then the </w:t>
      </w:r>
      <w:bookmarkStart w:id="3" w:name="_Hlk216392403"/>
      <w:r w:rsidRPr="000A05E7">
        <w:rPr>
          <w:sz w:val="24"/>
          <w:szCs w:val="24"/>
          <w:lang w:val="en-US"/>
        </w:rPr>
        <w:t>critical management theory</w:t>
      </w:r>
      <w:bookmarkEnd w:id="3"/>
      <w:r w:rsidRPr="000A05E7">
        <w:rPr>
          <w:sz w:val="24"/>
          <w:szCs w:val="24"/>
          <w:lang w:val="en-US"/>
        </w:rPr>
        <w:t xml:space="preserve"> shows us the imbalance between power and the system</w:t>
      </w:r>
      <w:r w:rsidR="00516E61">
        <w:rPr>
          <w:sz w:val="24"/>
          <w:szCs w:val="24"/>
          <w:lang w:val="en-US"/>
        </w:rPr>
        <w:fldChar w:fldCharType="begin"/>
      </w:r>
      <w:r w:rsidR="00516E61">
        <w:rPr>
          <w:sz w:val="24"/>
          <w:szCs w:val="24"/>
          <w:lang w:val="en-US"/>
        </w:rPr>
        <w:instrText xml:space="preserve"> ADDIN ZOTERO_ITEM CSL_CITATION {"citationID":"GUeD6Gy9","properties":{"formattedCitation":"(Bilgin, 2023)","plainCitation":"(Bilgin, 2023)","noteIndex":0},"citationItems":[{"id":306,"uris":["http://zotero.org/users/18628635/items/R52J4PPY"],"itemData":{"id":306,"type":"chapter","abstract":"In this chapter, students will learn about the critical approach to security studies which draws on the critical theory of Italian political theorist Antonio Gramsci and the Frankfurt School. This approach is also known as the ‘Aberystwyth School’ of security studies. The chapter begins by tracing the origins of critical security studies. It then explores the key concepts of security studies that have been inspired by critical theory, using empirical illustrations from regions such as the Middle East and the Euro-Mediterranean, and issues such as human mobility, nuclear weapons, and ‘state failure’.","container-title":"Security Studies","edition":"4","note":"number-of-pages: 15","publisher":"Routledge","title":"Critical Theory","author":[{"family":"Bilgin","given":"Pinar"}],"issued":{"date-parts":[["2023"]]}}}],"schema":"https://github.com/citation-style-language/schema/raw/master/csl-citation.json"} </w:instrText>
      </w:r>
      <w:r w:rsidR="00516E61">
        <w:rPr>
          <w:sz w:val="24"/>
          <w:szCs w:val="24"/>
          <w:lang w:val="en-US"/>
        </w:rPr>
        <w:fldChar w:fldCharType="separate"/>
      </w:r>
      <w:r w:rsidR="00516E61">
        <w:rPr>
          <w:noProof/>
          <w:sz w:val="24"/>
          <w:szCs w:val="24"/>
          <w:lang w:val="en-US"/>
        </w:rPr>
        <w:t>(Bilgin, 2023)</w:t>
      </w:r>
      <w:r w:rsidR="00516E61">
        <w:rPr>
          <w:sz w:val="24"/>
          <w:szCs w:val="24"/>
          <w:lang w:val="en-US"/>
        </w:rPr>
        <w:fldChar w:fldCharType="end"/>
      </w:r>
      <w:r w:rsidRPr="000A05E7">
        <w:rPr>
          <w:sz w:val="24"/>
          <w:szCs w:val="24"/>
          <w:lang w:val="en-US"/>
        </w:rPr>
        <w:t xml:space="preserve">. The post-bureaucratic theory advocates decentralization and genuine employee participation, but the multi-level approval process and the management-led decision-making model of </w:t>
      </w:r>
      <w:proofErr w:type="spellStart"/>
      <w:r w:rsidRPr="000A05E7">
        <w:rPr>
          <w:sz w:val="24"/>
          <w:szCs w:val="24"/>
          <w:lang w:val="en-US"/>
        </w:rPr>
        <w:t>GreenHaven</w:t>
      </w:r>
      <w:proofErr w:type="spellEnd"/>
      <w:r w:rsidRPr="000A05E7">
        <w:rPr>
          <w:sz w:val="24"/>
          <w:szCs w:val="24"/>
          <w:lang w:val="en-US"/>
        </w:rPr>
        <w:t xml:space="preserve"> make employee participation merely a </w:t>
      </w:r>
      <w:r w:rsidRPr="000A05E7">
        <w:rPr>
          <w:sz w:val="24"/>
          <w:szCs w:val="24"/>
          <w:lang w:val="en-US"/>
        </w:rPr>
        <w:lastRenderedPageBreak/>
        <w:t>superficial act. The lack of truly participatory democratic decision-making will only exacerbate organizational rigidity</w:t>
      </w:r>
      <w:r w:rsidR="007E005B">
        <w:rPr>
          <w:sz w:val="24"/>
          <w:szCs w:val="24"/>
          <w:lang w:val="en-US"/>
        </w:rPr>
        <w:fldChar w:fldCharType="begin"/>
      </w:r>
      <w:r w:rsidR="007E005B">
        <w:rPr>
          <w:sz w:val="24"/>
          <w:szCs w:val="24"/>
          <w:lang w:val="en-US"/>
        </w:rPr>
        <w:instrText xml:space="preserve"> ADDIN ZOTERO_ITEM CSL_CITATION {"citationID":"KYzg5gYD","properties":{"formattedCitation":"(Clegg, Harris and H\\uc0\\u246{}pfl, 2011)","plainCitation":"(Clegg, Harris and Höpfl, 2011)","noteIndex":0},"citationItems":[{"id":307,"uris":["http://zotero.org/users/18628635/items/I4VYXFPC"],"itemData":{"id":307,"type":"book","abstract":"Bureaucracy has long been a cornerstone of advanced industrial societies, and a defining feature of modernity. At the same time, many commentators from all quarters argue that it is on the wane in this post-this or that world; or that if it isn't, it should be dismantled to free up organizations, enterprise, and innovation. But do we live in a more or less bureaucratic world? Do contemporary forms and means of communication undermine or modify bureaucracy, or does technology create new 'iron cages' and forms of control? If bureaucratic models of organization are abandoned, do we run risks of organizational failure and inequity? Are there certain moral, professional, and social values associated with bureaucratic models? This book explores these issues in different organizational contexts - public administration, the National Health Service, the modern firm and corporation - and offers new insights into enduring questions. It will be an invaluable resource for academics, researchers, and students in organization studies, management, public administration, and sociology. The volume will also appeal to managers, planners, and policy makers who deal with these challenges.","ISBN":"978-0-19-956364-7","language":"en","note":"Google-Books-ID: W8wUDAAAQBAJ","number-of-pages":"326","publisher":"Oxford University Press","source":"Google Books","title":"Managing Modernity: Beyond Bureaucracy?","title-short":"Managing Modernity","author":[{"family":"Clegg","given":"Stewart R."},{"family":"Harris","given":"Martin"},{"family":"Höpfl","given":"Harro"}],"issued":{"date-parts":[["2011",1,27]]}}}],"schema":"https://github.com/citation-style-language/schema/raw/master/csl-citation.json"} </w:instrText>
      </w:r>
      <w:r w:rsidR="007E005B">
        <w:rPr>
          <w:sz w:val="24"/>
          <w:szCs w:val="24"/>
          <w:lang w:val="en-US"/>
        </w:rPr>
        <w:fldChar w:fldCharType="separate"/>
      </w:r>
      <w:r w:rsidR="007E005B" w:rsidRPr="007E005B">
        <w:rPr>
          <w:rFonts w:eastAsiaTheme="minorEastAsia" w:cs="Calibri"/>
          <w:kern w:val="0"/>
          <w:sz w:val="24"/>
          <w:szCs w:val="24"/>
          <w:lang w:val="en-US"/>
          <w14:ligatures w14:val="standardContextual"/>
        </w:rPr>
        <w:t xml:space="preserve">(Clegg, Harris and </w:t>
      </w:r>
      <w:proofErr w:type="spellStart"/>
      <w:r w:rsidR="007E005B" w:rsidRPr="007E005B">
        <w:rPr>
          <w:rFonts w:eastAsiaTheme="minorEastAsia" w:cs="Calibri"/>
          <w:kern w:val="0"/>
          <w:sz w:val="24"/>
          <w:szCs w:val="24"/>
          <w:lang w:val="en-US"/>
          <w14:ligatures w14:val="standardContextual"/>
        </w:rPr>
        <w:t>Höpfl</w:t>
      </w:r>
      <w:proofErr w:type="spellEnd"/>
      <w:r w:rsidR="007E005B" w:rsidRPr="007E005B">
        <w:rPr>
          <w:rFonts w:eastAsiaTheme="minorEastAsia" w:cs="Calibri"/>
          <w:kern w:val="0"/>
          <w:sz w:val="24"/>
          <w:szCs w:val="24"/>
          <w:lang w:val="en-US"/>
          <w14:ligatures w14:val="standardContextual"/>
        </w:rPr>
        <w:t>, 2011)</w:t>
      </w:r>
      <w:r w:rsidR="007E005B">
        <w:rPr>
          <w:sz w:val="24"/>
          <w:szCs w:val="24"/>
          <w:lang w:val="en-US"/>
        </w:rPr>
        <w:fldChar w:fldCharType="end"/>
      </w:r>
      <w:r w:rsidRPr="000A05E7">
        <w:rPr>
          <w:sz w:val="24"/>
          <w:szCs w:val="24"/>
          <w:lang w:val="en-US"/>
        </w:rPr>
        <w:t xml:space="preserve">. </w:t>
      </w:r>
      <w:bookmarkStart w:id="4" w:name="_Hlk216392871"/>
      <w:r w:rsidRPr="000A05E7">
        <w:rPr>
          <w:sz w:val="24"/>
          <w:szCs w:val="24"/>
          <w:lang w:val="en-US"/>
        </w:rPr>
        <w:t>The system theory</w:t>
      </w:r>
      <w:bookmarkEnd w:id="4"/>
      <w:r w:rsidRPr="000A05E7">
        <w:rPr>
          <w:sz w:val="24"/>
          <w:szCs w:val="24"/>
          <w:lang w:val="en-US"/>
        </w:rPr>
        <w:t xml:space="preserve"> emphasizes that the organization is a whole, with each subsystem interrelated and influencing each other. The problem of </w:t>
      </w:r>
      <w:proofErr w:type="spellStart"/>
      <w:r w:rsidRPr="000A05E7">
        <w:rPr>
          <w:sz w:val="24"/>
          <w:szCs w:val="24"/>
          <w:lang w:val="en-US"/>
        </w:rPr>
        <w:t>GreenHaven</w:t>
      </w:r>
      <w:proofErr w:type="spellEnd"/>
      <w:r w:rsidRPr="000A05E7">
        <w:rPr>
          <w:sz w:val="24"/>
          <w:szCs w:val="24"/>
          <w:lang w:val="en-US"/>
        </w:rPr>
        <w:t xml:space="preserve"> is precisely the imbalance of the system. Internal resources are overly concentrated in the core business departments, while support departments have insufficient resources, resulting in the inability to achieve synergy. The lack of smooth information exchange between the organization and the external market is precisely the dual predicament of internal imbalance and external disconnection</w:t>
      </w:r>
      <w:r w:rsidR="00A817F5">
        <w:rPr>
          <w:sz w:val="24"/>
          <w:szCs w:val="24"/>
          <w:lang w:val="en-US"/>
        </w:rPr>
        <w:fldChar w:fldCharType="begin"/>
      </w:r>
      <w:r w:rsidR="00A817F5">
        <w:rPr>
          <w:sz w:val="24"/>
          <w:szCs w:val="24"/>
          <w:lang w:val="en-US"/>
        </w:rPr>
        <w:instrText xml:space="preserve"> ADDIN ZOTERO_ITEM CSL_CITATION {"citationID":"E2wPxKcd","properties":{"formattedCitation":"(Gaur {\\i{}et al.}, 2023)","plainCitation":"(Gaur et al., 2023)","noteIndex":0},"citationItems":[{"id":309,"uris":["http://zotero.org/users/18628635/items/D4NHTIUI"],"itemData":{"id":309,"type":"article-journal","abstract":"The impact of artificial intelligence (AI) on the environment is the subject of discourse, with arguments for both positive and negative effects. There is a fine line between AI for good and AI for environmental degradation. Today, companies want to seize the benefits of AI, which distinctively involves reducing the company's carbon footprint. However, AI's carbon emissions differ as per the techniques involved in training it. As the saying goes, a coin always has two sides. Therefore, it cannot be denied that AI can be an effective tool for combating climate change, but its role in contributing to carbon emissions cannot be ignored. Multiple studies indicate that AI could be the game-changer in staving off anthropogenic climatic changes due to the deterioration of the environment and global warming. This double-edged relationship and interdependency of AI and carbon emissions are represented through a system of systems (SoS) approach. SoS states that a plan is created through multiple smaller systems, creating complexity in the design and vice versa. A complex system can be assumed as the world in general, where two individual independent systems AI and carbon emissions, when in interaction, create a complex complementary and contradictory relation, adding to the convolution of the system. This connection is demonstrated by conducting a network analysis and calculating the carbon emissions of six machine learning (ML) algorithms and deep learning (DL) models with different datasets but the same hyperparameters on a carbon emission calculator created through AI algorithms. The primary idea of this study is to encourage the AI society to create efficient AI models that may be used without compromising environmental issues. The focus should be on practicing sustainable AI, that is, sustainability from data collection to model deployment, throughout the lifecycle of AI.","container-title":"Ecological Informatics","DOI":"10.1016/j.ecoinf.2023.102165","ISSN":"1574-9541","journalAbbreviation":"Ecological Informatics","page":"102165","source":"ScienceDirect","title":"Artificial intelligence for carbon emissions using system of systems theory","volume":"76","author":[{"family":"Gaur","given":"Loveleen"},{"family":"Afaq","given":"Anam"},{"family":"Arora","given":"Gursimar Kaur"},{"family":"Khan","given":"Nabeel"}],"issued":{"date-parts":[["2023",9,1]]}}}],"schema":"https://github.com/citation-style-language/schema/raw/master/csl-citation.json"} </w:instrText>
      </w:r>
      <w:r w:rsidR="00A817F5">
        <w:rPr>
          <w:sz w:val="24"/>
          <w:szCs w:val="24"/>
          <w:lang w:val="en-US"/>
        </w:rPr>
        <w:fldChar w:fldCharType="separate"/>
      </w:r>
      <w:r w:rsidR="00A817F5" w:rsidRPr="00A817F5">
        <w:rPr>
          <w:rFonts w:eastAsiaTheme="minorEastAsia" w:cs="Calibri"/>
          <w:kern w:val="0"/>
          <w:sz w:val="24"/>
          <w:szCs w:val="24"/>
          <w:lang w:val="en-US"/>
          <w14:ligatures w14:val="standardContextual"/>
        </w:rPr>
        <w:t xml:space="preserve">(Gaur </w:t>
      </w:r>
      <w:r w:rsidR="00A817F5" w:rsidRPr="00A817F5">
        <w:rPr>
          <w:rFonts w:eastAsiaTheme="minorEastAsia" w:cs="Calibri"/>
          <w:i/>
          <w:iCs/>
          <w:kern w:val="0"/>
          <w:sz w:val="24"/>
          <w:szCs w:val="24"/>
          <w:lang w:val="en-US"/>
          <w14:ligatures w14:val="standardContextual"/>
        </w:rPr>
        <w:t>et al.</w:t>
      </w:r>
      <w:r w:rsidR="00A817F5" w:rsidRPr="00A817F5">
        <w:rPr>
          <w:rFonts w:eastAsiaTheme="minorEastAsia" w:cs="Calibri"/>
          <w:kern w:val="0"/>
          <w:sz w:val="24"/>
          <w:szCs w:val="24"/>
          <w:lang w:val="en-US"/>
          <w14:ligatures w14:val="standardContextual"/>
        </w:rPr>
        <w:t>, 2023)</w:t>
      </w:r>
      <w:r w:rsidR="00A817F5">
        <w:rPr>
          <w:sz w:val="24"/>
          <w:szCs w:val="24"/>
          <w:lang w:val="en-US"/>
        </w:rPr>
        <w:fldChar w:fldCharType="end"/>
      </w:r>
      <w:r w:rsidRPr="000A05E7">
        <w:rPr>
          <w:sz w:val="24"/>
          <w:szCs w:val="24"/>
          <w:lang w:val="en-US"/>
        </w:rPr>
        <w:t>.</w:t>
      </w:r>
    </w:p>
    <w:p w14:paraId="21F570B4" w14:textId="77777777" w:rsidR="00A178FE" w:rsidRDefault="00A178FE" w:rsidP="00E36A97">
      <w:pPr>
        <w:spacing w:line="360" w:lineRule="auto"/>
        <w:rPr>
          <w:sz w:val="24"/>
          <w:szCs w:val="24"/>
          <w:lang w:val="en-US"/>
        </w:rPr>
      </w:pPr>
    </w:p>
    <w:p w14:paraId="4C08655A" w14:textId="6916EBEC" w:rsidR="00A178FE" w:rsidRDefault="00485F01" w:rsidP="00E36A97">
      <w:pPr>
        <w:spacing w:line="360" w:lineRule="auto"/>
        <w:rPr>
          <w:rFonts w:hint="eastAsia"/>
          <w:sz w:val="24"/>
          <w:szCs w:val="24"/>
          <w:lang w:val="en-US"/>
        </w:rPr>
      </w:pPr>
      <w:r w:rsidRPr="00485F01">
        <w:rPr>
          <w:sz w:val="24"/>
          <w:szCs w:val="24"/>
          <w:lang w:val="en-US"/>
        </w:rPr>
        <w:t xml:space="preserve">Based on the above theoretical analysis, I believe that </w:t>
      </w:r>
      <w:proofErr w:type="spellStart"/>
      <w:r w:rsidRPr="00485F01">
        <w:rPr>
          <w:sz w:val="24"/>
          <w:szCs w:val="24"/>
          <w:lang w:val="en-US"/>
        </w:rPr>
        <w:t>GreenHaven</w:t>
      </w:r>
      <w:proofErr w:type="spellEnd"/>
      <w:r w:rsidRPr="00485F01">
        <w:rPr>
          <w:sz w:val="24"/>
          <w:szCs w:val="24"/>
          <w:lang w:val="en-US"/>
        </w:rPr>
        <w:t xml:space="preserve"> needs to restructure its core mechanisms. The first step is to optimize the decision-making mechanism. According to contingency theory, a hierarchical approval system can be established, and different decision-making mechanisms can be implemented based on the urgency of the event</w:t>
      </w:r>
      <w:r w:rsidR="00B706B7">
        <w:rPr>
          <w:sz w:val="24"/>
          <w:szCs w:val="24"/>
          <w:lang w:val="en-US"/>
        </w:rPr>
        <w:fldChar w:fldCharType="begin"/>
      </w:r>
      <w:r w:rsidR="00B706B7">
        <w:rPr>
          <w:sz w:val="24"/>
          <w:szCs w:val="24"/>
          <w:lang w:val="en-US"/>
        </w:rPr>
        <w:instrText xml:space="preserve"> ADDIN ZOTERO_ITEM CSL_CITATION {"citationID":"nfoD0dxu","properties":{"formattedCitation":"(Schneckenberg {\\i{}et al.}, 2017)","plainCitation":"(Schneckenberg et al., 2017)","noteIndex":0},"citationItems":[{"id":313,"uris":["http://zotero.org/users/18628635/items/6VP5S2VE"],"itemData":{"id":313,"type":"article-journal","abstract":"As a research subject, business model innovation spans the strategy, innovation, and entrepreneurship fields. Yet, despite the importance of the concept, prior work has paid little attention to how decision-makers cope with uncertainty and gain understanding about interdependencies in new business model configurations. To address this gap, we combine top-down theorising and evidence-based exploration and seek to unpack some of the coping mechanisms that operate in the evolutionary view of business model innovation. Using in-depth interviewing to collect data, our study reveals five strategies – customer centricity, value co-creation, capability evolution, ecosystem growth, and adaptive pricing – that decision-makers apply to cope with uncertainty in business model innovation. We find that coping mechanisms support decision making during the development of new business models. Furthermore, we find that the five coping strategies delineate decision making for value proposition, value creation, and value capture configurations in more detail than existing literature has described. Our findings have important implications for decision making in business model innovation.","container-title":"R&amp;D Management","DOI":"10.1111/radm.12205","ISSN":"1467-9310","issue":"3","language":"en","license":"© 2016 RADMA and John Wiley &amp; Sons Ltd","note":"_eprint: https://onlinelibrary.wiley.com/doi/pdf/10.1111/radm.12205","page":"404-419","source":"Wiley Online Library","title":"Business model innovation and decision making: uncovering mechanisms for coping with uncertainty","title-short":"Business model innovation and decision making","volume":"47","author":[{"family":"Schneckenberg","given":"Dirk"},{"family":"Velamuri","given":"Vivek K."},{"family":"Comberg","given":"Christian"},{"family":"Spieth","given":"Patrick"}],"issued":{"date-parts":[["2017"]]}}}],"schema":"https://github.com/citation-style-language/schema/raw/master/csl-citation.json"} </w:instrText>
      </w:r>
      <w:r w:rsidR="00B706B7">
        <w:rPr>
          <w:sz w:val="24"/>
          <w:szCs w:val="24"/>
          <w:lang w:val="en-US"/>
        </w:rPr>
        <w:fldChar w:fldCharType="separate"/>
      </w:r>
      <w:r w:rsidR="00B706B7" w:rsidRPr="00B706B7">
        <w:rPr>
          <w:rFonts w:eastAsiaTheme="minorEastAsia" w:cs="Calibri"/>
          <w:kern w:val="0"/>
          <w:sz w:val="24"/>
          <w:szCs w:val="24"/>
          <w:lang w:val="en-US"/>
          <w14:ligatures w14:val="standardContextual"/>
        </w:rPr>
        <w:t>(</w:t>
      </w:r>
      <w:proofErr w:type="spellStart"/>
      <w:r w:rsidR="00B706B7" w:rsidRPr="00B706B7">
        <w:rPr>
          <w:rFonts w:eastAsiaTheme="minorEastAsia" w:cs="Calibri"/>
          <w:kern w:val="0"/>
          <w:sz w:val="24"/>
          <w:szCs w:val="24"/>
          <w:lang w:val="en-US"/>
          <w14:ligatures w14:val="standardContextual"/>
        </w:rPr>
        <w:t>Schneckenberg</w:t>
      </w:r>
      <w:proofErr w:type="spellEnd"/>
      <w:r w:rsidR="00B706B7" w:rsidRPr="00B706B7">
        <w:rPr>
          <w:rFonts w:eastAsiaTheme="minorEastAsia" w:cs="Calibri"/>
          <w:kern w:val="0"/>
          <w:sz w:val="24"/>
          <w:szCs w:val="24"/>
          <w:lang w:val="en-US"/>
          <w14:ligatures w14:val="standardContextual"/>
        </w:rPr>
        <w:t xml:space="preserve"> </w:t>
      </w:r>
      <w:r w:rsidR="00B706B7" w:rsidRPr="00B706B7">
        <w:rPr>
          <w:rFonts w:eastAsiaTheme="minorEastAsia" w:cs="Calibri"/>
          <w:i/>
          <w:iCs/>
          <w:kern w:val="0"/>
          <w:sz w:val="24"/>
          <w:szCs w:val="24"/>
          <w:lang w:val="en-US"/>
          <w14:ligatures w14:val="standardContextual"/>
        </w:rPr>
        <w:t>et al.</w:t>
      </w:r>
      <w:r w:rsidR="00B706B7" w:rsidRPr="00B706B7">
        <w:rPr>
          <w:rFonts w:eastAsiaTheme="minorEastAsia" w:cs="Calibri"/>
          <w:kern w:val="0"/>
          <w:sz w:val="24"/>
          <w:szCs w:val="24"/>
          <w:lang w:val="en-US"/>
          <w14:ligatures w14:val="standardContextual"/>
        </w:rPr>
        <w:t>, 2017)</w:t>
      </w:r>
      <w:r w:rsidR="00B706B7">
        <w:rPr>
          <w:sz w:val="24"/>
          <w:szCs w:val="24"/>
          <w:lang w:val="en-US"/>
        </w:rPr>
        <w:fldChar w:fldCharType="end"/>
      </w:r>
      <w:r w:rsidRPr="00485F01">
        <w:rPr>
          <w:sz w:val="24"/>
          <w:szCs w:val="24"/>
          <w:lang w:val="en-US"/>
        </w:rPr>
        <w:t xml:space="preserve">. The leadership style also needs to be standardized. All managers should adjust their leadership styles according to the complexity of the tasks and the capabilities of the </w:t>
      </w:r>
      <w:proofErr w:type="gramStart"/>
      <w:r w:rsidRPr="00485F01">
        <w:rPr>
          <w:sz w:val="24"/>
          <w:szCs w:val="24"/>
          <w:lang w:val="en-US"/>
        </w:rPr>
        <w:t>employees, and</w:t>
      </w:r>
      <w:proofErr w:type="gramEnd"/>
      <w:r w:rsidRPr="00485F01">
        <w:rPr>
          <w:sz w:val="24"/>
          <w:szCs w:val="24"/>
          <w:lang w:val="en-US"/>
        </w:rPr>
        <w:t xml:space="preserve"> reasonably adopt a directive style or an empowering style, fundamentally solving the problem of low collaboration efficiency caused by style conflicts. This solution also aligns with the "coordination" principle in Fayol's management functions</w:t>
      </w:r>
      <w:r w:rsidR="00111020">
        <w:rPr>
          <w:sz w:val="24"/>
          <w:szCs w:val="24"/>
          <w:lang w:val="en-US"/>
        </w:rPr>
        <w:fldChar w:fldCharType="begin"/>
      </w:r>
      <w:r w:rsidR="00111020">
        <w:rPr>
          <w:sz w:val="24"/>
          <w:szCs w:val="24"/>
          <w:lang w:val="en-US"/>
        </w:rPr>
        <w:instrText xml:space="preserve"> ADDIN ZOTERO_ITEM CSL_CITATION {"citationID":"quP3B9lD","properties":{"formattedCitation":"(Meirinhos {\\i{}et al.}, 2023)","plainCitation":"(Meirinhos et al., 2023)","noteIndex":0},"citationItems":[{"id":316,"uris":["http://zotero.org/users/18628635/items/NGXVFL2P"],"itemData":{"id":316,"type":"article-journal","abstract":"This research project aims to analyse the leadership and communication styles adopted by Angolan companies, particularly in Benguela province, and their impact on the results of these organisations. In Angola, and with the recent assimilation of the principles of market economy, the figure of the leader must abandon old management paradigms and integrate the modern principles of management of organisations into their functions, not only focusing on achieving the goals of the company but also on creating an environment conducive to the participation and involvement of employees, articulating strategies so that everyone grows in and with the organisation. Thus, the general objective of the research is to assess the managers’ perception of their leadership style (transformational, transactional, and laissez-faire) and its impact on the organisation’s performance. To this end, a quantitative study was carried out using a questionnaire, using, among other dimensions, the multifactorial leadership questionnaire (MLQ), distributed to a sample of 227 managers. Data were analysed using SPSS using descriptive statistics (frequencies, means, standard deviation) and inferential statistics (t-test, ANOVA, Tukey’s test). The results show that the leaders perceive their leadership styles as transformational and recognise that communication, motivation, and the reward system strongly impact the organisation’s performance.","container-title":"Journal of Risk and Financial Management","DOI":"10.3390/jrfm16020070","ISSN":"1911-8074","issue":"2","language":"en","license":"http://creativecommons.org/licenses/by/3.0/","note":"publisher: Multidisciplinary Digital Publishing Institute","page":"70","source":"www.mdpi.com","title":"Leadership Styles, Motivation, Communication and Reward Systems in Business Performance","volume":"16","author":[{"family":"Meirinhos","given":"Galvão"},{"family":"Cardoso","given":"António"},{"family":"Neves","given":"Maria"},{"family":"Silva","given":"Rui"},{"family":"Rêgo","given":"Reiville"}],"issued":{"date-parts":[["2023",2]]}}}],"schema":"https://github.com/citation-style-language/schema/raw/master/csl-citation.json"} </w:instrText>
      </w:r>
      <w:r w:rsidR="00111020">
        <w:rPr>
          <w:sz w:val="24"/>
          <w:szCs w:val="24"/>
          <w:lang w:val="en-US"/>
        </w:rPr>
        <w:fldChar w:fldCharType="separate"/>
      </w:r>
      <w:r w:rsidR="00111020" w:rsidRPr="00111020">
        <w:rPr>
          <w:rFonts w:eastAsiaTheme="minorEastAsia" w:cs="Calibri"/>
          <w:kern w:val="0"/>
          <w:sz w:val="24"/>
          <w:szCs w:val="24"/>
          <w:lang w:val="en-US"/>
          <w14:ligatures w14:val="standardContextual"/>
        </w:rPr>
        <w:t>(</w:t>
      </w:r>
      <w:proofErr w:type="spellStart"/>
      <w:r w:rsidR="00111020" w:rsidRPr="00111020">
        <w:rPr>
          <w:rFonts w:eastAsiaTheme="minorEastAsia" w:cs="Calibri"/>
          <w:kern w:val="0"/>
          <w:sz w:val="24"/>
          <w:szCs w:val="24"/>
          <w:lang w:val="en-US"/>
          <w14:ligatures w14:val="standardContextual"/>
        </w:rPr>
        <w:t>Meirinhos</w:t>
      </w:r>
      <w:proofErr w:type="spellEnd"/>
      <w:r w:rsidR="00111020" w:rsidRPr="00111020">
        <w:rPr>
          <w:rFonts w:eastAsiaTheme="minorEastAsia" w:cs="Calibri"/>
          <w:kern w:val="0"/>
          <w:sz w:val="24"/>
          <w:szCs w:val="24"/>
          <w:lang w:val="en-US"/>
          <w14:ligatures w14:val="standardContextual"/>
        </w:rPr>
        <w:t xml:space="preserve"> </w:t>
      </w:r>
      <w:r w:rsidR="00111020" w:rsidRPr="00111020">
        <w:rPr>
          <w:rFonts w:eastAsiaTheme="minorEastAsia" w:cs="Calibri"/>
          <w:i/>
          <w:iCs/>
          <w:kern w:val="0"/>
          <w:sz w:val="24"/>
          <w:szCs w:val="24"/>
          <w:lang w:val="en-US"/>
          <w14:ligatures w14:val="standardContextual"/>
        </w:rPr>
        <w:t>et al.</w:t>
      </w:r>
      <w:r w:rsidR="00111020" w:rsidRPr="00111020">
        <w:rPr>
          <w:rFonts w:eastAsiaTheme="minorEastAsia" w:cs="Calibri"/>
          <w:kern w:val="0"/>
          <w:sz w:val="24"/>
          <w:szCs w:val="24"/>
          <w:lang w:val="en-US"/>
          <w14:ligatures w14:val="standardContextual"/>
        </w:rPr>
        <w:t>, 2023)</w:t>
      </w:r>
      <w:r w:rsidR="00111020">
        <w:rPr>
          <w:sz w:val="24"/>
          <w:szCs w:val="24"/>
          <w:lang w:val="en-US"/>
        </w:rPr>
        <w:fldChar w:fldCharType="end"/>
      </w:r>
      <w:r w:rsidRPr="00485F01">
        <w:rPr>
          <w:sz w:val="24"/>
          <w:szCs w:val="24"/>
          <w:lang w:val="en-US"/>
        </w:rPr>
        <w:t>.</w:t>
      </w:r>
    </w:p>
    <w:p w14:paraId="604157DD" w14:textId="77777777" w:rsidR="00AF2F0A" w:rsidRDefault="00AF2F0A" w:rsidP="00E36A97">
      <w:pPr>
        <w:spacing w:line="360" w:lineRule="auto"/>
        <w:rPr>
          <w:sz w:val="24"/>
          <w:szCs w:val="24"/>
          <w:lang w:val="en-US"/>
        </w:rPr>
      </w:pPr>
    </w:p>
    <w:p w14:paraId="0C4748CF" w14:textId="10020FE2" w:rsidR="00AF2F0A" w:rsidRDefault="00965F5B" w:rsidP="00E36A97">
      <w:pPr>
        <w:spacing w:line="360" w:lineRule="auto"/>
        <w:rPr>
          <w:sz w:val="24"/>
          <w:szCs w:val="24"/>
          <w:lang w:val="en-US"/>
        </w:rPr>
      </w:pPr>
      <w:r w:rsidRPr="00965F5B">
        <w:rPr>
          <w:sz w:val="24"/>
          <w:szCs w:val="24"/>
          <w:lang w:val="en-US"/>
        </w:rPr>
        <w:t xml:space="preserve">At the same time, I believe that the reform can also be carried out from other aspects. In terms of employee care, we can better implement the core value of "people-oriented" of </w:t>
      </w:r>
      <w:proofErr w:type="spellStart"/>
      <w:r w:rsidRPr="00965F5B">
        <w:rPr>
          <w:sz w:val="24"/>
          <w:szCs w:val="24"/>
          <w:lang w:val="en-US"/>
        </w:rPr>
        <w:t>GreenHaven</w:t>
      </w:r>
      <w:proofErr w:type="spellEnd"/>
      <w:r w:rsidRPr="00965F5B">
        <w:rPr>
          <w:sz w:val="24"/>
          <w:szCs w:val="24"/>
          <w:lang w:val="en-US"/>
        </w:rPr>
        <w:t>, optimize the performance evaluation system, and better stimulate the initiative and creativity of employees</w:t>
      </w:r>
      <w:r w:rsidR="005D4342">
        <w:rPr>
          <w:sz w:val="24"/>
          <w:szCs w:val="24"/>
          <w:lang w:val="en-US"/>
        </w:rPr>
        <w:fldChar w:fldCharType="begin"/>
      </w:r>
      <w:r w:rsidR="005D4342">
        <w:rPr>
          <w:sz w:val="24"/>
          <w:szCs w:val="24"/>
          <w:lang w:val="en-US"/>
        </w:rPr>
        <w:instrText xml:space="preserve"> ADDIN ZOTERO_ITEM CSL_CITATION {"citationID":"pZc2oG3v","properties":{"formattedCitation":"(Murphy, 2020)","plainCitation":"(Murphy, 2020)","noteIndex":0},"citationItems":[{"id":318,"uris":["http://zotero.org/users/18628635/items/TKVIGJXD"],"itemData":{"id":318,"type":"article-journal","abstract":"A wide range of systems for evaluating performance have been used in organisations, ranging from traditional annual performance appraisals to performance management systems built around informal, real-time evaluations, and these systems almost always fail. Rather than continuing to make cosmetic adjustments to this system, organisations should consider dropping the practice of regularly evaluating the performance of each of their employees, focusing rather on the small subset of situations in which evaluations of performance and performance feedback are actually useful. Four barriers to successful performance evaluation are reviewed: (a) the distribution of performance, (b) the continuing failure to devise reliable and valid methods for obtaining judgments about performance, (c) the limited utility of performance feedback to employees, and (d) the limited utility of performance evaluations to organisations. In this paper, I propose ways of managing performance without relying on regular performance evaluation, refocusing managers' activities from performance management to performance leadership.","container-title":"Human Resource Management Journal","DOI":"10.1111/1748-8583.12259","ISSN":"1748-8583","issue":"1","language":"en","license":"© 2019 John Wiley &amp; Sons Ltd","note":"_eprint: https://onlinelibrary.wiley.com/doi/pdf/10.1111/1748-8583.12259","page":"13-31","source":"Wiley Online Library","title":"Performance evaluation will not die, but it should","volume":"30","author":[{"family":"Murphy","given":"Kevin R."}],"issued":{"date-parts":[["2020"]]}}}],"schema":"https://github.com/citation-style-language/schema/raw/master/csl-citation.json"} </w:instrText>
      </w:r>
      <w:r w:rsidR="005D4342">
        <w:rPr>
          <w:sz w:val="24"/>
          <w:szCs w:val="24"/>
          <w:lang w:val="en-US"/>
        </w:rPr>
        <w:fldChar w:fldCharType="separate"/>
      </w:r>
      <w:r w:rsidR="005D4342">
        <w:rPr>
          <w:noProof/>
          <w:sz w:val="24"/>
          <w:szCs w:val="24"/>
          <w:lang w:val="en-US"/>
        </w:rPr>
        <w:t>(Murphy, 2020)</w:t>
      </w:r>
      <w:r w:rsidR="005D4342">
        <w:rPr>
          <w:sz w:val="24"/>
          <w:szCs w:val="24"/>
          <w:lang w:val="en-US"/>
        </w:rPr>
        <w:fldChar w:fldCharType="end"/>
      </w:r>
      <w:r w:rsidRPr="00965F5B">
        <w:rPr>
          <w:sz w:val="24"/>
          <w:szCs w:val="24"/>
          <w:lang w:val="en-US"/>
        </w:rPr>
        <w:t>. In terms of sustainable development, based on system theory, we can establish unified execution standards for the entire region to ensure that sustainable development is no longer the responsibility of a single department, but a collaborative action of the entire organization</w:t>
      </w:r>
      <w:r w:rsidR="00103287">
        <w:rPr>
          <w:sz w:val="24"/>
          <w:szCs w:val="24"/>
          <w:lang w:val="en-US"/>
        </w:rPr>
        <w:fldChar w:fldCharType="begin"/>
      </w:r>
      <w:r w:rsidR="00D26599">
        <w:rPr>
          <w:sz w:val="24"/>
          <w:szCs w:val="24"/>
          <w:lang w:val="en-US"/>
        </w:rPr>
        <w:instrText xml:space="preserve"> ADDIN ZOTERO_ITEM CSL_CITATION {"citationID":"N5vAzKmx","properties":{"formattedCitation":"(Azmat {\\i{}et al.}, 2023)","plainCitation":"(Azmat et al., 2023)","noteIndex":0},"citationItems":[{"id":321,"uris":["http://zotero.org/users/18628635/items/UXTE7K3W"],"itemData":{"id":321,"type":"article-journal","abstract":"The United Nations Sustainable Development Goals (SDGs) offer a universal framework for addressing pressing global economic, environmental, and social challenges. Central to the SDG agenda is the vital role of business innovation in fostering positive change and promoting the triple bottom line of sustainability: people, planet, and prosperity. Many years have passed following the SDGs’ inception, yet the engagement of business innovation scholarship with the SDGs remains sparse. Moreover, a comprehensive review examining the convergence of business, innovation, and sustainability through the lens of the SDGs is notably absent, constraining insights into present advancements and prospective trajectories. In this regard, this study adopts the SDGs as a lens to investigate the contribution of business innovation to sustainable development challenges and its impact on the SDG agenda. To do so, this study conducts a systematic literature review, incorporating a bibliometric analysis of articles published in top-tier business journals, to offer an integrated overview of current trends in business, innovation, and sustainability research through the lens of the SDGs. In addition, this study performs a content analysis to consolidate and synthesize relevant research in this space, resulting in a multi-dimensional framework that illustrates the intricate, dynamic interplay between the drivers, dimensions, and impacts of business innovation on sustainability and their relationship with the SDGs. In doing so, this study accentuates extant gaps, delineates profound implications, and proposes meaningful directions to advance the understanding of the intersection between business, innovation, and sustainability in the context of the SDGs.","container-title":"Journal of Business Research","DOI":"10.1016/j.jbusres.2023.114170","ISSN":"0148-2963","journalAbbreviation":"Journal of Business Research","page":"114170","source":"ScienceDirect","title":"Convergence of business, innovation, and sustainability at the tipping point of the sustainable development goals","volume":"167","author":[{"family":"Azmat","given":"Fara"},{"family":"Lim","given":"Weng Marc"},{"family":"Moyeen","given":"Abdul"},{"family":"Voola","given":"Ranjit"},{"family":"Gupta","given":"Girish"}],"issued":{"date-parts":[["2023",11,1]]}}}],"schema":"https://github.com/citation-style-language/schema/raw/master/csl-citation.json"} </w:instrText>
      </w:r>
      <w:r w:rsidR="00103287">
        <w:rPr>
          <w:sz w:val="24"/>
          <w:szCs w:val="24"/>
          <w:lang w:val="en-US"/>
        </w:rPr>
        <w:fldChar w:fldCharType="separate"/>
      </w:r>
      <w:r w:rsidR="00D26599" w:rsidRPr="00D26599">
        <w:rPr>
          <w:rFonts w:eastAsiaTheme="minorEastAsia" w:cs="Calibri"/>
          <w:kern w:val="0"/>
          <w:sz w:val="24"/>
          <w:szCs w:val="24"/>
          <w:lang w:val="en-US"/>
          <w14:ligatures w14:val="standardContextual"/>
        </w:rPr>
        <w:t xml:space="preserve">(Azmat </w:t>
      </w:r>
      <w:r w:rsidR="00D26599" w:rsidRPr="00D26599">
        <w:rPr>
          <w:rFonts w:eastAsiaTheme="minorEastAsia" w:cs="Calibri"/>
          <w:i/>
          <w:iCs/>
          <w:kern w:val="0"/>
          <w:sz w:val="24"/>
          <w:szCs w:val="24"/>
          <w:lang w:val="en-US"/>
          <w14:ligatures w14:val="standardContextual"/>
        </w:rPr>
        <w:t>et al.</w:t>
      </w:r>
      <w:r w:rsidR="00D26599" w:rsidRPr="00D26599">
        <w:rPr>
          <w:rFonts w:eastAsiaTheme="minorEastAsia" w:cs="Calibri"/>
          <w:kern w:val="0"/>
          <w:sz w:val="24"/>
          <w:szCs w:val="24"/>
          <w:lang w:val="en-US"/>
          <w14:ligatures w14:val="standardContextual"/>
        </w:rPr>
        <w:t>, 2023)</w:t>
      </w:r>
      <w:r w:rsidR="00103287">
        <w:rPr>
          <w:sz w:val="24"/>
          <w:szCs w:val="24"/>
          <w:lang w:val="en-US"/>
        </w:rPr>
        <w:fldChar w:fldCharType="end"/>
      </w:r>
      <w:r w:rsidRPr="00965F5B">
        <w:rPr>
          <w:sz w:val="24"/>
          <w:szCs w:val="24"/>
          <w:lang w:val="en-US"/>
        </w:rPr>
        <w:t xml:space="preserve">. In addition, an efficient market demand feedback mechanism needs to be established to ensure smooth information flow between the </w:t>
      </w:r>
      <w:r w:rsidRPr="00965F5B">
        <w:rPr>
          <w:sz w:val="24"/>
          <w:szCs w:val="24"/>
          <w:lang w:val="en-US"/>
        </w:rPr>
        <w:lastRenderedPageBreak/>
        <w:t>organization and the external environment</w:t>
      </w:r>
      <w:r w:rsidR="0077765C">
        <w:rPr>
          <w:sz w:val="24"/>
          <w:szCs w:val="24"/>
          <w:lang w:val="en-US"/>
        </w:rPr>
        <w:fldChar w:fldCharType="begin"/>
      </w:r>
      <w:r w:rsidR="0077765C">
        <w:rPr>
          <w:sz w:val="24"/>
          <w:szCs w:val="24"/>
          <w:lang w:val="en-US"/>
        </w:rPr>
        <w:instrText xml:space="preserve"> ADDIN ZOTERO_ITEM CSL_CITATION {"citationID":"zabDzG5c","properties":{"formattedCitation":"(Satchidanandan, Roozbehani and Dahleh, 2023)","plainCitation":"(Satchidanandan, Roozbehani and Dahleh, 2023)","noteIndex":0},"citationItems":[{"id":323,"uris":["http://zotero.org/users/18628635/items/7X3LSTBB"],"itemData":{"id":323,"type":"article-journal","abstract":"Demand response involves system operators using incentives to modulate electricity consumption during peak hours or when faced with an incidental supply shortage. However, system operators typically have imperfect information about their customers’ baselines, that is, their consumption had the incentive been absent. The standard approach to estimate the reduction in a customer’s electricity consumption then is to estimate their counterfactual baseline. However, this approach is not robust to estimation errors or strategic exploitation by the customers and can potentially lead to overpayments to customers who do not reduce their consumption and under payments to those who do. Moreover, optimal power consumption reductions of the customers depend on the costs that they incur for curtailing consumption, which in general are private knowledge of the customers, and which they could strategically misreport in an effort to improve their own respective utilities even if it deteriorates the overall system cost. The two-stage mechanism proposed in this letter circumvents the aforementioned issues. In the day-ahead market, the participating loads are required to submit only a probabilistic description of their next-day consumption and costs to the system operator for day-ahead planning. It is only in real-time, if and when called upon for demand response, that the loads are required to report their baselines and costs. They receive credits for reductions below their reported baselines. The mechanism for calculating the credits guarantees incentive compatibility of truthful reporting of the probability distribution in the day-ahead market and truthful reporting of the baseline and cost in real-time.","container-title":"IEEE Control Systems Letters","DOI":"10.1109/LCSYS.2022.3186654","ISSN":"2475-1456","page":"49-54","source":"IEEE Xplore","title":"A Two-Stage Mechanism for Demand Response Markets","volume":"7","author":[{"family":"Satchidanandan","given":"Bharadwaj"},{"family":"Roozbehani","given":"Mardavij"},{"family":"Dahleh","given":"Munther A."}],"issued":{"date-parts":[["2023"]]}}}],"schema":"https://github.com/citation-style-language/schema/raw/master/csl-citation.json"} </w:instrText>
      </w:r>
      <w:r w:rsidR="0077765C">
        <w:rPr>
          <w:sz w:val="24"/>
          <w:szCs w:val="24"/>
          <w:lang w:val="en-US"/>
        </w:rPr>
        <w:fldChar w:fldCharType="separate"/>
      </w:r>
      <w:r w:rsidR="0077765C">
        <w:rPr>
          <w:noProof/>
          <w:sz w:val="24"/>
          <w:szCs w:val="24"/>
          <w:lang w:val="en-US"/>
        </w:rPr>
        <w:t>(</w:t>
      </w:r>
      <w:proofErr w:type="spellStart"/>
      <w:r w:rsidR="0077765C">
        <w:rPr>
          <w:noProof/>
          <w:sz w:val="24"/>
          <w:szCs w:val="24"/>
          <w:lang w:val="en-US"/>
        </w:rPr>
        <w:t>Satchidanandan</w:t>
      </w:r>
      <w:proofErr w:type="spellEnd"/>
      <w:r w:rsidR="0077765C">
        <w:rPr>
          <w:noProof/>
          <w:sz w:val="24"/>
          <w:szCs w:val="24"/>
          <w:lang w:val="en-US"/>
        </w:rPr>
        <w:t>, Roozbehani and Dahleh, 2023)</w:t>
      </w:r>
      <w:r w:rsidR="0077765C">
        <w:rPr>
          <w:sz w:val="24"/>
          <w:szCs w:val="24"/>
          <w:lang w:val="en-US"/>
        </w:rPr>
        <w:fldChar w:fldCharType="end"/>
      </w:r>
      <w:r w:rsidRPr="00965F5B">
        <w:rPr>
          <w:sz w:val="24"/>
          <w:szCs w:val="24"/>
          <w:lang w:val="en-US"/>
        </w:rPr>
        <w:t>.</w:t>
      </w:r>
    </w:p>
    <w:p w14:paraId="76C5387F" w14:textId="77777777" w:rsidR="00AF2F0A" w:rsidRDefault="00AF2F0A" w:rsidP="00E36A97">
      <w:pPr>
        <w:spacing w:line="360" w:lineRule="auto"/>
        <w:rPr>
          <w:sz w:val="24"/>
          <w:szCs w:val="24"/>
          <w:lang w:val="en-US"/>
        </w:rPr>
      </w:pPr>
    </w:p>
    <w:p w14:paraId="56B3E2AB" w14:textId="2A5D3558" w:rsidR="00AF2F0A" w:rsidRDefault="00DD17AF" w:rsidP="00E36A97">
      <w:pPr>
        <w:spacing w:line="360" w:lineRule="auto"/>
        <w:rPr>
          <w:sz w:val="24"/>
          <w:szCs w:val="24"/>
          <w:lang w:val="en-US"/>
        </w:rPr>
      </w:pPr>
      <w:r w:rsidRPr="00DD17AF">
        <w:rPr>
          <w:sz w:val="24"/>
          <w:szCs w:val="24"/>
          <w:lang w:val="en-US"/>
        </w:rPr>
        <w:t xml:space="preserve">To summarize the core content: The management predicament of </w:t>
      </w:r>
      <w:proofErr w:type="spellStart"/>
      <w:r w:rsidRPr="00DD17AF">
        <w:rPr>
          <w:sz w:val="24"/>
          <w:szCs w:val="24"/>
          <w:lang w:val="en-US"/>
        </w:rPr>
        <w:t>GreenHaven</w:t>
      </w:r>
      <w:proofErr w:type="spellEnd"/>
      <w:r w:rsidRPr="00DD17AF">
        <w:rPr>
          <w:sz w:val="24"/>
          <w:szCs w:val="24"/>
          <w:lang w:val="en-US"/>
        </w:rPr>
        <w:t xml:space="preserve"> is essentially the disconnection between the traditional management model and the modern organizational needs. It is the result of the failure to effectively balance the efficiency-first principle of mainstream management theories and the humanistic care of critical management theories. The proposed solution draws on contingency theory and scientific management theory to optimize </w:t>
      </w:r>
      <w:proofErr w:type="gramStart"/>
      <w:r w:rsidRPr="00DD17AF">
        <w:rPr>
          <w:sz w:val="24"/>
          <w:szCs w:val="24"/>
          <w:lang w:val="en-US"/>
        </w:rPr>
        <w:t>efficiency, and</w:t>
      </w:r>
      <w:proofErr w:type="gramEnd"/>
      <w:r w:rsidRPr="00DD17AF">
        <w:rPr>
          <w:sz w:val="24"/>
          <w:szCs w:val="24"/>
          <w:lang w:val="en-US"/>
        </w:rPr>
        <w:t xml:space="preserve"> incorporates post-bureaucratic theory and system theory to achieve a win-win situation of efficiency and value. I believe that </w:t>
      </w:r>
      <w:proofErr w:type="spellStart"/>
      <w:r w:rsidRPr="00DD17AF">
        <w:rPr>
          <w:sz w:val="24"/>
          <w:szCs w:val="24"/>
          <w:lang w:val="en-US"/>
        </w:rPr>
        <w:t>GreenHaven</w:t>
      </w:r>
      <w:proofErr w:type="spellEnd"/>
      <w:r w:rsidRPr="00DD17AF">
        <w:rPr>
          <w:sz w:val="24"/>
          <w:szCs w:val="24"/>
          <w:lang w:val="en-US"/>
        </w:rPr>
        <w:t xml:space="preserve"> will not only solve the current management problems but also become a benchmark for management innovation in the sustainable retail industry, achieving comprehensive improvement. Thank you all for your patience in listening.</w:t>
      </w:r>
    </w:p>
    <w:p w14:paraId="2C38418D" w14:textId="77777777" w:rsidR="00AF2F0A" w:rsidRDefault="00AF2F0A" w:rsidP="00E36A97">
      <w:pPr>
        <w:spacing w:line="360" w:lineRule="auto"/>
        <w:rPr>
          <w:sz w:val="24"/>
          <w:szCs w:val="24"/>
          <w:lang w:val="en-US"/>
        </w:rPr>
      </w:pPr>
    </w:p>
    <w:p w14:paraId="3E396D5C" w14:textId="77777777" w:rsidR="00AF2F0A" w:rsidRDefault="00AF2F0A" w:rsidP="00E36A97">
      <w:pPr>
        <w:spacing w:line="360" w:lineRule="auto"/>
        <w:rPr>
          <w:rFonts w:hint="eastAsia"/>
          <w:sz w:val="24"/>
          <w:szCs w:val="24"/>
          <w:lang w:val="en-US"/>
        </w:rPr>
      </w:pPr>
    </w:p>
    <w:p w14:paraId="43EE0F71" w14:textId="77777777" w:rsidR="00E36A97" w:rsidRDefault="00E36A97" w:rsidP="00E36A97">
      <w:pPr>
        <w:spacing w:line="360" w:lineRule="auto"/>
        <w:rPr>
          <w:sz w:val="24"/>
          <w:szCs w:val="24"/>
          <w:lang w:val="en-US"/>
        </w:rPr>
      </w:pPr>
    </w:p>
    <w:p w14:paraId="498B99B4" w14:textId="77777777" w:rsidR="00164F26" w:rsidRDefault="00164F26" w:rsidP="00E36A97">
      <w:pPr>
        <w:spacing w:line="360" w:lineRule="auto"/>
        <w:rPr>
          <w:sz w:val="24"/>
          <w:szCs w:val="24"/>
          <w:lang w:val="en-US"/>
        </w:rPr>
      </w:pPr>
    </w:p>
    <w:p w14:paraId="576F711B" w14:textId="77777777" w:rsidR="00164F26" w:rsidRDefault="00164F26" w:rsidP="00E36A97">
      <w:pPr>
        <w:spacing w:line="360" w:lineRule="auto"/>
        <w:rPr>
          <w:sz w:val="24"/>
          <w:szCs w:val="24"/>
          <w:lang w:val="en-US"/>
        </w:rPr>
      </w:pPr>
    </w:p>
    <w:p w14:paraId="2E225CC1" w14:textId="77777777" w:rsidR="00164F26" w:rsidRDefault="00164F26" w:rsidP="00E36A97">
      <w:pPr>
        <w:spacing w:line="360" w:lineRule="auto"/>
        <w:rPr>
          <w:rFonts w:hint="eastAsia"/>
          <w:sz w:val="24"/>
          <w:szCs w:val="24"/>
          <w:lang w:val="en-US"/>
        </w:rPr>
      </w:pPr>
    </w:p>
    <w:p w14:paraId="67A9E1D1" w14:textId="77777777" w:rsidR="00524D63" w:rsidRDefault="00524D63" w:rsidP="00E36A97">
      <w:pPr>
        <w:spacing w:line="360" w:lineRule="auto"/>
        <w:rPr>
          <w:b/>
          <w:bCs/>
          <w:sz w:val="32"/>
          <w:szCs w:val="32"/>
          <w:lang w:val="en-US"/>
        </w:rPr>
      </w:pPr>
    </w:p>
    <w:p w14:paraId="3835EBF1" w14:textId="77777777" w:rsidR="00524D63" w:rsidRDefault="00524D63" w:rsidP="00E36A97">
      <w:pPr>
        <w:spacing w:line="360" w:lineRule="auto"/>
        <w:rPr>
          <w:b/>
          <w:bCs/>
          <w:sz w:val="32"/>
          <w:szCs w:val="32"/>
          <w:lang w:val="en-US"/>
        </w:rPr>
      </w:pPr>
    </w:p>
    <w:p w14:paraId="07CE3BB5" w14:textId="77777777" w:rsidR="00524D63" w:rsidRDefault="00524D63" w:rsidP="00E36A97">
      <w:pPr>
        <w:spacing w:line="360" w:lineRule="auto"/>
        <w:rPr>
          <w:b/>
          <w:bCs/>
          <w:sz w:val="32"/>
          <w:szCs w:val="32"/>
          <w:lang w:val="en-US"/>
        </w:rPr>
      </w:pPr>
    </w:p>
    <w:p w14:paraId="4BF5851A" w14:textId="77777777" w:rsidR="00524D63" w:rsidRDefault="00524D63" w:rsidP="00E36A97">
      <w:pPr>
        <w:spacing w:line="360" w:lineRule="auto"/>
        <w:rPr>
          <w:b/>
          <w:bCs/>
          <w:sz w:val="32"/>
          <w:szCs w:val="32"/>
          <w:lang w:val="en-US"/>
        </w:rPr>
      </w:pPr>
    </w:p>
    <w:p w14:paraId="0EDF4DCC" w14:textId="77777777" w:rsidR="00524D63" w:rsidRDefault="00524D63" w:rsidP="00E36A97">
      <w:pPr>
        <w:spacing w:line="360" w:lineRule="auto"/>
        <w:rPr>
          <w:b/>
          <w:bCs/>
          <w:sz w:val="32"/>
          <w:szCs w:val="32"/>
          <w:lang w:val="en-US"/>
        </w:rPr>
      </w:pPr>
    </w:p>
    <w:p w14:paraId="64343BEB" w14:textId="77777777" w:rsidR="00524D63" w:rsidRDefault="00524D63" w:rsidP="00E36A97">
      <w:pPr>
        <w:spacing w:line="360" w:lineRule="auto"/>
        <w:rPr>
          <w:b/>
          <w:bCs/>
          <w:sz w:val="32"/>
          <w:szCs w:val="32"/>
          <w:lang w:val="en-US"/>
        </w:rPr>
      </w:pPr>
    </w:p>
    <w:p w14:paraId="62938767" w14:textId="77777777" w:rsidR="00524D63" w:rsidRDefault="00524D63" w:rsidP="00E36A97">
      <w:pPr>
        <w:spacing w:line="360" w:lineRule="auto"/>
        <w:rPr>
          <w:b/>
          <w:bCs/>
          <w:sz w:val="32"/>
          <w:szCs w:val="32"/>
          <w:lang w:val="en-US"/>
        </w:rPr>
      </w:pPr>
    </w:p>
    <w:p w14:paraId="358D01C8" w14:textId="77777777" w:rsidR="00524D63" w:rsidRDefault="00524D63" w:rsidP="00E36A97">
      <w:pPr>
        <w:spacing w:line="360" w:lineRule="auto"/>
        <w:rPr>
          <w:b/>
          <w:bCs/>
          <w:sz w:val="32"/>
          <w:szCs w:val="32"/>
          <w:lang w:val="en-US"/>
        </w:rPr>
      </w:pPr>
    </w:p>
    <w:p w14:paraId="29E6BD68" w14:textId="50BE74A0" w:rsidR="00E36A97" w:rsidRPr="00BD20E5" w:rsidRDefault="00BD20E5" w:rsidP="00E36A97">
      <w:pPr>
        <w:spacing w:line="360" w:lineRule="auto"/>
        <w:rPr>
          <w:b/>
          <w:bCs/>
          <w:sz w:val="32"/>
          <w:szCs w:val="32"/>
          <w:lang w:val="en-US"/>
        </w:rPr>
      </w:pPr>
      <w:r w:rsidRPr="00BD20E5">
        <w:rPr>
          <w:rFonts w:hint="eastAsia"/>
          <w:b/>
          <w:bCs/>
          <w:sz w:val="32"/>
          <w:szCs w:val="32"/>
          <w:lang w:val="en-US"/>
        </w:rPr>
        <w:t>References</w:t>
      </w:r>
    </w:p>
    <w:p w14:paraId="67C5C959" w14:textId="77777777" w:rsidR="0077765C" w:rsidRPr="0077765C" w:rsidRDefault="00357EBD" w:rsidP="0077765C">
      <w:pPr>
        <w:pStyle w:val="ae"/>
        <w:rPr>
          <w:rFonts w:cs="Calibri"/>
          <w:sz w:val="24"/>
          <w:lang w:val="en-US"/>
        </w:rPr>
      </w:pPr>
      <w:r>
        <w:rPr>
          <w:lang w:val="en-US"/>
        </w:rPr>
        <w:fldChar w:fldCharType="begin"/>
      </w:r>
      <w:r>
        <w:rPr>
          <w:lang w:val="en-US"/>
        </w:rPr>
        <w:instrText xml:space="preserve"> ADDIN ZOTERO_BIBL {"uncited":[],"omitted":[],"custom":[]} CSL_BIBLIOGRAPHY </w:instrText>
      </w:r>
      <w:r>
        <w:rPr>
          <w:lang w:val="en-US"/>
        </w:rPr>
        <w:fldChar w:fldCharType="separate"/>
      </w:r>
      <w:r w:rsidR="0077765C" w:rsidRPr="0077765C">
        <w:rPr>
          <w:rFonts w:cs="Calibri"/>
          <w:sz w:val="24"/>
          <w:lang w:val="en-US"/>
        </w:rPr>
        <w:t xml:space="preserve">Abedin, B. (2021) ‘Managing the tension between opposing effects of explainability of artificial intelligence: a contingency theory perspective’, </w:t>
      </w:r>
      <w:r w:rsidR="0077765C" w:rsidRPr="0077765C">
        <w:rPr>
          <w:rFonts w:cs="Calibri"/>
          <w:i/>
          <w:iCs/>
          <w:sz w:val="24"/>
          <w:lang w:val="en-US"/>
        </w:rPr>
        <w:t>Internet Research</w:t>
      </w:r>
      <w:r w:rsidR="0077765C" w:rsidRPr="0077765C">
        <w:rPr>
          <w:rFonts w:cs="Calibri"/>
          <w:sz w:val="24"/>
          <w:lang w:val="en-US"/>
        </w:rPr>
        <w:t>, 32(2), pp. 425–453. Available at: https://doi.org/10.1108/INTR-05-2020-0300.</w:t>
      </w:r>
    </w:p>
    <w:p w14:paraId="29CA4EB9" w14:textId="77777777" w:rsidR="0077765C" w:rsidRPr="0077765C" w:rsidRDefault="0077765C" w:rsidP="0077765C">
      <w:pPr>
        <w:pStyle w:val="ae"/>
        <w:rPr>
          <w:rFonts w:cs="Calibri"/>
          <w:sz w:val="24"/>
          <w:lang w:val="en-US"/>
        </w:rPr>
      </w:pPr>
      <w:proofErr w:type="spellStart"/>
      <w:r w:rsidRPr="0077765C">
        <w:rPr>
          <w:rFonts w:cs="Calibri"/>
          <w:sz w:val="24"/>
          <w:lang w:val="en-US"/>
        </w:rPr>
        <w:t>Ajunwa</w:t>
      </w:r>
      <w:proofErr w:type="spellEnd"/>
      <w:r w:rsidRPr="0077765C">
        <w:rPr>
          <w:rFonts w:cs="Calibri"/>
          <w:sz w:val="24"/>
          <w:lang w:val="en-US"/>
        </w:rPr>
        <w:t xml:space="preserve">, I. (2023) </w:t>
      </w:r>
      <w:r w:rsidRPr="0077765C">
        <w:rPr>
          <w:rFonts w:cs="Calibri"/>
          <w:i/>
          <w:iCs/>
          <w:sz w:val="24"/>
          <w:lang w:val="en-US"/>
        </w:rPr>
        <w:t>The Quantified Worker: Law and Technology in the Modern Workplace</w:t>
      </w:r>
      <w:r w:rsidRPr="0077765C">
        <w:rPr>
          <w:rFonts w:cs="Calibri"/>
          <w:sz w:val="24"/>
          <w:lang w:val="en-US"/>
        </w:rPr>
        <w:t>. Cambridge University Press.</w:t>
      </w:r>
    </w:p>
    <w:p w14:paraId="513ADE8E" w14:textId="77777777" w:rsidR="0077765C" w:rsidRPr="0077765C" w:rsidRDefault="0077765C" w:rsidP="0077765C">
      <w:pPr>
        <w:pStyle w:val="ae"/>
        <w:rPr>
          <w:rFonts w:cs="Calibri"/>
          <w:sz w:val="24"/>
          <w:lang w:val="en-US"/>
        </w:rPr>
      </w:pPr>
      <w:r w:rsidRPr="0077765C">
        <w:rPr>
          <w:rFonts w:cs="Calibri"/>
          <w:sz w:val="24"/>
          <w:lang w:val="en-US"/>
        </w:rPr>
        <w:t xml:space="preserve">Azmat, F. </w:t>
      </w:r>
      <w:r w:rsidRPr="0077765C">
        <w:rPr>
          <w:rFonts w:cs="Calibri"/>
          <w:i/>
          <w:iCs/>
          <w:sz w:val="24"/>
          <w:lang w:val="en-US"/>
        </w:rPr>
        <w:t>et al.</w:t>
      </w:r>
      <w:r w:rsidRPr="0077765C">
        <w:rPr>
          <w:rFonts w:cs="Calibri"/>
          <w:sz w:val="24"/>
          <w:lang w:val="en-US"/>
        </w:rPr>
        <w:t xml:space="preserve"> (2023) ‘Convergence of business, innovation, and sustainability at the tipping point of the sustainable development goals’, </w:t>
      </w:r>
      <w:r w:rsidRPr="0077765C">
        <w:rPr>
          <w:rFonts w:cs="Calibri"/>
          <w:i/>
          <w:iCs/>
          <w:sz w:val="24"/>
          <w:lang w:val="en-US"/>
        </w:rPr>
        <w:t>Journal of Business Research</w:t>
      </w:r>
      <w:r w:rsidRPr="0077765C">
        <w:rPr>
          <w:rFonts w:cs="Calibri"/>
          <w:sz w:val="24"/>
          <w:lang w:val="en-US"/>
        </w:rPr>
        <w:t>, 167, p. 114170. Available at: https://doi.org/10.1016/j.jbusres.2023.114170.</w:t>
      </w:r>
    </w:p>
    <w:p w14:paraId="5A78D523" w14:textId="77777777" w:rsidR="0077765C" w:rsidRPr="0077765C" w:rsidRDefault="0077765C" w:rsidP="0077765C">
      <w:pPr>
        <w:pStyle w:val="ae"/>
        <w:rPr>
          <w:rFonts w:cs="Calibri"/>
          <w:sz w:val="24"/>
          <w:lang w:val="en-US"/>
        </w:rPr>
      </w:pPr>
      <w:r w:rsidRPr="0077765C">
        <w:rPr>
          <w:rFonts w:cs="Calibri"/>
          <w:sz w:val="24"/>
          <w:lang w:val="en-US"/>
        </w:rPr>
        <w:t xml:space="preserve">Bilgin, P. (2023) ‘Critical Theory’, in </w:t>
      </w:r>
      <w:r w:rsidRPr="0077765C">
        <w:rPr>
          <w:rFonts w:cs="Calibri"/>
          <w:i/>
          <w:iCs/>
          <w:sz w:val="24"/>
          <w:lang w:val="en-US"/>
        </w:rPr>
        <w:t>Security Studies</w:t>
      </w:r>
      <w:r w:rsidRPr="0077765C">
        <w:rPr>
          <w:rFonts w:cs="Calibri"/>
          <w:sz w:val="24"/>
          <w:lang w:val="en-US"/>
        </w:rPr>
        <w:t xml:space="preserve">. 4th </w:t>
      </w:r>
      <w:proofErr w:type="spellStart"/>
      <w:r w:rsidRPr="0077765C">
        <w:rPr>
          <w:rFonts w:cs="Calibri"/>
          <w:sz w:val="24"/>
          <w:lang w:val="en-US"/>
        </w:rPr>
        <w:t>edn</w:t>
      </w:r>
      <w:proofErr w:type="spellEnd"/>
      <w:r w:rsidRPr="0077765C">
        <w:rPr>
          <w:rFonts w:cs="Calibri"/>
          <w:sz w:val="24"/>
          <w:lang w:val="en-US"/>
        </w:rPr>
        <w:t>. Routledge.</w:t>
      </w:r>
    </w:p>
    <w:p w14:paraId="68957A9A" w14:textId="77777777" w:rsidR="0077765C" w:rsidRPr="0077765C" w:rsidRDefault="0077765C" w:rsidP="0077765C">
      <w:pPr>
        <w:pStyle w:val="ae"/>
        <w:rPr>
          <w:rFonts w:cs="Calibri"/>
          <w:sz w:val="24"/>
          <w:lang w:val="en-US"/>
        </w:rPr>
      </w:pPr>
      <w:r w:rsidRPr="0077765C">
        <w:rPr>
          <w:rFonts w:cs="Calibri"/>
          <w:sz w:val="24"/>
          <w:lang w:val="en-US"/>
        </w:rPr>
        <w:t xml:space="preserve">Clegg, S.R., Harris, M. and </w:t>
      </w:r>
      <w:proofErr w:type="spellStart"/>
      <w:r w:rsidRPr="0077765C">
        <w:rPr>
          <w:rFonts w:cs="Calibri"/>
          <w:sz w:val="24"/>
          <w:lang w:val="en-US"/>
        </w:rPr>
        <w:t>Höpfl</w:t>
      </w:r>
      <w:proofErr w:type="spellEnd"/>
      <w:r w:rsidRPr="0077765C">
        <w:rPr>
          <w:rFonts w:cs="Calibri"/>
          <w:sz w:val="24"/>
          <w:lang w:val="en-US"/>
        </w:rPr>
        <w:t xml:space="preserve">, H. (2011) </w:t>
      </w:r>
      <w:r w:rsidRPr="0077765C">
        <w:rPr>
          <w:rFonts w:cs="Calibri"/>
          <w:i/>
          <w:iCs/>
          <w:sz w:val="24"/>
          <w:lang w:val="en-US"/>
        </w:rPr>
        <w:t>Managing Modernity: Beyond Bureaucracy?</w:t>
      </w:r>
      <w:r w:rsidRPr="0077765C">
        <w:rPr>
          <w:rFonts w:cs="Calibri"/>
          <w:sz w:val="24"/>
          <w:lang w:val="en-US"/>
        </w:rPr>
        <w:t xml:space="preserve"> Oxford University Press.</w:t>
      </w:r>
    </w:p>
    <w:p w14:paraId="498D4C72" w14:textId="77777777" w:rsidR="0077765C" w:rsidRPr="0077765C" w:rsidRDefault="0077765C" w:rsidP="0077765C">
      <w:pPr>
        <w:pStyle w:val="ae"/>
        <w:rPr>
          <w:rFonts w:cs="Calibri"/>
          <w:sz w:val="24"/>
          <w:lang w:val="en-US"/>
        </w:rPr>
      </w:pPr>
      <w:r w:rsidRPr="0077765C">
        <w:rPr>
          <w:rFonts w:cs="Calibri"/>
          <w:sz w:val="24"/>
          <w:lang w:val="en-US"/>
        </w:rPr>
        <w:t xml:space="preserve">Dar, S. (2022) ‘The Relevance of Taylor’s Scientific Management in the Modern Era’, </w:t>
      </w:r>
      <w:r w:rsidRPr="0077765C">
        <w:rPr>
          <w:rFonts w:cs="Calibri"/>
          <w:i/>
          <w:iCs/>
          <w:sz w:val="24"/>
          <w:lang w:val="en-US"/>
        </w:rPr>
        <w:t>Journal of Psychology and Political Science</w:t>
      </w:r>
      <w:r w:rsidRPr="0077765C">
        <w:rPr>
          <w:rFonts w:cs="Calibri"/>
          <w:sz w:val="24"/>
          <w:lang w:val="en-US"/>
        </w:rPr>
        <w:t>, pp. 1–6. Available at: https://doi.org/10.55529/jpps.26.1.6.</w:t>
      </w:r>
    </w:p>
    <w:p w14:paraId="4CBA9DD6" w14:textId="77777777" w:rsidR="0077765C" w:rsidRPr="0077765C" w:rsidRDefault="0077765C" w:rsidP="0077765C">
      <w:pPr>
        <w:pStyle w:val="ae"/>
        <w:rPr>
          <w:rFonts w:cs="Calibri"/>
          <w:sz w:val="24"/>
          <w:lang w:val="en-US"/>
        </w:rPr>
      </w:pPr>
      <w:r w:rsidRPr="0077765C">
        <w:rPr>
          <w:rFonts w:cs="Calibri"/>
          <w:sz w:val="24"/>
          <w:lang w:val="en-US"/>
        </w:rPr>
        <w:t xml:space="preserve">Gaur, L. </w:t>
      </w:r>
      <w:r w:rsidRPr="0077765C">
        <w:rPr>
          <w:rFonts w:cs="Calibri"/>
          <w:i/>
          <w:iCs/>
          <w:sz w:val="24"/>
          <w:lang w:val="en-US"/>
        </w:rPr>
        <w:t>et al.</w:t>
      </w:r>
      <w:r w:rsidRPr="0077765C">
        <w:rPr>
          <w:rFonts w:cs="Calibri"/>
          <w:sz w:val="24"/>
          <w:lang w:val="en-US"/>
        </w:rPr>
        <w:t xml:space="preserve"> (2023) ‘Artificial intelligence for carbon emissions using system of systems theory’, </w:t>
      </w:r>
      <w:r w:rsidRPr="0077765C">
        <w:rPr>
          <w:rFonts w:cs="Calibri"/>
          <w:i/>
          <w:iCs/>
          <w:sz w:val="24"/>
          <w:lang w:val="en-US"/>
        </w:rPr>
        <w:t>Ecological Informatics</w:t>
      </w:r>
      <w:r w:rsidRPr="0077765C">
        <w:rPr>
          <w:rFonts w:cs="Calibri"/>
          <w:sz w:val="24"/>
          <w:lang w:val="en-US"/>
        </w:rPr>
        <w:t>, 76, p. 102165. Available at: https://doi.org/10.1016/j.ecoinf.2023.102165.</w:t>
      </w:r>
    </w:p>
    <w:p w14:paraId="2E45EE37" w14:textId="4349061A" w:rsidR="0077765C" w:rsidRPr="0077765C" w:rsidRDefault="0077765C" w:rsidP="0077765C">
      <w:pPr>
        <w:pStyle w:val="ae"/>
        <w:rPr>
          <w:rFonts w:cs="Calibri"/>
          <w:sz w:val="24"/>
          <w:lang w:val="en-US"/>
        </w:rPr>
      </w:pPr>
      <w:r w:rsidRPr="0077765C">
        <w:rPr>
          <w:rFonts w:cs="Calibri"/>
          <w:sz w:val="24"/>
          <w:lang w:val="en-US"/>
        </w:rPr>
        <w:t xml:space="preserve">Golovchenko, O. </w:t>
      </w:r>
      <w:r w:rsidRPr="0077765C">
        <w:rPr>
          <w:rFonts w:cs="Calibri"/>
          <w:i/>
          <w:iCs/>
          <w:sz w:val="24"/>
          <w:lang w:val="en-US"/>
        </w:rPr>
        <w:t>et al.</w:t>
      </w:r>
      <w:r w:rsidRPr="0077765C">
        <w:rPr>
          <w:rFonts w:cs="Calibri"/>
          <w:sz w:val="24"/>
          <w:lang w:val="en-US"/>
        </w:rPr>
        <w:t xml:space="preserve"> (2022) ‘Management of Efficiency and Competitiveness of Enterprises’. Available at: https://essuir.sumdu.edu.ua/handle/123456789/89606 (Accessed: </w:t>
      </w:r>
      <w:r w:rsidR="002D1EF3">
        <w:rPr>
          <w:rFonts w:cs="Calibri" w:hint="eastAsia"/>
          <w:sz w:val="24"/>
          <w:lang w:val="en-US"/>
        </w:rPr>
        <w:t>6</w:t>
      </w:r>
      <w:r w:rsidRPr="0077765C">
        <w:rPr>
          <w:rFonts w:cs="Calibri"/>
          <w:sz w:val="24"/>
          <w:lang w:val="en-US"/>
        </w:rPr>
        <w:t xml:space="preserve"> December 2025).</w:t>
      </w:r>
    </w:p>
    <w:p w14:paraId="4BD074CB" w14:textId="77777777" w:rsidR="0077765C" w:rsidRPr="0077765C" w:rsidRDefault="0077765C" w:rsidP="0077765C">
      <w:pPr>
        <w:pStyle w:val="ae"/>
        <w:rPr>
          <w:rFonts w:cs="Calibri"/>
          <w:sz w:val="24"/>
          <w:lang w:val="en-US"/>
        </w:rPr>
      </w:pPr>
      <w:r w:rsidRPr="0077765C">
        <w:rPr>
          <w:rFonts w:cs="Calibri"/>
          <w:sz w:val="24"/>
          <w:lang w:val="en-US"/>
        </w:rPr>
        <w:t xml:space="preserve">Hayat, A., </w:t>
      </w:r>
      <w:proofErr w:type="spellStart"/>
      <w:r w:rsidRPr="0077765C">
        <w:rPr>
          <w:rFonts w:cs="Calibri"/>
          <w:sz w:val="24"/>
          <w:lang w:val="en-US"/>
        </w:rPr>
        <w:t>Nudrut</w:t>
      </w:r>
      <w:proofErr w:type="spellEnd"/>
      <w:r w:rsidRPr="0077765C">
        <w:rPr>
          <w:rFonts w:cs="Calibri"/>
          <w:sz w:val="24"/>
          <w:lang w:val="en-US"/>
        </w:rPr>
        <w:t xml:space="preserve">, D.S. and Shah, S.J.Z. (2023) ‘Fayol’s Purpose Principles of Management: An Analysis of Practices of Heads at Secondary Level in District Poonch Azad Jammu &amp; Kashmir, Pakistan’, </w:t>
      </w:r>
      <w:proofErr w:type="spellStart"/>
      <w:r w:rsidRPr="0077765C">
        <w:rPr>
          <w:rFonts w:cs="Calibri"/>
          <w:i/>
          <w:iCs/>
          <w:sz w:val="24"/>
          <w:lang w:val="en-US"/>
        </w:rPr>
        <w:t>sjesr</w:t>
      </w:r>
      <w:proofErr w:type="spellEnd"/>
      <w:r w:rsidRPr="0077765C">
        <w:rPr>
          <w:rFonts w:cs="Calibri"/>
          <w:sz w:val="24"/>
          <w:lang w:val="en-US"/>
        </w:rPr>
        <w:t>, 6(1), pp. 100–106. Available at: https://doi.org/10.36902/sjesr-vol6-iss1-2023(100-106).</w:t>
      </w:r>
    </w:p>
    <w:p w14:paraId="171D6E29" w14:textId="77777777" w:rsidR="0077765C" w:rsidRPr="0077765C" w:rsidRDefault="0077765C" w:rsidP="0077765C">
      <w:pPr>
        <w:pStyle w:val="ae"/>
        <w:rPr>
          <w:rFonts w:cs="Calibri"/>
          <w:sz w:val="24"/>
          <w:lang w:val="en-US"/>
        </w:rPr>
      </w:pPr>
      <w:proofErr w:type="spellStart"/>
      <w:r w:rsidRPr="0077765C">
        <w:rPr>
          <w:rFonts w:cs="Calibri"/>
          <w:sz w:val="24"/>
          <w:lang w:val="en-US"/>
        </w:rPr>
        <w:t>Meirinhos</w:t>
      </w:r>
      <w:proofErr w:type="spellEnd"/>
      <w:r w:rsidRPr="0077765C">
        <w:rPr>
          <w:rFonts w:cs="Calibri"/>
          <w:sz w:val="24"/>
          <w:lang w:val="en-US"/>
        </w:rPr>
        <w:t xml:space="preserve">, G. </w:t>
      </w:r>
      <w:r w:rsidRPr="0077765C">
        <w:rPr>
          <w:rFonts w:cs="Calibri"/>
          <w:i/>
          <w:iCs/>
          <w:sz w:val="24"/>
          <w:lang w:val="en-US"/>
        </w:rPr>
        <w:t>et al.</w:t>
      </w:r>
      <w:r w:rsidRPr="0077765C">
        <w:rPr>
          <w:rFonts w:cs="Calibri"/>
          <w:sz w:val="24"/>
          <w:lang w:val="en-US"/>
        </w:rPr>
        <w:t xml:space="preserve"> (2023) ‘Leadership Styles, Motivation, Communication and Reward Systems in Business Performance’, </w:t>
      </w:r>
      <w:r w:rsidRPr="0077765C">
        <w:rPr>
          <w:rFonts w:cs="Calibri"/>
          <w:i/>
          <w:iCs/>
          <w:sz w:val="24"/>
          <w:lang w:val="en-US"/>
        </w:rPr>
        <w:t>Journal of Risk and Financial Management</w:t>
      </w:r>
      <w:r w:rsidRPr="0077765C">
        <w:rPr>
          <w:rFonts w:cs="Calibri"/>
          <w:sz w:val="24"/>
          <w:lang w:val="en-US"/>
        </w:rPr>
        <w:t>, 16(2), p. 70. Available at: https://doi.org/10.3390/jrfm16020070.</w:t>
      </w:r>
    </w:p>
    <w:p w14:paraId="5F17C946" w14:textId="77777777" w:rsidR="0077765C" w:rsidRPr="0077765C" w:rsidRDefault="0077765C" w:rsidP="0077765C">
      <w:pPr>
        <w:pStyle w:val="ae"/>
        <w:rPr>
          <w:rFonts w:cs="Calibri"/>
          <w:sz w:val="24"/>
          <w:lang w:val="en-US"/>
        </w:rPr>
      </w:pPr>
      <w:r w:rsidRPr="0077765C">
        <w:rPr>
          <w:rFonts w:cs="Calibri"/>
          <w:sz w:val="24"/>
          <w:lang w:val="en-US"/>
        </w:rPr>
        <w:t xml:space="preserve">Müller, J.-W. (2021) </w:t>
      </w:r>
      <w:r w:rsidRPr="0077765C">
        <w:rPr>
          <w:rFonts w:cs="Calibri"/>
          <w:i/>
          <w:iCs/>
          <w:sz w:val="24"/>
          <w:lang w:val="en-US"/>
        </w:rPr>
        <w:t>Democracy Rules</w:t>
      </w:r>
      <w:r w:rsidRPr="0077765C">
        <w:rPr>
          <w:rFonts w:cs="Calibri"/>
          <w:sz w:val="24"/>
          <w:lang w:val="en-US"/>
        </w:rPr>
        <w:t>. Penguin UK.</w:t>
      </w:r>
    </w:p>
    <w:p w14:paraId="2E916CFB" w14:textId="77777777" w:rsidR="0077765C" w:rsidRPr="0077765C" w:rsidRDefault="0077765C" w:rsidP="0077765C">
      <w:pPr>
        <w:pStyle w:val="ae"/>
        <w:rPr>
          <w:rFonts w:cs="Calibri"/>
          <w:sz w:val="24"/>
          <w:lang w:val="en-US"/>
        </w:rPr>
      </w:pPr>
      <w:r w:rsidRPr="0077765C">
        <w:rPr>
          <w:rFonts w:cs="Calibri"/>
          <w:sz w:val="24"/>
          <w:lang w:val="en-US"/>
        </w:rPr>
        <w:t xml:space="preserve">Murphy, K.R. (2020) ‘Performance evaluation will not die, but it should’, </w:t>
      </w:r>
      <w:r w:rsidRPr="0077765C">
        <w:rPr>
          <w:rFonts w:cs="Calibri"/>
          <w:i/>
          <w:iCs/>
          <w:sz w:val="24"/>
          <w:lang w:val="en-US"/>
        </w:rPr>
        <w:t>Human Resource Management Journal</w:t>
      </w:r>
      <w:r w:rsidRPr="0077765C">
        <w:rPr>
          <w:rFonts w:cs="Calibri"/>
          <w:sz w:val="24"/>
          <w:lang w:val="en-US"/>
        </w:rPr>
        <w:t>, 30(1), pp. 13–31. Available at: https://doi.org/10.1111/1748-8583.12259.</w:t>
      </w:r>
    </w:p>
    <w:p w14:paraId="1C0E97E7" w14:textId="77777777" w:rsidR="0077765C" w:rsidRPr="0077765C" w:rsidRDefault="0077765C" w:rsidP="0077765C">
      <w:pPr>
        <w:pStyle w:val="ae"/>
        <w:rPr>
          <w:rFonts w:cs="Calibri"/>
          <w:sz w:val="24"/>
          <w:lang w:val="en-US"/>
        </w:rPr>
      </w:pPr>
      <w:proofErr w:type="spellStart"/>
      <w:r w:rsidRPr="0077765C">
        <w:rPr>
          <w:rFonts w:cs="Calibri"/>
          <w:sz w:val="24"/>
          <w:lang w:val="en-US"/>
        </w:rPr>
        <w:t>Satchidanandan</w:t>
      </w:r>
      <w:proofErr w:type="spellEnd"/>
      <w:r w:rsidRPr="0077765C">
        <w:rPr>
          <w:rFonts w:cs="Calibri"/>
          <w:sz w:val="24"/>
          <w:lang w:val="en-US"/>
        </w:rPr>
        <w:t xml:space="preserve">, B., Roozbehani, M. and Dahleh, M.A. (2023) ‘A Two-Stage Mechanism for Demand Response Markets’, </w:t>
      </w:r>
      <w:r w:rsidRPr="0077765C">
        <w:rPr>
          <w:rFonts w:cs="Calibri"/>
          <w:i/>
          <w:iCs/>
          <w:sz w:val="24"/>
          <w:lang w:val="en-US"/>
        </w:rPr>
        <w:t>IEEE Control Systems Letters</w:t>
      </w:r>
      <w:r w:rsidRPr="0077765C">
        <w:rPr>
          <w:rFonts w:cs="Calibri"/>
          <w:sz w:val="24"/>
          <w:lang w:val="en-US"/>
        </w:rPr>
        <w:t>, 7, pp. 49–54. Available at: https://doi.org/10.1109/LCSYS.2022.3186654.</w:t>
      </w:r>
    </w:p>
    <w:p w14:paraId="76E62DAA" w14:textId="77777777" w:rsidR="0077765C" w:rsidRPr="0077765C" w:rsidRDefault="0077765C" w:rsidP="0077765C">
      <w:pPr>
        <w:pStyle w:val="ae"/>
        <w:rPr>
          <w:rFonts w:cs="Calibri"/>
          <w:sz w:val="24"/>
          <w:lang w:val="en-US"/>
        </w:rPr>
      </w:pPr>
      <w:proofErr w:type="spellStart"/>
      <w:r w:rsidRPr="0077765C">
        <w:rPr>
          <w:rFonts w:cs="Calibri"/>
          <w:sz w:val="24"/>
          <w:lang w:val="en-US"/>
        </w:rPr>
        <w:t>Schneckenberg</w:t>
      </w:r>
      <w:proofErr w:type="spellEnd"/>
      <w:r w:rsidRPr="0077765C">
        <w:rPr>
          <w:rFonts w:cs="Calibri"/>
          <w:sz w:val="24"/>
          <w:lang w:val="en-US"/>
        </w:rPr>
        <w:t xml:space="preserve">, D. </w:t>
      </w:r>
      <w:r w:rsidRPr="0077765C">
        <w:rPr>
          <w:rFonts w:cs="Calibri"/>
          <w:i/>
          <w:iCs/>
          <w:sz w:val="24"/>
          <w:lang w:val="en-US"/>
        </w:rPr>
        <w:t>et al.</w:t>
      </w:r>
      <w:r w:rsidRPr="0077765C">
        <w:rPr>
          <w:rFonts w:cs="Calibri"/>
          <w:sz w:val="24"/>
          <w:lang w:val="en-US"/>
        </w:rPr>
        <w:t xml:space="preserve"> (2017) ‘Business model innovation and decision making: uncovering mechanisms for coping with uncertainty’, </w:t>
      </w:r>
      <w:r w:rsidRPr="0077765C">
        <w:rPr>
          <w:rFonts w:cs="Calibri"/>
          <w:i/>
          <w:iCs/>
          <w:sz w:val="24"/>
          <w:lang w:val="en-US"/>
        </w:rPr>
        <w:t>R&amp;D Management</w:t>
      </w:r>
      <w:r w:rsidRPr="0077765C">
        <w:rPr>
          <w:rFonts w:cs="Calibri"/>
          <w:sz w:val="24"/>
          <w:lang w:val="en-US"/>
        </w:rPr>
        <w:t>, 47(3), pp. 404–419. Available at: https://doi.org/10.1111/radm.12205.</w:t>
      </w:r>
    </w:p>
    <w:p w14:paraId="7772CE29" w14:textId="77777777" w:rsidR="0077765C" w:rsidRPr="0077765C" w:rsidRDefault="0077765C" w:rsidP="0077765C">
      <w:pPr>
        <w:pStyle w:val="ae"/>
        <w:rPr>
          <w:rFonts w:cs="Calibri"/>
          <w:sz w:val="24"/>
          <w:lang w:val="en-US"/>
        </w:rPr>
      </w:pPr>
      <w:r w:rsidRPr="0077765C">
        <w:rPr>
          <w:rFonts w:cs="Calibri"/>
          <w:sz w:val="24"/>
          <w:lang w:val="en-US"/>
        </w:rPr>
        <w:t xml:space="preserve">Weber, M. (2023) ‘Bureaucracy’, in </w:t>
      </w:r>
      <w:r w:rsidRPr="0077765C">
        <w:rPr>
          <w:rFonts w:cs="Calibri"/>
          <w:i/>
          <w:iCs/>
          <w:sz w:val="24"/>
          <w:lang w:val="en-US"/>
        </w:rPr>
        <w:t>Social Theory Re-Wired</w:t>
      </w:r>
      <w:r w:rsidRPr="0077765C">
        <w:rPr>
          <w:rFonts w:cs="Calibri"/>
          <w:sz w:val="24"/>
          <w:lang w:val="en-US"/>
        </w:rPr>
        <w:t xml:space="preserve">. 3rd </w:t>
      </w:r>
      <w:proofErr w:type="spellStart"/>
      <w:r w:rsidRPr="0077765C">
        <w:rPr>
          <w:rFonts w:cs="Calibri"/>
          <w:sz w:val="24"/>
          <w:lang w:val="en-US"/>
        </w:rPr>
        <w:t>edn</w:t>
      </w:r>
      <w:proofErr w:type="spellEnd"/>
      <w:r w:rsidRPr="0077765C">
        <w:rPr>
          <w:rFonts w:cs="Calibri"/>
          <w:sz w:val="24"/>
          <w:lang w:val="en-US"/>
        </w:rPr>
        <w:t>. Routledge.</w:t>
      </w:r>
    </w:p>
    <w:p w14:paraId="0A5C0165" w14:textId="77777777" w:rsidR="0077765C" w:rsidRPr="0077765C" w:rsidRDefault="0077765C" w:rsidP="0077765C">
      <w:pPr>
        <w:pStyle w:val="ae"/>
        <w:rPr>
          <w:rFonts w:cs="Calibri"/>
          <w:sz w:val="24"/>
          <w:lang w:val="en-US"/>
        </w:rPr>
      </w:pPr>
      <w:r w:rsidRPr="0077765C">
        <w:rPr>
          <w:rFonts w:cs="Calibri"/>
          <w:sz w:val="24"/>
          <w:lang w:val="en-US"/>
        </w:rPr>
        <w:t xml:space="preserve">Yılmaz, V. and </w:t>
      </w:r>
      <w:proofErr w:type="spellStart"/>
      <w:r w:rsidRPr="0077765C">
        <w:rPr>
          <w:rFonts w:cs="Calibri"/>
          <w:sz w:val="24"/>
          <w:lang w:val="en-US"/>
        </w:rPr>
        <w:t>Telsaç</w:t>
      </w:r>
      <w:proofErr w:type="spellEnd"/>
      <w:r w:rsidRPr="0077765C">
        <w:rPr>
          <w:rFonts w:cs="Calibri"/>
          <w:sz w:val="24"/>
          <w:lang w:val="en-US"/>
        </w:rPr>
        <w:t xml:space="preserve">, C. (2021) ‘AUTHORITY AND BUREAUCRACY FROM WEBER’S PERSPECTIVE’, </w:t>
      </w:r>
      <w:r w:rsidRPr="0077765C">
        <w:rPr>
          <w:rFonts w:cs="Calibri"/>
          <w:i/>
          <w:iCs/>
          <w:sz w:val="24"/>
          <w:lang w:val="en-US"/>
        </w:rPr>
        <w:t>Mehmet Akif Ersoy University Journal of Social Sciences Institute</w:t>
      </w:r>
      <w:r w:rsidRPr="0077765C">
        <w:rPr>
          <w:rFonts w:cs="Calibri"/>
          <w:sz w:val="24"/>
          <w:lang w:val="en-US"/>
        </w:rPr>
        <w:t>, (34), pp. 42–52. Available at: https://doi.org/10.20875/makusobed.903546.</w:t>
      </w:r>
    </w:p>
    <w:p w14:paraId="732FBE8A" w14:textId="06AE34F8" w:rsidR="00E36A97" w:rsidRPr="00E36A97" w:rsidRDefault="00357EBD" w:rsidP="0077765C">
      <w:pPr>
        <w:pStyle w:val="ae"/>
        <w:rPr>
          <w:rFonts w:hint="eastAsia"/>
          <w:sz w:val="24"/>
          <w:szCs w:val="24"/>
          <w:lang w:val="en-US"/>
        </w:rPr>
      </w:pPr>
      <w:r>
        <w:rPr>
          <w:sz w:val="24"/>
          <w:szCs w:val="24"/>
          <w:lang w:val="en-US"/>
        </w:rPr>
        <w:fldChar w:fldCharType="end"/>
      </w:r>
    </w:p>
    <w:sectPr w:rsidR="00E36A97" w:rsidRPr="00E36A9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rial Regular">
    <w:altName w:val="Arial"/>
    <w:panose1 w:val="020B0604020202020204"/>
    <w:charset w:val="00"/>
    <w:family w:val="auto"/>
    <w:pitch w:val="default"/>
    <w:sig w:usb0="E0000AFF" w:usb1="00007843" w:usb2="00000001" w:usb3="00000000" w:csb0="400001BF" w:csb1="DFF70000"/>
  </w:font>
  <w:font w:name="Arial Bold">
    <w:altName w:val="Arial"/>
    <w:panose1 w:val="020B06040202020202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D37"/>
    <w:rsid w:val="00007F7A"/>
    <w:rsid w:val="00055722"/>
    <w:rsid w:val="00072901"/>
    <w:rsid w:val="000A05E7"/>
    <w:rsid w:val="000E0897"/>
    <w:rsid w:val="000E509F"/>
    <w:rsid w:val="00103287"/>
    <w:rsid w:val="00104628"/>
    <w:rsid w:val="00111020"/>
    <w:rsid w:val="00164F26"/>
    <w:rsid w:val="002926F3"/>
    <w:rsid w:val="002D1EF3"/>
    <w:rsid w:val="0030622A"/>
    <w:rsid w:val="003311BA"/>
    <w:rsid w:val="00357EBD"/>
    <w:rsid w:val="00485F01"/>
    <w:rsid w:val="00516E61"/>
    <w:rsid w:val="00524D63"/>
    <w:rsid w:val="00541100"/>
    <w:rsid w:val="00573E63"/>
    <w:rsid w:val="005834EF"/>
    <w:rsid w:val="005A0A65"/>
    <w:rsid w:val="005D38B1"/>
    <w:rsid w:val="005D4342"/>
    <w:rsid w:val="005F0C51"/>
    <w:rsid w:val="00605828"/>
    <w:rsid w:val="0077765C"/>
    <w:rsid w:val="00794E8B"/>
    <w:rsid w:val="0079642B"/>
    <w:rsid w:val="007E005B"/>
    <w:rsid w:val="008055D9"/>
    <w:rsid w:val="00865B79"/>
    <w:rsid w:val="00892BC8"/>
    <w:rsid w:val="0093780E"/>
    <w:rsid w:val="00965F5B"/>
    <w:rsid w:val="00A07A58"/>
    <w:rsid w:val="00A178FE"/>
    <w:rsid w:val="00A817F5"/>
    <w:rsid w:val="00AF2F0A"/>
    <w:rsid w:val="00B706B7"/>
    <w:rsid w:val="00B81908"/>
    <w:rsid w:val="00B94F9D"/>
    <w:rsid w:val="00BB0692"/>
    <w:rsid w:val="00BD20E5"/>
    <w:rsid w:val="00C11C5C"/>
    <w:rsid w:val="00C63888"/>
    <w:rsid w:val="00CD0564"/>
    <w:rsid w:val="00D26599"/>
    <w:rsid w:val="00DA089B"/>
    <w:rsid w:val="00DD17AF"/>
    <w:rsid w:val="00E15D37"/>
    <w:rsid w:val="00E36A97"/>
    <w:rsid w:val="00F91F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7DEADCF"/>
  <w15:chartTrackingRefBased/>
  <w15:docId w15:val="{4D54121A-007C-C34A-82DF-7694CF7C1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765C"/>
    <w:pPr>
      <w:widowControl w:val="0"/>
      <w:spacing w:after="0" w:line="240" w:lineRule="auto"/>
      <w:jc w:val="both"/>
    </w:pPr>
    <w:rPr>
      <w:rFonts w:ascii="Calibri" w:eastAsia="宋体" w:hAnsi="Calibri" w:cs="Times New Roman"/>
      <w:sz w:val="21"/>
      <w:szCs w:val="21"/>
      <w:lang w:val="en-GB"/>
      <w14:ligatures w14:val="none"/>
    </w:rPr>
  </w:style>
  <w:style w:type="paragraph" w:styleId="1">
    <w:name w:val="heading 1"/>
    <w:basedOn w:val="a"/>
    <w:next w:val="a"/>
    <w:link w:val="10"/>
    <w:uiPriority w:val="9"/>
    <w:qFormat/>
    <w:rsid w:val="00E15D37"/>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E15D37"/>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E15D37"/>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E15D37"/>
    <w:pPr>
      <w:keepNext/>
      <w:keepLines/>
      <w:spacing w:before="80" w:after="40" w:line="278" w:lineRule="auto"/>
      <w:jc w:val="left"/>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E15D37"/>
    <w:pPr>
      <w:keepNext/>
      <w:keepLines/>
      <w:spacing w:before="80" w:after="40" w:line="278" w:lineRule="auto"/>
      <w:jc w:val="left"/>
      <w:outlineLvl w:val="4"/>
    </w:pPr>
    <w:rPr>
      <w:rFonts w:asciiTheme="minorHAnsi" w:eastAsiaTheme="minorEastAsia" w:hAnsiTheme="minorHAnsi"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E15D37"/>
    <w:pPr>
      <w:keepNext/>
      <w:keepLines/>
      <w:spacing w:before="40" w:line="278" w:lineRule="auto"/>
      <w:jc w:val="left"/>
      <w:outlineLvl w:val="5"/>
    </w:pPr>
    <w:rPr>
      <w:rFonts w:asciiTheme="minorHAnsi" w:eastAsiaTheme="minorEastAsia" w:hAnsiTheme="minorHAnsi" w:cstheme="majorBidi"/>
      <w:b/>
      <w:bCs/>
      <w:color w:val="0F4761" w:themeColor="accent1" w:themeShade="BF"/>
      <w:sz w:val="22"/>
      <w:szCs w:val="24"/>
      <w14:ligatures w14:val="standardContextual"/>
    </w:rPr>
  </w:style>
  <w:style w:type="paragraph" w:styleId="7">
    <w:name w:val="heading 7"/>
    <w:basedOn w:val="a"/>
    <w:next w:val="a"/>
    <w:link w:val="70"/>
    <w:uiPriority w:val="9"/>
    <w:semiHidden/>
    <w:unhideWhenUsed/>
    <w:qFormat/>
    <w:rsid w:val="00E15D37"/>
    <w:pPr>
      <w:keepNext/>
      <w:keepLines/>
      <w:spacing w:before="40" w:line="278" w:lineRule="auto"/>
      <w:jc w:val="left"/>
      <w:outlineLvl w:val="6"/>
    </w:pPr>
    <w:rPr>
      <w:rFonts w:asciiTheme="minorHAnsi" w:eastAsiaTheme="minorEastAsia" w:hAnsiTheme="minorHAnsi" w:cstheme="majorBidi"/>
      <w:b/>
      <w:bCs/>
      <w:color w:val="595959" w:themeColor="text1" w:themeTint="A6"/>
      <w:sz w:val="22"/>
      <w:szCs w:val="24"/>
      <w14:ligatures w14:val="standardContextual"/>
    </w:rPr>
  </w:style>
  <w:style w:type="paragraph" w:styleId="8">
    <w:name w:val="heading 8"/>
    <w:basedOn w:val="a"/>
    <w:next w:val="a"/>
    <w:link w:val="80"/>
    <w:uiPriority w:val="9"/>
    <w:semiHidden/>
    <w:unhideWhenUsed/>
    <w:qFormat/>
    <w:rsid w:val="00E15D37"/>
    <w:pPr>
      <w:keepNext/>
      <w:keepLines/>
      <w:spacing w:line="278" w:lineRule="auto"/>
      <w:jc w:val="left"/>
      <w:outlineLvl w:val="7"/>
    </w:pPr>
    <w:rPr>
      <w:rFonts w:asciiTheme="minorHAnsi" w:eastAsiaTheme="minorEastAsia" w:hAnsiTheme="minorHAnsi" w:cstheme="majorBidi"/>
      <w:color w:val="595959" w:themeColor="text1" w:themeTint="A6"/>
      <w:sz w:val="22"/>
      <w:szCs w:val="24"/>
      <w14:ligatures w14:val="standardContextual"/>
    </w:rPr>
  </w:style>
  <w:style w:type="paragraph" w:styleId="9">
    <w:name w:val="heading 9"/>
    <w:basedOn w:val="a"/>
    <w:next w:val="a"/>
    <w:link w:val="90"/>
    <w:uiPriority w:val="9"/>
    <w:semiHidden/>
    <w:unhideWhenUsed/>
    <w:qFormat/>
    <w:rsid w:val="00E15D37"/>
    <w:pPr>
      <w:keepNext/>
      <w:keepLines/>
      <w:spacing w:line="278" w:lineRule="auto"/>
      <w:jc w:val="left"/>
      <w:outlineLvl w:val="8"/>
    </w:pPr>
    <w:rPr>
      <w:rFonts w:asciiTheme="minorHAnsi" w:eastAsiaTheme="majorEastAsia" w:hAnsiTheme="minorHAnsi" w:cstheme="majorBidi"/>
      <w:color w:val="595959" w:themeColor="text1" w:themeTint="A6"/>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15D37"/>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uiPriority w:val="9"/>
    <w:semiHidden/>
    <w:rsid w:val="00E15D37"/>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E15D37"/>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E15D37"/>
    <w:rPr>
      <w:rFonts w:cstheme="majorBidi"/>
      <w:color w:val="0F4761" w:themeColor="accent1" w:themeShade="BF"/>
      <w:sz w:val="28"/>
      <w:szCs w:val="28"/>
      <w:lang w:val="en-GB"/>
    </w:rPr>
  </w:style>
  <w:style w:type="character" w:customStyle="1" w:styleId="50">
    <w:name w:val="标题 5 字符"/>
    <w:basedOn w:val="a0"/>
    <w:link w:val="5"/>
    <w:uiPriority w:val="9"/>
    <w:semiHidden/>
    <w:rsid w:val="00E15D37"/>
    <w:rPr>
      <w:rFonts w:cstheme="majorBidi"/>
      <w:color w:val="0F4761" w:themeColor="accent1" w:themeShade="BF"/>
      <w:sz w:val="24"/>
      <w:lang w:val="en-GB"/>
    </w:rPr>
  </w:style>
  <w:style w:type="character" w:customStyle="1" w:styleId="60">
    <w:name w:val="标题 6 字符"/>
    <w:basedOn w:val="a0"/>
    <w:link w:val="6"/>
    <w:uiPriority w:val="9"/>
    <w:semiHidden/>
    <w:rsid w:val="00E15D37"/>
    <w:rPr>
      <w:rFonts w:cstheme="majorBidi"/>
      <w:b/>
      <w:bCs/>
      <w:color w:val="0F4761" w:themeColor="accent1" w:themeShade="BF"/>
      <w:lang w:val="en-GB"/>
    </w:rPr>
  </w:style>
  <w:style w:type="character" w:customStyle="1" w:styleId="70">
    <w:name w:val="标题 7 字符"/>
    <w:basedOn w:val="a0"/>
    <w:link w:val="7"/>
    <w:uiPriority w:val="9"/>
    <w:semiHidden/>
    <w:rsid w:val="00E15D37"/>
    <w:rPr>
      <w:rFonts w:cstheme="majorBidi"/>
      <w:b/>
      <w:bCs/>
      <w:color w:val="595959" w:themeColor="text1" w:themeTint="A6"/>
      <w:lang w:val="en-GB"/>
    </w:rPr>
  </w:style>
  <w:style w:type="character" w:customStyle="1" w:styleId="80">
    <w:name w:val="标题 8 字符"/>
    <w:basedOn w:val="a0"/>
    <w:link w:val="8"/>
    <w:uiPriority w:val="9"/>
    <w:semiHidden/>
    <w:rsid w:val="00E15D37"/>
    <w:rPr>
      <w:rFonts w:cstheme="majorBidi"/>
      <w:color w:val="595959" w:themeColor="text1" w:themeTint="A6"/>
      <w:lang w:val="en-GB"/>
    </w:rPr>
  </w:style>
  <w:style w:type="character" w:customStyle="1" w:styleId="90">
    <w:name w:val="标题 9 字符"/>
    <w:basedOn w:val="a0"/>
    <w:link w:val="9"/>
    <w:uiPriority w:val="9"/>
    <w:semiHidden/>
    <w:rsid w:val="00E15D37"/>
    <w:rPr>
      <w:rFonts w:eastAsiaTheme="majorEastAsia" w:cstheme="majorBidi"/>
      <w:color w:val="595959" w:themeColor="text1" w:themeTint="A6"/>
      <w:lang w:val="en-GB"/>
    </w:rPr>
  </w:style>
  <w:style w:type="paragraph" w:styleId="a3">
    <w:name w:val="Title"/>
    <w:basedOn w:val="a"/>
    <w:next w:val="a"/>
    <w:link w:val="a4"/>
    <w:uiPriority w:val="10"/>
    <w:qFormat/>
    <w:rsid w:val="00E15D37"/>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E15D37"/>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E15D37"/>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E15D37"/>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E15D37"/>
    <w:pPr>
      <w:spacing w:before="160" w:after="160" w:line="278" w:lineRule="auto"/>
      <w:jc w:val="center"/>
    </w:pPr>
    <w:rPr>
      <w:rFonts w:asciiTheme="minorHAnsi" w:eastAsiaTheme="minorEastAsia" w:hAnsiTheme="minorHAnsi" w:cstheme="minorBidi"/>
      <w:i/>
      <w:iCs/>
      <w:color w:val="404040" w:themeColor="text1" w:themeTint="BF"/>
      <w:sz w:val="22"/>
      <w:szCs w:val="24"/>
      <w14:ligatures w14:val="standardContextual"/>
    </w:rPr>
  </w:style>
  <w:style w:type="character" w:customStyle="1" w:styleId="a8">
    <w:name w:val="引用 字符"/>
    <w:basedOn w:val="a0"/>
    <w:link w:val="a7"/>
    <w:uiPriority w:val="29"/>
    <w:rsid w:val="00E15D37"/>
    <w:rPr>
      <w:i/>
      <w:iCs/>
      <w:color w:val="404040" w:themeColor="text1" w:themeTint="BF"/>
      <w:lang w:val="en-GB"/>
    </w:rPr>
  </w:style>
  <w:style w:type="paragraph" w:styleId="a9">
    <w:name w:val="List Paragraph"/>
    <w:basedOn w:val="a"/>
    <w:uiPriority w:val="34"/>
    <w:qFormat/>
    <w:rsid w:val="00E15D37"/>
    <w:pPr>
      <w:spacing w:after="160" w:line="278" w:lineRule="auto"/>
      <w:ind w:left="720"/>
      <w:contextualSpacing/>
      <w:jc w:val="left"/>
    </w:pPr>
    <w:rPr>
      <w:rFonts w:asciiTheme="minorHAnsi" w:eastAsiaTheme="minorEastAsia" w:hAnsiTheme="minorHAnsi" w:cstheme="minorBidi"/>
      <w:sz w:val="22"/>
      <w:szCs w:val="24"/>
      <w14:ligatures w14:val="standardContextual"/>
    </w:rPr>
  </w:style>
  <w:style w:type="character" w:styleId="aa">
    <w:name w:val="Intense Emphasis"/>
    <w:basedOn w:val="a0"/>
    <w:uiPriority w:val="21"/>
    <w:qFormat/>
    <w:rsid w:val="00E15D37"/>
    <w:rPr>
      <w:i/>
      <w:iCs/>
      <w:color w:val="0F4761" w:themeColor="accent1" w:themeShade="BF"/>
    </w:rPr>
  </w:style>
  <w:style w:type="paragraph" w:styleId="ab">
    <w:name w:val="Intense Quote"/>
    <w:basedOn w:val="a"/>
    <w:next w:val="a"/>
    <w:link w:val="ac"/>
    <w:uiPriority w:val="30"/>
    <w:qFormat/>
    <w:rsid w:val="00E15D3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 w:val="22"/>
      <w:szCs w:val="24"/>
      <w14:ligatures w14:val="standardContextual"/>
    </w:rPr>
  </w:style>
  <w:style w:type="character" w:customStyle="1" w:styleId="ac">
    <w:name w:val="明显引用 字符"/>
    <w:basedOn w:val="a0"/>
    <w:link w:val="ab"/>
    <w:uiPriority w:val="30"/>
    <w:rsid w:val="00E15D37"/>
    <w:rPr>
      <w:i/>
      <w:iCs/>
      <w:color w:val="0F4761" w:themeColor="accent1" w:themeShade="BF"/>
      <w:lang w:val="en-GB"/>
    </w:rPr>
  </w:style>
  <w:style w:type="character" w:styleId="ad">
    <w:name w:val="Intense Reference"/>
    <w:basedOn w:val="a0"/>
    <w:uiPriority w:val="32"/>
    <w:qFormat/>
    <w:rsid w:val="00E15D37"/>
    <w:rPr>
      <w:b/>
      <w:bCs/>
      <w:smallCaps/>
      <w:color w:val="0F4761" w:themeColor="accent1" w:themeShade="BF"/>
      <w:spacing w:val="5"/>
    </w:rPr>
  </w:style>
  <w:style w:type="paragraph" w:styleId="ae">
    <w:name w:val="Bibliography"/>
    <w:basedOn w:val="a"/>
    <w:next w:val="a"/>
    <w:uiPriority w:val="37"/>
    <w:unhideWhenUsed/>
    <w:rsid w:val="00357EBD"/>
    <w:pPr>
      <w:spacing w:after="240"/>
    </w:pPr>
  </w:style>
  <w:style w:type="character" w:styleId="af">
    <w:name w:val="Hyperlink"/>
    <w:basedOn w:val="a0"/>
    <w:uiPriority w:val="99"/>
    <w:semiHidden/>
    <w:unhideWhenUsed/>
    <w:rsid w:val="002926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my.sharepoint.com/:v:/g/personal/2502887_student_uwtsd_ac_uk/IQCuq8nyOipvSJTkQa8rVVMqAVL6XslmczdhHvX-KUtr8Nk?e=FxDxOc" TargetMode="External"/><Relationship Id="rId5" Type="http://schemas.openxmlformats.org/officeDocument/2006/relationships/image" Target="file:////Users/shajinqi/Library/Containers/com.kingsoft.wpsoffice.mac/Data/tmp/wps-shajinqi/ksohtml/wps1.jpg" TargetMode="Externa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5658</Words>
  <Characters>40568</Characters>
  <Application>Microsoft Office Word</Application>
  <DocSecurity>0</DocSecurity>
  <Lines>5795</Lines>
  <Paragraphs>1284</Paragraphs>
  <ScaleCrop>false</ScaleCrop>
  <Company/>
  <LinksUpToDate>false</LinksUpToDate>
  <CharactersWithSpaces>44942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Jinqi Sha (2502887)</dc:creator>
  <cp:keywords/>
  <dc:description/>
  <cp:lastModifiedBy>Jinqi Sha (2502887)</cp:lastModifiedBy>
  <cp:revision>2</cp:revision>
  <dcterms:created xsi:type="dcterms:W3CDTF">2025-12-12T03:29:00Z</dcterms:created>
  <dcterms:modified xsi:type="dcterms:W3CDTF">2025-12-12T03:29:00Z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id="COKQHA7W"/&gt;&lt;style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