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8F872"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cs="Arial"/>
          <w:noProof/>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17EF6A4F" wp14:editId="72BF1958">
            <wp:extent cx="2475230" cy="1237615"/>
            <wp:effectExtent l="0" t="0" r="1270" b="635"/>
            <wp:docPr id="1201846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75230" cy="1237615"/>
                    </a:xfrm>
                    <a:prstGeom prst="rect">
                      <a:avLst/>
                    </a:prstGeom>
                    <a:noFill/>
                  </pic:spPr>
                </pic:pic>
              </a:graphicData>
            </a:graphic>
          </wp:inline>
        </w:drawing>
      </w:r>
    </w:p>
    <w:p w14:paraId="3C8CC95C"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2C31E4" w14:textId="77777777" w:rsidR="00682D60" w:rsidRDefault="00682D60"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ECE144" w14:textId="77777777" w:rsidR="00682D60" w:rsidRDefault="00682D60"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40E3B8" w14:textId="77777777" w:rsidR="00682D60" w:rsidRDefault="00682D60"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74C0D4" w14:textId="3B339563" w:rsidR="00822AEF" w:rsidRPr="00682D60" w:rsidRDefault="003A1AA8" w:rsidP="00822AEF">
      <w:pPr>
        <w:spacing w:before="0" w:after="0" w:line="240" w:lineRule="auto"/>
        <w:jc w:val="center"/>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2D60">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Management</w:t>
      </w:r>
    </w:p>
    <w:p w14:paraId="4491B7F8" w14:textId="6AAA9721" w:rsidR="00822AEF" w:rsidRPr="00682D60" w:rsidRDefault="00822AEF" w:rsidP="00822AEF">
      <w:pPr>
        <w:spacing w:before="0" w:after="0" w:line="240" w:lineRule="auto"/>
        <w:jc w:val="center"/>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2D60">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LCBB5005</w:t>
      </w:r>
    </w:p>
    <w:p w14:paraId="7DC016A6" w14:textId="42FC7BD7" w:rsidR="00682D60" w:rsidRPr="00682D60" w:rsidRDefault="00682D60" w:rsidP="00822AEF">
      <w:pPr>
        <w:spacing w:before="0" w:after="0" w:line="240" w:lineRule="auto"/>
        <w:jc w:val="center"/>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2D60">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Assessment 1</w:t>
      </w:r>
    </w:p>
    <w:p w14:paraId="520A2E18" w14:textId="77777777" w:rsidR="00822AEF" w:rsidRPr="00682D60" w:rsidRDefault="003A1AA8" w:rsidP="00822AEF">
      <w:pPr>
        <w:spacing w:before="0" w:after="0" w:line="240" w:lineRule="auto"/>
        <w:jc w:val="center"/>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2D60">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Essay (Project Plan)</w:t>
      </w:r>
    </w:p>
    <w:p w14:paraId="4AE34DE2"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9ABD14"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ADADE9"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FD2950"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BF3B3F"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517003"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DEFABD"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E2136B"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18A181"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FA76F1"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187FC3"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D8E268"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9D58D8"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85BF5B"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22165F"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C5615E" w14:textId="77777777" w:rsidR="00682D60" w:rsidRDefault="00682D60" w:rsidP="00822AEF">
      <w:pPr>
        <w:spacing w:before="0" w:after="0" w:line="240" w:lineRule="auto"/>
        <w:jc w:val="left"/>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F87CAE" w14:textId="15AFD685" w:rsidR="00822AEF" w:rsidRPr="00822AEF" w:rsidRDefault="00822AEF" w:rsidP="00822AEF">
      <w:pPr>
        <w:spacing w:before="0" w:after="0" w:line="240" w:lineRule="auto"/>
        <w:jc w:val="left"/>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22AEF">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Name: </w:t>
      </w:r>
      <w:r>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Elena Goranova</w:t>
      </w:r>
    </w:p>
    <w:p w14:paraId="7AD40F4D" w14:textId="6AC714F4" w:rsidR="00822AEF" w:rsidRPr="00822AEF" w:rsidRDefault="00822AEF" w:rsidP="00822AEF">
      <w:pPr>
        <w:spacing w:before="0" w:after="0" w:line="240" w:lineRule="auto"/>
        <w:jc w:val="left"/>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22AEF">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2122365</w:t>
      </w:r>
    </w:p>
    <w:p w14:paraId="2A81AA51" w14:textId="3194D77B" w:rsidR="003A1AA8" w:rsidRPr="00A943BD" w:rsidRDefault="00822AEF" w:rsidP="00822AEF">
      <w:pPr>
        <w:spacing w:before="0" w:after="0" w:line="240" w:lineRule="auto"/>
        <w:jc w:val="left"/>
        <w:rPr>
          <w:rFonts w:ascii="Times New Roman" w:hAnsi="Times New Roman" w:cs="Times New Roman"/>
          <w:color w:val="4472C4" w:themeColor="accent1"/>
          <w:sz w:val="40"/>
          <w:szCs w:val="4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22AEF">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Anupam Mazumdar</w:t>
      </w:r>
      <w:r w:rsidR="003A1AA8" w:rsidRPr="00A943BD">
        <w:rPr>
          <w:rFonts w:ascii="Times New Roman" w:hAnsi="Times New Roman" w:cs="Times New Roman"/>
          <w:color w:val="4472C4" w:themeColor="accent1"/>
          <w:sz w:val="40"/>
          <w:szCs w:val="4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4B6FBD17" w14:textId="24306BF7" w:rsidR="004936C4" w:rsidRPr="003A1AA8" w:rsidRDefault="004936C4">
      <w:pPr>
        <w:rPr>
          <w:rFonts w:ascii="Times New Roman" w:hAnsi="Times New Roman" w:cs="Times New Roman"/>
          <w:lang w:val="en-US"/>
        </w:rPr>
      </w:pPr>
      <w:r w:rsidRPr="003A1AA8">
        <w:rPr>
          <w:rFonts w:ascii="Times New Roman" w:hAnsi="Times New Roman" w:cs="Times New Roman"/>
          <w:lang w:val="en-US"/>
        </w:rPr>
        <w:lastRenderedPageBreak/>
        <w:t xml:space="preserve">Introduction </w:t>
      </w:r>
    </w:p>
    <w:p w14:paraId="18B60921" w14:textId="77777777" w:rsidR="004936C4" w:rsidRPr="003A1AA8" w:rsidRDefault="004936C4">
      <w:pPr>
        <w:rPr>
          <w:rFonts w:ascii="Times New Roman" w:hAnsi="Times New Roman" w:cs="Times New Roman"/>
          <w:lang w:val="en-US"/>
        </w:rPr>
      </w:pPr>
      <w:r w:rsidRPr="003A1AA8">
        <w:rPr>
          <w:rFonts w:ascii="Times New Roman" w:hAnsi="Times New Roman" w:cs="Times New Roman"/>
          <w:lang w:val="en-US"/>
        </w:rPr>
        <w:t xml:space="preserve">The present essay takes a case study approach to critically evaluate one of the most current high-profile construction projects in the UK, the Hinkley Point C Nuclear power plant. The essay will utilise different types of project management tools to evaluate the performance of the project. </w:t>
      </w:r>
    </w:p>
    <w:p w14:paraId="1A88EE70" w14:textId="77777777" w:rsidR="00EA41E3" w:rsidRPr="003A1AA8" w:rsidRDefault="00D536A2">
      <w:pPr>
        <w:rPr>
          <w:rFonts w:ascii="Times New Roman" w:hAnsi="Times New Roman" w:cs="Times New Roman"/>
          <w:lang w:val="en-US"/>
        </w:rPr>
      </w:pPr>
      <w:r w:rsidRPr="003A1AA8">
        <w:rPr>
          <w:rFonts w:ascii="Times New Roman" w:hAnsi="Times New Roman" w:cs="Times New Roman"/>
          <w:lang w:val="en-US"/>
        </w:rPr>
        <w:t xml:space="preserve">Project Management </w:t>
      </w:r>
    </w:p>
    <w:p w14:paraId="1230020D" w14:textId="77777777" w:rsidR="00335247" w:rsidRPr="00335247" w:rsidRDefault="00335247" w:rsidP="00335247">
      <w:pPr>
        <w:rPr>
          <w:rFonts w:ascii="Times New Roman" w:hAnsi="Times New Roman" w:cs="Times New Roman"/>
          <w:lang w:val="en-US"/>
        </w:rPr>
      </w:pPr>
      <w:r w:rsidRPr="00335247">
        <w:rPr>
          <w:rFonts w:ascii="Times New Roman" w:hAnsi="Times New Roman" w:cs="Times New Roman"/>
          <w:lang w:val="en-US"/>
        </w:rPr>
        <w:t>Project manage</w:t>
      </w:r>
      <w:r>
        <w:rPr>
          <w:rFonts w:ascii="Times New Roman" w:hAnsi="Times New Roman" w:cs="Times New Roman"/>
          <w:lang w:val="en-US"/>
        </w:rPr>
        <w:t>ment</w:t>
      </w:r>
      <w:r w:rsidRPr="00335247">
        <w:rPr>
          <w:rFonts w:ascii="Times New Roman" w:hAnsi="Times New Roman" w:cs="Times New Roman"/>
          <w:lang w:val="en-US"/>
        </w:rPr>
        <w:t xml:space="preserve"> </w:t>
      </w:r>
      <w:r>
        <w:rPr>
          <w:rFonts w:ascii="Times New Roman" w:hAnsi="Times New Roman" w:cs="Times New Roman"/>
          <w:lang w:val="en-US"/>
        </w:rPr>
        <w:t xml:space="preserve">typically undertakes </w:t>
      </w:r>
      <w:r w:rsidRPr="00335247">
        <w:rPr>
          <w:rFonts w:ascii="Times New Roman" w:hAnsi="Times New Roman" w:cs="Times New Roman"/>
          <w:lang w:val="en-US"/>
        </w:rPr>
        <w:t>initiating, coordinating, carrying out, monitoring, and shutting down a team's activity in order to meet goals and meet deadlines. The fundamental purpose of project management is to ensure that the desired goals are achieved within the time and financial resources provided. According to Levitt (2011), this all-encompassing and strategic sector handles a range of issues, including time and money management, as well as quality, scope, and risk.</w:t>
      </w:r>
    </w:p>
    <w:p w14:paraId="56CB6B83" w14:textId="77777777" w:rsidR="00D536A2" w:rsidRPr="003A1AA8" w:rsidRDefault="00335247" w:rsidP="00335247">
      <w:pPr>
        <w:rPr>
          <w:rFonts w:ascii="Times New Roman" w:hAnsi="Times New Roman" w:cs="Times New Roman"/>
          <w:lang w:val="en-US"/>
        </w:rPr>
      </w:pPr>
      <w:r w:rsidRPr="00335247">
        <w:rPr>
          <w:rFonts w:ascii="Times New Roman" w:hAnsi="Times New Roman" w:cs="Times New Roman"/>
          <w:lang w:val="en-US"/>
        </w:rPr>
        <w:t xml:space="preserve">It is determined whether or not a project will be completed from the outset of the project management process. The first step in any planning process is to define the scope of the project and its primary goals. Even after the project's launch phase is complete, project planners will continue to meticulously manage the complexity of bringing together all of the necessary components for execution. Some of the many key considerations that must be taken while designing the design of a project include time restrictions, the availability of resources, the assignment of roles and responsibilities, and the </w:t>
      </w:r>
      <w:r>
        <w:rPr>
          <w:rFonts w:ascii="Times New Roman" w:hAnsi="Times New Roman" w:cs="Times New Roman"/>
          <w:lang w:val="en-US"/>
        </w:rPr>
        <w:t>establishment</w:t>
      </w:r>
      <w:r w:rsidRPr="00335247">
        <w:rPr>
          <w:rFonts w:ascii="Times New Roman" w:hAnsi="Times New Roman" w:cs="Times New Roman"/>
          <w:lang w:val="en-US"/>
        </w:rPr>
        <w:t xml:space="preserve"> of open lines of communication</w:t>
      </w:r>
      <w:r w:rsidR="00D536A2" w:rsidRPr="003A1AA8">
        <w:rPr>
          <w:rFonts w:ascii="Times New Roman" w:hAnsi="Times New Roman" w:cs="Times New Roman"/>
          <w:lang w:val="en-US"/>
        </w:rPr>
        <w:t>. The expansion of the project's scope into unforeseen areas is a crucial factor in the failure of efforts. Careful preparation</w:t>
      </w:r>
      <w:r w:rsidR="003A1AA8" w:rsidRPr="003A1AA8">
        <w:rPr>
          <w:rFonts w:ascii="Times New Roman" w:hAnsi="Times New Roman" w:cs="Times New Roman"/>
          <w:lang w:val="en-US"/>
        </w:rPr>
        <w:t xml:space="preserve"> could </w:t>
      </w:r>
      <w:r w:rsidR="00D536A2" w:rsidRPr="003A1AA8">
        <w:rPr>
          <w:rFonts w:ascii="Times New Roman" w:hAnsi="Times New Roman" w:cs="Times New Roman"/>
          <w:lang w:val="en-US"/>
        </w:rPr>
        <w:t>help to decrease this danger</w:t>
      </w:r>
      <w:r w:rsidR="003A1AA8" w:rsidRPr="003A1AA8">
        <w:rPr>
          <w:rFonts w:ascii="Times New Roman" w:hAnsi="Times New Roman" w:cs="Times New Roman"/>
          <w:lang w:val="en-US"/>
        </w:rPr>
        <w:t xml:space="preserve"> (Schwalbe, 2009).</w:t>
      </w:r>
    </w:p>
    <w:p w14:paraId="54E862AC"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The next phase of a project is known as implementation, and it is during this phase that the essential activities for completing the assignment and generating the final product or service are completed. To ensure that a project's execution phase is carried out properly and efficiently, it is typically required to dedicate a significant amount of time, financial resources, and human capital to it. Furthermore, this phase necessitates a high level of cooperation. Monitoring and control activities must be carried out concurrently with the project execution phase in order to guarantee that the project stays within the timeline that has been established. In this scenario, the management team assesses where the project is in relation to the original plan and makes any necessary modifications.</w:t>
      </w:r>
    </w:p>
    <w:p w14:paraId="721E3167"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At this moment, the project is nearing completion. During this phase, the project is successfully finished, and all remaining deliverables and resources are completed and made available. Post-</w:t>
      </w:r>
      <w:r w:rsidRPr="003A1AA8">
        <w:rPr>
          <w:rFonts w:ascii="Times New Roman" w:hAnsi="Times New Roman" w:cs="Times New Roman"/>
          <w:lang w:val="en-US"/>
        </w:rPr>
        <w:lastRenderedPageBreak/>
        <w:t>mortems on finished projects are an important element of the process. During these evaluations, team members discuss the project's accomplishments and problems, which leads to proposals for future efforts. Only</w:t>
      </w:r>
      <w:r w:rsidR="003A1AA8">
        <w:rPr>
          <w:rFonts w:ascii="Times New Roman" w:hAnsi="Times New Roman" w:cs="Times New Roman"/>
          <w:lang w:val="en-US"/>
        </w:rPr>
        <w:t xml:space="preserve"> through </w:t>
      </w:r>
      <w:r w:rsidRPr="003A1AA8">
        <w:rPr>
          <w:rFonts w:ascii="Times New Roman" w:hAnsi="Times New Roman" w:cs="Times New Roman"/>
          <w:lang w:val="en-US"/>
        </w:rPr>
        <w:t>an iterative process of self-reflection and rigorous review can project management be improved.</w:t>
      </w:r>
    </w:p>
    <w:p w14:paraId="0B5A4338"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The techniques and processes utilised in project management</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vary greatly depending on the specific characteristics of the project as well as the company involved in the process. Regardless, it is critical to remember that the fundamental concepts that drive project management have not altered. There are several modern project management methodologies, including Agile, Scrum, Lean, and Waterfall. Each of these approaches has its own set of advantages and disadvantages. A competent project manager will be knowledgeable about a range of strategies and will be able to choose the strategy that is best suited for both their team and the specific project they are working on. At its most basic level, project management entails the complex orchestration of numerous components inside a project to ensure the timely and successful delivery of a superior final outcome while adhering to financial constraints. This is done to guarantee that the project is finished on schedule and efficiently.</w:t>
      </w:r>
    </w:p>
    <w:p w14:paraId="20D16621"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 xml:space="preserve">Project Charter </w:t>
      </w:r>
    </w:p>
    <w:tbl>
      <w:tblPr>
        <w:tblStyle w:val="TableGridLight"/>
        <w:tblW w:w="9067" w:type="dxa"/>
        <w:tblLook w:val="04A0" w:firstRow="1" w:lastRow="0" w:firstColumn="1" w:lastColumn="0" w:noHBand="0" w:noVBand="1"/>
      </w:tblPr>
      <w:tblGrid>
        <w:gridCol w:w="2547"/>
        <w:gridCol w:w="6520"/>
      </w:tblGrid>
      <w:tr w:rsidR="00D536A2" w:rsidRPr="00D536A2" w14:paraId="495A1E2E" w14:textId="77777777" w:rsidTr="00D536A2">
        <w:tc>
          <w:tcPr>
            <w:tcW w:w="2547" w:type="dxa"/>
            <w:hideMark/>
          </w:tcPr>
          <w:p w14:paraId="1C47CEF7"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Project Charter Element</w:t>
            </w:r>
          </w:p>
        </w:tc>
        <w:tc>
          <w:tcPr>
            <w:tcW w:w="6520" w:type="dxa"/>
            <w:hideMark/>
          </w:tcPr>
          <w:p w14:paraId="09DB9E71"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Description</w:t>
            </w:r>
          </w:p>
        </w:tc>
      </w:tr>
      <w:tr w:rsidR="00D536A2" w:rsidRPr="00D536A2" w14:paraId="300468D6" w14:textId="77777777" w:rsidTr="00D536A2">
        <w:tc>
          <w:tcPr>
            <w:tcW w:w="2547" w:type="dxa"/>
            <w:hideMark/>
          </w:tcPr>
          <w:p w14:paraId="2144AF58"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Title</w:t>
            </w:r>
          </w:p>
        </w:tc>
        <w:tc>
          <w:tcPr>
            <w:tcW w:w="6520" w:type="dxa"/>
            <w:hideMark/>
          </w:tcPr>
          <w:p w14:paraId="63077445"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Hinkley Point C Nuclear Power Plant Construction</w:t>
            </w:r>
          </w:p>
        </w:tc>
      </w:tr>
      <w:tr w:rsidR="00D536A2" w:rsidRPr="00D536A2" w14:paraId="711B7A11" w14:textId="77777777" w:rsidTr="00D536A2">
        <w:tc>
          <w:tcPr>
            <w:tcW w:w="2547" w:type="dxa"/>
            <w:hideMark/>
          </w:tcPr>
          <w:p w14:paraId="3436B78E"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Sponsor</w:t>
            </w:r>
          </w:p>
        </w:tc>
        <w:tc>
          <w:tcPr>
            <w:tcW w:w="6520" w:type="dxa"/>
            <w:hideMark/>
          </w:tcPr>
          <w:p w14:paraId="322C85F3"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UK Government, EDF Energy</w:t>
            </w:r>
          </w:p>
        </w:tc>
      </w:tr>
      <w:tr w:rsidR="00D536A2" w:rsidRPr="00D536A2" w14:paraId="41565BDC" w14:textId="77777777" w:rsidTr="00D536A2">
        <w:tc>
          <w:tcPr>
            <w:tcW w:w="2547" w:type="dxa"/>
            <w:hideMark/>
          </w:tcPr>
          <w:p w14:paraId="4626C042"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Manager</w:t>
            </w:r>
          </w:p>
        </w:tc>
        <w:tc>
          <w:tcPr>
            <w:tcW w:w="6520" w:type="dxa"/>
            <w:hideMark/>
          </w:tcPr>
          <w:p w14:paraId="57AA74F9" w14:textId="77777777" w:rsidR="00D536A2" w:rsidRPr="00D536A2" w:rsidRDefault="00D536A2" w:rsidP="00D536A2">
            <w:pPr>
              <w:rPr>
                <w:rFonts w:ascii="Times New Roman" w:hAnsi="Times New Roman" w:cs="Times New Roman"/>
                <w:lang w:val="en-US"/>
              </w:rPr>
            </w:pPr>
            <w:r w:rsidRPr="003A1AA8">
              <w:rPr>
                <w:rFonts w:ascii="Times New Roman" w:hAnsi="Times New Roman" w:cs="Times New Roman"/>
                <w:lang w:val="en-US"/>
              </w:rPr>
              <w:t>-</w:t>
            </w:r>
          </w:p>
        </w:tc>
      </w:tr>
      <w:tr w:rsidR="00D536A2" w:rsidRPr="00D536A2" w14:paraId="77A0D7C8" w14:textId="77777777" w:rsidTr="00D536A2">
        <w:tc>
          <w:tcPr>
            <w:tcW w:w="2547" w:type="dxa"/>
            <w:hideMark/>
          </w:tcPr>
          <w:p w14:paraId="290ED3E0"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Start Date</w:t>
            </w:r>
          </w:p>
        </w:tc>
        <w:tc>
          <w:tcPr>
            <w:tcW w:w="6520" w:type="dxa"/>
            <w:hideMark/>
          </w:tcPr>
          <w:p w14:paraId="38E300C2" w14:textId="77777777" w:rsidR="00D536A2" w:rsidRPr="00D536A2" w:rsidRDefault="00D536A2" w:rsidP="00D536A2">
            <w:pPr>
              <w:rPr>
                <w:rFonts w:ascii="Times New Roman" w:hAnsi="Times New Roman" w:cs="Times New Roman"/>
                <w:lang w:val="en-US"/>
              </w:rPr>
            </w:pPr>
            <w:r w:rsidRPr="003A1AA8">
              <w:rPr>
                <w:rFonts w:ascii="Times New Roman" w:hAnsi="Times New Roman" w:cs="Times New Roman"/>
                <w:lang w:val="en-US"/>
              </w:rPr>
              <w:t>2016</w:t>
            </w:r>
          </w:p>
        </w:tc>
      </w:tr>
      <w:tr w:rsidR="00D536A2" w:rsidRPr="00D536A2" w14:paraId="700649B2" w14:textId="77777777" w:rsidTr="00D536A2">
        <w:tc>
          <w:tcPr>
            <w:tcW w:w="2547" w:type="dxa"/>
            <w:hideMark/>
          </w:tcPr>
          <w:p w14:paraId="70831488"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End Date</w:t>
            </w:r>
          </w:p>
        </w:tc>
        <w:tc>
          <w:tcPr>
            <w:tcW w:w="6520" w:type="dxa"/>
            <w:hideMark/>
          </w:tcPr>
          <w:p w14:paraId="6FB78F6D" w14:textId="77777777" w:rsidR="00D536A2" w:rsidRPr="00D536A2" w:rsidRDefault="00D536A2" w:rsidP="00D536A2">
            <w:pPr>
              <w:rPr>
                <w:rFonts w:ascii="Times New Roman" w:hAnsi="Times New Roman" w:cs="Times New Roman"/>
                <w:lang w:val="en-US"/>
              </w:rPr>
            </w:pPr>
            <w:r w:rsidRPr="003A1AA8">
              <w:rPr>
                <w:rFonts w:ascii="Times New Roman" w:hAnsi="Times New Roman" w:cs="Times New Roman"/>
                <w:lang w:val="en-US"/>
              </w:rPr>
              <w:t>2025</w:t>
            </w:r>
          </w:p>
        </w:tc>
      </w:tr>
      <w:tr w:rsidR="00D536A2" w:rsidRPr="00D536A2" w14:paraId="2200DBCD" w14:textId="77777777" w:rsidTr="00D536A2">
        <w:tc>
          <w:tcPr>
            <w:tcW w:w="2547" w:type="dxa"/>
            <w:hideMark/>
          </w:tcPr>
          <w:p w14:paraId="3C4630AB"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Budget</w:t>
            </w:r>
          </w:p>
        </w:tc>
        <w:tc>
          <w:tcPr>
            <w:tcW w:w="6520" w:type="dxa"/>
            <w:hideMark/>
          </w:tcPr>
          <w:p w14:paraId="6BC5E576" w14:textId="77777777" w:rsidR="00D536A2" w:rsidRPr="00D536A2" w:rsidRDefault="00D536A2" w:rsidP="00D536A2">
            <w:pPr>
              <w:rPr>
                <w:rFonts w:ascii="Times New Roman" w:hAnsi="Times New Roman" w:cs="Times New Roman"/>
                <w:lang w:val="en-US"/>
              </w:rPr>
            </w:pPr>
            <w:r w:rsidRPr="00D536A2">
              <w:rPr>
                <w:rFonts w:ascii="Times New Roman" w:hAnsi="Times New Roman" w:cs="Times New Roman"/>
              </w:rPr>
              <w:t>£25–£26 billion</w:t>
            </w:r>
            <w:r w:rsidR="004936C4" w:rsidRPr="003A1AA8">
              <w:rPr>
                <w:rFonts w:ascii="Times New Roman" w:hAnsi="Times New Roman" w:cs="Times New Roman"/>
                <w:lang w:val="en-US"/>
              </w:rPr>
              <w:t xml:space="preserve"> (Estimated)</w:t>
            </w:r>
          </w:p>
        </w:tc>
      </w:tr>
      <w:tr w:rsidR="00D536A2" w:rsidRPr="00D536A2" w14:paraId="7A17D064" w14:textId="77777777" w:rsidTr="00D536A2">
        <w:tc>
          <w:tcPr>
            <w:tcW w:w="2547" w:type="dxa"/>
            <w:hideMark/>
          </w:tcPr>
          <w:p w14:paraId="15FD0B96"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Scope</w:t>
            </w:r>
          </w:p>
        </w:tc>
        <w:tc>
          <w:tcPr>
            <w:tcW w:w="6520" w:type="dxa"/>
            <w:hideMark/>
          </w:tcPr>
          <w:p w14:paraId="27B2313E" w14:textId="77777777" w:rsidR="00D536A2" w:rsidRPr="00D536A2" w:rsidRDefault="00D536A2" w:rsidP="00D536A2">
            <w:pPr>
              <w:rPr>
                <w:rFonts w:ascii="Times New Roman" w:hAnsi="Times New Roman" w:cs="Times New Roman"/>
                <w:lang w:val="en-US"/>
              </w:rPr>
            </w:pPr>
            <w:r w:rsidRPr="00D536A2">
              <w:rPr>
                <w:rFonts w:ascii="Times New Roman" w:hAnsi="Times New Roman" w:cs="Times New Roman"/>
              </w:rPr>
              <w:t xml:space="preserve">Construction of a nuclear power plant with two EPR reactors capable of providing electricity for 6 million homes, creation of </w:t>
            </w:r>
            <w:r w:rsidRPr="00D536A2">
              <w:rPr>
                <w:rFonts w:ascii="Times New Roman" w:hAnsi="Times New Roman" w:cs="Times New Roman"/>
              </w:rPr>
              <w:lastRenderedPageBreak/>
              <w:t>25,000 job opportunities, and procurement of up to 1,000 apprenticeships</w:t>
            </w:r>
            <w:r w:rsidR="003A1AA8" w:rsidRPr="003A1AA8">
              <w:rPr>
                <w:rFonts w:ascii="Times New Roman" w:hAnsi="Times New Roman" w:cs="Times New Roman"/>
                <w:lang w:val="en-US"/>
              </w:rPr>
              <w:t xml:space="preserve"> (EDF, 2016)</w:t>
            </w:r>
          </w:p>
        </w:tc>
      </w:tr>
      <w:tr w:rsidR="00D536A2" w:rsidRPr="00D536A2" w14:paraId="0DB2C147" w14:textId="77777777" w:rsidTr="00D536A2">
        <w:tc>
          <w:tcPr>
            <w:tcW w:w="2547" w:type="dxa"/>
            <w:hideMark/>
          </w:tcPr>
          <w:p w14:paraId="7EA2875B"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lastRenderedPageBreak/>
              <w:t>Project Objective</w:t>
            </w:r>
          </w:p>
        </w:tc>
        <w:tc>
          <w:tcPr>
            <w:tcW w:w="6520" w:type="dxa"/>
            <w:hideMark/>
          </w:tcPr>
          <w:p w14:paraId="3C2FB801"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To significantly contribute to the UK's carbon emission reduction efforts by offsetting an estimated 9 million tons of CO2 emissions per year.</w:t>
            </w:r>
          </w:p>
        </w:tc>
      </w:tr>
      <w:tr w:rsidR="00D536A2" w:rsidRPr="00D536A2" w14:paraId="05383693" w14:textId="77777777" w:rsidTr="00D536A2">
        <w:tc>
          <w:tcPr>
            <w:tcW w:w="2547" w:type="dxa"/>
            <w:hideMark/>
          </w:tcPr>
          <w:p w14:paraId="1DAD7C23"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Major Deliverables</w:t>
            </w:r>
          </w:p>
        </w:tc>
        <w:tc>
          <w:tcPr>
            <w:tcW w:w="6520" w:type="dxa"/>
            <w:hideMark/>
          </w:tcPr>
          <w:p w14:paraId="23801F29"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Two operational EPR reactors, Infrastructure for supporting facilities, Employment and apprenticeship opportunities</w:t>
            </w:r>
          </w:p>
        </w:tc>
      </w:tr>
      <w:tr w:rsidR="00D536A2" w:rsidRPr="00D536A2" w14:paraId="762AB60F" w14:textId="77777777" w:rsidTr="00D536A2">
        <w:tc>
          <w:tcPr>
            <w:tcW w:w="2547" w:type="dxa"/>
            <w:hideMark/>
          </w:tcPr>
          <w:p w14:paraId="58924E3D"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Key Stakeholders</w:t>
            </w:r>
          </w:p>
        </w:tc>
        <w:tc>
          <w:tcPr>
            <w:tcW w:w="6520" w:type="dxa"/>
            <w:hideMark/>
          </w:tcPr>
          <w:p w14:paraId="7FD053C5"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UK Government, EDF Energy, Local Communities, Future Employees, UK Economy</w:t>
            </w:r>
          </w:p>
        </w:tc>
      </w:tr>
      <w:tr w:rsidR="00D536A2" w:rsidRPr="00D536A2" w14:paraId="259BA65B" w14:textId="77777777" w:rsidTr="00D536A2">
        <w:tc>
          <w:tcPr>
            <w:tcW w:w="2547" w:type="dxa"/>
            <w:hideMark/>
          </w:tcPr>
          <w:p w14:paraId="5F974346"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Risks</w:t>
            </w:r>
          </w:p>
        </w:tc>
        <w:tc>
          <w:tcPr>
            <w:tcW w:w="6520" w:type="dxa"/>
            <w:hideMark/>
          </w:tcPr>
          <w:p w14:paraId="48FCCEF0"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Technical difficulties in construction, Regulatory challenges, Environmental concerns, Budget overruns, Delays in schedule</w:t>
            </w:r>
          </w:p>
        </w:tc>
      </w:tr>
      <w:tr w:rsidR="00D536A2" w:rsidRPr="00D536A2" w14:paraId="0DCB24EA" w14:textId="77777777" w:rsidTr="00D536A2">
        <w:tc>
          <w:tcPr>
            <w:tcW w:w="2547" w:type="dxa"/>
            <w:hideMark/>
          </w:tcPr>
          <w:p w14:paraId="5F49AA61"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Success Criteria</w:t>
            </w:r>
          </w:p>
        </w:tc>
        <w:tc>
          <w:tcPr>
            <w:tcW w:w="6520" w:type="dxa"/>
            <w:hideMark/>
          </w:tcPr>
          <w:p w14:paraId="281A235B"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Successful construction and operation of two EPR reactors, Meeting employment and apprenticeship goals, Positive impact on the local economy, Meeting the target of carbon emission reduction</w:t>
            </w:r>
          </w:p>
        </w:tc>
      </w:tr>
      <w:tr w:rsidR="00D536A2" w:rsidRPr="00D536A2" w14:paraId="56A4468A" w14:textId="77777777" w:rsidTr="00D536A2">
        <w:tc>
          <w:tcPr>
            <w:tcW w:w="2547" w:type="dxa"/>
            <w:hideMark/>
          </w:tcPr>
          <w:p w14:paraId="4553EA17"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Assumptions</w:t>
            </w:r>
          </w:p>
        </w:tc>
        <w:tc>
          <w:tcPr>
            <w:tcW w:w="6520" w:type="dxa"/>
            <w:hideMark/>
          </w:tcPr>
          <w:p w14:paraId="3F486054"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Availability of sufficient funds, Compliance with safety and environmental regulations, Availability of skilled labor, Market demand for low-carbon electricity</w:t>
            </w:r>
          </w:p>
        </w:tc>
      </w:tr>
      <w:tr w:rsidR="00D536A2" w:rsidRPr="00D536A2" w14:paraId="351DDAD1" w14:textId="77777777" w:rsidTr="00D536A2">
        <w:tc>
          <w:tcPr>
            <w:tcW w:w="2547" w:type="dxa"/>
            <w:hideMark/>
          </w:tcPr>
          <w:p w14:paraId="7732F5AB"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Constraints</w:t>
            </w:r>
          </w:p>
        </w:tc>
        <w:tc>
          <w:tcPr>
            <w:tcW w:w="6520" w:type="dxa"/>
            <w:hideMark/>
          </w:tcPr>
          <w:p w14:paraId="7907A3A5"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Regulatory requirements, Environmental impact mitigation, Budget and timeline, Availability of resources and skilled labor</w:t>
            </w:r>
          </w:p>
        </w:tc>
      </w:tr>
    </w:tbl>
    <w:p w14:paraId="556050BA"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 xml:space="preserve">Project Scope </w:t>
      </w:r>
    </w:p>
    <w:p w14:paraId="6B05D060"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The project scope includes all activities, deliverables, and timelines the team must complete to meet project goals. It defines what's in and out of the project. A well-defined project scope prevents scope creep, unites stakeholders, and guides change request choices.</w:t>
      </w:r>
    </w:p>
    <w:p w14:paraId="5917E6CA"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The Hinkley Point C project has several key components:</w:t>
      </w:r>
    </w:p>
    <w:p w14:paraId="04FDAD3A"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Construction of Two EPR Reactors: The project involves building two low-carbon EPR reactors. This comprises reactors, their infrastructure, facilities, and safety precautions.</w:t>
      </w:r>
    </w:p>
    <w:p w14:paraId="12EB3562"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lastRenderedPageBreak/>
        <w:t>Powering households: Hinkley Point C will power six million households. This aim requires reactor synchronisation with the UK's national grid and dependable electricity output</w:t>
      </w:r>
      <w:r w:rsidR="003A1AA8" w:rsidRPr="003A1AA8">
        <w:rPr>
          <w:rFonts w:ascii="Times New Roman" w:hAnsi="Times New Roman" w:cs="Times New Roman"/>
          <w:lang w:val="en-US"/>
        </w:rPr>
        <w:t xml:space="preserve"> (Laing O’Rourke, 2019).</w:t>
      </w:r>
    </w:p>
    <w:p w14:paraId="646BA3A0"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Employment: The initiative aims to create 25,000 jobs. This covers both plant builders and operators.</w:t>
      </w:r>
    </w:p>
    <w:p w14:paraId="107125B7"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Apprenticeships: The initiative will provide 1,000 nuclear power industry apprenticeships.</w:t>
      </w:r>
    </w:p>
    <w:p w14:paraId="5FC0A93B"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Revenue: UK firms will get 64% of the project's construction value. The project involves extensive procurement and local supply chain participation.</w:t>
      </w:r>
    </w:p>
    <w:p w14:paraId="7D292EC5"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Carbon Emission Reduction: Hinkley Point C will also help cut UK carbon emissions. Over 60 years, the facility will offset 9 million tonnes of CO2 emissions. Thus, the project comprises long-term operations and environmental effect monitoring and reporting. To manage a project of this size and complexity, a formal and rigorous project scope statement that clearly specifies the project's deliverables, objectives, and tasks must be created.</w:t>
      </w:r>
      <w:r w:rsidR="003A1AA8" w:rsidRPr="003A1AA8">
        <w:rPr>
          <w:rFonts w:ascii="Times New Roman" w:hAnsi="Times New Roman" w:cs="Times New Roman"/>
          <w:lang w:val="en-US"/>
        </w:rPr>
        <w:t xml:space="preserve"> (Walker, 2015).</w:t>
      </w:r>
      <w:r w:rsidRPr="003A1AA8">
        <w:rPr>
          <w:rFonts w:ascii="Times New Roman" w:hAnsi="Times New Roman" w:cs="Times New Roman"/>
          <w:lang w:val="en-US"/>
        </w:rPr>
        <w:t xml:space="preserve"> This keeps the project on track by ensuring all stakeholders understand it.</w:t>
      </w:r>
    </w:p>
    <w:p w14:paraId="2FF442D0"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 xml:space="preserve">Budgetary Analysis </w:t>
      </w:r>
    </w:p>
    <w:tbl>
      <w:tblPr>
        <w:tblStyle w:val="TableGridLight"/>
        <w:tblW w:w="8926" w:type="dxa"/>
        <w:tblLook w:val="04A0" w:firstRow="1" w:lastRow="0" w:firstColumn="1" w:lastColumn="0" w:noHBand="0" w:noVBand="1"/>
      </w:tblPr>
      <w:tblGrid>
        <w:gridCol w:w="3114"/>
        <w:gridCol w:w="3118"/>
        <w:gridCol w:w="2694"/>
      </w:tblGrid>
      <w:tr w:rsidR="00D536A2" w:rsidRPr="00D536A2" w14:paraId="5040C26B" w14:textId="77777777" w:rsidTr="00D536A2">
        <w:tc>
          <w:tcPr>
            <w:tcW w:w="3114" w:type="dxa"/>
            <w:hideMark/>
          </w:tcPr>
          <w:p w14:paraId="48B3FA28"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Budget item</w:t>
            </w:r>
          </w:p>
        </w:tc>
        <w:tc>
          <w:tcPr>
            <w:tcW w:w="3118" w:type="dxa"/>
            <w:hideMark/>
          </w:tcPr>
          <w:p w14:paraId="3B90AD25"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Original estimate</w:t>
            </w:r>
          </w:p>
        </w:tc>
        <w:tc>
          <w:tcPr>
            <w:tcW w:w="2694" w:type="dxa"/>
            <w:hideMark/>
          </w:tcPr>
          <w:p w14:paraId="384F2B66"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Current estimate</w:t>
            </w:r>
          </w:p>
        </w:tc>
      </w:tr>
      <w:tr w:rsidR="00D536A2" w:rsidRPr="00D536A2" w14:paraId="08BBA13E" w14:textId="77777777" w:rsidTr="00D536A2">
        <w:tc>
          <w:tcPr>
            <w:tcW w:w="3114" w:type="dxa"/>
            <w:hideMark/>
          </w:tcPr>
          <w:p w14:paraId="5F6F5EF5"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Construction cost</w:t>
            </w:r>
          </w:p>
        </w:tc>
        <w:tc>
          <w:tcPr>
            <w:tcW w:w="3118" w:type="dxa"/>
            <w:hideMark/>
          </w:tcPr>
          <w:p w14:paraId="4E9ABFE9"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£20.5 billion</w:t>
            </w:r>
          </w:p>
        </w:tc>
        <w:tc>
          <w:tcPr>
            <w:tcW w:w="2694" w:type="dxa"/>
            <w:hideMark/>
          </w:tcPr>
          <w:p w14:paraId="21C11E7F"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£32.7 billion</w:t>
            </w:r>
          </w:p>
        </w:tc>
      </w:tr>
      <w:tr w:rsidR="00D536A2" w:rsidRPr="00D536A2" w14:paraId="58853607" w14:textId="77777777" w:rsidTr="00D536A2">
        <w:tc>
          <w:tcPr>
            <w:tcW w:w="3114" w:type="dxa"/>
            <w:hideMark/>
          </w:tcPr>
          <w:p w14:paraId="2125765B"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Lifetime costs</w:t>
            </w:r>
          </w:p>
        </w:tc>
        <w:tc>
          <w:tcPr>
            <w:tcW w:w="3118" w:type="dxa"/>
            <w:hideMark/>
          </w:tcPr>
          <w:p w14:paraId="353A48B1"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£55 billion</w:t>
            </w:r>
          </w:p>
        </w:tc>
        <w:tc>
          <w:tcPr>
            <w:tcW w:w="2694" w:type="dxa"/>
            <w:hideMark/>
          </w:tcPr>
          <w:p w14:paraId="18037AA8"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£55 billion</w:t>
            </w:r>
          </w:p>
        </w:tc>
      </w:tr>
      <w:tr w:rsidR="00D536A2" w:rsidRPr="00D536A2" w14:paraId="752C632C" w14:textId="77777777" w:rsidTr="00D536A2">
        <w:tc>
          <w:tcPr>
            <w:tcW w:w="3114" w:type="dxa"/>
            <w:hideMark/>
          </w:tcPr>
          <w:p w14:paraId="097690D3"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Electricity generation</w:t>
            </w:r>
          </w:p>
        </w:tc>
        <w:tc>
          <w:tcPr>
            <w:tcW w:w="3118" w:type="dxa"/>
            <w:hideMark/>
          </w:tcPr>
          <w:p w14:paraId="249E9FCF"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3,260 MW</w:t>
            </w:r>
          </w:p>
        </w:tc>
        <w:tc>
          <w:tcPr>
            <w:tcW w:w="2694" w:type="dxa"/>
            <w:hideMark/>
          </w:tcPr>
          <w:p w14:paraId="746581AB"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3,260 MW</w:t>
            </w:r>
          </w:p>
        </w:tc>
      </w:tr>
      <w:tr w:rsidR="00D536A2" w:rsidRPr="00D536A2" w14:paraId="30F3D292" w14:textId="77777777" w:rsidTr="00D536A2">
        <w:tc>
          <w:tcPr>
            <w:tcW w:w="3114" w:type="dxa"/>
            <w:hideMark/>
          </w:tcPr>
          <w:p w14:paraId="42E577F6"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Operational life</w:t>
            </w:r>
          </w:p>
        </w:tc>
        <w:tc>
          <w:tcPr>
            <w:tcW w:w="3118" w:type="dxa"/>
            <w:hideMark/>
          </w:tcPr>
          <w:p w14:paraId="7837DE46"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60 years</w:t>
            </w:r>
          </w:p>
        </w:tc>
        <w:tc>
          <w:tcPr>
            <w:tcW w:w="2694" w:type="dxa"/>
            <w:hideMark/>
          </w:tcPr>
          <w:p w14:paraId="12570F54"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60 years</w:t>
            </w:r>
          </w:p>
        </w:tc>
      </w:tr>
    </w:tbl>
    <w:p w14:paraId="14E208B4"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Hinkley Point C was significantly impacted by cost overruns and delays. The initial budget of £20.5 billion has experienced an increase, resulting in a revised budget of £32.7 billion. The projected lifetime costs amount to £55 billion.</w:t>
      </w:r>
    </w:p>
    <w:p w14:paraId="3E7496D1"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 xml:space="preserve">The presence of project complexity is a significant factor contributing to cost overruns. Hinkley Point C, the inaugural nuclear power plant to be constructed in the United Kingdom after a hiatus of two decades, incorporates an innovative reactor design. The aforementioned circumstances have resulted in unanticipated challenges, notably the challenging soil conditions at the site. The occurrence of project delays resulted in an increase in costs beyond </w:t>
      </w:r>
      <w:r w:rsidRPr="003A1AA8">
        <w:rPr>
          <w:rFonts w:ascii="Times New Roman" w:hAnsi="Times New Roman" w:cs="Times New Roman"/>
          <w:lang w:val="en-US"/>
        </w:rPr>
        <w:lastRenderedPageBreak/>
        <w:t>the initially estimated budget. The implementation of the project has been rescheduled from 2025 to 2027. The aforementioned circumstance has led to an escalation in the interest expenses associated with project debt.</w:t>
      </w:r>
    </w:p>
    <w:p w14:paraId="19CA96F6"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Despite the occurrence of cost overruns and delays, it is anticipated that Hinkley Point C will bring about benefits to the United Kingdom. Over a span of six decades, a total of 3,260 megawatts of reliable and environmentally friendly electricity will be generated. The reduction of energy imports in the United Kingdom will contribute to the achievement of climate change objectives.</w:t>
      </w:r>
    </w:p>
    <w:p w14:paraId="0C0E1657" w14:textId="77777777" w:rsidR="00D536A2" w:rsidRPr="003A1AA8" w:rsidRDefault="004936C4" w:rsidP="00D536A2">
      <w:pPr>
        <w:rPr>
          <w:rFonts w:ascii="Times New Roman" w:hAnsi="Times New Roman" w:cs="Times New Roman"/>
          <w:lang w:val="en-US"/>
        </w:rPr>
      </w:pPr>
      <w:r w:rsidRPr="003A1AA8">
        <w:rPr>
          <w:rFonts w:ascii="Times New Roman" w:hAnsi="Times New Roman" w:cs="Times New Roman"/>
          <w:lang w:val="en-US"/>
        </w:rPr>
        <w:t xml:space="preserve">Stakeholder Analysis </w:t>
      </w:r>
    </w:p>
    <w:p w14:paraId="137BB936"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Without a complete stakeholder evaluation, project and strategy management would be unsatisfactory. The goal of this study is to assess and investigate the impact and influence of individuals and entities with a vested interest in the project, as well as any issues that</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occur as a consequence of their engagement. The Mendelow matrix is an effective way of arranging project stakeholders because it considers both the degree of influence and interest that each stakeholder group has in the project's success</w:t>
      </w:r>
      <w:r w:rsidR="003A1AA8" w:rsidRPr="003A1AA8">
        <w:rPr>
          <w:rFonts w:ascii="Times New Roman" w:hAnsi="Times New Roman" w:cs="Times New Roman"/>
          <w:lang w:val="en-US"/>
        </w:rPr>
        <w:t xml:space="preserve"> (Sears et al., 2015).</w:t>
      </w:r>
    </w:p>
    <w:p w14:paraId="0C7D098A"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High power and High Interest: These individuals have great expertise, credibility, and visibility in their respective industries. EDF Energy, the UK government, and the China General Nuclear Power Group (CGN) would all play important roles in the Hinkley Point C nuclear power plant's development. EDF Energy and CGN, the company's principal investors, contribute significantly financially. The government of the United Kingdom has considerable power as a consequence of its policy backing and the establishment of a set price for energy supplied. These stakeholders have a vested interest in the project's outcome and considerable influence over how it is finally addressed. They have shown a genuine concern for the project's success. Continuous monitoring, as well as people's engagement in crucial decision-making processes, are essential to accomplish this.</w:t>
      </w:r>
    </w:p>
    <w:p w14:paraId="33E39A19"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High Power and Low Interest: The Office of Nuclear Regulation (ONR) and the Environment Agency are two examples of regulatory agencies with significant power but minimal engagement. They have a significant influence because of the regulatory authority they hold; yet, the majority of their attention is focused on ensuring that the project complies with all standards, rather than the project's overall success. To lessen the possibility of encountering any potential challenges, it is critical to ensure that individuals have access to comprehensive information and that all of their questions and concerns are adequately handled.</w:t>
      </w:r>
    </w:p>
    <w:p w14:paraId="3D9B75F1"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lastRenderedPageBreak/>
        <w:t>Low Power and High Interest: This section provides a detailed explanation of the many stakeholders, which include local communities, environmental advocacy organisations, and potential future workers. Through the functions that they play, these entities have a significant influence on the development of many sections of society as well as the environment. By being aware of the perspectives, interests, and concerns of individuals engaged, one</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 xml:space="preserve">stay updated about the dynamics and developments happening within these spheres. </w:t>
      </w:r>
      <w:r w:rsidR="00335247" w:rsidRPr="00335247">
        <w:rPr>
          <w:rFonts w:ascii="Times New Roman" w:hAnsi="Times New Roman" w:cs="Times New Roman"/>
          <w:lang w:val="en-US"/>
        </w:rPr>
        <w:t xml:space="preserve">Stakeholders care about the project's results because they might affect the local economy, environment, and people's well-being. Make sure people are informed and participating in decision-making. Allowing individuals to express themselves and provide support and understanding and </w:t>
      </w:r>
      <w:r w:rsidR="00335247">
        <w:rPr>
          <w:rFonts w:ascii="Times New Roman" w:hAnsi="Times New Roman" w:cs="Times New Roman"/>
          <w:lang w:val="en-US"/>
        </w:rPr>
        <w:t>address</w:t>
      </w:r>
      <w:r w:rsidR="00335247" w:rsidRPr="00335247">
        <w:rPr>
          <w:rFonts w:ascii="Times New Roman" w:hAnsi="Times New Roman" w:cs="Times New Roman"/>
          <w:lang w:val="en-US"/>
        </w:rPr>
        <w:t xml:space="preserve"> their worries is important</w:t>
      </w:r>
      <w:r w:rsidRPr="003A1AA8">
        <w:rPr>
          <w:rFonts w:ascii="Times New Roman" w:hAnsi="Times New Roman" w:cs="Times New Roman"/>
          <w:lang w:val="en-US"/>
        </w:rPr>
        <w:t>.</w:t>
      </w:r>
    </w:p>
    <w:p w14:paraId="1008759F"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Low Power and Low Interest: "</w:t>
      </w:r>
      <w:r w:rsidR="00335247">
        <w:rPr>
          <w:rFonts w:ascii="Times New Roman" w:hAnsi="Times New Roman" w:cs="Times New Roman"/>
          <w:lang w:val="en-US"/>
        </w:rPr>
        <w:t>Low</w:t>
      </w:r>
      <w:r w:rsidRPr="003A1AA8">
        <w:rPr>
          <w:rFonts w:ascii="Times New Roman" w:hAnsi="Times New Roman" w:cs="Times New Roman"/>
          <w:lang w:val="en-US"/>
        </w:rPr>
        <w:t xml:space="preserve"> power, low interest"</w:t>
      </w:r>
      <w:r w:rsidR="00335247">
        <w:rPr>
          <w:rFonts w:ascii="Times New Roman" w:hAnsi="Times New Roman" w:cs="Times New Roman"/>
          <w:lang w:val="en-US"/>
        </w:rPr>
        <w:t xml:space="preserve"> includes those individuals who neither have the power nor interest to influence the outcome of a project</w:t>
      </w:r>
      <w:r w:rsidRPr="003A1AA8">
        <w:rPr>
          <w:rFonts w:ascii="Times New Roman" w:hAnsi="Times New Roman" w:cs="Times New Roman"/>
          <w:lang w:val="en-US"/>
        </w:rPr>
        <w:t>. Their level of interest and influence over the project's outcomes is relatively minimal, given that the stakeholders in the issue are unlikely to face immediate consequences as a result of the project's outcomes. Nonetheless, it is critical to maintain a careful check on their engagement in order to detect any potential alterations in their interests or influence that</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have an impact on the project.</w:t>
      </w:r>
    </w:p>
    <w:p w14:paraId="2F950AC9" w14:textId="77777777" w:rsidR="004936C4" w:rsidRPr="003A1AA8" w:rsidRDefault="004936C4" w:rsidP="00D536A2">
      <w:pPr>
        <w:rPr>
          <w:rFonts w:ascii="Times New Roman" w:hAnsi="Times New Roman" w:cs="Times New Roman"/>
          <w:lang w:val="en-US"/>
        </w:rPr>
      </w:pPr>
      <w:r w:rsidRPr="003A1AA8">
        <w:rPr>
          <w:rFonts w:ascii="Times New Roman" w:hAnsi="Times New Roman" w:cs="Times New Roman"/>
          <w:lang w:val="en-US"/>
        </w:rPr>
        <w:t xml:space="preserve">Risk Matrix </w:t>
      </w:r>
    </w:p>
    <w:tbl>
      <w:tblPr>
        <w:tblStyle w:val="TableGridLight"/>
        <w:tblW w:w="9067" w:type="dxa"/>
        <w:tblLook w:val="04A0" w:firstRow="1" w:lastRow="0" w:firstColumn="1" w:lastColumn="0" w:noHBand="0" w:noVBand="1"/>
      </w:tblPr>
      <w:tblGrid>
        <w:gridCol w:w="1916"/>
        <w:gridCol w:w="1324"/>
        <w:gridCol w:w="1030"/>
        <w:gridCol w:w="1050"/>
        <w:gridCol w:w="3747"/>
      </w:tblGrid>
      <w:tr w:rsidR="004936C4" w:rsidRPr="004936C4" w14:paraId="2484EB75" w14:textId="77777777" w:rsidTr="004936C4">
        <w:tc>
          <w:tcPr>
            <w:tcW w:w="0" w:type="auto"/>
            <w:hideMark/>
          </w:tcPr>
          <w:p w14:paraId="03CB9970"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Risk</w:t>
            </w:r>
          </w:p>
        </w:tc>
        <w:tc>
          <w:tcPr>
            <w:tcW w:w="0" w:type="auto"/>
            <w:hideMark/>
          </w:tcPr>
          <w:p w14:paraId="34CA1E0D"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Likelihood</w:t>
            </w:r>
          </w:p>
        </w:tc>
        <w:tc>
          <w:tcPr>
            <w:tcW w:w="0" w:type="auto"/>
            <w:hideMark/>
          </w:tcPr>
          <w:p w14:paraId="48EFB3AF"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Impact</w:t>
            </w:r>
          </w:p>
        </w:tc>
        <w:tc>
          <w:tcPr>
            <w:tcW w:w="0" w:type="auto"/>
            <w:hideMark/>
          </w:tcPr>
          <w:p w14:paraId="2ECD2E0C"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Risk Level</w:t>
            </w:r>
          </w:p>
        </w:tc>
        <w:tc>
          <w:tcPr>
            <w:tcW w:w="3747" w:type="dxa"/>
            <w:hideMark/>
          </w:tcPr>
          <w:p w14:paraId="106C444D"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Mitigation Strategy</w:t>
            </w:r>
          </w:p>
        </w:tc>
      </w:tr>
      <w:tr w:rsidR="004936C4" w:rsidRPr="004936C4" w14:paraId="5F3F001E" w14:textId="77777777" w:rsidTr="004936C4">
        <w:tc>
          <w:tcPr>
            <w:tcW w:w="0" w:type="auto"/>
            <w:hideMark/>
          </w:tcPr>
          <w:p w14:paraId="1A49A4C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Technical difficulties in construction</w:t>
            </w:r>
          </w:p>
        </w:tc>
        <w:tc>
          <w:tcPr>
            <w:tcW w:w="0" w:type="auto"/>
            <w:hideMark/>
          </w:tcPr>
          <w:p w14:paraId="1643EFE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4757BAA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0B9F651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7CF507F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Detailed planning, hiring experienced personnel, maintaining a flexible approach to adapt to unexpected issues</w:t>
            </w:r>
          </w:p>
        </w:tc>
      </w:tr>
      <w:tr w:rsidR="004936C4" w:rsidRPr="004936C4" w14:paraId="3B3CCA19" w14:textId="77777777" w:rsidTr="004936C4">
        <w:tc>
          <w:tcPr>
            <w:tcW w:w="0" w:type="auto"/>
            <w:hideMark/>
          </w:tcPr>
          <w:p w14:paraId="0EF46F1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Regulatory challenges</w:t>
            </w:r>
          </w:p>
        </w:tc>
        <w:tc>
          <w:tcPr>
            <w:tcW w:w="0" w:type="auto"/>
            <w:hideMark/>
          </w:tcPr>
          <w:p w14:paraId="5255B5C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3D2C05B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5CE2FBB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0ADF7FF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Regular consultation with regulatory bodies, ensuring compliance with all relevant laws and regulations</w:t>
            </w:r>
          </w:p>
        </w:tc>
      </w:tr>
      <w:tr w:rsidR="004936C4" w:rsidRPr="004936C4" w14:paraId="0F71701B" w14:textId="77777777" w:rsidTr="004936C4">
        <w:tc>
          <w:tcPr>
            <w:tcW w:w="0" w:type="auto"/>
            <w:hideMark/>
          </w:tcPr>
          <w:p w14:paraId="2621F0B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Environmental concerns</w:t>
            </w:r>
          </w:p>
        </w:tc>
        <w:tc>
          <w:tcPr>
            <w:tcW w:w="0" w:type="auto"/>
            <w:hideMark/>
          </w:tcPr>
          <w:p w14:paraId="7F1D12FE"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196E8B0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40D8E6B5"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5C17930E"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 xml:space="preserve">Thorough environmental impact assessment, implementation of robust environmental management </w:t>
            </w:r>
            <w:r w:rsidRPr="004936C4">
              <w:rPr>
                <w:rFonts w:ascii="Times New Roman" w:hAnsi="Times New Roman" w:cs="Times New Roman"/>
              </w:rPr>
              <w:lastRenderedPageBreak/>
              <w:t>plans, engagement with environmental groups</w:t>
            </w:r>
          </w:p>
        </w:tc>
      </w:tr>
      <w:tr w:rsidR="004936C4" w:rsidRPr="004936C4" w14:paraId="2B148E1C" w14:textId="77777777" w:rsidTr="004936C4">
        <w:tc>
          <w:tcPr>
            <w:tcW w:w="0" w:type="auto"/>
            <w:hideMark/>
          </w:tcPr>
          <w:p w14:paraId="0DE6847E"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lastRenderedPageBreak/>
              <w:t>Budget overruns</w:t>
            </w:r>
          </w:p>
        </w:tc>
        <w:tc>
          <w:tcPr>
            <w:tcW w:w="0" w:type="auto"/>
            <w:hideMark/>
          </w:tcPr>
          <w:p w14:paraId="5F75909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3C38E14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6D261968"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69A99DB8" w14:textId="77777777" w:rsidR="004936C4" w:rsidRPr="004936C4" w:rsidRDefault="004936C4" w:rsidP="004936C4">
            <w:pPr>
              <w:rPr>
                <w:rFonts w:ascii="Times New Roman" w:hAnsi="Times New Roman" w:cs="Times New Roman"/>
                <w:lang w:val="en-US"/>
              </w:rPr>
            </w:pPr>
            <w:r w:rsidRPr="004936C4">
              <w:rPr>
                <w:rFonts w:ascii="Times New Roman" w:hAnsi="Times New Roman" w:cs="Times New Roman"/>
              </w:rPr>
              <w:t>Strict budget management, regular financial audits, contingency planning</w:t>
            </w:r>
            <w:r w:rsidR="003A1AA8" w:rsidRPr="003A1AA8">
              <w:rPr>
                <w:rFonts w:ascii="Times New Roman" w:hAnsi="Times New Roman" w:cs="Times New Roman"/>
                <w:lang w:val="en-US"/>
              </w:rPr>
              <w:t xml:space="preserve"> (Pollack, 2007).</w:t>
            </w:r>
          </w:p>
        </w:tc>
      </w:tr>
      <w:tr w:rsidR="004936C4" w:rsidRPr="004936C4" w14:paraId="54C868B0" w14:textId="77777777" w:rsidTr="004936C4">
        <w:tc>
          <w:tcPr>
            <w:tcW w:w="0" w:type="auto"/>
            <w:hideMark/>
          </w:tcPr>
          <w:p w14:paraId="4E9CA21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Delays in schedule</w:t>
            </w:r>
          </w:p>
        </w:tc>
        <w:tc>
          <w:tcPr>
            <w:tcW w:w="0" w:type="auto"/>
            <w:hideMark/>
          </w:tcPr>
          <w:p w14:paraId="6A02FEA1"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0FEF622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6D940DD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63E49F8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Efficient project management, setting realistic timelines, contingency planning</w:t>
            </w:r>
          </w:p>
        </w:tc>
      </w:tr>
      <w:tr w:rsidR="004936C4" w:rsidRPr="004936C4" w14:paraId="66F7D819" w14:textId="77777777" w:rsidTr="004936C4">
        <w:tc>
          <w:tcPr>
            <w:tcW w:w="0" w:type="auto"/>
            <w:hideMark/>
          </w:tcPr>
          <w:p w14:paraId="27650AB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Workforce availability and skill gaps</w:t>
            </w:r>
          </w:p>
        </w:tc>
        <w:tc>
          <w:tcPr>
            <w:tcW w:w="0" w:type="auto"/>
            <w:hideMark/>
          </w:tcPr>
          <w:p w14:paraId="6A58119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4FA7161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5808049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3747" w:type="dxa"/>
            <w:hideMark/>
          </w:tcPr>
          <w:p w14:paraId="46A5F01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Recruitment planning, providing training and apprenticeships, collaboration with local educational institutions</w:t>
            </w:r>
          </w:p>
        </w:tc>
      </w:tr>
      <w:tr w:rsidR="004936C4" w:rsidRPr="004936C4" w14:paraId="1178D6BE" w14:textId="77777777" w:rsidTr="004936C4">
        <w:tc>
          <w:tcPr>
            <w:tcW w:w="0" w:type="auto"/>
            <w:hideMark/>
          </w:tcPr>
          <w:p w14:paraId="4D2A370F"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Market demand fluctuation for low-carbon electricity</w:t>
            </w:r>
          </w:p>
        </w:tc>
        <w:tc>
          <w:tcPr>
            <w:tcW w:w="0" w:type="auto"/>
            <w:hideMark/>
          </w:tcPr>
          <w:p w14:paraId="678F1D9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Low</w:t>
            </w:r>
          </w:p>
        </w:tc>
        <w:tc>
          <w:tcPr>
            <w:tcW w:w="0" w:type="auto"/>
            <w:hideMark/>
          </w:tcPr>
          <w:p w14:paraId="786E9C8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4677676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3747" w:type="dxa"/>
            <w:hideMark/>
          </w:tcPr>
          <w:p w14:paraId="6DC74A4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Regular market research, diversifying energy production methods</w:t>
            </w:r>
          </w:p>
        </w:tc>
      </w:tr>
      <w:tr w:rsidR="004936C4" w:rsidRPr="004936C4" w14:paraId="6073A4DF" w14:textId="77777777" w:rsidTr="004936C4">
        <w:tc>
          <w:tcPr>
            <w:tcW w:w="0" w:type="auto"/>
            <w:hideMark/>
          </w:tcPr>
          <w:p w14:paraId="63D2E7C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Public opposition or negative public perception</w:t>
            </w:r>
          </w:p>
        </w:tc>
        <w:tc>
          <w:tcPr>
            <w:tcW w:w="0" w:type="auto"/>
            <w:hideMark/>
          </w:tcPr>
          <w:p w14:paraId="2D1386D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6128474F"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614488C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3747" w:type="dxa"/>
            <w:hideMark/>
          </w:tcPr>
          <w:p w14:paraId="1D40F7E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Transparent communication with the public, engaging with local communities, managing public relations effectively</w:t>
            </w:r>
          </w:p>
        </w:tc>
      </w:tr>
    </w:tbl>
    <w:p w14:paraId="4F88E92F"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Complex projects like nuclear power plants typically have technical issues. Problems with building materials, design, ground conditions, or specialised equipment installation</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occur. Technical challenges in such a project are likely to cause delays and cost overruns. Planning, recruiting competent staff, and adapting to unanticipated challenges are mitigation techniques.</w:t>
      </w:r>
    </w:p>
    <w:p w14:paraId="526698AC"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Changes in the regulatory environment or project failures cause regulatory issues. Regulating the nuclear energy business is hard and risky. Consultation with regulatory agencies and compliance with all rules and regulations helps reduce such risks. Nuclear power plants</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harm the environment. Given public resistance and regulatory fines, environmental issues during the project are likely and impactful. A rigorous environmental impact assessment, strong environmental management strategies, and frequent environmental group interaction</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lastRenderedPageBreak/>
        <w:t>reduce this risk. Large, sophisticated projects often go over budget. Technical issues, delays, pricing inflation, and project scope modifications might cause unexpected expenditures. Overruns</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cause financial strain and project failure. Budgeting, financial audits, and contingency planning</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reduce this risk</w:t>
      </w:r>
      <w:r w:rsidR="003A1AA8" w:rsidRPr="003A1AA8">
        <w:rPr>
          <w:rFonts w:ascii="Times New Roman" w:hAnsi="Times New Roman" w:cs="Times New Roman"/>
          <w:lang w:val="en-US"/>
        </w:rPr>
        <w:t xml:space="preserve"> (Watt, 2017).</w:t>
      </w:r>
    </w:p>
    <w:p w14:paraId="44FBEE34"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Technical, regulatory, or personnel constraints might cause delays. Delays, like budget overruns, raise expenses and lose opportunities. Effective project management, realistic timeframes, and contingency planning reduce this risk. If there aren't enough skilled people or if the present labour lacks skills, the project</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 xml:space="preserve">struggle. Recruitment planning, apprenticeships, and collaboration with local educational institutions help decrease this </w:t>
      </w:r>
      <w:r w:rsidR="003A1AA8">
        <w:rPr>
          <w:rFonts w:ascii="Times New Roman" w:hAnsi="Times New Roman" w:cs="Times New Roman"/>
          <w:lang w:val="en-US"/>
        </w:rPr>
        <w:t>medium risk</w:t>
      </w:r>
      <w:r w:rsidRPr="003A1AA8">
        <w:rPr>
          <w:rFonts w:ascii="Times New Roman" w:hAnsi="Times New Roman" w:cs="Times New Roman"/>
          <w:lang w:val="en-US"/>
        </w:rPr>
        <w:t>.</w:t>
      </w:r>
    </w:p>
    <w:p w14:paraId="0FEE1410"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 xml:space="preserve">Market demand for low-carbon power fluctuates owing to energy policy, economic situations, and technical improvements. Although unlikely, such variations might have a big effect. Market analysis and energy production diversification reduce this risk. Environmental, safety and financial considerations might lead to public resistance or poor opinion. This danger has </w:t>
      </w:r>
      <w:r w:rsidR="003A1AA8">
        <w:rPr>
          <w:rFonts w:ascii="Times New Roman" w:hAnsi="Times New Roman" w:cs="Times New Roman"/>
          <w:lang w:val="en-US"/>
        </w:rPr>
        <w:t xml:space="preserve">a </w:t>
      </w:r>
      <w:r w:rsidRPr="003A1AA8">
        <w:rPr>
          <w:rFonts w:ascii="Times New Roman" w:hAnsi="Times New Roman" w:cs="Times New Roman"/>
          <w:lang w:val="en-US"/>
        </w:rPr>
        <w:t xml:space="preserve">medium-likelihood and </w:t>
      </w:r>
      <w:r w:rsidR="003A1AA8">
        <w:rPr>
          <w:rFonts w:ascii="Times New Roman" w:hAnsi="Times New Roman" w:cs="Times New Roman"/>
          <w:lang w:val="en-US"/>
        </w:rPr>
        <w:t>medium impact</w:t>
      </w:r>
      <w:r w:rsidRPr="003A1AA8">
        <w:rPr>
          <w:rFonts w:ascii="Times New Roman" w:hAnsi="Times New Roman" w:cs="Times New Roman"/>
          <w:lang w:val="en-US"/>
        </w:rPr>
        <w:t>. Transparent communication, community engagement, and good public relations</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mitigate this risk.</w:t>
      </w:r>
    </w:p>
    <w:p w14:paraId="3B84751E" w14:textId="77777777" w:rsidR="004936C4" w:rsidRPr="003A1AA8" w:rsidRDefault="004936C4" w:rsidP="00D536A2">
      <w:pPr>
        <w:rPr>
          <w:rFonts w:ascii="Times New Roman" w:hAnsi="Times New Roman" w:cs="Times New Roman"/>
          <w:lang w:val="en-US"/>
        </w:rPr>
      </w:pPr>
      <w:r w:rsidRPr="003A1AA8">
        <w:rPr>
          <w:rFonts w:ascii="Times New Roman" w:hAnsi="Times New Roman" w:cs="Times New Roman"/>
          <w:lang w:val="en-US"/>
        </w:rPr>
        <w:t xml:space="preserve">Communications Strategy </w:t>
      </w:r>
    </w:p>
    <w:tbl>
      <w:tblPr>
        <w:tblStyle w:val="TableGridLight"/>
        <w:tblW w:w="9648" w:type="dxa"/>
        <w:tblLook w:val="04A0" w:firstRow="1" w:lastRow="0" w:firstColumn="1" w:lastColumn="0" w:noHBand="0" w:noVBand="1"/>
      </w:tblPr>
      <w:tblGrid>
        <w:gridCol w:w="1727"/>
        <w:gridCol w:w="1979"/>
        <w:gridCol w:w="1826"/>
        <w:gridCol w:w="1938"/>
        <w:gridCol w:w="2178"/>
      </w:tblGrid>
      <w:tr w:rsidR="004936C4" w:rsidRPr="004936C4" w14:paraId="5AC4F597" w14:textId="77777777" w:rsidTr="004936C4">
        <w:tc>
          <w:tcPr>
            <w:tcW w:w="0" w:type="auto"/>
            <w:hideMark/>
          </w:tcPr>
          <w:p w14:paraId="638DC86D"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Stakeholder</w:t>
            </w:r>
          </w:p>
        </w:tc>
        <w:tc>
          <w:tcPr>
            <w:tcW w:w="0" w:type="auto"/>
            <w:hideMark/>
          </w:tcPr>
          <w:p w14:paraId="514EF735"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Communication Objective</w:t>
            </w:r>
          </w:p>
        </w:tc>
        <w:tc>
          <w:tcPr>
            <w:tcW w:w="0" w:type="auto"/>
            <w:hideMark/>
          </w:tcPr>
          <w:p w14:paraId="5D6E7E86"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Message</w:t>
            </w:r>
          </w:p>
        </w:tc>
        <w:tc>
          <w:tcPr>
            <w:tcW w:w="1938" w:type="dxa"/>
            <w:hideMark/>
          </w:tcPr>
          <w:p w14:paraId="72F8C573"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Method</w:t>
            </w:r>
          </w:p>
        </w:tc>
        <w:tc>
          <w:tcPr>
            <w:tcW w:w="2178" w:type="dxa"/>
            <w:hideMark/>
          </w:tcPr>
          <w:p w14:paraId="4CBBC6C3"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Frequency</w:t>
            </w:r>
          </w:p>
        </w:tc>
      </w:tr>
      <w:tr w:rsidR="004936C4" w:rsidRPr="004936C4" w14:paraId="74046260" w14:textId="77777777" w:rsidTr="004936C4">
        <w:tc>
          <w:tcPr>
            <w:tcW w:w="0" w:type="auto"/>
            <w:hideMark/>
          </w:tcPr>
          <w:p w14:paraId="510E780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EDF Energy, CGN</w:t>
            </w:r>
          </w:p>
        </w:tc>
        <w:tc>
          <w:tcPr>
            <w:tcW w:w="0" w:type="auto"/>
            <w:hideMark/>
          </w:tcPr>
          <w:p w14:paraId="331F53A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Inform about project progress and risks</w:t>
            </w:r>
          </w:p>
        </w:tc>
        <w:tc>
          <w:tcPr>
            <w:tcW w:w="0" w:type="auto"/>
            <w:hideMark/>
          </w:tcPr>
          <w:p w14:paraId="53D9D0F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Project updates, Risk Mitigation plans</w:t>
            </w:r>
          </w:p>
        </w:tc>
        <w:tc>
          <w:tcPr>
            <w:tcW w:w="1938" w:type="dxa"/>
            <w:hideMark/>
          </w:tcPr>
          <w:p w14:paraId="66335C2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Email updates, Progress reports, Meetings</w:t>
            </w:r>
          </w:p>
        </w:tc>
        <w:tc>
          <w:tcPr>
            <w:tcW w:w="2178" w:type="dxa"/>
            <w:hideMark/>
          </w:tcPr>
          <w:p w14:paraId="5B62AFF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Weekly/Bi-weekly</w:t>
            </w:r>
          </w:p>
        </w:tc>
      </w:tr>
      <w:tr w:rsidR="004936C4" w:rsidRPr="004936C4" w14:paraId="0960F989" w14:textId="77777777" w:rsidTr="004936C4">
        <w:tc>
          <w:tcPr>
            <w:tcW w:w="0" w:type="auto"/>
            <w:hideMark/>
          </w:tcPr>
          <w:p w14:paraId="673EF50F"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UK Government</w:t>
            </w:r>
          </w:p>
        </w:tc>
        <w:tc>
          <w:tcPr>
            <w:tcW w:w="0" w:type="auto"/>
            <w:hideMark/>
          </w:tcPr>
          <w:p w14:paraId="754C27C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Ensure alignment with policy goals and regulations</w:t>
            </w:r>
          </w:p>
        </w:tc>
        <w:tc>
          <w:tcPr>
            <w:tcW w:w="0" w:type="auto"/>
            <w:hideMark/>
          </w:tcPr>
          <w:p w14:paraId="059EC348"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Regulatory compliance updates, Environmental impact updates</w:t>
            </w:r>
          </w:p>
        </w:tc>
        <w:tc>
          <w:tcPr>
            <w:tcW w:w="1938" w:type="dxa"/>
            <w:hideMark/>
          </w:tcPr>
          <w:p w14:paraId="36B6474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Formal reports, Meetings</w:t>
            </w:r>
          </w:p>
        </w:tc>
        <w:tc>
          <w:tcPr>
            <w:tcW w:w="2178" w:type="dxa"/>
            <w:hideMark/>
          </w:tcPr>
          <w:p w14:paraId="09D9F38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Monthly/Quarterly</w:t>
            </w:r>
          </w:p>
        </w:tc>
      </w:tr>
      <w:tr w:rsidR="004936C4" w:rsidRPr="004936C4" w14:paraId="47D8E64B" w14:textId="77777777" w:rsidTr="004936C4">
        <w:tc>
          <w:tcPr>
            <w:tcW w:w="0" w:type="auto"/>
            <w:hideMark/>
          </w:tcPr>
          <w:p w14:paraId="6851AEA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 xml:space="preserve">Regulators (ONR, </w:t>
            </w:r>
            <w:r w:rsidRPr="004936C4">
              <w:rPr>
                <w:rFonts w:ascii="Times New Roman" w:hAnsi="Times New Roman" w:cs="Times New Roman"/>
              </w:rPr>
              <w:lastRenderedPageBreak/>
              <w:t>Environment Agency)</w:t>
            </w:r>
          </w:p>
        </w:tc>
        <w:tc>
          <w:tcPr>
            <w:tcW w:w="0" w:type="auto"/>
            <w:hideMark/>
          </w:tcPr>
          <w:p w14:paraId="20A6D54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lastRenderedPageBreak/>
              <w:t>Compliance with rules and regulations</w:t>
            </w:r>
          </w:p>
        </w:tc>
        <w:tc>
          <w:tcPr>
            <w:tcW w:w="0" w:type="auto"/>
            <w:hideMark/>
          </w:tcPr>
          <w:p w14:paraId="3B50C1A3" w14:textId="77777777" w:rsidR="004936C4" w:rsidRPr="004936C4" w:rsidRDefault="004936C4" w:rsidP="004936C4">
            <w:pPr>
              <w:rPr>
                <w:rFonts w:ascii="Times New Roman" w:hAnsi="Times New Roman" w:cs="Times New Roman"/>
                <w:lang w:val="en-US"/>
              </w:rPr>
            </w:pPr>
            <w:r w:rsidRPr="004936C4">
              <w:rPr>
                <w:rFonts w:ascii="Times New Roman" w:hAnsi="Times New Roman" w:cs="Times New Roman"/>
              </w:rPr>
              <w:t xml:space="preserve">Safety measures, Environmental </w:t>
            </w:r>
            <w:r w:rsidRPr="004936C4">
              <w:rPr>
                <w:rFonts w:ascii="Times New Roman" w:hAnsi="Times New Roman" w:cs="Times New Roman"/>
              </w:rPr>
              <w:lastRenderedPageBreak/>
              <w:t>protection plans</w:t>
            </w:r>
            <w:r w:rsidR="003A1AA8" w:rsidRPr="003A1AA8">
              <w:rPr>
                <w:rFonts w:ascii="Times New Roman" w:hAnsi="Times New Roman" w:cs="Times New Roman"/>
                <w:lang w:val="en-US"/>
              </w:rPr>
              <w:t xml:space="preserve"> (Lenfle, 2008)</w:t>
            </w:r>
          </w:p>
        </w:tc>
        <w:tc>
          <w:tcPr>
            <w:tcW w:w="1938" w:type="dxa"/>
            <w:hideMark/>
          </w:tcPr>
          <w:p w14:paraId="2421509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lastRenderedPageBreak/>
              <w:t>Regulatory filings, Formal correspondence</w:t>
            </w:r>
          </w:p>
        </w:tc>
        <w:tc>
          <w:tcPr>
            <w:tcW w:w="2178" w:type="dxa"/>
            <w:hideMark/>
          </w:tcPr>
          <w:p w14:paraId="2D1CE06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required/Regularly</w:t>
            </w:r>
          </w:p>
        </w:tc>
      </w:tr>
      <w:tr w:rsidR="004936C4" w:rsidRPr="004936C4" w14:paraId="0FFB1DCC" w14:textId="77777777" w:rsidTr="004936C4">
        <w:tc>
          <w:tcPr>
            <w:tcW w:w="0" w:type="auto"/>
            <w:hideMark/>
          </w:tcPr>
          <w:p w14:paraId="6707AB2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Local communities</w:t>
            </w:r>
          </w:p>
        </w:tc>
        <w:tc>
          <w:tcPr>
            <w:tcW w:w="0" w:type="auto"/>
            <w:hideMark/>
          </w:tcPr>
          <w:p w14:paraId="2C3DE431"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Increase public support, address concerns</w:t>
            </w:r>
          </w:p>
        </w:tc>
        <w:tc>
          <w:tcPr>
            <w:tcW w:w="0" w:type="auto"/>
            <w:hideMark/>
          </w:tcPr>
          <w:p w14:paraId="5D67EA4A"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Job opportunities, Environmental protection measures, Progress updates</w:t>
            </w:r>
          </w:p>
        </w:tc>
        <w:tc>
          <w:tcPr>
            <w:tcW w:w="1938" w:type="dxa"/>
            <w:hideMark/>
          </w:tcPr>
          <w:p w14:paraId="7694057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Community meetings, Public newsletters, Website updates</w:t>
            </w:r>
          </w:p>
        </w:tc>
        <w:tc>
          <w:tcPr>
            <w:tcW w:w="2178" w:type="dxa"/>
            <w:hideMark/>
          </w:tcPr>
          <w:p w14:paraId="27A2148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Monthly</w:t>
            </w:r>
          </w:p>
        </w:tc>
      </w:tr>
      <w:tr w:rsidR="004936C4" w:rsidRPr="004936C4" w14:paraId="69EECC19" w14:textId="77777777" w:rsidTr="004936C4">
        <w:tc>
          <w:tcPr>
            <w:tcW w:w="0" w:type="auto"/>
            <w:hideMark/>
          </w:tcPr>
          <w:p w14:paraId="2FB2D3E8"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Future employees</w:t>
            </w:r>
          </w:p>
        </w:tc>
        <w:tc>
          <w:tcPr>
            <w:tcW w:w="0" w:type="auto"/>
            <w:hideMark/>
          </w:tcPr>
          <w:p w14:paraId="7A7838F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Attract talent, inform about opportunities</w:t>
            </w:r>
          </w:p>
        </w:tc>
        <w:tc>
          <w:tcPr>
            <w:tcW w:w="0" w:type="auto"/>
            <w:hideMark/>
          </w:tcPr>
          <w:p w14:paraId="712EDCE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Job openings, Company culture, Benefits</w:t>
            </w:r>
          </w:p>
        </w:tc>
        <w:tc>
          <w:tcPr>
            <w:tcW w:w="1938" w:type="dxa"/>
            <w:hideMark/>
          </w:tcPr>
          <w:p w14:paraId="2DDCB2E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Job postings, Career fairs, Social media</w:t>
            </w:r>
          </w:p>
        </w:tc>
        <w:tc>
          <w:tcPr>
            <w:tcW w:w="2178" w:type="dxa"/>
            <w:hideMark/>
          </w:tcPr>
          <w:p w14:paraId="06C90C7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w:t>
            </w:r>
          </w:p>
        </w:tc>
      </w:tr>
      <w:tr w:rsidR="004936C4" w:rsidRPr="004936C4" w14:paraId="718D6B7A" w14:textId="77777777" w:rsidTr="004936C4">
        <w:tc>
          <w:tcPr>
            <w:tcW w:w="0" w:type="auto"/>
            <w:hideMark/>
          </w:tcPr>
          <w:p w14:paraId="0918C9C1"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Environmental groups</w:t>
            </w:r>
          </w:p>
        </w:tc>
        <w:tc>
          <w:tcPr>
            <w:tcW w:w="0" w:type="auto"/>
            <w:hideMark/>
          </w:tcPr>
          <w:p w14:paraId="1700AF75"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Address environmental concerns, gain support</w:t>
            </w:r>
          </w:p>
        </w:tc>
        <w:tc>
          <w:tcPr>
            <w:tcW w:w="0" w:type="auto"/>
            <w:hideMark/>
          </w:tcPr>
          <w:p w14:paraId="1057D3C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Environmental protection measures, Carbon emission reduction plans</w:t>
            </w:r>
          </w:p>
        </w:tc>
        <w:tc>
          <w:tcPr>
            <w:tcW w:w="1938" w:type="dxa"/>
            <w:hideMark/>
          </w:tcPr>
          <w:p w14:paraId="14643C95"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Press releases, Meetings, Public consultations</w:t>
            </w:r>
          </w:p>
        </w:tc>
        <w:tc>
          <w:tcPr>
            <w:tcW w:w="2178" w:type="dxa"/>
            <w:hideMark/>
          </w:tcPr>
          <w:p w14:paraId="6474D7F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required/Quarterly</w:t>
            </w:r>
          </w:p>
        </w:tc>
      </w:tr>
      <w:tr w:rsidR="004936C4" w:rsidRPr="004936C4" w14:paraId="4D8342E6" w14:textId="77777777" w:rsidTr="004936C4">
        <w:tc>
          <w:tcPr>
            <w:tcW w:w="0" w:type="auto"/>
            <w:hideMark/>
          </w:tcPr>
          <w:p w14:paraId="59611E3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Suppliers</w:t>
            </w:r>
          </w:p>
        </w:tc>
        <w:tc>
          <w:tcPr>
            <w:tcW w:w="0" w:type="auto"/>
            <w:hideMark/>
          </w:tcPr>
          <w:p w14:paraId="7DD1A17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Maintain good relationships, ensure timely supply</w:t>
            </w:r>
          </w:p>
        </w:tc>
        <w:tc>
          <w:tcPr>
            <w:tcW w:w="0" w:type="auto"/>
            <w:hideMark/>
          </w:tcPr>
          <w:p w14:paraId="6E2C188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Contract terms, Payment schedules</w:t>
            </w:r>
          </w:p>
        </w:tc>
        <w:tc>
          <w:tcPr>
            <w:tcW w:w="1938" w:type="dxa"/>
            <w:hideMark/>
          </w:tcPr>
          <w:p w14:paraId="2CB541F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Contract negotiations, Email correspondence</w:t>
            </w:r>
          </w:p>
        </w:tc>
        <w:tc>
          <w:tcPr>
            <w:tcW w:w="2178" w:type="dxa"/>
            <w:hideMark/>
          </w:tcPr>
          <w:p w14:paraId="40B07B9E"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w:t>
            </w:r>
          </w:p>
        </w:tc>
      </w:tr>
      <w:tr w:rsidR="004936C4" w:rsidRPr="004936C4" w14:paraId="6418BE4E" w14:textId="77777777" w:rsidTr="004936C4">
        <w:tc>
          <w:tcPr>
            <w:tcW w:w="0" w:type="auto"/>
            <w:hideMark/>
          </w:tcPr>
          <w:p w14:paraId="3FAA5DFA"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Competitors</w:t>
            </w:r>
          </w:p>
        </w:tc>
        <w:tc>
          <w:tcPr>
            <w:tcW w:w="0" w:type="auto"/>
            <w:hideMark/>
          </w:tcPr>
          <w:p w14:paraId="05E4134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Maintain industry relations</w:t>
            </w:r>
          </w:p>
        </w:tc>
        <w:tc>
          <w:tcPr>
            <w:tcW w:w="0" w:type="auto"/>
            <w:hideMark/>
          </w:tcPr>
          <w:p w14:paraId="19C4E51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General project updates</w:t>
            </w:r>
          </w:p>
        </w:tc>
        <w:tc>
          <w:tcPr>
            <w:tcW w:w="1938" w:type="dxa"/>
            <w:hideMark/>
          </w:tcPr>
          <w:p w14:paraId="31944ED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Industry conferences, Public disclosures</w:t>
            </w:r>
          </w:p>
        </w:tc>
        <w:tc>
          <w:tcPr>
            <w:tcW w:w="2178" w:type="dxa"/>
            <w:hideMark/>
          </w:tcPr>
          <w:p w14:paraId="21A222A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w:t>
            </w:r>
          </w:p>
        </w:tc>
      </w:tr>
    </w:tbl>
    <w:p w14:paraId="545E1FE7" w14:textId="77777777" w:rsidR="00822AEF" w:rsidRDefault="00822AEF" w:rsidP="00D536A2">
      <w:pPr>
        <w:rPr>
          <w:rFonts w:ascii="Times New Roman" w:hAnsi="Times New Roman" w:cs="Times New Roman"/>
          <w:lang w:val="en-US"/>
        </w:rPr>
      </w:pPr>
    </w:p>
    <w:p w14:paraId="616B86B3" w14:textId="77777777" w:rsidR="00822AEF" w:rsidRDefault="00822AEF" w:rsidP="00D536A2">
      <w:pPr>
        <w:rPr>
          <w:rFonts w:ascii="Times New Roman" w:hAnsi="Times New Roman" w:cs="Times New Roman"/>
          <w:lang w:val="en-US"/>
        </w:rPr>
      </w:pPr>
    </w:p>
    <w:p w14:paraId="39B85770" w14:textId="77777777" w:rsidR="00822AEF" w:rsidRDefault="00822AEF" w:rsidP="00D536A2">
      <w:pPr>
        <w:rPr>
          <w:rFonts w:ascii="Times New Roman" w:hAnsi="Times New Roman" w:cs="Times New Roman"/>
          <w:lang w:val="en-US"/>
        </w:rPr>
      </w:pPr>
    </w:p>
    <w:p w14:paraId="2A5BDE95" w14:textId="77777777" w:rsidR="00822AEF" w:rsidRDefault="00822AEF" w:rsidP="00D536A2">
      <w:pPr>
        <w:rPr>
          <w:rFonts w:ascii="Times New Roman" w:hAnsi="Times New Roman" w:cs="Times New Roman"/>
          <w:lang w:val="en-US"/>
        </w:rPr>
      </w:pPr>
    </w:p>
    <w:p w14:paraId="6652A6E7" w14:textId="77777777" w:rsidR="00822AEF" w:rsidRDefault="00822AEF" w:rsidP="00D536A2">
      <w:pPr>
        <w:rPr>
          <w:rFonts w:ascii="Times New Roman" w:hAnsi="Times New Roman" w:cs="Times New Roman"/>
          <w:lang w:val="en-US"/>
        </w:rPr>
      </w:pPr>
    </w:p>
    <w:p w14:paraId="24499B6B" w14:textId="2176D193" w:rsidR="004936C4" w:rsidRPr="003A1AA8" w:rsidRDefault="004936C4" w:rsidP="00D536A2">
      <w:pPr>
        <w:rPr>
          <w:rFonts w:ascii="Times New Roman" w:hAnsi="Times New Roman" w:cs="Times New Roman"/>
          <w:lang w:val="en-US"/>
        </w:rPr>
      </w:pPr>
      <w:r w:rsidRPr="003A1AA8">
        <w:rPr>
          <w:rFonts w:ascii="Times New Roman" w:hAnsi="Times New Roman" w:cs="Times New Roman"/>
          <w:lang w:val="en-US"/>
        </w:rPr>
        <w:lastRenderedPageBreak/>
        <w:t>Project Critique and Conclusion</w:t>
      </w:r>
    </w:p>
    <w:p w14:paraId="36DC0C9F"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Hinkley Point C, the UK's first new nuclear power plant in 20 years, has a novel reactor. This has caused unforeseen issues, such as the site's difficult ground conditions. Regulators, notably the necessity for a new environmental licence, have delayed the Hinkley Point C project. The 2008 global financial crisis slowed the global economy, which affected Hinkley Point C. This delayed material and equipment procurement and made project financing harder.</w:t>
      </w:r>
    </w:p>
    <w:p w14:paraId="32DD04CE" w14:textId="77777777" w:rsidR="003A1AA8" w:rsidRDefault="004936C4" w:rsidP="00D536A2">
      <w:pPr>
        <w:rPr>
          <w:rFonts w:ascii="Times New Roman" w:hAnsi="Times New Roman" w:cs="Times New Roman"/>
          <w:lang w:val="en-US"/>
        </w:rPr>
      </w:pPr>
      <w:r w:rsidRPr="003A1AA8">
        <w:rPr>
          <w:rFonts w:ascii="Times New Roman" w:hAnsi="Times New Roman" w:cs="Times New Roman"/>
          <w:lang w:val="en-US"/>
        </w:rPr>
        <w:t xml:space="preserve">COVID-19 has also delayed Hinkley Point C. Due to social distancing measures on-site and worldwide supply chain interruption, this has happened. Management and procurement concerns also caused delays and cost overruns. </w:t>
      </w:r>
    </w:p>
    <w:p w14:paraId="0F5A0591" w14:textId="77777777" w:rsidR="00822AEF" w:rsidRDefault="00822AEF" w:rsidP="00D536A2">
      <w:pPr>
        <w:rPr>
          <w:rFonts w:ascii="Times New Roman" w:hAnsi="Times New Roman" w:cs="Times New Roman"/>
          <w:lang w:val="en-US"/>
        </w:rPr>
      </w:pPr>
    </w:p>
    <w:p w14:paraId="52E57A37" w14:textId="77777777" w:rsidR="00822AEF" w:rsidRDefault="00822AEF" w:rsidP="00D536A2">
      <w:pPr>
        <w:rPr>
          <w:rFonts w:ascii="Times New Roman" w:hAnsi="Times New Roman" w:cs="Times New Roman"/>
          <w:lang w:val="en-US"/>
        </w:rPr>
      </w:pPr>
    </w:p>
    <w:p w14:paraId="1D7B0C90" w14:textId="77777777" w:rsidR="00822AEF" w:rsidRDefault="00822AEF" w:rsidP="00D536A2">
      <w:pPr>
        <w:rPr>
          <w:rFonts w:ascii="Times New Roman" w:hAnsi="Times New Roman" w:cs="Times New Roman"/>
          <w:lang w:val="en-US"/>
        </w:rPr>
      </w:pPr>
    </w:p>
    <w:p w14:paraId="0102B2A4" w14:textId="77777777" w:rsidR="00822AEF" w:rsidRDefault="00822AEF" w:rsidP="00D536A2">
      <w:pPr>
        <w:rPr>
          <w:rFonts w:ascii="Times New Roman" w:hAnsi="Times New Roman" w:cs="Times New Roman"/>
          <w:lang w:val="en-US"/>
        </w:rPr>
      </w:pPr>
    </w:p>
    <w:p w14:paraId="17E7A989" w14:textId="77777777" w:rsidR="00822AEF" w:rsidRDefault="00822AEF" w:rsidP="00D536A2">
      <w:pPr>
        <w:rPr>
          <w:rFonts w:ascii="Times New Roman" w:hAnsi="Times New Roman" w:cs="Times New Roman"/>
          <w:lang w:val="en-US"/>
        </w:rPr>
      </w:pPr>
    </w:p>
    <w:p w14:paraId="4B482364" w14:textId="77777777" w:rsidR="00822AEF" w:rsidRDefault="00822AEF" w:rsidP="00D536A2">
      <w:pPr>
        <w:rPr>
          <w:rFonts w:ascii="Times New Roman" w:hAnsi="Times New Roman" w:cs="Times New Roman"/>
          <w:lang w:val="en-US"/>
        </w:rPr>
      </w:pPr>
    </w:p>
    <w:p w14:paraId="110115B3" w14:textId="77777777" w:rsidR="00822AEF" w:rsidRDefault="00822AEF" w:rsidP="00D536A2">
      <w:pPr>
        <w:rPr>
          <w:rFonts w:ascii="Times New Roman" w:hAnsi="Times New Roman" w:cs="Times New Roman"/>
          <w:lang w:val="en-US"/>
        </w:rPr>
      </w:pPr>
    </w:p>
    <w:p w14:paraId="2AA88FC8" w14:textId="77777777" w:rsidR="00822AEF" w:rsidRDefault="00822AEF" w:rsidP="00D536A2">
      <w:pPr>
        <w:rPr>
          <w:rFonts w:ascii="Times New Roman" w:hAnsi="Times New Roman" w:cs="Times New Roman"/>
          <w:lang w:val="en-US"/>
        </w:rPr>
      </w:pPr>
    </w:p>
    <w:p w14:paraId="75806DE9" w14:textId="77777777" w:rsidR="00822AEF" w:rsidRDefault="00822AEF" w:rsidP="00D536A2">
      <w:pPr>
        <w:rPr>
          <w:rFonts w:ascii="Times New Roman" w:hAnsi="Times New Roman" w:cs="Times New Roman"/>
          <w:lang w:val="en-US"/>
        </w:rPr>
      </w:pPr>
    </w:p>
    <w:p w14:paraId="7B21CA49" w14:textId="77777777" w:rsidR="00822AEF" w:rsidRDefault="00822AEF" w:rsidP="00D536A2">
      <w:pPr>
        <w:rPr>
          <w:rFonts w:ascii="Times New Roman" w:hAnsi="Times New Roman" w:cs="Times New Roman"/>
          <w:lang w:val="en-US"/>
        </w:rPr>
      </w:pPr>
    </w:p>
    <w:p w14:paraId="563E33B7" w14:textId="77777777" w:rsidR="00822AEF" w:rsidRDefault="00822AEF" w:rsidP="00D536A2">
      <w:pPr>
        <w:rPr>
          <w:rFonts w:ascii="Times New Roman" w:hAnsi="Times New Roman" w:cs="Times New Roman"/>
          <w:lang w:val="en-US"/>
        </w:rPr>
      </w:pPr>
    </w:p>
    <w:p w14:paraId="22BB330A" w14:textId="77777777" w:rsidR="00822AEF" w:rsidRDefault="00822AEF" w:rsidP="00D536A2">
      <w:pPr>
        <w:rPr>
          <w:rFonts w:ascii="Times New Roman" w:hAnsi="Times New Roman" w:cs="Times New Roman"/>
          <w:lang w:val="en-US"/>
        </w:rPr>
      </w:pPr>
    </w:p>
    <w:p w14:paraId="1610C06F" w14:textId="77777777" w:rsidR="00822AEF" w:rsidRDefault="00822AEF" w:rsidP="00D536A2">
      <w:pPr>
        <w:rPr>
          <w:rFonts w:ascii="Times New Roman" w:hAnsi="Times New Roman" w:cs="Times New Roman"/>
          <w:lang w:val="en-US"/>
        </w:rPr>
      </w:pPr>
    </w:p>
    <w:p w14:paraId="43ED38E5" w14:textId="77777777" w:rsidR="00822AEF" w:rsidRDefault="00822AEF" w:rsidP="00D536A2">
      <w:pPr>
        <w:rPr>
          <w:rFonts w:ascii="Times New Roman" w:hAnsi="Times New Roman" w:cs="Times New Roman"/>
          <w:lang w:val="en-US"/>
        </w:rPr>
      </w:pPr>
    </w:p>
    <w:p w14:paraId="3834BDB9" w14:textId="77777777" w:rsidR="00822AEF" w:rsidRDefault="00822AEF" w:rsidP="00D536A2">
      <w:pPr>
        <w:rPr>
          <w:rFonts w:ascii="Times New Roman" w:hAnsi="Times New Roman" w:cs="Times New Roman"/>
          <w:lang w:val="en-US"/>
        </w:rPr>
      </w:pPr>
    </w:p>
    <w:p w14:paraId="0ED514F9" w14:textId="77777777" w:rsidR="00822AEF" w:rsidRDefault="00822AEF" w:rsidP="00D536A2">
      <w:pPr>
        <w:rPr>
          <w:rFonts w:ascii="Times New Roman" w:hAnsi="Times New Roman" w:cs="Times New Roman"/>
          <w:lang w:val="en-US"/>
        </w:rPr>
      </w:pPr>
    </w:p>
    <w:p w14:paraId="47DEC484" w14:textId="77777777" w:rsidR="00822AEF" w:rsidRDefault="00822AEF" w:rsidP="00D536A2">
      <w:pPr>
        <w:rPr>
          <w:rFonts w:ascii="Times New Roman" w:hAnsi="Times New Roman" w:cs="Times New Roman"/>
          <w:lang w:val="en-US"/>
        </w:rPr>
      </w:pPr>
    </w:p>
    <w:p w14:paraId="4662A064" w14:textId="77777777" w:rsidR="00822AEF" w:rsidRPr="003A1AA8" w:rsidRDefault="00822AEF" w:rsidP="00D536A2">
      <w:pPr>
        <w:rPr>
          <w:rFonts w:ascii="Times New Roman" w:hAnsi="Times New Roman" w:cs="Times New Roman"/>
          <w:lang w:val="en-US"/>
        </w:rPr>
      </w:pPr>
    </w:p>
    <w:p w14:paraId="640E32E4" w14:textId="77777777" w:rsidR="003A1AA8" w:rsidRPr="003A1AA8" w:rsidRDefault="003A1AA8" w:rsidP="00D536A2">
      <w:pPr>
        <w:rPr>
          <w:rFonts w:ascii="Times New Roman" w:hAnsi="Times New Roman" w:cs="Times New Roman"/>
          <w:lang w:val="en-US"/>
        </w:rPr>
      </w:pPr>
      <w:r w:rsidRPr="003A1AA8">
        <w:rPr>
          <w:rFonts w:ascii="Times New Roman" w:hAnsi="Times New Roman" w:cs="Times New Roman"/>
          <w:lang w:val="en-US"/>
        </w:rPr>
        <w:lastRenderedPageBreak/>
        <w:t xml:space="preserve">Reference </w:t>
      </w:r>
    </w:p>
    <w:p w14:paraId="0FC34FCA" w14:textId="7643534B" w:rsidR="003A1AA8" w:rsidRPr="003A1AA8" w:rsidRDefault="003A1AA8" w:rsidP="003A1AA8">
      <w:pPr>
        <w:pStyle w:val="NormalWeb"/>
        <w:spacing w:before="0" w:beforeAutospacing="0" w:after="240" w:afterAutospacing="0" w:line="360" w:lineRule="auto"/>
        <w:jc w:val="both"/>
        <w:rPr>
          <w:color w:val="000000"/>
        </w:rPr>
      </w:pPr>
      <w:r w:rsidRPr="003A1AA8">
        <w:rPr>
          <w:color w:val="000000"/>
        </w:rPr>
        <w:t>EDF. (2016). </w:t>
      </w:r>
      <w:r w:rsidRPr="003A1AA8">
        <w:rPr>
          <w:i/>
          <w:iCs/>
          <w:color w:val="000000"/>
        </w:rPr>
        <w:t>About Hinkley Point C</w:t>
      </w:r>
      <w:r w:rsidRPr="003A1AA8">
        <w:rPr>
          <w:color w:val="000000"/>
        </w:rPr>
        <w:t xml:space="preserve">. [online] Available at: https://www.edfenergy.com/energy/nuclear-new-build-projects/hinkley-point-c/about [Accessed </w:t>
      </w:r>
      <w:r w:rsidR="008113BC">
        <w:rPr>
          <w:color w:val="000000"/>
        </w:rPr>
        <w:t>9</w:t>
      </w:r>
      <w:r w:rsidRPr="003A1AA8">
        <w:rPr>
          <w:color w:val="000000"/>
        </w:rPr>
        <w:t xml:space="preserve"> Jul. 2023].</w:t>
      </w:r>
    </w:p>
    <w:p w14:paraId="52D8AEA1" w14:textId="5008A86B" w:rsidR="003A1AA8" w:rsidRPr="003A1AA8" w:rsidRDefault="003A1AA8" w:rsidP="003A1AA8">
      <w:pPr>
        <w:pStyle w:val="NormalWeb"/>
        <w:spacing w:before="0" w:beforeAutospacing="0" w:after="240" w:afterAutospacing="0" w:line="360" w:lineRule="auto"/>
        <w:jc w:val="both"/>
        <w:rPr>
          <w:color w:val="000000"/>
        </w:rPr>
      </w:pPr>
      <w:r w:rsidRPr="003A1AA8">
        <w:rPr>
          <w:color w:val="000000"/>
        </w:rPr>
        <w:t>Laing O’Rourke. (2019). </w:t>
      </w:r>
      <w:r w:rsidRPr="003A1AA8">
        <w:rPr>
          <w:i/>
          <w:iCs/>
          <w:color w:val="000000"/>
        </w:rPr>
        <w:t>Hinkley Point C</w:t>
      </w:r>
      <w:r w:rsidRPr="003A1AA8">
        <w:rPr>
          <w:color w:val="000000"/>
        </w:rPr>
        <w:t>. [online] Available at: https://www.laingorourke.com/projects/united-kingdom/hinkley-point-c/ [Accessed 1</w:t>
      </w:r>
      <w:r w:rsidR="008113BC">
        <w:rPr>
          <w:color w:val="000000"/>
        </w:rPr>
        <w:t>0</w:t>
      </w:r>
      <w:r w:rsidRPr="003A1AA8">
        <w:rPr>
          <w:color w:val="000000"/>
        </w:rPr>
        <w:t xml:space="preserve"> Jul. 2023].</w:t>
      </w:r>
    </w:p>
    <w:p w14:paraId="5DB043CF"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Lenfle, S., 2008. Exploration and project management. </w:t>
      </w:r>
      <w:r w:rsidRPr="003A1AA8">
        <w:rPr>
          <w:i/>
          <w:iCs/>
          <w:color w:val="222222"/>
          <w:shd w:val="clear" w:color="auto" w:fill="FFFFFF"/>
        </w:rPr>
        <w:t>International Journal of Project Management</w:t>
      </w:r>
      <w:r w:rsidRPr="003A1AA8">
        <w:rPr>
          <w:color w:val="222222"/>
          <w:shd w:val="clear" w:color="auto" w:fill="FFFFFF"/>
        </w:rPr>
        <w:t>, </w:t>
      </w:r>
      <w:r w:rsidRPr="003A1AA8">
        <w:rPr>
          <w:i/>
          <w:iCs/>
          <w:color w:val="222222"/>
          <w:shd w:val="clear" w:color="auto" w:fill="FFFFFF"/>
        </w:rPr>
        <w:t>26</w:t>
      </w:r>
      <w:r w:rsidRPr="003A1AA8">
        <w:rPr>
          <w:color w:val="222222"/>
          <w:shd w:val="clear" w:color="auto" w:fill="FFFFFF"/>
        </w:rPr>
        <w:t>(5), pp.469-478.</w:t>
      </w:r>
    </w:p>
    <w:p w14:paraId="4E263690"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Levitt, R.E., 2011. Towards project management 2.0. </w:t>
      </w:r>
      <w:r w:rsidRPr="003A1AA8">
        <w:rPr>
          <w:i/>
          <w:iCs/>
          <w:color w:val="222222"/>
          <w:shd w:val="clear" w:color="auto" w:fill="FFFFFF"/>
        </w:rPr>
        <w:t>Engineering project organization journal</w:t>
      </w:r>
      <w:r w:rsidRPr="003A1AA8">
        <w:rPr>
          <w:color w:val="222222"/>
          <w:shd w:val="clear" w:color="auto" w:fill="FFFFFF"/>
        </w:rPr>
        <w:t>, </w:t>
      </w:r>
      <w:r w:rsidRPr="003A1AA8">
        <w:rPr>
          <w:i/>
          <w:iCs/>
          <w:color w:val="222222"/>
          <w:shd w:val="clear" w:color="auto" w:fill="FFFFFF"/>
        </w:rPr>
        <w:t>1</w:t>
      </w:r>
      <w:r w:rsidRPr="003A1AA8">
        <w:rPr>
          <w:color w:val="222222"/>
          <w:shd w:val="clear" w:color="auto" w:fill="FFFFFF"/>
        </w:rPr>
        <w:t>(3), pp.197-210.</w:t>
      </w:r>
    </w:p>
    <w:p w14:paraId="2B080E67"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Pollack, J., 2007. The changing paradigms of project management. </w:t>
      </w:r>
      <w:r w:rsidRPr="003A1AA8">
        <w:rPr>
          <w:i/>
          <w:iCs/>
          <w:color w:val="222222"/>
          <w:shd w:val="clear" w:color="auto" w:fill="FFFFFF"/>
        </w:rPr>
        <w:t>International journal of project management</w:t>
      </w:r>
      <w:r w:rsidRPr="003A1AA8">
        <w:rPr>
          <w:color w:val="222222"/>
          <w:shd w:val="clear" w:color="auto" w:fill="FFFFFF"/>
        </w:rPr>
        <w:t>, </w:t>
      </w:r>
      <w:r w:rsidRPr="003A1AA8">
        <w:rPr>
          <w:i/>
          <w:iCs/>
          <w:color w:val="222222"/>
          <w:shd w:val="clear" w:color="auto" w:fill="FFFFFF"/>
        </w:rPr>
        <w:t>25</w:t>
      </w:r>
      <w:r w:rsidRPr="003A1AA8">
        <w:rPr>
          <w:color w:val="222222"/>
          <w:shd w:val="clear" w:color="auto" w:fill="FFFFFF"/>
        </w:rPr>
        <w:t>(3), pp.266-274.</w:t>
      </w:r>
    </w:p>
    <w:p w14:paraId="6F1D41F5"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Schwalbe, K., 2009. </w:t>
      </w:r>
      <w:r w:rsidRPr="003A1AA8">
        <w:rPr>
          <w:i/>
          <w:iCs/>
          <w:color w:val="222222"/>
          <w:shd w:val="clear" w:color="auto" w:fill="FFFFFF"/>
        </w:rPr>
        <w:t>Introduction to project management</w:t>
      </w:r>
      <w:r w:rsidRPr="003A1AA8">
        <w:rPr>
          <w:color w:val="222222"/>
          <w:shd w:val="clear" w:color="auto" w:fill="FFFFFF"/>
        </w:rPr>
        <w:t>. Boston: Course Technology Cengage Learning.</w:t>
      </w:r>
    </w:p>
    <w:p w14:paraId="50784B37"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Sears, S.K., Sears, G.A., Clough, R.H., Rounds, J.L. and Segner, R.O., 2015. </w:t>
      </w:r>
      <w:r w:rsidRPr="003A1AA8">
        <w:rPr>
          <w:i/>
          <w:iCs/>
          <w:color w:val="222222"/>
          <w:shd w:val="clear" w:color="auto" w:fill="FFFFFF"/>
        </w:rPr>
        <w:t>Construction project management</w:t>
      </w:r>
      <w:r w:rsidRPr="003A1AA8">
        <w:rPr>
          <w:color w:val="222222"/>
          <w:shd w:val="clear" w:color="auto" w:fill="FFFFFF"/>
        </w:rPr>
        <w:t>. John Wiley &amp; Sons.</w:t>
      </w:r>
    </w:p>
    <w:p w14:paraId="31EA5685"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Walker, A., 2015. </w:t>
      </w:r>
      <w:r w:rsidRPr="003A1AA8">
        <w:rPr>
          <w:i/>
          <w:iCs/>
          <w:color w:val="222222"/>
          <w:shd w:val="clear" w:color="auto" w:fill="FFFFFF"/>
        </w:rPr>
        <w:t>Project management in construction</w:t>
      </w:r>
      <w:r w:rsidRPr="003A1AA8">
        <w:rPr>
          <w:color w:val="222222"/>
          <w:shd w:val="clear" w:color="auto" w:fill="FFFFFF"/>
        </w:rPr>
        <w:t>. John Wiley &amp; Sons.</w:t>
      </w:r>
    </w:p>
    <w:p w14:paraId="0606087B" w14:textId="77777777" w:rsidR="003A1AA8" w:rsidRPr="003A1AA8" w:rsidRDefault="003A1AA8" w:rsidP="003A1AA8">
      <w:pPr>
        <w:pStyle w:val="NormalWeb"/>
        <w:spacing w:before="0" w:beforeAutospacing="0" w:after="240" w:afterAutospacing="0" w:line="360" w:lineRule="auto"/>
        <w:jc w:val="both"/>
        <w:rPr>
          <w:color w:val="000000"/>
        </w:rPr>
      </w:pPr>
      <w:r w:rsidRPr="003A1AA8">
        <w:rPr>
          <w:color w:val="000000"/>
        </w:rPr>
        <w:t>Watt, H. (2017). </w:t>
      </w:r>
      <w:r w:rsidRPr="003A1AA8">
        <w:rPr>
          <w:i/>
          <w:iCs/>
          <w:color w:val="000000"/>
        </w:rPr>
        <w:t>Hinkley Point: the ‘dreadful deal’ behind the world’s most expensive power plant</w:t>
      </w:r>
      <w:r w:rsidRPr="003A1AA8">
        <w:rPr>
          <w:color w:val="000000"/>
        </w:rPr>
        <w:t>. [online] the Guardian. Available at: https://www.theguardian.com/news/2017/dec/21/hinkley-point-c-dreadful-deal-behind-worlds-most-expensive-power-plant [Accessed 15 Jul. 2023].</w:t>
      </w:r>
    </w:p>
    <w:sectPr w:rsidR="003A1AA8" w:rsidRPr="003A1AA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156C7" w14:textId="77777777" w:rsidR="00822AEF" w:rsidRDefault="00822AEF" w:rsidP="00822AEF">
      <w:pPr>
        <w:spacing w:before="0" w:after="0" w:line="240" w:lineRule="auto"/>
      </w:pPr>
      <w:r>
        <w:separator/>
      </w:r>
    </w:p>
  </w:endnote>
  <w:endnote w:type="continuationSeparator" w:id="0">
    <w:p w14:paraId="469AF4DD" w14:textId="77777777" w:rsidR="00822AEF" w:rsidRDefault="00822AEF" w:rsidP="00822A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Vrinda">
    <w:panose1 w:val="00000400000000000000"/>
    <w:charset w:val="01"/>
    <w:family w:val="roman"/>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3209521"/>
      <w:docPartObj>
        <w:docPartGallery w:val="Page Numbers (Bottom of Page)"/>
        <w:docPartUnique/>
      </w:docPartObj>
    </w:sdtPr>
    <w:sdtEndPr>
      <w:rPr>
        <w:noProof/>
      </w:rPr>
    </w:sdtEndPr>
    <w:sdtContent>
      <w:p w14:paraId="645ED518" w14:textId="1F11175D" w:rsidR="00682D60" w:rsidRDefault="00682D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519369" w14:textId="77777777" w:rsidR="00822AEF" w:rsidRDefault="00822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04686" w14:textId="77777777" w:rsidR="00822AEF" w:rsidRDefault="00822AEF" w:rsidP="00822AEF">
      <w:pPr>
        <w:spacing w:before="0" w:after="0" w:line="240" w:lineRule="auto"/>
      </w:pPr>
      <w:r>
        <w:separator/>
      </w:r>
    </w:p>
  </w:footnote>
  <w:footnote w:type="continuationSeparator" w:id="0">
    <w:p w14:paraId="6B8AD6BB" w14:textId="77777777" w:rsidR="00822AEF" w:rsidRDefault="00822AEF" w:rsidP="00822AE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6A2"/>
    <w:rsid w:val="00335247"/>
    <w:rsid w:val="003A1AA8"/>
    <w:rsid w:val="003B574F"/>
    <w:rsid w:val="0042752B"/>
    <w:rsid w:val="004936C4"/>
    <w:rsid w:val="00682D60"/>
    <w:rsid w:val="007F1B27"/>
    <w:rsid w:val="008113BC"/>
    <w:rsid w:val="00822AEF"/>
    <w:rsid w:val="0088485B"/>
    <w:rsid w:val="008E45DE"/>
    <w:rsid w:val="00976797"/>
    <w:rsid w:val="00A943BD"/>
    <w:rsid w:val="00AE42D9"/>
    <w:rsid w:val="00CE70CF"/>
    <w:rsid w:val="00D536A2"/>
    <w:rsid w:val="00E26F65"/>
    <w:rsid w:val="00EA41E3"/>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9BC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30"/>
        <w:lang w:val="en-GB" w:eastAsia="ko-KR"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table" w:styleId="TableGridLight">
    <w:name w:val="Grid Table Light"/>
    <w:basedOn w:val="TableNormal"/>
    <w:uiPriority w:val="40"/>
    <w:rsid w:val="00D536A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3A1AA8"/>
    <w:pPr>
      <w:spacing w:before="100" w:beforeAutospacing="1" w:after="100" w:afterAutospacing="1" w:line="240" w:lineRule="auto"/>
      <w:jc w:val="left"/>
    </w:pPr>
    <w:rPr>
      <w:rFonts w:ascii="Times New Roman" w:eastAsia="Times New Roman" w:hAnsi="Times New Roman" w:cs="Times New Roman"/>
      <w:kern w:val="0"/>
      <w:szCs w:val="24"/>
      <w14:ligatures w14:val="none"/>
    </w:rPr>
  </w:style>
  <w:style w:type="paragraph" w:styleId="Header">
    <w:name w:val="header"/>
    <w:basedOn w:val="Normal"/>
    <w:link w:val="HeaderChar"/>
    <w:uiPriority w:val="99"/>
    <w:unhideWhenUsed/>
    <w:rsid w:val="00822AE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22AEF"/>
    <w:rPr>
      <w:rFonts w:ascii="Arial" w:hAnsi="Arial" w:cs="Vrinda"/>
      <w:lang w:val="en-GB"/>
    </w:rPr>
  </w:style>
  <w:style w:type="paragraph" w:styleId="Footer">
    <w:name w:val="footer"/>
    <w:basedOn w:val="Normal"/>
    <w:link w:val="FooterChar"/>
    <w:uiPriority w:val="99"/>
    <w:unhideWhenUsed/>
    <w:rsid w:val="00822AE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22AEF"/>
    <w:rPr>
      <w:rFonts w:ascii="Arial" w:hAnsi="Arial" w:cs="Vrinda"/>
      <w:lang w:val="en-GB"/>
    </w:rPr>
  </w:style>
  <w:style w:type="paragraph" w:styleId="ListParagraph">
    <w:name w:val="List Paragraph"/>
    <w:basedOn w:val="Normal"/>
    <w:uiPriority w:val="34"/>
    <w:qFormat/>
    <w:rsid w:val="00822A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64345">
      <w:bodyDiv w:val="1"/>
      <w:marLeft w:val="0"/>
      <w:marRight w:val="0"/>
      <w:marTop w:val="0"/>
      <w:marBottom w:val="0"/>
      <w:divBdr>
        <w:top w:val="none" w:sz="0" w:space="0" w:color="auto"/>
        <w:left w:val="none" w:sz="0" w:space="0" w:color="auto"/>
        <w:bottom w:val="none" w:sz="0" w:space="0" w:color="auto"/>
        <w:right w:val="none" w:sz="0" w:space="0" w:color="auto"/>
      </w:divBdr>
    </w:div>
    <w:div w:id="562985912">
      <w:bodyDiv w:val="1"/>
      <w:marLeft w:val="0"/>
      <w:marRight w:val="0"/>
      <w:marTop w:val="0"/>
      <w:marBottom w:val="0"/>
      <w:divBdr>
        <w:top w:val="none" w:sz="0" w:space="0" w:color="auto"/>
        <w:left w:val="none" w:sz="0" w:space="0" w:color="auto"/>
        <w:bottom w:val="none" w:sz="0" w:space="0" w:color="auto"/>
        <w:right w:val="none" w:sz="0" w:space="0" w:color="auto"/>
      </w:divBdr>
    </w:div>
    <w:div w:id="622543440">
      <w:bodyDiv w:val="1"/>
      <w:marLeft w:val="0"/>
      <w:marRight w:val="0"/>
      <w:marTop w:val="0"/>
      <w:marBottom w:val="0"/>
      <w:divBdr>
        <w:top w:val="none" w:sz="0" w:space="0" w:color="auto"/>
        <w:left w:val="none" w:sz="0" w:space="0" w:color="auto"/>
        <w:bottom w:val="none" w:sz="0" w:space="0" w:color="auto"/>
        <w:right w:val="none" w:sz="0" w:space="0" w:color="auto"/>
      </w:divBdr>
    </w:div>
    <w:div w:id="739792519">
      <w:bodyDiv w:val="1"/>
      <w:marLeft w:val="0"/>
      <w:marRight w:val="0"/>
      <w:marTop w:val="0"/>
      <w:marBottom w:val="0"/>
      <w:divBdr>
        <w:top w:val="none" w:sz="0" w:space="0" w:color="auto"/>
        <w:left w:val="none" w:sz="0" w:space="0" w:color="auto"/>
        <w:bottom w:val="none" w:sz="0" w:space="0" w:color="auto"/>
        <w:right w:val="none" w:sz="0" w:space="0" w:color="auto"/>
      </w:divBdr>
    </w:div>
    <w:div w:id="1071468318">
      <w:bodyDiv w:val="1"/>
      <w:marLeft w:val="0"/>
      <w:marRight w:val="0"/>
      <w:marTop w:val="0"/>
      <w:marBottom w:val="0"/>
      <w:divBdr>
        <w:top w:val="none" w:sz="0" w:space="0" w:color="auto"/>
        <w:left w:val="none" w:sz="0" w:space="0" w:color="auto"/>
        <w:bottom w:val="none" w:sz="0" w:space="0" w:color="auto"/>
        <w:right w:val="none" w:sz="0" w:space="0" w:color="auto"/>
      </w:divBdr>
    </w:div>
    <w:div w:id="1305115099">
      <w:bodyDiv w:val="1"/>
      <w:marLeft w:val="0"/>
      <w:marRight w:val="0"/>
      <w:marTop w:val="0"/>
      <w:marBottom w:val="0"/>
      <w:divBdr>
        <w:top w:val="none" w:sz="0" w:space="0" w:color="auto"/>
        <w:left w:val="none" w:sz="0" w:space="0" w:color="auto"/>
        <w:bottom w:val="none" w:sz="0" w:space="0" w:color="auto"/>
        <w:right w:val="none" w:sz="0" w:space="0" w:color="auto"/>
      </w:divBdr>
    </w:div>
    <w:div w:id="1393383993">
      <w:bodyDiv w:val="1"/>
      <w:marLeft w:val="0"/>
      <w:marRight w:val="0"/>
      <w:marTop w:val="0"/>
      <w:marBottom w:val="0"/>
      <w:divBdr>
        <w:top w:val="none" w:sz="0" w:space="0" w:color="auto"/>
        <w:left w:val="none" w:sz="0" w:space="0" w:color="auto"/>
        <w:bottom w:val="none" w:sz="0" w:space="0" w:color="auto"/>
        <w:right w:val="none" w:sz="0" w:space="0" w:color="auto"/>
      </w:divBdr>
    </w:div>
    <w:div w:id="1497066867">
      <w:bodyDiv w:val="1"/>
      <w:marLeft w:val="0"/>
      <w:marRight w:val="0"/>
      <w:marTop w:val="0"/>
      <w:marBottom w:val="0"/>
      <w:divBdr>
        <w:top w:val="none" w:sz="0" w:space="0" w:color="auto"/>
        <w:left w:val="none" w:sz="0" w:space="0" w:color="auto"/>
        <w:bottom w:val="none" w:sz="0" w:space="0" w:color="auto"/>
        <w:right w:val="none" w:sz="0" w:space="0" w:color="auto"/>
      </w:divBdr>
    </w:div>
    <w:div w:id="1996494915">
      <w:bodyDiv w:val="1"/>
      <w:marLeft w:val="0"/>
      <w:marRight w:val="0"/>
      <w:marTop w:val="0"/>
      <w:marBottom w:val="0"/>
      <w:divBdr>
        <w:top w:val="none" w:sz="0" w:space="0" w:color="auto"/>
        <w:left w:val="none" w:sz="0" w:space="0" w:color="auto"/>
        <w:bottom w:val="none" w:sz="0" w:space="0" w:color="auto"/>
        <w:right w:val="none" w:sz="0" w:space="0" w:color="auto"/>
      </w:divBdr>
    </w:div>
    <w:div w:id="2066374378">
      <w:bodyDiv w:val="1"/>
      <w:marLeft w:val="0"/>
      <w:marRight w:val="0"/>
      <w:marTop w:val="0"/>
      <w:marBottom w:val="0"/>
      <w:divBdr>
        <w:top w:val="none" w:sz="0" w:space="0" w:color="auto"/>
        <w:left w:val="none" w:sz="0" w:space="0" w:color="auto"/>
        <w:bottom w:val="none" w:sz="0" w:space="0" w:color="auto"/>
        <w:right w:val="none" w:sz="0" w:space="0" w:color="auto"/>
      </w:divBdr>
    </w:div>
    <w:div w:id="211617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2866</Words>
  <Characters>16342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2023-07-15T02:10:00Z</dcterms:created>
  <dcterms:modified xsi:type="dcterms:W3CDTF">2023-08-03T18:07:00Z</dcterms:modified>
  <cp:category/>
</cp:coreProperties>
</file>