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B2EBDD8" w14:textId="6F472617" w:rsidR="00AA0796" w:rsidRPr="00700610" w:rsidRDefault="00AA0796" w:rsidP="00AA0796">
      <w:pPr>
        <w:pStyle w:val="ListParagraph"/>
        <w:numPr>
          <w:ilvl w:val="6"/>
          <w:numId w:val="1"/>
        </w:numPr>
        <w:autoSpaceDN w:val="0"/>
        <w:jc w:val="both"/>
        <w:rPr>
          <w:rFonts w:cstheme="minorHAnsi"/>
          <w:sz w:val="24"/>
          <w:szCs w:val="24"/>
        </w:rPr>
      </w:pPr>
      <w:r w:rsidRPr="00700610">
        <w:rPr>
          <w:rFonts w:cstheme="minorHAnsi"/>
          <w:sz w:val="24"/>
          <w:szCs w:val="24"/>
        </w:rPr>
        <w:t xml:space="preserve">From Ireland to India, British hegemony over her overseas territories was under serious threat despite victory in World War One. Discuss the main reasons behind this paradox.  </w:t>
      </w:r>
    </w:p>
    <w:p w14:paraId="066BE098" w14:textId="02FE4E82" w:rsidR="00B42550" w:rsidRPr="00700610" w:rsidRDefault="00B42550" w:rsidP="00B42550">
      <w:pPr>
        <w:autoSpaceDN w:val="0"/>
        <w:jc w:val="both"/>
        <w:rPr>
          <w:rFonts w:cstheme="minorHAnsi"/>
          <w:sz w:val="24"/>
          <w:szCs w:val="24"/>
        </w:rPr>
      </w:pPr>
    </w:p>
    <w:p w14:paraId="3AE1EC78" w14:textId="3C019254" w:rsidR="00B42550" w:rsidRPr="00700610" w:rsidRDefault="00B42550" w:rsidP="00B42550">
      <w:pPr>
        <w:autoSpaceDN w:val="0"/>
        <w:jc w:val="both"/>
        <w:rPr>
          <w:rFonts w:cstheme="minorHAnsi"/>
          <w:sz w:val="24"/>
          <w:szCs w:val="24"/>
        </w:rPr>
      </w:pPr>
      <w:r w:rsidRPr="00700610">
        <w:rPr>
          <w:rFonts w:cstheme="minorHAnsi"/>
          <w:sz w:val="24"/>
          <w:szCs w:val="24"/>
        </w:rPr>
        <w:t xml:space="preserve">Many believe that the British Empire is something that should </w:t>
      </w:r>
      <w:proofErr w:type="gramStart"/>
      <w:r w:rsidRPr="00700610">
        <w:rPr>
          <w:rFonts w:cstheme="minorHAnsi"/>
          <w:sz w:val="24"/>
          <w:szCs w:val="24"/>
        </w:rPr>
        <w:t>be considered to be</w:t>
      </w:r>
      <w:proofErr w:type="gramEnd"/>
      <w:r w:rsidRPr="00700610">
        <w:rPr>
          <w:rFonts w:cstheme="minorHAnsi"/>
          <w:sz w:val="24"/>
          <w:szCs w:val="24"/>
        </w:rPr>
        <w:t xml:space="preserve"> one of Britain’s proudest achievements, as it led to the creation of the commonwealth, which consists of countries that were part of the British Empire. Although it must be remembered that the British Empire began, as Niall Ferguson puts it, ‘</w:t>
      </w:r>
      <w:r w:rsidR="00782BCE" w:rsidRPr="00700610">
        <w:rPr>
          <w:rFonts w:cstheme="minorHAnsi"/>
          <w:sz w:val="24"/>
          <w:szCs w:val="24"/>
        </w:rPr>
        <w:t>in a maelstrom of seaborne violence and theft’</w:t>
      </w:r>
      <w:r w:rsidR="00782BCE" w:rsidRPr="00700610">
        <w:rPr>
          <w:rStyle w:val="FootnoteReference"/>
          <w:rFonts w:cstheme="minorHAnsi"/>
          <w:sz w:val="24"/>
          <w:szCs w:val="24"/>
        </w:rPr>
        <w:footnoteReference w:id="1"/>
      </w:r>
      <w:r w:rsidR="00953A20" w:rsidRPr="00700610">
        <w:rPr>
          <w:rFonts w:cstheme="minorHAnsi"/>
          <w:sz w:val="24"/>
          <w:szCs w:val="24"/>
        </w:rPr>
        <w:t>, and that it was thought that the ‘British Empire was acquired ‘in a fit of absence of mind’</w:t>
      </w:r>
      <w:r w:rsidR="00953A20" w:rsidRPr="00700610">
        <w:rPr>
          <w:rStyle w:val="FootnoteReference"/>
          <w:rFonts w:cstheme="minorHAnsi"/>
          <w:sz w:val="24"/>
          <w:szCs w:val="24"/>
        </w:rPr>
        <w:footnoteReference w:id="2"/>
      </w:r>
      <w:r w:rsidR="00953A20" w:rsidRPr="00700610">
        <w:rPr>
          <w:rFonts w:cstheme="minorHAnsi"/>
          <w:sz w:val="24"/>
          <w:szCs w:val="24"/>
        </w:rPr>
        <w:t>.</w:t>
      </w:r>
    </w:p>
    <w:p w14:paraId="25426A98" w14:textId="3014D2E8" w:rsidR="00953A20" w:rsidRPr="00700610" w:rsidRDefault="00953A20" w:rsidP="00BD5DB2">
      <w:pPr>
        <w:autoSpaceDN w:val="0"/>
        <w:ind w:firstLine="720"/>
        <w:jc w:val="both"/>
        <w:rPr>
          <w:rFonts w:cstheme="minorHAnsi"/>
          <w:sz w:val="24"/>
          <w:szCs w:val="24"/>
        </w:rPr>
      </w:pPr>
      <w:r w:rsidRPr="00700610">
        <w:rPr>
          <w:rFonts w:cstheme="minorHAnsi"/>
          <w:sz w:val="24"/>
          <w:szCs w:val="24"/>
        </w:rPr>
        <w:t>In his book ‘Empire, Niall Ferguson writes that ‘an obscure public schoolboy made a prophecy about the British Empire’s fate’</w:t>
      </w:r>
      <w:r w:rsidRPr="00700610">
        <w:rPr>
          <w:rStyle w:val="FootnoteReference"/>
          <w:rFonts w:cstheme="minorHAnsi"/>
          <w:sz w:val="24"/>
          <w:szCs w:val="24"/>
        </w:rPr>
        <w:footnoteReference w:id="3"/>
      </w:r>
      <w:r w:rsidRPr="00700610">
        <w:rPr>
          <w:rFonts w:cstheme="minorHAnsi"/>
          <w:sz w:val="24"/>
          <w:szCs w:val="24"/>
        </w:rPr>
        <w:t>.</w:t>
      </w:r>
      <w:r w:rsidR="00BA7D6D" w:rsidRPr="00700610">
        <w:rPr>
          <w:rFonts w:cstheme="minorHAnsi"/>
          <w:sz w:val="24"/>
          <w:szCs w:val="24"/>
        </w:rPr>
        <w:t xml:space="preserve"> The boy in question was a </w:t>
      </w:r>
      <w:r w:rsidR="00D7176C" w:rsidRPr="00700610">
        <w:rPr>
          <w:rFonts w:cstheme="minorHAnsi"/>
          <w:sz w:val="24"/>
          <w:szCs w:val="24"/>
        </w:rPr>
        <w:t>seventeen-year-old</w:t>
      </w:r>
      <w:r w:rsidR="00BA7D6D" w:rsidRPr="00700610">
        <w:rPr>
          <w:rFonts w:cstheme="minorHAnsi"/>
          <w:sz w:val="24"/>
          <w:szCs w:val="24"/>
        </w:rPr>
        <w:t xml:space="preserve"> Winston Churchill who spoke these prophetic words to </w:t>
      </w:r>
      <w:proofErr w:type="spellStart"/>
      <w:r w:rsidR="00BA7D6D" w:rsidRPr="00700610">
        <w:rPr>
          <w:rFonts w:cstheme="minorHAnsi"/>
          <w:sz w:val="24"/>
          <w:szCs w:val="24"/>
        </w:rPr>
        <w:t>Murland</w:t>
      </w:r>
      <w:proofErr w:type="spellEnd"/>
      <w:r w:rsidR="00BA7D6D" w:rsidRPr="00700610">
        <w:rPr>
          <w:rFonts w:cstheme="minorHAnsi"/>
          <w:sz w:val="24"/>
          <w:szCs w:val="24"/>
        </w:rPr>
        <w:t xml:space="preserve"> Evans. ‘I can see vast changes coming over a now peaceful world; great upheavals, terrible struggles; wars such as one cannot imagine; and I tell you London will be in danger – London will be attacked</w:t>
      </w:r>
      <w:proofErr w:type="gramStart"/>
      <w:r w:rsidR="00BA7D6D" w:rsidRPr="00700610">
        <w:rPr>
          <w:rFonts w:cstheme="minorHAnsi"/>
          <w:sz w:val="24"/>
          <w:szCs w:val="24"/>
        </w:rPr>
        <w:t>…..</w:t>
      </w:r>
      <w:proofErr w:type="gramEnd"/>
      <w:r w:rsidR="00BA7D6D" w:rsidRPr="00700610">
        <w:rPr>
          <w:rFonts w:cstheme="minorHAnsi"/>
          <w:sz w:val="24"/>
          <w:szCs w:val="24"/>
        </w:rPr>
        <w:t xml:space="preserve"> The country will be subjected somehow to a tremendous invasion…. But I tell you I shall be in command of the defences of London and I shall save London and the Empire from disaster’</w:t>
      </w:r>
      <w:r w:rsidR="00BA7D6D" w:rsidRPr="00700610">
        <w:rPr>
          <w:rStyle w:val="FootnoteReference"/>
          <w:rFonts w:cstheme="minorHAnsi"/>
          <w:sz w:val="24"/>
          <w:szCs w:val="24"/>
        </w:rPr>
        <w:footnoteReference w:id="4"/>
      </w:r>
      <w:r w:rsidR="00BA7D6D" w:rsidRPr="00700610">
        <w:rPr>
          <w:rFonts w:cstheme="minorHAnsi"/>
          <w:sz w:val="24"/>
          <w:szCs w:val="24"/>
        </w:rPr>
        <w:t xml:space="preserve">. </w:t>
      </w:r>
    </w:p>
    <w:p w14:paraId="1169E01A" w14:textId="4D235051" w:rsidR="00534A7D" w:rsidRPr="00700610" w:rsidRDefault="00A64C7F" w:rsidP="00A64C7F">
      <w:pPr>
        <w:autoSpaceDN w:val="0"/>
        <w:jc w:val="both"/>
        <w:rPr>
          <w:rFonts w:cstheme="minorHAnsi"/>
          <w:sz w:val="24"/>
          <w:szCs w:val="24"/>
        </w:rPr>
      </w:pPr>
      <w:r w:rsidRPr="00700610">
        <w:rPr>
          <w:rFonts w:cstheme="minorHAnsi"/>
          <w:sz w:val="24"/>
          <w:szCs w:val="24"/>
        </w:rPr>
        <w:tab/>
        <w:t xml:space="preserve">Although Winston Churchill did manage to save London and Britain, even he could not save the empire. </w:t>
      </w:r>
      <w:r w:rsidR="00F04249" w:rsidRPr="00700610">
        <w:rPr>
          <w:rFonts w:cstheme="minorHAnsi"/>
          <w:sz w:val="24"/>
          <w:szCs w:val="24"/>
        </w:rPr>
        <w:t>By the time of his death in 1965, the British empire was all but gone. De-colonisation had played a big part in dismantling the British empire. Nationalist movements had contributed greatly in garnering support for escaping the British hegemony of the British empire. Ireland had the Sinn Fein movement, whilst India had Congress. As Niall Ferguson puts it, ‘the end of Empire is portrayed as a victory for ‘freedom fighters’, who took up arms from Dublin to Delhi to rid their people of the yoke of colonial rule’</w:t>
      </w:r>
      <w:r w:rsidR="00F04249" w:rsidRPr="00700610">
        <w:rPr>
          <w:rStyle w:val="FootnoteReference"/>
          <w:rFonts w:cstheme="minorHAnsi"/>
          <w:sz w:val="24"/>
          <w:szCs w:val="24"/>
        </w:rPr>
        <w:footnoteReference w:id="5"/>
      </w:r>
      <w:r w:rsidR="00F04249" w:rsidRPr="00700610">
        <w:rPr>
          <w:rFonts w:cstheme="minorHAnsi"/>
          <w:sz w:val="24"/>
          <w:szCs w:val="24"/>
        </w:rPr>
        <w:t xml:space="preserve">. The colonies that were part of the British Empire had had enough of her ruling and controlling their countries and taking their resources for themselves. </w:t>
      </w:r>
      <w:r w:rsidR="00534A7D" w:rsidRPr="00700610">
        <w:rPr>
          <w:rFonts w:cstheme="minorHAnsi"/>
          <w:sz w:val="24"/>
          <w:szCs w:val="24"/>
        </w:rPr>
        <w:t xml:space="preserve">It must be said also, that Britain was not the only country that created and built an empire. The Belgian rule of the ‘independent’ Congo had become </w:t>
      </w:r>
      <w:proofErr w:type="gramStart"/>
      <w:r w:rsidR="00534A7D" w:rsidRPr="00700610">
        <w:rPr>
          <w:rFonts w:cstheme="minorHAnsi"/>
          <w:sz w:val="24"/>
          <w:szCs w:val="24"/>
        </w:rPr>
        <w:t>a</w:t>
      </w:r>
      <w:proofErr w:type="gramEnd"/>
      <w:r w:rsidR="00534A7D" w:rsidRPr="00700610">
        <w:rPr>
          <w:rFonts w:cstheme="minorHAnsi"/>
          <w:sz w:val="24"/>
          <w:szCs w:val="24"/>
        </w:rPr>
        <w:t xml:space="preserve"> example of the abuse of human rights. </w:t>
      </w:r>
    </w:p>
    <w:p w14:paraId="5ECD102F" w14:textId="2FB9C9B8" w:rsidR="006D5B88" w:rsidRPr="00700610" w:rsidRDefault="006D5B88" w:rsidP="00A64C7F">
      <w:pPr>
        <w:autoSpaceDN w:val="0"/>
        <w:jc w:val="both"/>
        <w:rPr>
          <w:rFonts w:cstheme="minorHAnsi"/>
          <w:sz w:val="24"/>
          <w:szCs w:val="24"/>
        </w:rPr>
      </w:pPr>
      <w:r w:rsidRPr="00700610">
        <w:rPr>
          <w:rFonts w:cstheme="minorHAnsi"/>
          <w:sz w:val="24"/>
          <w:szCs w:val="24"/>
        </w:rPr>
        <w:tab/>
        <w:t xml:space="preserve">The First World War </w:t>
      </w:r>
      <w:r w:rsidR="00047311" w:rsidRPr="00700610">
        <w:rPr>
          <w:rFonts w:cstheme="minorHAnsi"/>
          <w:sz w:val="24"/>
          <w:szCs w:val="24"/>
        </w:rPr>
        <w:t xml:space="preserve">has become known as the point of time that was the beginning of the end for the the British Empire. It was during the First World War that soldiers from all over the world came together to defeat a common foe- Germany. Colonial troops were sent to help British troops, this was a chance for the troops from the colonies to see other British people- the common people. This is </w:t>
      </w:r>
      <w:proofErr w:type="gramStart"/>
      <w:r w:rsidR="00047311" w:rsidRPr="00700610">
        <w:rPr>
          <w:rFonts w:cstheme="minorHAnsi"/>
          <w:sz w:val="24"/>
          <w:szCs w:val="24"/>
        </w:rPr>
        <w:t>due to the fact that</w:t>
      </w:r>
      <w:proofErr w:type="gramEnd"/>
      <w:r w:rsidR="00047311" w:rsidRPr="00700610">
        <w:rPr>
          <w:rFonts w:cstheme="minorHAnsi"/>
          <w:sz w:val="24"/>
          <w:szCs w:val="24"/>
        </w:rPr>
        <w:t xml:space="preserve"> it was usually the upper class and royalty were usually the people that visited and lived in the colonies under British hegemony, therefore they would not likely mix with the people that were native to those lands, i.e. India, Caribbean etc. </w:t>
      </w:r>
    </w:p>
    <w:p w14:paraId="70B02B8E" w14:textId="77777777" w:rsidR="00EE3B58" w:rsidRPr="00700610" w:rsidRDefault="002717A4" w:rsidP="00A64C7F">
      <w:pPr>
        <w:autoSpaceDN w:val="0"/>
        <w:jc w:val="both"/>
        <w:rPr>
          <w:rFonts w:cstheme="minorHAnsi"/>
          <w:sz w:val="24"/>
          <w:szCs w:val="24"/>
        </w:rPr>
      </w:pPr>
      <w:r w:rsidRPr="00700610">
        <w:rPr>
          <w:rFonts w:cstheme="minorHAnsi"/>
          <w:sz w:val="24"/>
          <w:szCs w:val="24"/>
        </w:rPr>
        <w:lastRenderedPageBreak/>
        <w:tab/>
      </w:r>
      <w:r w:rsidR="00504F08" w:rsidRPr="00700610">
        <w:rPr>
          <w:rFonts w:cstheme="minorHAnsi"/>
          <w:sz w:val="24"/>
          <w:szCs w:val="24"/>
        </w:rPr>
        <w:t>Britain had lost far too much in the First World War after the defeat of Germany. The death toll for Britain alone was three quarters of a million, which amounts to one in sixteen of adult males between the ages of fifteen to fifty</w:t>
      </w:r>
      <w:r w:rsidR="00C847FF" w:rsidRPr="00700610">
        <w:rPr>
          <w:rStyle w:val="FootnoteReference"/>
          <w:rFonts w:cstheme="minorHAnsi"/>
          <w:sz w:val="24"/>
          <w:szCs w:val="24"/>
        </w:rPr>
        <w:footnoteReference w:id="6"/>
      </w:r>
      <w:r w:rsidR="000A63B4" w:rsidRPr="00700610">
        <w:rPr>
          <w:rFonts w:cstheme="minorHAnsi"/>
          <w:sz w:val="24"/>
          <w:szCs w:val="24"/>
        </w:rPr>
        <w:t>, these devastating figures of the death toll would prove to be a massive blow for Britain, as this was a massive number of the population to lost in a time of four years.</w:t>
      </w:r>
      <w:r w:rsidR="00504F08" w:rsidRPr="00700610">
        <w:rPr>
          <w:rFonts w:cstheme="minorHAnsi"/>
          <w:sz w:val="24"/>
          <w:szCs w:val="24"/>
        </w:rPr>
        <w:t xml:space="preserve"> Britain was not prepared for the devastation that the after-math of the war inflicted on the country and what it also entailed for the economic aspect as well. This leads onto another important reason for the fall of the British Empire. Britain did not have enough money after war to run one country, let alone others. The war itself had wrought an economic hell for Britain; the cost of the war, during and the aftermath, brought Britain to its knees. Britain was barely able to sustain itself, without the complications of sustaining and continuing its hegemony over her overseas territories whilst in </w:t>
      </w:r>
      <w:proofErr w:type="gramStart"/>
      <w:r w:rsidR="00504F08" w:rsidRPr="00700610">
        <w:rPr>
          <w:rFonts w:cstheme="minorHAnsi"/>
          <w:sz w:val="24"/>
          <w:szCs w:val="24"/>
        </w:rPr>
        <w:t>a</w:t>
      </w:r>
      <w:proofErr w:type="gramEnd"/>
      <w:r w:rsidR="00504F08" w:rsidRPr="00700610">
        <w:rPr>
          <w:rFonts w:cstheme="minorHAnsi"/>
          <w:sz w:val="24"/>
          <w:szCs w:val="24"/>
        </w:rPr>
        <w:t xml:space="preserve"> economic crisis. </w:t>
      </w:r>
      <w:r w:rsidRPr="00700610">
        <w:rPr>
          <w:rFonts w:cstheme="minorHAnsi"/>
          <w:sz w:val="24"/>
          <w:szCs w:val="24"/>
        </w:rPr>
        <w:t xml:space="preserve">For example, Niall Ferguson includes the statistics for the running of Iraq, which amounted in 1921 to £23 million, this amount was more than the total of the UK health budget. </w:t>
      </w:r>
      <w:r w:rsidR="00BD6B89" w:rsidRPr="00700610">
        <w:rPr>
          <w:rFonts w:cstheme="minorHAnsi"/>
          <w:sz w:val="24"/>
          <w:szCs w:val="24"/>
        </w:rPr>
        <w:t>‘Before 1914, the benefits of the Empire had seemed to most people, on balance, to outweigh the costs. After the war the costs suddenly, inescapably, outweighed the benefits’</w:t>
      </w:r>
      <w:r w:rsidR="003D5F5C" w:rsidRPr="00700610">
        <w:rPr>
          <w:rStyle w:val="FootnoteReference"/>
          <w:rFonts w:cstheme="minorHAnsi"/>
          <w:sz w:val="24"/>
          <w:szCs w:val="24"/>
        </w:rPr>
        <w:footnoteReference w:id="7"/>
      </w:r>
      <w:r w:rsidR="00BD6B89" w:rsidRPr="00700610">
        <w:rPr>
          <w:rFonts w:cstheme="minorHAnsi"/>
          <w:sz w:val="24"/>
          <w:szCs w:val="24"/>
        </w:rPr>
        <w:t>.</w:t>
      </w:r>
      <w:r w:rsidR="00EE3B58" w:rsidRPr="00700610">
        <w:rPr>
          <w:rFonts w:cstheme="minorHAnsi"/>
          <w:sz w:val="24"/>
          <w:szCs w:val="24"/>
        </w:rPr>
        <w:t xml:space="preserve"> </w:t>
      </w:r>
    </w:p>
    <w:p w14:paraId="5FA2003C" w14:textId="6EDB937E" w:rsidR="00EE3B58" w:rsidRPr="00700610" w:rsidRDefault="00EE3B58" w:rsidP="00EE3B58">
      <w:pPr>
        <w:autoSpaceDN w:val="0"/>
        <w:ind w:firstLine="720"/>
        <w:jc w:val="both"/>
        <w:rPr>
          <w:rFonts w:cstheme="minorHAnsi"/>
          <w:sz w:val="24"/>
          <w:szCs w:val="24"/>
        </w:rPr>
      </w:pPr>
      <w:r w:rsidRPr="00700610">
        <w:rPr>
          <w:rFonts w:cstheme="minorHAnsi"/>
          <w:sz w:val="24"/>
          <w:szCs w:val="24"/>
        </w:rPr>
        <w:t xml:space="preserve">Britain had allied itself with other countries in the war </w:t>
      </w:r>
      <w:proofErr w:type="gramStart"/>
      <w:r w:rsidRPr="00700610">
        <w:rPr>
          <w:rFonts w:cstheme="minorHAnsi"/>
          <w:sz w:val="24"/>
          <w:szCs w:val="24"/>
        </w:rPr>
        <w:t>in order to</w:t>
      </w:r>
      <w:proofErr w:type="gramEnd"/>
      <w:r w:rsidRPr="00700610">
        <w:rPr>
          <w:rFonts w:cstheme="minorHAnsi"/>
          <w:sz w:val="24"/>
          <w:szCs w:val="24"/>
        </w:rPr>
        <w:t xml:space="preserve"> better their chances of beating Germany, and after the war, debts had amounted due to agreements with other countries, but there was one problem that occurred that caused a massive problem for all the allied powers and also beyond that. The failure of the  American and French central banks which was based on the notion that they had to abide by the ‘gold standard ‘rules of the game’ as they hoarded scarce gold in their reserves’</w:t>
      </w:r>
      <w:r w:rsidRPr="00700610">
        <w:rPr>
          <w:rStyle w:val="FootnoteReference"/>
          <w:rFonts w:cstheme="minorHAnsi"/>
          <w:sz w:val="24"/>
          <w:szCs w:val="24"/>
        </w:rPr>
        <w:footnoteReference w:id="8"/>
      </w:r>
      <w:r w:rsidRPr="00700610">
        <w:rPr>
          <w:rFonts w:cstheme="minorHAnsi"/>
          <w:sz w:val="24"/>
          <w:szCs w:val="24"/>
        </w:rPr>
        <w:t xml:space="preserve">, the problem was that the economic policies of countries were now subjected to politics, and this meant </w:t>
      </w:r>
      <w:r w:rsidR="00984526" w:rsidRPr="00700610">
        <w:rPr>
          <w:rFonts w:cstheme="minorHAnsi"/>
          <w:sz w:val="24"/>
          <w:szCs w:val="24"/>
        </w:rPr>
        <w:t>that people who were investing in this were not guaranteed that governments from countries that had partaken in the war, would cut spending and increase taxes, so from the viewpoint of gold investing, this meant that the interest of gold would not be guaranteed to increase. Niall Ferguson sums up the state of Britain by writing, ‘Britain, the biggest single beneficiary of the first age of globalisation, was unlikely to gain much from its end’</w:t>
      </w:r>
      <w:r w:rsidR="00984526" w:rsidRPr="00700610">
        <w:rPr>
          <w:rStyle w:val="FootnoteReference"/>
          <w:rFonts w:cstheme="minorHAnsi"/>
          <w:sz w:val="24"/>
          <w:szCs w:val="24"/>
        </w:rPr>
        <w:footnoteReference w:id="9"/>
      </w:r>
      <w:r w:rsidR="00984526" w:rsidRPr="00700610">
        <w:rPr>
          <w:rFonts w:cstheme="minorHAnsi"/>
          <w:sz w:val="24"/>
          <w:szCs w:val="24"/>
        </w:rPr>
        <w:t>.</w:t>
      </w:r>
      <w:r w:rsidR="001C7576" w:rsidRPr="00700610">
        <w:rPr>
          <w:rFonts w:cstheme="minorHAnsi"/>
          <w:sz w:val="24"/>
          <w:szCs w:val="24"/>
        </w:rPr>
        <w:t xml:space="preserve"> </w:t>
      </w:r>
    </w:p>
    <w:p w14:paraId="0B56D945" w14:textId="3C67F6D6" w:rsidR="001C7576" w:rsidRPr="00700610" w:rsidRDefault="001C7576" w:rsidP="001C7576">
      <w:pPr>
        <w:autoSpaceDN w:val="0"/>
        <w:ind w:firstLine="720"/>
        <w:jc w:val="both"/>
        <w:rPr>
          <w:rFonts w:cstheme="minorHAnsi"/>
          <w:sz w:val="24"/>
          <w:szCs w:val="24"/>
        </w:rPr>
      </w:pPr>
      <w:r w:rsidRPr="00700610">
        <w:rPr>
          <w:rFonts w:cstheme="minorHAnsi"/>
          <w:sz w:val="24"/>
          <w:szCs w:val="24"/>
        </w:rPr>
        <w:t>Britain entered the Depression, due to its economic status, where it had decided to return to the gold standard where it was over-valued 1914 exchange rate, which condemned Britain, which led to it becoming a country of Depression. But as Niall Ferguson states, ‘the Depression in Britain is not that it was so severe but that, compared with its impact in the United States and Germany, it was so mild’.</w:t>
      </w:r>
      <w:r w:rsidRPr="00700610">
        <w:rPr>
          <w:rStyle w:val="FootnoteReference"/>
          <w:rFonts w:cstheme="minorHAnsi"/>
          <w:sz w:val="24"/>
          <w:szCs w:val="24"/>
        </w:rPr>
        <w:footnoteReference w:id="10"/>
      </w:r>
      <w:r w:rsidR="004769E6" w:rsidRPr="00700610">
        <w:rPr>
          <w:rFonts w:cstheme="minorHAnsi"/>
          <w:sz w:val="24"/>
          <w:szCs w:val="24"/>
        </w:rPr>
        <w:t xml:space="preserve"> This shows that Britain was in no fit state to </w:t>
      </w:r>
      <w:r w:rsidR="00797E84" w:rsidRPr="00700610">
        <w:rPr>
          <w:rFonts w:cstheme="minorHAnsi"/>
          <w:sz w:val="24"/>
          <w:szCs w:val="24"/>
        </w:rPr>
        <w:t>economically support and continue its rule over its empire.</w:t>
      </w:r>
    </w:p>
    <w:p w14:paraId="5C587906" w14:textId="77777777" w:rsidR="00700610" w:rsidRPr="00700610" w:rsidRDefault="00700610" w:rsidP="00700610">
      <w:pPr>
        <w:rPr>
          <w:rFonts w:cstheme="minorHAnsi"/>
          <w:sz w:val="24"/>
          <w:szCs w:val="24"/>
          <w:shd w:val="clear" w:color="auto" w:fill="FFFFFF"/>
        </w:rPr>
      </w:pPr>
      <w:r w:rsidRPr="00700610">
        <w:rPr>
          <w:rFonts w:cstheme="minorHAnsi"/>
          <w:sz w:val="24"/>
          <w:szCs w:val="24"/>
          <w:shd w:val="clear" w:color="auto" w:fill="FFFFFF"/>
        </w:rPr>
        <w:t>Up until the 18</w:t>
      </w:r>
      <w:r w:rsidRPr="00700610">
        <w:rPr>
          <w:rFonts w:cstheme="minorHAnsi"/>
          <w:sz w:val="24"/>
          <w:szCs w:val="24"/>
          <w:shd w:val="clear" w:color="auto" w:fill="FFFFFF"/>
          <w:vertAlign w:val="superscript"/>
        </w:rPr>
        <w:t>th</w:t>
      </w:r>
      <w:r w:rsidRPr="00700610">
        <w:rPr>
          <w:rFonts w:cstheme="minorHAnsi"/>
          <w:sz w:val="24"/>
          <w:szCs w:val="24"/>
          <w:shd w:val="clear" w:color="auto" w:fill="FFFFFF"/>
        </w:rPr>
        <w:t xml:space="preserve"> century, silver was the standard of currency. 1717 was the point in which Britain began defining the value of sterling in value to gold, rather than what it was originally silver. </w:t>
      </w:r>
      <w:proofErr w:type="spellStart"/>
      <w:r w:rsidRPr="00700610">
        <w:rPr>
          <w:rFonts w:cstheme="minorHAnsi"/>
          <w:sz w:val="24"/>
          <w:szCs w:val="24"/>
          <w:shd w:val="clear" w:color="auto" w:fill="FFFFFF"/>
        </w:rPr>
        <w:t>Bit</w:t>
      </w:r>
      <w:proofErr w:type="spellEnd"/>
      <w:r w:rsidRPr="00700610">
        <w:rPr>
          <w:rFonts w:cstheme="minorHAnsi"/>
          <w:sz w:val="24"/>
          <w:szCs w:val="24"/>
          <w:shd w:val="clear" w:color="auto" w:fill="FFFFFF"/>
        </w:rPr>
        <w:t xml:space="preserve"> it wasn’t until the 1870s, when Germany adopted gold that the Gold </w:t>
      </w:r>
      <w:r w:rsidRPr="00700610">
        <w:rPr>
          <w:rFonts w:cstheme="minorHAnsi"/>
          <w:sz w:val="24"/>
          <w:szCs w:val="24"/>
          <w:shd w:val="clear" w:color="auto" w:fill="FFFFFF"/>
        </w:rPr>
        <w:lastRenderedPageBreak/>
        <w:t>standard came about, it ushered in a ‘era of grand scale international trade’</w:t>
      </w:r>
      <w:r w:rsidRPr="00700610">
        <w:rPr>
          <w:rStyle w:val="FootnoteReference"/>
          <w:rFonts w:cstheme="minorHAnsi"/>
          <w:sz w:val="24"/>
          <w:szCs w:val="24"/>
          <w:shd w:val="clear" w:color="auto" w:fill="FFFFFF"/>
        </w:rPr>
        <w:footnoteReference w:id="11"/>
      </w:r>
      <w:r w:rsidRPr="00700610">
        <w:rPr>
          <w:rFonts w:cstheme="minorHAnsi"/>
          <w:sz w:val="24"/>
          <w:szCs w:val="24"/>
          <w:shd w:val="clear" w:color="auto" w:fill="FFFFFF"/>
        </w:rPr>
        <w:t xml:space="preserve">. The stability of gold encouraged investors and traders, as it gave them a guarantee of sorts in their financial venture. British investors began pouring money into offshore investments, which was protected by the sterling </w:t>
      </w:r>
      <w:proofErr w:type="gramStart"/>
      <w:r w:rsidRPr="00700610">
        <w:rPr>
          <w:rFonts w:cstheme="minorHAnsi"/>
          <w:sz w:val="24"/>
          <w:szCs w:val="24"/>
          <w:shd w:val="clear" w:color="auto" w:fill="FFFFFF"/>
        </w:rPr>
        <w:t>and also</w:t>
      </w:r>
      <w:proofErr w:type="gramEnd"/>
      <w:r w:rsidRPr="00700610">
        <w:rPr>
          <w:rFonts w:cstheme="minorHAnsi"/>
          <w:sz w:val="24"/>
          <w:szCs w:val="24"/>
          <w:shd w:val="clear" w:color="auto" w:fill="FFFFFF"/>
        </w:rPr>
        <w:t xml:space="preserve"> the power of the British Empire. But it’s not to say that the Gold Standard had its downfalls. Due to events across the globe, such as the collapse of the American rail-building boom after the east and west railways collided in 1869 caused a depression in 1873</w:t>
      </w:r>
      <w:r w:rsidRPr="00700610">
        <w:rPr>
          <w:rStyle w:val="FootnoteReference"/>
          <w:rFonts w:cstheme="minorHAnsi"/>
          <w:sz w:val="24"/>
          <w:szCs w:val="24"/>
          <w:shd w:val="clear" w:color="auto" w:fill="FFFFFF"/>
        </w:rPr>
        <w:footnoteReference w:id="12"/>
      </w:r>
      <w:r w:rsidRPr="00700610">
        <w:rPr>
          <w:rFonts w:cstheme="minorHAnsi"/>
          <w:sz w:val="24"/>
          <w:szCs w:val="24"/>
          <w:shd w:val="clear" w:color="auto" w:fill="FFFFFF"/>
        </w:rPr>
        <w:t xml:space="preserve">. This caused a productivity decline in Britain in the long term, and due to this, the British industry found in the sterling’s face value.  </w:t>
      </w:r>
    </w:p>
    <w:p w14:paraId="4927D3E4" w14:textId="77777777" w:rsidR="00700610" w:rsidRPr="00700610" w:rsidRDefault="00700610" w:rsidP="00700610">
      <w:pPr>
        <w:ind w:firstLine="720"/>
        <w:rPr>
          <w:rFonts w:eastAsia="Times New Roman" w:cstheme="minorHAnsi"/>
          <w:sz w:val="24"/>
          <w:szCs w:val="24"/>
          <w:lang w:eastAsia="en-GB"/>
        </w:rPr>
      </w:pPr>
      <w:r w:rsidRPr="00700610">
        <w:rPr>
          <w:rFonts w:cstheme="minorHAnsi"/>
          <w:sz w:val="24"/>
          <w:szCs w:val="24"/>
          <w:shd w:val="clear" w:color="auto" w:fill="FFFFFF"/>
        </w:rPr>
        <w:t xml:space="preserve">In World War One, Britain suspended the gold standard in 1914 due to the necessity of concentrating on the war. Manufacturing in the war time caused major inflation which helped to liven the trade unions </w:t>
      </w:r>
      <w:proofErr w:type="gramStart"/>
      <w:r w:rsidRPr="00700610">
        <w:rPr>
          <w:rFonts w:cstheme="minorHAnsi"/>
          <w:sz w:val="24"/>
          <w:szCs w:val="24"/>
          <w:shd w:val="clear" w:color="auto" w:fill="FFFFFF"/>
        </w:rPr>
        <w:t>and also</w:t>
      </w:r>
      <w:proofErr w:type="gramEnd"/>
      <w:r w:rsidRPr="00700610">
        <w:rPr>
          <w:rFonts w:cstheme="minorHAnsi"/>
          <w:sz w:val="24"/>
          <w:szCs w:val="24"/>
          <w:shd w:val="clear" w:color="auto" w:fill="FFFFFF"/>
        </w:rPr>
        <w:t xml:space="preserve"> the Treasury, rather than the Bank of England, which printed some banknotes during the war. After the war, and the defeat of Germany, Britain attempted to return to its former glory pre-war, ignoring the consequences of the war in the process. Winston Churchill returned sterling to the gold standard in</w:t>
      </w:r>
      <w:r w:rsidRPr="00700610">
        <w:rPr>
          <w:rFonts w:eastAsia="Times New Roman" w:cstheme="minorHAnsi"/>
          <w:sz w:val="24"/>
          <w:szCs w:val="24"/>
          <w:lang w:eastAsia="en-GB"/>
        </w:rPr>
        <w:t xml:space="preserve"> ‘</w:t>
      </w:r>
      <w:r w:rsidRPr="0005050F">
        <w:rPr>
          <w:rFonts w:eastAsia="Times New Roman" w:cstheme="minorHAnsi"/>
          <w:sz w:val="24"/>
          <w:szCs w:val="24"/>
          <w:lang w:eastAsia="en-GB"/>
        </w:rPr>
        <w:t>1925 at the pre-war rate of £4.86 to the dollar</w:t>
      </w:r>
      <w:r w:rsidRPr="00700610">
        <w:rPr>
          <w:rFonts w:eastAsia="Times New Roman" w:cstheme="minorHAnsi"/>
          <w:sz w:val="24"/>
          <w:szCs w:val="24"/>
          <w:lang w:eastAsia="en-GB"/>
        </w:rPr>
        <w:t>’</w:t>
      </w:r>
      <w:r w:rsidRPr="00700610">
        <w:rPr>
          <w:rStyle w:val="FootnoteReference"/>
          <w:rFonts w:eastAsia="Times New Roman" w:cstheme="minorHAnsi"/>
          <w:sz w:val="24"/>
          <w:szCs w:val="24"/>
          <w:lang w:eastAsia="en-GB"/>
        </w:rPr>
        <w:footnoteReference w:id="13"/>
      </w:r>
      <w:r w:rsidRPr="0005050F">
        <w:rPr>
          <w:rFonts w:eastAsia="Times New Roman" w:cstheme="minorHAnsi"/>
          <w:sz w:val="24"/>
          <w:szCs w:val="24"/>
          <w:lang w:eastAsia="en-GB"/>
        </w:rPr>
        <w:t>.</w:t>
      </w:r>
      <w:r w:rsidRPr="00700610">
        <w:rPr>
          <w:rFonts w:eastAsia="Times New Roman" w:cstheme="minorHAnsi"/>
          <w:sz w:val="24"/>
          <w:szCs w:val="24"/>
          <w:lang w:eastAsia="en-GB"/>
        </w:rPr>
        <w:t xml:space="preserve"> However, the pound was overvalued by 10 per cent</w:t>
      </w:r>
      <w:r w:rsidRPr="00700610">
        <w:rPr>
          <w:rStyle w:val="FootnoteReference"/>
          <w:rFonts w:eastAsia="Times New Roman" w:cstheme="minorHAnsi"/>
          <w:sz w:val="24"/>
          <w:szCs w:val="24"/>
          <w:lang w:eastAsia="en-GB"/>
        </w:rPr>
        <w:footnoteReference w:id="14"/>
      </w:r>
      <w:r w:rsidRPr="00700610">
        <w:rPr>
          <w:rFonts w:eastAsia="Times New Roman" w:cstheme="minorHAnsi"/>
          <w:sz w:val="24"/>
          <w:szCs w:val="24"/>
          <w:lang w:eastAsia="en-GB"/>
        </w:rPr>
        <w:t>. Also, the exchange rate of sterling had remained unchanged since the 18</w:t>
      </w:r>
      <w:r w:rsidRPr="00700610">
        <w:rPr>
          <w:rFonts w:eastAsia="Times New Roman" w:cstheme="minorHAnsi"/>
          <w:sz w:val="24"/>
          <w:szCs w:val="24"/>
          <w:vertAlign w:val="superscript"/>
          <w:lang w:eastAsia="en-GB"/>
        </w:rPr>
        <w:t>th</w:t>
      </w:r>
      <w:r w:rsidRPr="00700610">
        <w:rPr>
          <w:rFonts w:eastAsia="Times New Roman" w:cstheme="minorHAnsi"/>
          <w:sz w:val="24"/>
          <w:szCs w:val="24"/>
          <w:lang w:eastAsia="en-GB"/>
        </w:rPr>
        <w:t xml:space="preserve"> century, this meant that the value was out of date, this also meant that sterling’s expense hurt the British economy.</w:t>
      </w:r>
    </w:p>
    <w:p w14:paraId="7B754156" w14:textId="30C6055F" w:rsidR="00700610" w:rsidRPr="00700610" w:rsidRDefault="00700610" w:rsidP="00700610">
      <w:pPr>
        <w:rPr>
          <w:rFonts w:eastAsia="Times New Roman" w:cstheme="minorHAnsi"/>
          <w:sz w:val="24"/>
          <w:szCs w:val="24"/>
          <w:lang w:eastAsia="en-GB"/>
        </w:rPr>
      </w:pPr>
      <w:r w:rsidRPr="00700610">
        <w:rPr>
          <w:rFonts w:eastAsia="Times New Roman" w:cstheme="minorHAnsi"/>
          <w:sz w:val="24"/>
          <w:szCs w:val="24"/>
          <w:lang w:eastAsia="en-GB"/>
        </w:rPr>
        <w:tab/>
        <w:t xml:space="preserve">Britain had many problems domestically after First World War, as a coal strike broke out in 1926, this could not have come at a worse time, as coal was one of the fuels that was essential to the continuation of Britain, this was then followed by a general strike and a long-drawn out unemployment period, which did not help the economy. The gold standard broke down across the world in between 1930 and 1933, but the pound remained. </w:t>
      </w:r>
    </w:p>
    <w:p w14:paraId="1B35C6DC" w14:textId="2BC9ACAE" w:rsidR="00AB249C" w:rsidRPr="00700610" w:rsidRDefault="00797E84" w:rsidP="006E010F">
      <w:pPr>
        <w:autoSpaceDN w:val="0"/>
        <w:ind w:firstLine="720"/>
        <w:jc w:val="both"/>
        <w:rPr>
          <w:rFonts w:cstheme="minorHAnsi"/>
          <w:sz w:val="24"/>
          <w:szCs w:val="24"/>
        </w:rPr>
      </w:pPr>
      <w:r w:rsidRPr="00700610">
        <w:rPr>
          <w:rFonts w:cstheme="minorHAnsi"/>
          <w:sz w:val="24"/>
          <w:szCs w:val="24"/>
        </w:rPr>
        <w:t>Although there was some money left in the Empire, but that it was usually ‘drummed home by bodies like the Empire Marketing Board’.</w:t>
      </w:r>
      <w:r w:rsidRPr="00700610">
        <w:rPr>
          <w:rStyle w:val="FootnoteReference"/>
          <w:rFonts w:cstheme="minorHAnsi"/>
          <w:sz w:val="24"/>
          <w:szCs w:val="24"/>
        </w:rPr>
        <w:footnoteReference w:id="15"/>
      </w:r>
      <w:r w:rsidR="006E010F" w:rsidRPr="00700610">
        <w:rPr>
          <w:rFonts w:cstheme="minorHAnsi"/>
          <w:sz w:val="24"/>
          <w:szCs w:val="24"/>
        </w:rPr>
        <w:t xml:space="preserve"> In 1930, the king’s Chef created a recipe, at the Board’s suggestion, this recipe was devised to include </w:t>
      </w:r>
      <w:r w:rsidR="007C358F" w:rsidRPr="00700610">
        <w:rPr>
          <w:rFonts w:cstheme="minorHAnsi"/>
          <w:sz w:val="24"/>
          <w:szCs w:val="24"/>
        </w:rPr>
        <w:t>ingredients</w:t>
      </w:r>
      <w:r w:rsidR="006E010F" w:rsidRPr="00700610">
        <w:rPr>
          <w:rFonts w:cstheme="minorHAnsi"/>
          <w:sz w:val="24"/>
          <w:szCs w:val="24"/>
        </w:rPr>
        <w:t xml:space="preserve"> from all over the British Empire. The ‘Empire Christmas Pudding’ was compiled of a list of </w:t>
      </w:r>
      <w:r w:rsidR="007C358F" w:rsidRPr="00700610">
        <w:rPr>
          <w:rFonts w:cstheme="minorHAnsi"/>
          <w:sz w:val="24"/>
          <w:szCs w:val="24"/>
        </w:rPr>
        <w:t>ingredients</w:t>
      </w:r>
      <w:r w:rsidR="006E010F" w:rsidRPr="00700610">
        <w:rPr>
          <w:rFonts w:cstheme="minorHAnsi"/>
          <w:sz w:val="24"/>
          <w:szCs w:val="24"/>
        </w:rPr>
        <w:t xml:space="preserve"> which were from specific countries, for example, the sultanas came only from </w:t>
      </w:r>
      <w:r w:rsidR="00984F0D" w:rsidRPr="00700610">
        <w:rPr>
          <w:rFonts w:cstheme="minorHAnsi"/>
          <w:sz w:val="24"/>
          <w:szCs w:val="24"/>
        </w:rPr>
        <w:t>Australia</w:t>
      </w:r>
      <w:r w:rsidR="006E010F" w:rsidRPr="00700610">
        <w:rPr>
          <w:rFonts w:cstheme="minorHAnsi"/>
          <w:sz w:val="24"/>
          <w:szCs w:val="24"/>
        </w:rPr>
        <w:t xml:space="preserve">, while the flour was from </w:t>
      </w:r>
      <w:r w:rsidR="00984F0D" w:rsidRPr="00700610">
        <w:rPr>
          <w:rFonts w:cstheme="minorHAnsi"/>
          <w:sz w:val="24"/>
          <w:szCs w:val="24"/>
        </w:rPr>
        <w:t>Britain</w:t>
      </w:r>
      <w:r w:rsidR="006E010F" w:rsidRPr="00700610">
        <w:rPr>
          <w:rFonts w:cstheme="minorHAnsi"/>
          <w:sz w:val="24"/>
          <w:szCs w:val="24"/>
        </w:rPr>
        <w:t xml:space="preserve"> itself, the demerara sugar </w:t>
      </w:r>
      <w:r w:rsidR="007C358F" w:rsidRPr="00700610">
        <w:rPr>
          <w:rFonts w:cstheme="minorHAnsi"/>
          <w:sz w:val="24"/>
          <w:szCs w:val="24"/>
        </w:rPr>
        <w:t xml:space="preserve">that was included in the recipe </w:t>
      </w:r>
      <w:r w:rsidR="006E010F" w:rsidRPr="00700610">
        <w:rPr>
          <w:rFonts w:cstheme="minorHAnsi"/>
          <w:sz w:val="24"/>
          <w:szCs w:val="24"/>
        </w:rPr>
        <w:t>came from the West Indies</w:t>
      </w:r>
      <w:r w:rsidR="007C358F" w:rsidRPr="00700610">
        <w:rPr>
          <w:rFonts w:cstheme="minorHAnsi"/>
          <w:sz w:val="24"/>
          <w:szCs w:val="24"/>
        </w:rPr>
        <w:t xml:space="preserve">, other countries that are included in the recipe are Ceylon, </w:t>
      </w:r>
      <w:r w:rsidR="00C96CED" w:rsidRPr="00700610">
        <w:rPr>
          <w:rFonts w:cstheme="minorHAnsi"/>
          <w:sz w:val="24"/>
          <w:szCs w:val="24"/>
        </w:rPr>
        <w:t>Canada</w:t>
      </w:r>
      <w:r w:rsidR="007C358F" w:rsidRPr="00700610">
        <w:rPr>
          <w:rFonts w:cstheme="minorHAnsi"/>
          <w:sz w:val="24"/>
          <w:szCs w:val="24"/>
        </w:rPr>
        <w:t>, South Africa, New Zealand, Irish Free State, Zanzibar, Straits Settlement, India, Cyprus, Jamaica and also England</w:t>
      </w:r>
      <w:r w:rsidR="006E010F" w:rsidRPr="00700610">
        <w:rPr>
          <w:rStyle w:val="FootnoteReference"/>
          <w:rFonts w:cstheme="minorHAnsi"/>
          <w:sz w:val="24"/>
          <w:szCs w:val="24"/>
        </w:rPr>
        <w:footnoteReference w:id="16"/>
      </w:r>
      <w:r w:rsidR="006E010F" w:rsidRPr="00700610">
        <w:rPr>
          <w:rFonts w:cstheme="minorHAnsi"/>
          <w:sz w:val="24"/>
          <w:szCs w:val="24"/>
        </w:rPr>
        <w:t>.</w:t>
      </w:r>
      <w:r w:rsidR="00F670D3" w:rsidRPr="00700610">
        <w:rPr>
          <w:rFonts w:cstheme="minorHAnsi"/>
          <w:sz w:val="24"/>
          <w:szCs w:val="24"/>
        </w:rPr>
        <w:t xml:space="preserve"> Niall Ferguson believes that the recipe conveyed a message about the Empire and its link to Britain, the message that he believes is that, ‘</w:t>
      </w:r>
      <w:r w:rsidR="00583296" w:rsidRPr="00700610">
        <w:rPr>
          <w:rFonts w:cstheme="minorHAnsi"/>
          <w:sz w:val="24"/>
          <w:szCs w:val="24"/>
        </w:rPr>
        <w:t xml:space="preserve">With the Empire, there could be Christmas pudding. Without it, there would only be </w:t>
      </w:r>
      <w:r w:rsidR="008532FA" w:rsidRPr="00700610">
        <w:rPr>
          <w:rFonts w:cstheme="minorHAnsi"/>
          <w:sz w:val="24"/>
          <w:szCs w:val="24"/>
        </w:rPr>
        <w:t>breadcrumbs,</w:t>
      </w:r>
      <w:r w:rsidR="00583296" w:rsidRPr="00700610">
        <w:rPr>
          <w:rFonts w:cstheme="minorHAnsi"/>
          <w:sz w:val="24"/>
          <w:szCs w:val="24"/>
        </w:rPr>
        <w:t xml:space="preserve"> flour and old beer’.</w:t>
      </w:r>
      <w:r w:rsidR="00583296" w:rsidRPr="00700610">
        <w:rPr>
          <w:rStyle w:val="FootnoteReference"/>
          <w:rFonts w:cstheme="minorHAnsi"/>
          <w:sz w:val="24"/>
          <w:szCs w:val="24"/>
        </w:rPr>
        <w:footnoteReference w:id="17"/>
      </w:r>
    </w:p>
    <w:p w14:paraId="72321E7A" w14:textId="77777777" w:rsidR="00D7176C" w:rsidRPr="00700610" w:rsidRDefault="00D7176C" w:rsidP="000E0D92">
      <w:pPr>
        <w:ind w:firstLine="720"/>
        <w:rPr>
          <w:rStyle w:val="Strong"/>
          <w:rFonts w:cstheme="minorHAnsi"/>
          <w:b w:val="0"/>
          <w:sz w:val="24"/>
          <w:szCs w:val="24"/>
          <w:bdr w:val="none" w:sz="0" w:space="0" w:color="auto" w:frame="1"/>
          <w:shd w:val="clear" w:color="auto" w:fill="FFFFFF"/>
        </w:rPr>
      </w:pPr>
      <w:r w:rsidRPr="00700610">
        <w:rPr>
          <w:rStyle w:val="Strong"/>
          <w:rFonts w:cstheme="minorHAnsi"/>
          <w:b w:val="0"/>
          <w:sz w:val="24"/>
          <w:szCs w:val="24"/>
          <w:bdr w:val="none" w:sz="0" w:space="0" w:color="auto" w:frame="1"/>
          <w:shd w:val="clear" w:color="auto" w:fill="FFFFFF"/>
        </w:rPr>
        <w:lastRenderedPageBreak/>
        <w:t>In 1600, Britain formed a company, which was at the beginning called ‘English East India Company</w:t>
      </w:r>
      <w:r w:rsidRPr="00700610">
        <w:rPr>
          <w:rStyle w:val="FootnoteReference"/>
          <w:rFonts w:cstheme="minorHAnsi"/>
          <w:bCs/>
          <w:sz w:val="24"/>
          <w:szCs w:val="24"/>
          <w:bdr w:val="none" w:sz="0" w:space="0" w:color="auto" w:frame="1"/>
          <w:shd w:val="clear" w:color="auto" w:fill="FFFFFF"/>
        </w:rPr>
        <w:footnoteReference w:id="18"/>
      </w:r>
      <w:r w:rsidRPr="00700610">
        <w:rPr>
          <w:rStyle w:val="Strong"/>
          <w:rFonts w:cstheme="minorHAnsi"/>
          <w:b w:val="0"/>
          <w:sz w:val="24"/>
          <w:szCs w:val="24"/>
          <w:bdr w:val="none" w:sz="0" w:space="0" w:color="auto" w:frame="1"/>
          <w:shd w:val="clear" w:color="auto" w:fill="FFFFFF"/>
        </w:rPr>
        <w:t>’, which was later known as ‘Governor and Company of Merchants of London Trading into the East Indies</w:t>
      </w:r>
      <w:r w:rsidRPr="00700610">
        <w:rPr>
          <w:rStyle w:val="FootnoteReference"/>
          <w:rFonts w:cstheme="minorHAnsi"/>
          <w:bCs/>
          <w:sz w:val="24"/>
          <w:szCs w:val="24"/>
          <w:bdr w:val="none" w:sz="0" w:space="0" w:color="auto" w:frame="1"/>
          <w:shd w:val="clear" w:color="auto" w:fill="FFFFFF"/>
        </w:rPr>
        <w:footnoteReference w:id="19"/>
      </w:r>
      <w:r w:rsidRPr="00700610">
        <w:rPr>
          <w:rStyle w:val="Strong"/>
          <w:rFonts w:cstheme="minorHAnsi"/>
          <w:b w:val="0"/>
          <w:sz w:val="24"/>
          <w:szCs w:val="24"/>
          <w:bdr w:val="none" w:sz="0" w:space="0" w:color="auto" w:frame="1"/>
          <w:shd w:val="clear" w:color="auto" w:fill="FFFFFF"/>
        </w:rPr>
        <w:t>’ or United Company of Merchants of England Trading to the East Indies</w:t>
      </w:r>
      <w:r w:rsidRPr="00700610">
        <w:rPr>
          <w:rStyle w:val="FootnoteReference"/>
          <w:rFonts w:cstheme="minorHAnsi"/>
          <w:bCs/>
          <w:sz w:val="24"/>
          <w:szCs w:val="24"/>
          <w:bdr w:val="none" w:sz="0" w:space="0" w:color="auto" w:frame="1"/>
          <w:shd w:val="clear" w:color="auto" w:fill="FFFFFF"/>
        </w:rPr>
        <w:footnoteReference w:id="20"/>
      </w:r>
      <w:r w:rsidRPr="00700610">
        <w:rPr>
          <w:rStyle w:val="Strong"/>
          <w:rFonts w:cstheme="minorHAnsi"/>
          <w:b w:val="0"/>
          <w:sz w:val="24"/>
          <w:szCs w:val="24"/>
          <w:bdr w:val="none" w:sz="0" w:space="0" w:color="auto" w:frame="1"/>
          <w:shd w:val="clear" w:color="auto" w:fill="FFFFFF"/>
        </w:rPr>
        <w:t>’. The East India Trading Company was formed to trade with East and Southeast Asia and India. It later became a royal charter on the 31</w:t>
      </w:r>
      <w:r w:rsidRPr="00700610">
        <w:rPr>
          <w:rStyle w:val="Strong"/>
          <w:rFonts w:cstheme="minorHAnsi"/>
          <w:b w:val="0"/>
          <w:sz w:val="24"/>
          <w:szCs w:val="24"/>
          <w:bdr w:val="none" w:sz="0" w:space="0" w:color="auto" w:frame="1"/>
          <w:shd w:val="clear" w:color="auto" w:fill="FFFFFF"/>
          <w:vertAlign w:val="superscript"/>
        </w:rPr>
        <w:t>st</w:t>
      </w:r>
      <w:r w:rsidRPr="00700610">
        <w:rPr>
          <w:rStyle w:val="Strong"/>
          <w:rFonts w:cstheme="minorHAnsi"/>
          <w:b w:val="0"/>
          <w:sz w:val="24"/>
          <w:szCs w:val="24"/>
          <w:bdr w:val="none" w:sz="0" w:space="0" w:color="auto" w:frame="1"/>
          <w:shd w:val="clear" w:color="auto" w:fill="FFFFFF"/>
        </w:rPr>
        <w:t xml:space="preserve"> of December in 1600. It began as a company which held exclusive control over her overseas trade, and as it later became involved in politics, it then acted as an agent of British Imperialism in India from the earlier part of 18</w:t>
      </w:r>
      <w:r w:rsidRPr="00700610">
        <w:rPr>
          <w:rStyle w:val="Strong"/>
          <w:rFonts w:cstheme="minorHAnsi"/>
          <w:b w:val="0"/>
          <w:sz w:val="24"/>
          <w:szCs w:val="24"/>
          <w:bdr w:val="none" w:sz="0" w:space="0" w:color="auto" w:frame="1"/>
          <w:shd w:val="clear" w:color="auto" w:fill="FFFFFF"/>
          <w:vertAlign w:val="superscript"/>
        </w:rPr>
        <w:t>th</w:t>
      </w:r>
      <w:r w:rsidRPr="00700610">
        <w:rPr>
          <w:rStyle w:val="Strong"/>
          <w:rFonts w:cstheme="minorHAnsi"/>
          <w:b w:val="0"/>
          <w:sz w:val="24"/>
          <w:szCs w:val="24"/>
          <w:bdr w:val="none" w:sz="0" w:space="0" w:color="auto" w:frame="1"/>
          <w:shd w:val="clear" w:color="auto" w:fill="FFFFFF"/>
        </w:rPr>
        <w:t xml:space="preserve"> century which continued throughout to the mid-19</w:t>
      </w:r>
      <w:r w:rsidRPr="00700610">
        <w:rPr>
          <w:rStyle w:val="Strong"/>
          <w:rFonts w:cstheme="minorHAnsi"/>
          <w:b w:val="0"/>
          <w:sz w:val="24"/>
          <w:szCs w:val="24"/>
          <w:bdr w:val="none" w:sz="0" w:space="0" w:color="auto" w:frame="1"/>
          <w:shd w:val="clear" w:color="auto" w:fill="FFFFFF"/>
          <w:vertAlign w:val="superscript"/>
        </w:rPr>
        <w:t>th</w:t>
      </w:r>
      <w:r w:rsidRPr="00700610">
        <w:rPr>
          <w:rStyle w:val="Strong"/>
          <w:rFonts w:cstheme="minorHAnsi"/>
          <w:b w:val="0"/>
          <w:sz w:val="24"/>
          <w:szCs w:val="24"/>
          <w:bdr w:val="none" w:sz="0" w:space="0" w:color="auto" w:frame="1"/>
          <w:shd w:val="clear" w:color="auto" w:fill="FFFFFF"/>
        </w:rPr>
        <w:t xml:space="preserve"> century. The East India Trading Company’s activities in China is argued to have been the incentive for the British, and their influence to expand to China. The East India Trading Company concentrated on trading with other countries and bringing the goods back to Britain to sell to the British people. Spices, tea, tobacco, silk, cotton were just some of the many items in which they traded. </w:t>
      </w:r>
    </w:p>
    <w:p w14:paraId="07C825D6" w14:textId="77777777" w:rsidR="00D7176C" w:rsidRPr="00700610" w:rsidRDefault="00D7176C" w:rsidP="00D7176C">
      <w:pPr>
        <w:rPr>
          <w:rStyle w:val="Strong"/>
          <w:rFonts w:cstheme="minorHAnsi"/>
          <w:b w:val="0"/>
          <w:sz w:val="24"/>
          <w:szCs w:val="24"/>
          <w:bdr w:val="none" w:sz="0" w:space="0" w:color="auto" w:frame="1"/>
          <w:shd w:val="clear" w:color="auto" w:fill="FFFFFF"/>
        </w:rPr>
      </w:pPr>
      <w:r w:rsidRPr="00700610">
        <w:rPr>
          <w:rStyle w:val="Strong"/>
          <w:rFonts w:cstheme="minorHAnsi"/>
          <w:sz w:val="24"/>
          <w:szCs w:val="24"/>
          <w:bdr w:val="none" w:sz="0" w:space="0" w:color="auto" w:frame="1"/>
          <w:shd w:val="clear" w:color="auto" w:fill="FFFFFF"/>
        </w:rPr>
        <w:tab/>
      </w:r>
      <w:r w:rsidRPr="00700610">
        <w:rPr>
          <w:rStyle w:val="Strong"/>
          <w:rFonts w:cstheme="minorHAnsi"/>
          <w:b w:val="0"/>
          <w:sz w:val="24"/>
          <w:szCs w:val="24"/>
          <w:bdr w:val="none" w:sz="0" w:space="0" w:color="auto" w:frame="1"/>
          <w:shd w:val="clear" w:color="auto" w:fill="FFFFFF"/>
        </w:rPr>
        <w:t xml:space="preserve">Slave labour began being utilised by East India Trading Company is the early 1620s. They were transporting the slaves on their ships to their territories in the East. </w:t>
      </w:r>
      <w:proofErr w:type="gramStart"/>
      <w:r w:rsidRPr="00700610">
        <w:rPr>
          <w:rStyle w:val="Strong"/>
          <w:rFonts w:cstheme="minorHAnsi"/>
          <w:b w:val="0"/>
          <w:sz w:val="24"/>
          <w:szCs w:val="24"/>
          <w:bdr w:val="none" w:sz="0" w:space="0" w:color="auto" w:frame="1"/>
          <w:shd w:val="clear" w:color="auto" w:fill="FFFFFF"/>
        </w:rPr>
        <w:t>The majority of</w:t>
      </w:r>
      <w:proofErr w:type="gramEnd"/>
      <w:r w:rsidRPr="00700610">
        <w:rPr>
          <w:rStyle w:val="Strong"/>
          <w:rFonts w:cstheme="minorHAnsi"/>
          <w:b w:val="0"/>
          <w:sz w:val="24"/>
          <w:szCs w:val="24"/>
          <w:bdr w:val="none" w:sz="0" w:space="0" w:color="auto" w:frame="1"/>
          <w:shd w:val="clear" w:color="auto" w:fill="FFFFFF"/>
        </w:rPr>
        <w:t xml:space="preserve"> the salves came from mainly from East Africa, but some even came from Indonesia and some even from Madagascar. This is </w:t>
      </w:r>
      <w:proofErr w:type="gramStart"/>
      <w:r w:rsidRPr="00700610">
        <w:rPr>
          <w:rStyle w:val="Strong"/>
          <w:rFonts w:cstheme="minorHAnsi"/>
          <w:b w:val="0"/>
          <w:sz w:val="24"/>
          <w:szCs w:val="24"/>
          <w:bdr w:val="none" w:sz="0" w:space="0" w:color="auto" w:frame="1"/>
          <w:shd w:val="clear" w:color="auto" w:fill="FFFFFF"/>
        </w:rPr>
        <w:t>due to the fact that</w:t>
      </w:r>
      <w:proofErr w:type="gramEnd"/>
      <w:r w:rsidRPr="00700610">
        <w:rPr>
          <w:rStyle w:val="Strong"/>
          <w:rFonts w:cstheme="minorHAnsi"/>
          <w:b w:val="0"/>
          <w:sz w:val="24"/>
          <w:szCs w:val="24"/>
          <w:bdr w:val="none" w:sz="0" w:space="0" w:color="auto" w:frame="1"/>
          <w:shd w:val="clear" w:color="auto" w:fill="FFFFFF"/>
        </w:rPr>
        <w:t xml:space="preserve"> they were able to work in such high temperatures without suffering such bad effects. The East India Trading Company continued to move slaves in ‘large scale</w:t>
      </w:r>
      <w:r w:rsidRPr="00700610">
        <w:rPr>
          <w:rStyle w:val="FootnoteReference"/>
          <w:rFonts w:cstheme="minorHAnsi"/>
          <w:bCs/>
          <w:sz w:val="24"/>
          <w:szCs w:val="24"/>
          <w:bdr w:val="none" w:sz="0" w:space="0" w:color="auto" w:frame="1"/>
          <w:shd w:val="clear" w:color="auto" w:fill="FFFFFF"/>
        </w:rPr>
        <w:footnoteReference w:id="21"/>
      </w:r>
      <w:r w:rsidRPr="00700610">
        <w:rPr>
          <w:rStyle w:val="Strong"/>
          <w:rFonts w:cstheme="minorHAnsi"/>
          <w:b w:val="0"/>
          <w:sz w:val="24"/>
          <w:szCs w:val="24"/>
          <w:bdr w:val="none" w:sz="0" w:space="0" w:color="auto" w:frame="1"/>
          <w:shd w:val="clear" w:color="auto" w:fill="FFFFFF"/>
        </w:rPr>
        <w:t>’ amounts in the 1730s through to the 1750s, but it ended in the 1770s. The cotton trade declined shortly after.</w:t>
      </w:r>
    </w:p>
    <w:p w14:paraId="24602B6E" w14:textId="77777777" w:rsidR="00D7176C" w:rsidRPr="00700610" w:rsidRDefault="00D7176C" w:rsidP="00D7176C">
      <w:pPr>
        <w:rPr>
          <w:rStyle w:val="Strong"/>
          <w:rFonts w:cstheme="minorHAnsi"/>
          <w:b w:val="0"/>
          <w:sz w:val="24"/>
          <w:szCs w:val="24"/>
          <w:bdr w:val="none" w:sz="0" w:space="0" w:color="auto" w:frame="1"/>
          <w:shd w:val="clear" w:color="auto" w:fill="FFFFFF"/>
        </w:rPr>
      </w:pPr>
      <w:r w:rsidRPr="00700610">
        <w:rPr>
          <w:rStyle w:val="Strong"/>
          <w:rFonts w:cstheme="minorHAnsi"/>
          <w:b w:val="0"/>
          <w:sz w:val="24"/>
          <w:szCs w:val="24"/>
          <w:bdr w:val="none" w:sz="0" w:space="0" w:color="auto" w:frame="1"/>
          <w:shd w:val="clear" w:color="auto" w:fill="FFFFFF"/>
        </w:rPr>
        <w:tab/>
        <w:t>Tea became the one of the most important imports from China, the company financed the tea trade with illegal opium exports to China. The Chinese opposition to this trade led to the first Opium War</w:t>
      </w:r>
      <w:r w:rsidRPr="00700610">
        <w:rPr>
          <w:rStyle w:val="FootnoteReference"/>
          <w:rFonts w:cstheme="minorHAnsi"/>
          <w:bCs/>
          <w:sz w:val="24"/>
          <w:szCs w:val="24"/>
          <w:bdr w:val="none" w:sz="0" w:space="0" w:color="auto" w:frame="1"/>
          <w:shd w:val="clear" w:color="auto" w:fill="FFFFFF"/>
        </w:rPr>
        <w:footnoteReference w:id="22"/>
      </w:r>
      <w:r w:rsidRPr="00700610">
        <w:rPr>
          <w:rStyle w:val="Strong"/>
          <w:rFonts w:cstheme="minorHAnsi"/>
          <w:b w:val="0"/>
          <w:sz w:val="24"/>
          <w:szCs w:val="24"/>
          <w:bdr w:val="none" w:sz="0" w:space="0" w:color="auto" w:frame="1"/>
          <w:shd w:val="clear" w:color="auto" w:fill="FFFFFF"/>
        </w:rPr>
        <w:t xml:space="preserve"> in 1839 which lasted till 1842, which resulted in the defeat of the Chinese and which expanded the British trading territory even further. </w:t>
      </w:r>
    </w:p>
    <w:p w14:paraId="186EE6A4" w14:textId="77777777" w:rsidR="00D7176C" w:rsidRPr="00700610" w:rsidRDefault="00D7176C" w:rsidP="00D7176C">
      <w:pPr>
        <w:rPr>
          <w:rStyle w:val="Strong"/>
          <w:rFonts w:cstheme="minorHAnsi"/>
          <w:b w:val="0"/>
          <w:sz w:val="24"/>
          <w:szCs w:val="24"/>
          <w:bdr w:val="none" w:sz="0" w:space="0" w:color="auto" w:frame="1"/>
          <w:shd w:val="clear" w:color="auto" w:fill="FFFFFF"/>
        </w:rPr>
      </w:pPr>
      <w:r w:rsidRPr="00700610">
        <w:rPr>
          <w:rStyle w:val="Strong"/>
          <w:rFonts w:cstheme="minorHAnsi"/>
          <w:b w:val="0"/>
          <w:sz w:val="24"/>
          <w:szCs w:val="24"/>
          <w:bdr w:val="none" w:sz="0" w:space="0" w:color="auto" w:frame="1"/>
          <w:shd w:val="clear" w:color="auto" w:fill="FFFFFF"/>
        </w:rPr>
        <w:tab/>
        <w:t>The East India Trading Company came to an end when the Regulating Act of 1773 and the William Pitt the Younger’s India Act in 1784 which led to an established control of political policy through a parliament</w:t>
      </w:r>
      <w:r w:rsidRPr="00700610">
        <w:rPr>
          <w:rStyle w:val="FootnoteReference"/>
          <w:rFonts w:cstheme="minorHAnsi"/>
          <w:bCs/>
          <w:sz w:val="24"/>
          <w:szCs w:val="24"/>
          <w:bdr w:val="none" w:sz="0" w:space="0" w:color="auto" w:frame="1"/>
          <w:shd w:val="clear" w:color="auto" w:fill="FFFFFF"/>
        </w:rPr>
        <w:footnoteReference w:id="23"/>
      </w:r>
      <w:r w:rsidRPr="00700610">
        <w:rPr>
          <w:rStyle w:val="Strong"/>
          <w:rFonts w:cstheme="minorHAnsi"/>
          <w:b w:val="0"/>
          <w:sz w:val="24"/>
          <w:szCs w:val="24"/>
          <w:bdr w:val="none" w:sz="0" w:space="0" w:color="auto" w:frame="1"/>
          <w:shd w:val="clear" w:color="auto" w:fill="FFFFFF"/>
        </w:rPr>
        <w:t xml:space="preserve">. The East India Trading Company therefore lost its </w:t>
      </w:r>
      <w:r w:rsidRPr="00700610">
        <w:rPr>
          <w:rStyle w:val="Strong"/>
          <w:rFonts w:cstheme="minorHAnsi"/>
          <w:b w:val="0"/>
          <w:sz w:val="24"/>
          <w:szCs w:val="24"/>
          <w:bdr w:val="none" w:sz="0" w:space="0" w:color="auto" w:frame="1"/>
          <w:shd w:val="clear" w:color="auto" w:fill="FFFFFF"/>
        </w:rPr>
        <w:lastRenderedPageBreak/>
        <w:t xml:space="preserve">control both commercially and politically. In 1834 it was merely a small managing agency used by the British government of India, but it stopped </w:t>
      </w:r>
      <w:proofErr w:type="gramStart"/>
      <w:r w:rsidRPr="00700610">
        <w:rPr>
          <w:rStyle w:val="Strong"/>
          <w:rFonts w:cstheme="minorHAnsi"/>
          <w:b w:val="0"/>
          <w:sz w:val="24"/>
          <w:szCs w:val="24"/>
          <w:bdr w:val="none" w:sz="0" w:space="0" w:color="auto" w:frame="1"/>
          <w:shd w:val="clear" w:color="auto" w:fill="FFFFFF"/>
        </w:rPr>
        <w:t>being seen as</w:t>
      </w:r>
      <w:proofErr w:type="gramEnd"/>
      <w:r w:rsidRPr="00700610">
        <w:rPr>
          <w:rStyle w:val="Strong"/>
          <w:rFonts w:cstheme="minorHAnsi"/>
          <w:b w:val="0"/>
          <w:sz w:val="24"/>
          <w:szCs w:val="24"/>
          <w:bdr w:val="none" w:sz="0" w:space="0" w:color="auto" w:frame="1"/>
          <w:shd w:val="clear" w:color="auto" w:fill="FFFFFF"/>
        </w:rPr>
        <w:t xml:space="preserve"> a legal entity in 1873.</w:t>
      </w:r>
    </w:p>
    <w:p w14:paraId="4D1786EB" w14:textId="77777777" w:rsidR="000E0D92" w:rsidRPr="00700610" w:rsidRDefault="00D7176C" w:rsidP="000E0D92">
      <w:pPr>
        <w:rPr>
          <w:rFonts w:cstheme="minorHAnsi"/>
          <w:sz w:val="24"/>
          <w:szCs w:val="24"/>
        </w:rPr>
      </w:pPr>
      <w:r w:rsidRPr="00700610">
        <w:rPr>
          <w:rFonts w:cstheme="minorHAnsi"/>
          <w:sz w:val="24"/>
          <w:szCs w:val="24"/>
        </w:rPr>
        <w:tab/>
        <w:t>In the 18</w:t>
      </w:r>
      <w:r w:rsidRPr="00700610">
        <w:rPr>
          <w:rFonts w:cstheme="minorHAnsi"/>
          <w:sz w:val="24"/>
          <w:szCs w:val="24"/>
          <w:vertAlign w:val="superscript"/>
        </w:rPr>
        <w:t>th</w:t>
      </w:r>
      <w:r w:rsidRPr="00700610">
        <w:rPr>
          <w:rFonts w:cstheme="minorHAnsi"/>
          <w:sz w:val="24"/>
          <w:szCs w:val="24"/>
        </w:rPr>
        <w:t xml:space="preserve"> century, sugar became one of the most important trade commodities for Britain and the Empire. The sugar cane was of the items that was grown in Spain and Portugal, as the Empire grew, the growing of the sugar cane spread to other territories, such as South America and the Caribbean. The cane was grown there, and then transported back over to Europe, where it was refined. The use of slave labour instead of using paid laborers meant that the cost of production went down made the sugar cane trade explode. To show how sugar was received back in Britain, one source includes the statistic, </w:t>
      </w:r>
      <w:r w:rsidRPr="00700610">
        <w:rPr>
          <w:rFonts w:cstheme="minorHAnsi"/>
          <w:sz w:val="24"/>
          <w:szCs w:val="24"/>
          <w:shd w:val="clear" w:color="auto" w:fill="FFFFFF"/>
        </w:rPr>
        <w:t>‘In Wales and England, sugar consumption increased 2000% during the 1700's!’</w:t>
      </w:r>
      <w:r w:rsidRPr="00700610">
        <w:rPr>
          <w:rStyle w:val="FootnoteReference"/>
          <w:rFonts w:cstheme="minorHAnsi"/>
          <w:sz w:val="24"/>
          <w:szCs w:val="24"/>
          <w:shd w:val="clear" w:color="auto" w:fill="FFFFFF"/>
        </w:rPr>
        <w:footnoteReference w:id="24"/>
      </w:r>
      <w:r w:rsidRPr="00700610">
        <w:rPr>
          <w:rFonts w:cstheme="minorHAnsi"/>
          <w:sz w:val="24"/>
          <w:szCs w:val="24"/>
          <w:shd w:val="clear" w:color="auto" w:fill="FFFFFF"/>
        </w:rPr>
        <w:t>.</w:t>
      </w:r>
      <w:r w:rsidR="000E0D92" w:rsidRPr="00700610">
        <w:rPr>
          <w:rFonts w:cstheme="minorHAnsi"/>
          <w:sz w:val="24"/>
          <w:szCs w:val="24"/>
          <w:shd w:val="clear" w:color="auto" w:fill="FFFFFF"/>
        </w:rPr>
        <w:t xml:space="preserve"> </w:t>
      </w:r>
      <w:r w:rsidR="000E0D92" w:rsidRPr="00700610">
        <w:rPr>
          <w:rFonts w:cstheme="minorHAnsi"/>
          <w:sz w:val="24"/>
          <w:szCs w:val="24"/>
        </w:rPr>
        <w:t xml:space="preserve">The working conditions on the sugar plantations make the modern-day sweatshops that reside in that part of the world today look tame in comparison, there were always more slaves, mainly Africans to take the place of the ones that became worn-out or died due to the strain. </w:t>
      </w:r>
    </w:p>
    <w:p w14:paraId="5C4C0D49" w14:textId="0C164310" w:rsidR="000E0D92" w:rsidRPr="00700610" w:rsidRDefault="000E0D92" w:rsidP="000E0D92">
      <w:pPr>
        <w:ind w:firstLine="720"/>
        <w:rPr>
          <w:rFonts w:cstheme="minorHAnsi"/>
          <w:sz w:val="24"/>
          <w:szCs w:val="24"/>
        </w:rPr>
      </w:pPr>
      <w:r w:rsidRPr="00700610">
        <w:rPr>
          <w:rFonts w:cstheme="minorHAnsi"/>
          <w:sz w:val="24"/>
          <w:szCs w:val="24"/>
        </w:rPr>
        <w:t>During the 1800s, three out of every five Africans who came to the Caribbean were brought to work on the sugar plantations</w:t>
      </w:r>
      <w:r w:rsidRPr="00700610">
        <w:rPr>
          <w:rStyle w:val="FootnoteReference"/>
          <w:rFonts w:cstheme="minorHAnsi"/>
          <w:sz w:val="24"/>
          <w:szCs w:val="24"/>
        </w:rPr>
        <w:footnoteReference w:id="25"/>
      </w:r>
      <w:r w:rsidRPr="00700610">
        <w:rPr>
          <w:rFonts w:cstheme="minorHAnsi"/>
          <w:sz w:val="24"/>
          <w:szCs w:val="24"/>
        </w:rPr>
        <w:t xml:space="preserve">. It said that slaves </w:t>
      </w:r>
      <w:proofErr w:type="gramStart"/>
      <w:r w:rsidRPr="00700610">
        <w:rPr>
          <w:rFonts w:cstheme="minorHAnsi"/>
          <w:sz w:val="24"/>
          <w:szCs w:val="24"/>
        </w:rPr>
        <w:t>were considered to be</w:t>
      </w:r>
      <w:proofErr w:type="gramEnd"/>
      <w:r w:rsidRPr="00700610">
        <w:rPr>
          <w:rFonts w:cstheme="minorHAnsi"/>
          <w:sz w:val="24"/>
          <w:szCs w:val="24"/>
        </w:rPr>
        <w:t xml:space="preserve"> the largest group by far in the Caribbean population</w:t>
      </w:r>
      <w:r w:rsidRPr="00700610">
        <w:rPr>
          <w:rStyle w:val="FootnoteReference"/>
          <w:rFonts w:cstheme="minorHAnsi"/>
          <w:sz w:val="24"/>
          <w:szCs w:val="24"/>
        </w:rPr>
        <w:footnoteReference w:id="26"/>
      </w:r>
      <w:r w:rsidRPr="00700610">
        <w:rPr>
          <w:rFonts w:cstheme="minorHAnsi"/>
          <w:sz w:val="24"/>
          <w:szCs w:val="24"/>
        </w:rPr>
        <w:t>. Following the abolition of slave trade in England in 1807 which was then followed by the United States of America in 1863, the slave trade began to fizzle out. It is said that about 4.5 million Africans had ended up as slaves in the Caribbean</w:t>
      </w:r>
      <w:r w:rsidRPr="00700610">
        <w:rPr>
          <w:rStyle w:val="FootnoteReference"/>
          <w:rFonts w:cstheme="minorHAnsi"/>
          <w:sz w:val="24"/>
          <w:szCs w:val="24"/>
        </w:rPr>
        <w:footnoteReference w:id="27"/>
      </w:r>
      <w:r w:rsidRPr="00700610">
        <w:rPr>
          <w:rFonts w:cstheme="minorHAnsi"/>
          <w:sz w:val="24"/>
          <w:szCs w:val="24"/>
        </w:rPr>
        <w:t xml:space="preserve">, this led to a difficult social structure, as in those times, skin colour and ancestry played a key role in a person’s personal power. </w:t>
      </w:r>
    </w:p>
    <w:p w14:paraId="62A96347" w14:textId="023F9537" w:rsidR="00D7176C" w:rsidRPr="00700610" w:rsidRDefault="00D7176C" w:rsidP="00D7176C">
      <w:pPr>
        <w:pStyle w:val="NormalWeb"/>
        <w:shd w:val="clear" w:color="auto" w:fill="FFFFFF"/>
        <w:spacing w:before="0" w:beforeAutospacing="0" w:after="0" w:afterAutospacing="0"/>
        <w:textAlignment w:val="baseline"/>
        <w:rPr>
          <w:rFonts w:asciiTheme="minorHAnsi" w:hAnsiTheme="minorHAnsi" w:cstheme="minorHAnsi"/>
        </w:rPr>
      </w:pPr>
    </w:p>
    <w:p w14:paraId="0C4731CE" w14:textId="7A10B219" w:rsidR="00B42550" w:rsidRPr="00700610" w:rsidRDefault="008532FA" w:rsidP="008D2614">
      <w:pPr>
        <w:autoSpaceDN w:val="0"/>
        <w:ind w:firstLine="720"/>
        <w:jc w:val="both"/>
        <w:rPr>
          <w:rFonts w:cstheme="minorHAnsi"/>
          <w:sz w:val="24"/>
          <w:szCs w:val="24"/>
        </w:rPr>
      </w:pPr>
      <w:r w:rsidRPr="00700610">
        <w:rPr>
          <w:rFonts w:cstheme="minorHAnsi"/>
          <w:sz w:val="24"/>
          <w:szCs w:val="24"/>
        </w:rPr>
        <w:t xml:space="preserve">The end of the British Empire could be argued to have begun on Easter Monday in Ireland, in the year 1916, where thousands of extreme Irish nationalists led by Patrick Pearse, a poet, and a socialist by the name of James Connolly, who marched, with the thousands of </w:t>
      </w:r>
      <w:r w:rsidR="00D96772" w:rsidRPr="00700610">
        <w:rPr>
          <w:rFonts w:cstheme="minorHAnsi"/>
          <w:sz w:val="24"/>
          <w:szCs w:val="24"/>
        </w:rPr>
        <w:t>nationalists into</w:t>
      </w:r>
      <w:r w:rsidRPr="00700610">
        <w:rPr>
          <w:rFonts w:cstheme="minorHAnsi"/>
          <w:sz w:val="24"/>
          <w:szCs w:val="24"/>
        </w:rPr>
        <w:t xml:space="preserve"> Dublin, and begun occupying buildings such as the General Post Office, which was a huge building. </w:t>
      </w:r>
      <w:r w:rsidR="000C6741" w:rsidRPr="00700610">
        <w:rPr>
          <w:rFonts w:cstheme="minorHAnsi"/>
          <w:sz w:val="24"/>
          <w:szCs w:val="24"/>
        </w:rPr>
        <w:t>British forces</w:t>
      </w:r>
      <w:r w:rsidR="00C21F1F" w:rsidRPr="00700610">
        <w:rPr>
          <w:rFonts w:cstheme="minorHAnsi"/>
          <w:sz w:val="24"/>
          <w:szCs w:val="24"/>
        </w:rPr>
        <w:t>, which consisted of former soldiers called the ‘Black and Tans’</w:t>
      </w:r>
      <w:r w:rsidR="00C21F1F" w:rsidRPr="00700610">
        <w:rPr>
          <w:rStyle w:val="FootnoteReference"/>
          <w:rFonts w:cstheme="minorHAnsi"/>
          <w:sz w:val="24"/>
          <w:szCs w:val="24"/>
        </w:rPr>
        <w:footnoteReference w:id="28"/>
      </w:r>
      <w:r w:rsidR="000C6741" w:rsidRPr="00700610">
        <w:rPr>
          <w:rFonts w:cstheme="minorHAnsi"/>
          <w:sz w:val="24"/>
          <w:szCs w:val="24"/>
        </w:rPr>
        <w:t xml:space="preserve"> were sent into Ireland</w:t>
      </w:r>
      <w:r w:rsidR="00B87338">
        <w:rPr>
          <w:rFonts w:cstheme="minorHAnsi"/>
          <w:sz w:val="24"/>
          <w:szCs w:val="24"/>
        </w:rPr>
        <w:t xml:space="preserve">. Three days later the </w:t>
      </w:r>
      <w:r w:rsidR="000C6741" w:rsidRPr="00700610">
        <w:rPr>
          <w:rFonts w:cstheme="minorHAnsi"/>
          <w:sz w:val="24"/>
          <w:szCs w:val="24"/>
        </w:rPr>
        <w:t xml:space="preserve">rebels </w:t>
      </w:r>
      <w:r w:rsidR="00B87338">
        <w:rPr>
          <w:rFonts w:cstheme="minorHAnsi"/>
          <w:sz w:val="24"/>
          <w:szCs w:val="24"/>
        </w:rPr>
        <w:t>surrendered</w:t>
      </w:r>
      <w:r w:rsidR="000C6741" w:rsidRPr="00700610">
        <w:rPr>
          <w:rFonts w:cstheme="minorHAnsi"/>
          <w:sz w:val="24"/>
          <w:szCs w:val="24"/>
        </w:rPr>
        <w:t xml:space="preserve"> and were </w:t>
      </w:r>
      <w:r w:rsidR="00306D9B" w:rsidRPr="00700610">
        <w:rPr>
          <w:rFonts w:cstheme="minorHAnsi"/>
          <w:sz w:val="24"/>
          <w:szCs w:val="24"/>
        </w:rPr>
        <w:t>punished</w:t>
      </w:r>
      <w:r w:rsidR="00B87338">
        <w:rPr>
          <w:rFonts w:cstheme="minorHAnsi"/>
          <w:sz w:val="24"/>
          <w:szCs w:val="24"/>
        </w:rPr>
        <w:t xml:space="preserve">, </w:t>
      </w:r>
      <w:r w:rsidR="00306D9B" w:rsidRPr="00700610">
        <w:rPr>
          <w:rFonts w:cstheme="minorHAnsi"/>
          <w:sz w:val="24"/>
          <w:szCs w:val="24"/>
        </w:rPr>
        <w:t xml:space="preserve">the leading conspirators were executed. </w:t>
      </w:r>
      <w:r w:rsidR="00B87338">
        <w:rPr>
          <w:rFonts w:cstheme="minorHAnsi"/>
          <w:sz w:val="24"/>
          <w:szCs w:val="24"/>
        </w:rPr>
        <w:t xml:space="preserve">Southern </w:t>
      </w:r>
      <w:r w:rsidR="00D919DD" w:rsidRPr="00700610">
        <w:rPr>
          <w:rFonts w:cstheme="minorHAnsi"/>
          <w:sz w:val="24"/>
          <w:szCs w:val="24"/>
        </w:rPr>
        <w:t>Ireland succeeded in</w:t>
      </w:r>
      <w:r w:rsidR="00B87338">
        <w:rPr>
          <w:rFonts w:cstheme="minorHAnsi"/>
          <w:sz w:val="24"/>
          <w:szCs w:val="24"/>
        </w:rPr>
        <w:t xml:space="preserve"> gaining Independence and becoming a ‘free state’ in</w:t>
      </w:r>
      <w:r w:rsidR="00D919DD" w:rsidRPr="00700610">
        <w:rPr>
          <w:rFonts w:cstheme="minorHAnsi"/>
          <w:sz w:val="24"/>
          <w:szCs w:val="24"/>
        </w:rPr>
        <w:t xml:space="preserve"> 1921, but it </w:t>
      </w:r>
      <w:r w:rsidR="00B87338">
        <w:rPr>
          <w:rFonts w:cstheme="minorHAnsi"/>
          <w:sz w:val="24"/>
          <w:szCs w:val="24"/>
        </w:rPr>
        <w:t>only</w:t>
      </w:r>
      <w:r w:rsidR="00D919DD" w:rsidRPr="00700610">
        <w:rPr>
          <w:rFonts w:cstheme="minorHAnsi"/>
          <w:sz w:val="24"/>
          <w:szCs w:val="24"/>
        </w:rPr>
        <w:t xml:space="preserve"> achieved fully in 1948</w:t>
      </w:r>
      <w:r w:rsidR="00B87338">
        <w:rPr>
          <w:rFonts w:cstheme="minorHAnsi"/>
          <w:sz w:val="24"/>
          <w:szCs w:val="24"/>
        </w:rPr>
        <w:t xml:space="preserve">. </w:t>
      </w:r>
      <w:r w:rsidR="00D919DD" w:rsidRPr="00700610">
        <w:rPr>
          <w:rFonts w:cstheme="minorHAnsi"/>
          <w:sz w:val="24"/>
          <w:szCs w:val="24"/>
        </w:rPr>
        <w:t xml:space="preserve"> </w:t>
      </w:r>
      <w:r w:rsidR="00CA14A3">
        <w:rPr>
          <w:rFonts w:cstheme="minorHAnsi"/>
          <w:sz w:val="24"/>
          <w:szCs w:val="24"/>
        </w:rPr>
        <w:t xml:space="preserve">India gained Independence from the British Empire in 1948 after the Partition of India after world war two.  The British Empire ceased to exist in 1997 after Hong Kong was transferred to China, this marked the end an era, although many believe that the British Empire had ceased to exist long before this. </w:t>
      </w:r>
    </w:p>
    <w:p w14:paraId="32F919C1" w14:textId="7CCE71B9" w:rsidR="00B42550" w:rsidRPr="00700610" w:rsidRDefault="00C8660F" w:rsidP="008D2614">
      <w:pPr>
        <w:ind w:firstLine="720"/>
        <w:rPr>
          <w:rFonts w:cstheme="minorHAnsi"/>
          <w:sz w:val="24"/>
          <w:szCs w:val="24"/>
        </w:rPr>
      </w:pPr>
      <w:r w:rsidRPr="00700610">
        <w:rPr>
          <w:rFonts w:cstheme="minorHAnsi"/>
          <w:sz w:val="24"/>
          <w:szCs w:val="24"/>
        </w:rPr>
        <w:t xml:space="preserve">Therefore, in conclusion, British hegemony was indeed under threat over her overseas territories despite her victory in World War One, and this is due, in my opinion, to </w:t>
      </w:r>
      <w:r w:rsidRPr="00700610">
        <w:rPr>
          <w:rFonts w:cstheme="minorHAnsi"/>
          <w:sz w:val="24"/>
          <w:szCs w:val="24"/>
        </w:rPr>
        <w:lastRenderedPageBreak/>
        <w:t xml:space="preserve">the fact that Britain had accumulated such vast </w:t>
      </w:r>
      <w:r w:rsidR="000B5618" w:rsidRPr="00700610">
        <w:rPr>
          <w:rFonts w:cstheme="minorHAnsi"/>
          <w:sz w:val="24"/>
          <w:szCs w:val="24"/>
        </w:rPr>
        <w:t xml:space="preserve">economic </w:t>
      </w:r>
      <w:r w:rsidRPr="00700610">
        <w:rPr>
          <w:rFonts w:cstheme="minorHAnsi"/>
          <w:sz w:val="24"/>
          <w:szCs w:val="24"/>
        </w:rPr>
        <w:t xml:space="preserve">debts due to </w:t>
      </w:r>
      <w:r w:rsidR="000B5618" w:rsidRPr="00700610">
        <w:rPr>
          <w:rFonts w:cstheme="minorHAnsi"/>
          <w:sz w:val="24"/>
          <w:szCs w:val="24"/>
        </w:rPr>
        <w:t>her</w:t>
      </w:r>
      <w:r w:rsidRPr="00700610">
        <w:rPr>
          <w:rFonts w:cstheme="minorHAnsi"/>
          <w:sz w:val="24"/>
          <w:szCs w:val="24"/>
        </w:rPr>
        <w:t xml:space="preserve"> becoming allied with France, Russia, Italy and the United States of America</w:t>
      </w:r>
      <w:r w:rsidR="00700610">
        <w:rPr>
          <w:rFonts w:cstheme="minorHAnsi"/>
          <w:sz w:val="24"/>
          <w:szCs w:val="24"/>
        </w:rPr>
        <w:t xml:space="preserve"> during world war one</w:t>
      </w:r>
      <w:r w:rsidRPr="00700610">
        <w:rPr>
          <w:rFonts w:cstheme="minorHAnsi"/>
          <w:sz w:val="24"/>
          <w:szCs w:val="24"/>
        </w:rPr>
        <w:t xml:space="preserve">. </w:t>
      </w:r>
      <w:r w:rsidR="000B5618" w:rsidRPr="00700610">
        <w:rPr>
          <w:rFonts w:cstheme="minorHAnsi"/>
          <w:sz w:val="24"/>
          <w:szCs w:val="24"/>
        </w:rPr>
        <w:t xml:space="preserve">Britain had also lost a massive amount of men in the war, </w:t>
      </w:r>
      <w:r w:rsidR="00700610">
        <w:rPr>
          <w:rFonts w:cstheme="minorHAnsi"/>
          <w:sz w:val="24"/>
          <w:szCs w:val="24"/>
        </w:rPr>
        <w:t xml:space="preserve">which had accumulated to </w:t>
      </w:r>
      <w:r w:rsidR="000B5618" w:rsidRPr="00700610">
        <w:rPr>
          <w:rFonts w:cstheme="minorHAnsi"/>
          <w:sz w:val="24"/>
          <w:szCs w:val="24"/>
        </w:rPr>
        <w:t xml:space="preserve">three quarters of a million, </w:t>
      </w:r>
      <w:r w:rsidR="00700610">
        <w:rPr>
          <w:rFonts w:cstheme="minorHAnsi"/>
          <w:sz w:val="24"/>
          <w:szCs w:val="24"/>
        </w:rPr>
        <w:t xml:space="preserve">which was </w:t>
      </w:r>
      <w:r w:rsidR="000B5618" w:rsidRPr="00700610">
        <w:rPr>
          <w:rFonts w:cstheme="minorHAnsi"/>
          <w:sz w:val="24"/>
          <w:szCs w:val="24"/>
        </w:rPr>
        <w:t>a great deal of the population in the early 20</w:t>
      </w:r>
      <w:r w:rsidR="000B5618" w:rsidRPr="00700610">
        <w:rPr>
          <w:rFonts w:cstheme="minorHAnsi"/>
          <w:sz w:val="24"/>
          <w:szCs w:val="24"/>
          <w:vertAlign w:val="superscript"/>
        </w:rPr>
        <w:t>th</w:t>
      </w:r>
      <w:r w:rsidR="000B5618" w:rsidRPr="00700610">
        <w:rPr>
          <w:rFonts w:cstheme="minorHAnsi"/>
          <w:sz w:val="24"/>
          <w:szCs w:val="24"/>
        </w:rPr>
        <w:t xml:space="preserve"> century where the overall population was 46 million in 1914</w:t>
      </w:r>
      <w:r w:rsidR="000B5618" w:rsidRPr="00700610">
        <w:rPr>
          <w:rStyle w:val="FootnoteReference"/>
          <w:rFonts w:cstheme="minorHAnsi"/>
          <w:sz w:val="24"/>
          <w:szCs w:val="24"/>
        </w:rPr>
        <w:footnoteReference w:id="29"/>
      </w:r>
      <w:r w:rsidR="000B5618" w:rsidRPr="00700610">
        <w:rPr>
          <w:rFonts w:cstheme="minorHAnsi"/>
          <w:sz w:val="24"/>
          <w:szCs w:val="24"/>
        </w:rPr>
        <w:t>, and it was just over 50 million in 1951</w:t>
      </w:r>
      <w:r w:rsidR="008651EB" w:rsidRPr="00700610">
        <w:rPr>
          <w:rStyle w:val="FootnoteReference"/>
          <w:rFonts w:cstheme="minorHAnsi"/>
          <w:sz w:val="24"/>
          <w:szCs w:val="24"/>
        </w:rPr>
        <w:footnoteReference w:id="30"/>
      </w:r>
      <w:r w:rsidR="000B5618" w:rsidRPr="00700610">
        <w:rPr>
          <w:rFonts w:cstheme="minorHAnsi"/>
          <w:sz w:val="24"/>
          <w:szCs w:val="24"/>
        </w:rPr>
        <w:t xml:space="preserve">, which indicates that there was a great loss of life </w:t>
      </w:r>
      <w:proofErr w:type="gramStart"/>
      <w:r w:rsidR="008651EB" w:rsidRPr="00700610">
        <w:rPr>
          <w:rFonts w:cstheme="minorHAnsi"/>
          <w:sz w:val="24"/>
          <w:szCs w:val="24"/>
        </w:rPr>
        <w:t>in order for</w:t>
      </w:r>
      <w:proofErr w:type="gramEnd"/>
      <w:r w:rsidR="008651EB" w:rsidRPr="00700610">
        <w:rPr>
          <w:rFonts w:cstheme="minorHAnsi"/>
          <w:sz w:val="24"/>
          <w:szCs w:val="24"/>
        </w:rPr>
        <w:t xml:space="preserve"> Britain to take thirty=seven years to </w:t>
      </w:r>
      <w:r w:rsidR="005F2AC9" w:rsidRPr="00700610">
        <w:rPr>
          <w:rFonts w:cstheme="minorHAnsi"/>
          <w:sz w:val="24"/>
          <w:szCs w:val="24"/>
        </w:rPr>
        <w:t>increase</w:t>
      </w:r>
      <w:r w:rsidR="008651EB" w:rsidRPr="00700610">
        <w:rPr>
          <w:rFonts w:cstheme="minorHAnsi"/>
          <w:sz w:val="24"/>
          <w:szCs w:val="24"/>
        </w:rPr>
        <w:t xml:space="preserve"> the population by four million</w:t>
      </w:r>
      <w:r w:rsidR="00384D3E">
        <w:rPr>
          <w:rFonts w:cstheme="minorHAnsi"/>
          <w:sz w:val="24"/>
          <w:szCs w:val="24"/>
        </w:rPr>
        <w:t>. Although there were other aspects that contributed to the end of the British Empire, I believe that it boiled down to the fact that Britain was not economically sound after the war.</w:t>
      </w:r>
      <w:r w:rsidR="005F2AC9" w:rsidRPr="00700610">
        <w:rPr>
          <w:rFonts w:cstheme="minorHAnsi"/>
          <w:sz w:val="24"/>
          <w:szCs w:val="24"/>
        </w:rPr>
        <w:t xml:space="preserve"> Britain was unable to cope with handling her own </w:t>
      </w:r>
      <w:r w:rsidR="00384D3E">
        <w:rPr>
          <w:rFonts w:cstheme="minorHAnsi"/>
          <w:sz w:val="24"/>
          <w:szCs w:val="24"/>
        </w:rPr>
        <w:t xml:space="preserve">internal </w:t>
      </w:r>
      <w:r w:rsidR="005F2AC9" w:rsidRPr="00700610">
        <w:rPr>
          <w:rFonts w:cstheme="minorHAnsi"/>
          <w:sz w:val="24"/>
          <w:szCs w:val="24"/>
        </w:rPr>
        <w:t>affairs after wor</w:t>
      </w:r>
      <w:r w:rsidR="00384D3E">
        <w:rPr>
          <w:rFonts w:cstheme="minorHAnsi"/>
          <w:sz w:val="24"/>
          <w:szCs w:val="24"/>
        </w:rPr>
        <w:t>l</w:t>
      </w:r>
      <w:r w:rsidR="005F2AC9" w:rsidRPr="00700610">
        <w:rPr>
          <w:rFonts w:cstheme="minorHAnsi"/>
          <w:sz w:val="24"/>
          <w:szCs w:val="24"/>
        </w:rPr>
        <w:t xml:space="preserve">d war one, and thus was unable to continue to </w:t>
      </w:r>
      <w:r w:rsidR="00384D3E">
        <w:rPr>
          <w:rFonts w:cstheme="minorHAnsi"/>
          <w:sz w:val="24"/>
          <w:szCs w:val="24"/>
        </w:rPr>
        <w:t xml:space="preserve">control and </w:t>
      </w:r>
      <w:r w:rsidR="005F2AC9" w:rsidRPr="00700610">
        <w:rPr>
          <w:rFonts w:cstheme="minorHAnsi"/>
          <w:sz w:val="24"/>
          <w:szCs w:val="24"/>
        </w:rPr>
        <w:t>supervise her colon</w:t>
      </w:r>
      <w:r w:rsidR="00384D3E">
        <w:rPr>
          <w:rFonts w:cstheme="minorHAnsi"/>
          <w:sz w:val="24"/>
          <w:szCs w:val="24"/>
        </w:rPr>
        <w:t>ial territories</w:t>
      </w:r>
      <w:r w:rsidR="005F2AC9" w:rsidRPr="00700610">
        <w:rPr>
          <w:rFonts w:cstheme="minorHAnsi"/>
          <w:sz w:val="24"/>
          <w:szCs w:val="24"/>
        </w:rPr>
        <w:t>, and thus the empire became under-threat, and this was the beginning of end of the British Empire, and Britain’s hegemony over her overseas territories.</w:t>
      </w:r>
    </w:p>
    <w:p w14:paraId="17B71ECB" w14:textId="77777777" w:rsidR="00BD5DB2" w:rsidRPr="00700610" w:rsidRDefault="00BD5DB2">
      <w:pPr>
        <w:rPr>
          <w:rFonts w:cstheme="minorHAnsi"/>
          <w:sz w:val="24"/>
          <w:szCs w:val="24"/>
        </w:rPr>
      </w:pPr>
    </w:p>
    <w:p w14:paraId="3D84BDDE" w14:textId="782DFFB1" w:rsidR="00B42550" w:rsidRPr="00700610" w:rsidRDefault="00674C23">
      <w:pPr>
        <w:rPr>
          <w:rFonts w:cstheme="minorHAnsi"/>
          <w:sz w:val="24"/>
          <w:szCs w:val="24"/>
        </w:rPr>
      </w:pPr>
      <w:r w:rsidRPr="00700610">
        <w:rPr>
          <w:rFonts w:cstheme="minorHAnsi"/>
          <w:sz w:val="24"/>
          <w:szCs w:val="24"/>
        </w:rPr>
        <w:t>Bibliography</w:t>
      </w:r>
    </w:p>
    <w:p w14:paraId="23FBCDBD" w14:textId="0E108E46" w:rsidR="00B42550" w:rsidRPr="00700610" w:rsidRDefault="00B42550">
      <w:pPr>
        <w:rPr>
          <w:rFonts w:cstheme="minorHAnsi"/>
          <w:sz w:val="24"/>
          <w:szCs w:val="24"/>
        </w:rPr>
      </w:pPr>
    </w:p>
    <w:p w14:paraId="58E1F905" w14:textId="77777777" w:rsidR="008651EB" w:rsidRPr="00700610" w:rsidRDefault="008651EB" w:rsidP="008651EB">
      <w:pPr>
        <w:rPr>
          <w:rFonts w:cstheme="minorHAnsi"/>
          <w:sz w:val="24"/>
          <w:szCs w:val="24"/>
        </w:rPr>
      </w:pPr>
      <w:r w:rsidRPr="00700610">
        <w:rPr>
          <w:rFonts w:cstheme="minorHAnsi"/>
          <w:sz w:val="24"/>
          <w:szCs w:val="24"/>
          <w:shd w:val="clear" w:color="auto" w:fill="FFFFFF"/>
        </w:rPr>
        <w:t>Barrow, Mandy, </w:t>
      </w:r>
      <w:r w:rsidRPr="00700610">
        <w:rPr>
          <w:rFonts w:cstheme="minorHAnsi"/>
          <w:i/>
          <w:iCs/>
          <w:sz w:val="24"/>
          <w:szCs w:val="24"/>
          <w:shd w:val="clear" w:color="auto" w:fill="FFFFFF"/>
        </w:rPr>
        <w:t>Project Britain British Life and Culture</w:t>
      </w:r>
      <w:r w:rsidRPr="00700610">
        <w:rPr>
          <w:rFonts w:cstheme="minorHAnsi"/>
          <w:sz w:val="24"/>
          <w:szCs w:val="24"/>
          <w:shd w:val="clear" w:color="auto" w:fill="FFFFFF"/>
        </w:rPr>
        <w:t> (2014) &lt;http://projectbritain.com/population.html#anchor57006&gt; [accessed 7 May 2018].</w:t>
      </w:r>
    </w:p>
    <w:p w14:paraId="34FCC433" w14:textId="77777777" w:rsidR="008D2614" w:rsidRPr="00700610" w:rsidRDefault="008D2614" w:rsidP="008D2614">
      <w:pPr>
        <w:rPr>
          <w:rFonts w:cstheme="minorHAnsi"/>
          <w:sz w:val="24"/>
          <w:szCs w:val="24"/>
        </w:rPr>
      </w:pPr>
      <w:r w:rsidRPr="00700610">
        <w:rPr>
          <w:rFonts w:cstheme="minorHAnsi"/>
          <w:sz w:val="24"/>
          <w:szCs w:val="24"/>
          <w:shd w:val="clear" w:color="auto" w:fill="FFFFFF"/>
        </w:rPr>
        <w:t>Bright Hub, </w:t>
      </w:r>
      <w:r w:rsidRPr="00700610">
        <w:rPr>
          <w:rFonts w:cstheme="minorHAnsi"/>
          <w:i/>
          <w:iCs/>
          <w:sz w:val="24"/>
          <w:szCs w:val="24"/>
          <w:shd w:val="clear" w:color="auto" w:fill="FFFFFF"/>
        </w:rPr>
        <w:t>Eighteenth Century Slavery and Sugar</w:t>
      </w:r>
      <w:r w:rsidRPr="00700610">
        <w:rPr>
          <w:rFonts w:cstheme="minorHAnsi"/>
          <w:sz w:val="24"/>
          <w:szCs w:val="24"/>
          <w:shd w:val="clear" w:color="auto" w:fill="FFFFFF"/>
        </w:rPr>
        <w:t> (2016) &lt;https://www.brighthubeducation.com/history-homework-help/92096-slavery-and-the-sugar-trade-in-the-eighteenth-century/&gt; [accessed 8 May 2018].</w:t>
      </w:r>
    </w:p>
    <w:p w14:paraId="31798187" w14:textId="77777777" w:rsidR="00700610" w:rsidRPr="00700610" w:rsidRDefault="00700610" w:rsidP="00700610">
      <w:pPr>
        <w:rPr>
          <w:rFonts w:cstheme="minorHAnsi"/>
          <w:sz w:val="24"/>
          <w:szCs w:val="24"/>
        </w:rPr>
      </w:pPr>
      <w:proofErr w:type="spellStart"/>
      <w:r w:rsidRPr="00700610">
        <w:rPr>
          <w:rFonts w:cstheme="minorHAnsi"/>
          <w:sz w:val="24"/>
          <w:szCs w:val="24"/>
          <w:shd w:val="clear" w:color="auto" w:fill="FFFFFF"/>
        </w:rPr>
        <w:t>Dawnay</w:t>
      </w:r>
      <w:proofErr w:type="spellEnd"/>
      <w:r w:rsidRPr="00700610">
        <w:rPr>
          <w:rFonts w:cstheme="minorHAnsi"/>
          <w:sz w:val="24"/>
          <w:szCs w:val="24"/>
          <w:shd w:val="clear" w:color="auto" w:fill="FFFFFF"/>
        </w:rPr>
        <w:t>, Kit, </w:t>
      </w:r>
      <w:r w:rsidRPr="00700610">
        <w:rPr>
          <w:rFonts w:cstheme="minorHAnsi"/>
          <w:i/>
          <w:iCs/>
          <w:sz w:val="24"/>
          <w:szCs w:val="24"/>
          <w:shd w:val="clear" w:color="auto" w:fill="FFFFFF"/>
        </w:rPr>
        <w:t>A history of sterling</w:t>
      </w:r>
      <w:r w:rsidRPr="00700610">
        <w:rPr>
          <w:rFonts w:cstheme="minorHAnsi"/>
          <w:sz w:val="24"/>
          <w:szCs w:val="24"/>
          <w:shd w:val="clear" w:color="auto" w:fill="FFFFFF"/>
        </w:rPr>
        <w:t> (2018) &lt;https://www.telegraph.co.uk/news/1399693/A-history-of-sterling.html&gt; [accessed 8 May 2018].</w:t>
      </w:r>
      <w:bookmarkStart w:id="0" w:name="_GoBack"/>
      <w:bookmarkEnd w:id="0"/>
    </w:p>
    <w:p w14:paraId="2481074A" w14:textId="77777777" w:rsidR="008D2614" w:rsidRPr="00714AB8" w:rsidRDefault="008D2614" w:rsidP="008D2614">
      <w:pPr>
        <w:rPr>
          <w:rFonts w:cstheme="minorHAnsi"/>
          <w:sz w:val="24"/>
          <w:szCs w:val="24"/>
          <w:shd w:val="clear" w:color="auto" w:fill="FFFFFF"/>
        </w:rPr>
      </w:pPr>
      <w:r w:rsidRPr="00700610">
        <w:rPr>
          <w:rFonts w:cstheme="minorHAnsi"/>
          <w:sz w:val="24"/>
          <w:szCs w:val="24"/>
          <w:shd w:val="clear" w:color="auto" w:fill="FFFFFF"/>
        </w:rPr>
        <w:t>Encyclopaedia Britannica, </w:t>
      </w:r>
      <w:r w:rsidRPr="00700610">
        <w:rPr>
          <w:rFonts w:cstheme="minorHAnsi"/>
          <w:i/>
          <w:iCs/>
          <w:sz w:val="24"/>
          <w:szCs w:val="24"/>
          <w:shd w:val="clear" w:color="auto" w:fill="FFFFFF"/>
        </w:rPr>
        <w:t>East India Company</w:t>
      </w:r>
      <w:r w:rsidRPr="00700610">
        <w:rPr>
          <w:rFonts w:cstheme="minorHAnsi"/>
          <w:sz w:val="24"/>
          <w:szCs w:val="24"/>
          <w:shd w:val="clear" w:color="auto" w:fill="FFFFFF"/>
        </w:rPr>
        <w:t xml:space="preserve"> (2018) </w:t>
      </w:r>
      <w:r w:rsidRPr="00714AB8">
        <w:rPr>
          <w:rFonts w:cstheme="minorHAnsi"/>
          <w:sz w:val="24"/>
          <w:szCs w:val="24"/>
          <w:shd w:val="clear" w:color="auto" w:fill="FFFFFF"/>
        </w:rPr>
        <w:t>&lt;https://www.britannica.com/topic/East-India-Company&gt; [accessed 8 May 2018].</w:t>
      </w:r>
    </w:p>
    <w:p w14:paraId="6D7A2781" w14:textId="79E7EF22" w:rsidR="00B42550" w:rsidRPr="00714AB8" w:rsidRDefault="00B42550">
      <w:pPr>
        <w:rPr>
          <w:rFonts w:cstheme="minorHAnsi"/>
          <w:sz w:val="24"/>
          <w:szCs w:val="24"/>
          <w:shd w:val="clear" w:color="auto" w:fill="FFFFFF"/>
        </w:rPr>
      </w:pPr>
      <w:r w:rsidRPr="00714AB8">
        <w:rPr>
          <w:rFonts w:cstheme="minorHAnsi"/>
          <w:sz w:val="24"/>
          <w:szCs w:val="24"/>
          <w:shd w:val="clear" w:color="auto" w:fill="FFFFFF"/>
        </w:rPr>
        <w:t>Ferguson, Niall, </w:t>
      </w:r>
      <w:r w:rsidRPr="00714AB8">
        <w:rPr>
          <w:rFonts w:cstheme="minorHAnsi"/>
          <w:i/>
          <w:iCs/>
          <w:sz w:val="24"/>
          <w:szCs w:val="24"/>
          <w:shd w:val="clear" w:color="auto" w:fill="FFFFFF"/>
        </w:rPr>
        <w:t xml:space="preserve">Empire: How Britain Made </w:t>
      </w:r>
      <w:proofErr w:type="gramStart"/>
      <w:r w:rsidRPr="00714AB8">
        <w:rPr>
          <w:rFonts w:cstheme="minorHAnsi"/>
          <w:i/>
          <w:iCs/>
          <w:sz w:val="24"/>
          <w:szCs w:val="24"/>
          <w:shd w:val="clear" w:color="auto" w:fill="FFFFFF"/>
        </w:rPr>
        <w:t>The</w:t>
      </w:r>
      <w:proofErr w:type="gramEnd"/>
      <w:r w:rsidRPr="00714AB8">
        <w:rPr>
          <w:rFonts w:cstheme="minorHAnsi"/>
          <w:i/>
          <w:iCs/>
          <w:sz w:val="24"/>
          <w:szCs w:val="24"/>
          <w:shd w:val="clear" w:color="auto" w:fill="FFFFFF"/>
        </w:rPr>
        <w:t xml:space="preserve"> Modern </w:t>
      </w:r>
      <w:r w:rsidR="00782BCE" w:rsidRPr="00714AB8">
        <w:rPr>
          <w:rFonts w:cstheme="minorHAnsi"/>
          <w:i/>
          <w:iCs/>
          <w:sz w:val="24"/>
          <w:szCs w:val="24"/>
          <w:shd w:val="clear" w:color="auto" w:fill="FFFFFF"/>
        </w:rPr>
        <w:t>World</w:t>
      </w:r>
      <w:r w:rsidR="00782BCE" w:rsidRPr="00714AB8">
        <w:rPr>
          <w:rFonts w:cstheme="minorHAnsi"/>
          <w:sz w:val="24"/>
          <w:szCs w:val="24"/>
          <w:shd w:val="clear" w:color="auto" w:fill="FFFFFF"/>
        </w:rPr>
        <w:t xml:space="preserve"> (</w:t>
      </w:r>
      <w:r w:rsidRPr="00714AB8">
        <w:rPr>
          <w:rFonts w:cstheme="minorHAnsi"/>
          <w:sz w:val="24"/>
          <w:szCs w:val="24"/>
          <w:shd w:val="clear" w:color="auto" w:fill="FFFFFF"/>
        </w:rPr>
        <w:t>London: Penguin Books, 2003).</w:t>
      </w:r>
    </w:p>
    <w:p w14:paraId="70451AAB" w14:textId="77777777" w:rsidR="00714AB8" w:rsidRPr="00714AB8" w:rsidRDefault="00714AB8">
      <w:pPr>
        <w:rPr>
          <w:color w:val="000000"/>
          <w:sz w:val="24"/>
          <w:szCs w:val="24"/>
          <w:shd w:val="clear" w:color="auto" w:fill="FFFFFF"/>
        </w:rPr>
      </w:pPr>
      <w:r w:rsidRPr="00714AB8">
        <w:rPr>
          <w:color w:val="000000"/>
          <w:sz w:val="24"/>
          <w:szCs w:val="24"/>
          <w:shd w:val="clear" w:color="auto" w:fill="FFFFFF"/>
        </w:rPr>
        <w:t>Lloyd, Trevor, </w:t>
      </w:r>
      <w:r w:rsidRPr="00714AB8">
        <w:rPr>
          <w:i/>
          <w:iCs/>
          <w:color w:val="000000"/>
          <w:sz w:val="24"/>
          <w:szCs w:val="24"/>
          <w:shd w:val="clear" w:color="auto" w:fill="FFFFFF"/>
        </w:rPr>
        <w:t>Empire: The History of the British Empire</w:t>
      </w:r>
      <w:r w:rsidRPr="00714AB8">
        <w:rPr>
          <w:color w:val="000000"/>
          <w:sz w:val="24"/>
          <w:szCs w:val="24"/>
          <w:shd w:val="clear" w:color="auto" w:fill="FFFFFF"/>
        </w:rPr>
        <w:t xml:space="preserve"> (London: </w:t>
      </w:r>
      <w:proofErr w:type="spellStart"/>
      <w:r w:rsidRPr="00714AB8">
        <w:rPr>
          <w:color w:val="000000"/>
          <w:sz w:val="24"/>
          <w:szCs w:val="24"/>
          <w:shd w:val="clear" w:color="auto" w:fill="FFFFFF"/>
        </w:rPr>
        <w:t>Hambledon</w:t>
      </w:r>
      <w:proofErr w:type="spellEnd"/>
      <w:r w:rsidRPr="00714AB8">
        <w:rPr>
          <w:color w:val="000000"/>
          <w:sz w:val="24"/>
          <w:szCs w:val="24"/>
          <w:shd w:val="clear" w:color="auto" w:fill="FFFFFF"/>
        </w:rPr>
        <w:t xml:space="preserve"> and London, 2001).</w:t>
      </w:r>
    </w:p>
    <w:p w14:paraId="51CDE6FC" w14:textId="453729A3" w:rsidR="008651EB" w:rsidRPr="00700610" w:rsidRDefault="008651EB">
      <w:pPr>
        <w:rPr>
          <w:rFonts w:cstheme="minorHAnsi"/>
          <w:sz w:val="24"/>
          <w:szCs w:val="24"/>
          <w:shd w:val="clear" w:color="auto" w:fill="FFFFFF"/>
        </w:rPr>
      </w:pPr>
      <w:r w:rsidRPr="00700610">
        <w:rPr>
          <w:rFonts w:cstheme="minorHAnsi"/>
          <w:sz w:val="24"/>
          <w:szCs w:val="24"/>
          <w:shd w:val="clear" w:color="auto" w:fill="FFFFFF"/>
        </w:rPr>
        <w:t>Ministry for Culture and Heritage, </w:t>
      </w:r>
      <w:r w:rsidRPr="00700610">
        <w:rPr>
          <w:rFonts w:cstheme="minorHAnsi"/>
          <w:i/>
          <w:iCs/>
          <w:sz w:val="24"/>
          <w:szCs w:val="24"/>
          <w:shd w:val="clear" w:color="auto" w:fill="FFFFFF"/>
        </w:rPr>
        <w:t>United Kingdom of Great Britain and Ireland</w:t>
      </w:r>
      <w:r w:rsidRPr="00700610">
        <w:rPr>
          <w:rFonts w:cstheme="minorHAnsi"/>
          <w:sz w:val="24"/>
          <w:szCs w:val="24"/>
          <w:shd w:val="clear" w:color="auto" w:fill="FFFFFF"/>
        </w:rPr>
        <w:t> (September 2014) &lt;https://nzhistory.govt.nz/war/united-kingdom-facts&gt; [accessed 7 May 2018].</w:t>
      </w:r>
    </w:p>
    <w:p w14:paraId="5FBBF311" w14:textId="77777777" w:rsidR="00700610" w:rsidRDefault="00700610"/>
    <w:sectPr w:rsidR="007006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10201C6" w14:textId="77777777" w:rsidR="0029413C" w:rsidRDefault="0029413C" w:rsidP="00782BCE">
      <w:pPr>
        <w:spacing w:after="0" w:line="240" w:lineRule="auto"/>
      </w:pPr>
      <w:r>
        <w:separator/>
      </w:r>
    </w:p>
  </w:endnote>
  <w:endnote w:type="continuationSeparator" w:id="0">
    <w:p w14:paraId="7DEF8522" w14:textId="77777777" w:rsidR="0029413C" w:rsidRDefault="0029413C" w:rsidP="00782B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FA796D1" w14:textId="77777777" w:rsidR="0029413C" w:rsidRDefault="0029413C" w:rsidP="00782BCE">
      <w:pPr>
        <w:spacing w:after="0" w:line="240" w:lineRule="auto"/>
      </w:pPr>
      <w:r>
        <w:separator/>
      </w:r>
    </w:p>
  </w:footnote>
  <w:footnote w:type="continuationSeparator" w:id="0">
    <w:p w14:paraId="37383262" w14:textId="77777777" w:rsidR="0029413C" w:rsidRDefault="0029413C" w:rsidP="00782BCE">
      <w:pPr>
        <w:spacing w:after="0" w:line="240" w:lineRule="auto"/>
      </w:pPr>
      <w:r>
        <w:continuationSeparator/>
      </w:r>
    </w:p>
  </w:footnote>
  <w:footnote w:id="1">
    <w:p w14:paraId="176345DD" w14:textId="5D286BD5" w:rsidR="00782BCE" w:rsidRPr="00B4447F" w:rsidRDefault="00782BCE">
      <w:pPr>
        <w:pStyle w:val="FootnoteText"/>
      </w:pPr>
      <w:r w:rsidRPr="00B4447F">
        <w:rPr>
          <w:rStyle w:val="FootnoteReference"/>
        </w:rPr>
        <w:footnoteRef/>
      </w:r>
      <w:r w:rsidRPr="00B4447F">
        <w:t xml:space="preserve"> </w:t>
      </w:r>
      <w:r w:rsidRPr="00B4447F">
        <w:rPr>
          <w:color w:val="000000"/>
          <w:shd w:val="clear" w:color="auto" w:fill="FFFFFF"/>
        </w:rPr>
        <w:t>Niall Ferguson, </w:t>
      </w:r>
      <w:r w:rsidRPr="00B4447F">
        <w:rPr>
          <w:i/>
          <w:iCs/>
          <w:color w:val="000000"/>
          <w:shd w:val="clear" w:color="auto" w:fill="FFFFFF"/>
        </w:rPr>
        <w:t xml:space="preserve">Empire: How Britain Made </w:t>
      </w:r>
      <w:proofErr w:type="gramStart"/>
      <w:r w:rsidRPr="00B4447F">
        <w:rPr>
          <w:i/>
          <w:iCs/>
          <w:color w:val="000000"/>
          <w:shd w:val="clear" w:color="auto" w:fill="FFFFFF"/>
        </w:rPr>
        <w:t>The</w:t>
      </w:r>
      <w:proofErr w:type="gramEnd"/>
      <w:r w:rsidRPr="00B4447F">
        <w:rPr>
          <w:i/>
          <w:iCs/>
          <w:color w:val="000000"/>
          <w:shd w:val="clear" w:color="auto" w:fill="FFFFFF"/>
        </w:rPr>
        <w:t xml:space="preserve"> Modern World</w:t>
      </w:r>
      <w:r w:rsidRPr="00B4447F">
        <w:rPr>
          <w:color w:val="000000"/>
          <w:shd w:val="clear" w:color="auto" w:fill="FFFFFF"/>
        </w:rPr>
        <w:t xml:space="preserve"> (London: Penguin Books, 2003), p. 1.</w:t>
      </w:r>
    </w:p>
  </w:footnote>
  <w:footnote w:id="2">
    <w:p w14:paraId="0390E14C" w14:textId="49B67EBD" w:rsidR="00953A20" w:rsidRPr="00B4447F" w:rsidRDefault="00953A20">
      <w:pPr>
        <w:pStyle w:val="FootnoteText"/>
      </w:pPr>
      <w:r w:rsidRPr="00B4447F">
        <w:rPr>
          <w:rStyle w:val="FootnoteReference"/>
        </w:rPr>
        <w:footnoteRef/>
      </w:r>
      <w:r w:rsidRPr="00B4447F">
        <w:t xml:space="preserve"> </w:t>
      </w:r>
      <w:r w:rsidRPr="00B4447F">
        <w:rPr>
          <w:color w:val="000000"/>
          <w:shd w:val="clear" w:color="auto" w:fill="FFFFFF"/>
        </w:rPr>
        <w:t>Niall Ferguson, </w:t>
      </w:r>
      <w:r w:rsidRPr="00B4447F">
        <w:rPr>
          <w:i/>
          <w:iCs/>
          <w:color w:val="000000"/>
          <w:shd w:val="clear" w:color="auto" w:fill="FFFFFF"/>
        </w:rPr>
        <w:t>Empire</w:t>
      </w:r>
      <w:r w:rsidRPr="00B4447F">
        <w:rPr>
          <w:color w:val="000000"/>
          <w:shd w:val="clear" w:color="auto" w:fill="FFFFFF"/>
        </w:rPr>
        <w:t>, p. 2.</w:t>
      </w:r>
    </w:p>
  </w:footnote>
  <w:footnote w:id="3">
    <w:p w14:paraId="63A64279" w14:textId="6EA6F666" w:rsidR="00953A20" w:rsidRPr="00B4447F" w:rsidRDefault="00953A20">
      <w:pPr>
        <w:pStyle w:val="FootnoteText"/>
      </w:pPr>
      <w:r w:rsidRPr="00B4447F">
        <w:rPr>
          <w:rStyle w:val="FootnoteReference"/>
        </w:rPr>
        <w:footnoteRef/>
      </w:r>
      <w:r w:rsidRPr="00B4447F">
        <w:t xml:space="preserve"> </w:t>
      </w:r>
      <w:r w:rsidRPr="00B4447F">
        <w:rPr>
          <w:color w:val="000000"/>
          <w:shd w:val="clear" w:color="auto" w:fill="FFFFFF"/>
        </w:rPr>
        <w:t>Niall Ferguson, </w:t>
      </w:r>
      <w:r w:rsidRPr="00B4447F">
        <w:rPr>
          <w:i/>
          <w:iCs/>
          <w:color w:val="000000"/>
          <w:shd w:val="clear" w:color="auto" w:fill="FFFFFF"/>
        </w:rPr>
        <w:t>Empire</w:t>
      </w:r>
      <w:r w:rsidR="00EA7DAA" w:rsidRPr="00B4447F">
        <w:rPr>
          <w:i/>
          <w:iCs/>
          <w:color w:val="000000"/>
          <w:shd w:val="clear" w:color="auto" w:fill="FFFFFF"/>
        </w:rPr>
        <w:t xml:space="preserve">, </w:t>
      </w:r>
      <w:r w:rsidRPr="00B4447F">
        <w:rPr>
          <w:color w:val="000000"/>
          <w:shd w:val="clear" w:color="auto" w:fill="FFFFFF"/>
        </w:rPr>
        <w:t>p. 294.</w:t>
      </w:r>
    </w:p>
  </w:footnote>
  <w:footnote w:id="4">
    <w:p w14:paraId="26867866" w14:textId="46F99121" w:rsidR="00BA7D6D" w:rsidRDefault="00BA7D6D">
      <w:pPr>
        <w:pStyle w:val="FootnoteText"/>
      </w:pPr>
      <w:r w:rsidRPr="00B4447F">
        <w:rPr>
          <w:rStyle w:val="FootnoteReference"/>
        </w:rPr>
        <w:footnoteRef/>
      </w:r>
      <w:r w:rsidRPr="00B4447F">
        <w:t xml:space="preserve"> </w:t>
      </w:r>
      <w:r w:rsidRPr="00B4447F">
        <w:rPr>
          <w:color w:val="000000"/>
          <w:shd w:val="clear" w:color="auto" w:fill="FFFFFF"/>
        </w:rPr>
        <w:t>Niall Ferguson, </w:t>
      </w:r>
      <w:r w:rsidRPr="00B4447F">
        <w:rPr>
          <w:i/>
          <w:iCs/>
          <w:color w:val="000000"/>
          <w:shd w:val="clear" w:color="auto" w:fill="FFFFFF"/>
        </w:rPr>
        <w:t xml:space="preserve">Empire, </w:t>
      </w:r>
      <w:r w:rsidRPr="00B4447F">
        <w:rPr>
          <w:color w:val="000000"/>
          <w:shd w:val="clear" w:color="auto" w:fill="FFFFFF"/>
        </w:rPr>
        <w:t>p. 295.</w:t>
      </w:r>
    </w:p>
  </w:footnote>
  <w:footnote w:id="5">
    <w:p w14:paraId="13CBF1D8" w14:textId="485F6368" w:rsidR="00F04249" w:rsidRPr="00B4447F" w:rsidRDefault="00F04249">
      <w:pPr>
        <w:pStyle w:val="FootnoteText"/>
      </w:pPr>
      <w:r w:rsidRPr="00B4447F">
        <w:rPr>
          <w:rStyle w:val="FootnoteReference"/>
        </w:rPr>
        <w:footnoteRef/>
      </w:r>
      <w:r w:rsidRPr="00B4447F">
        <w:t xml:space="preserve"> </w:t>
      </w:r>
      <w:r w:rsidRPr="00B4447F">
        <w:rPr>
          <w:color w:val="000000"/>
          <w:shd w:val="clear" w:color="auto" w:fill="FFFFFF"/>
        </w:rPr>
        <w:t>Niall Ferguson, </w:t>
      </w:r>
      <w:r w:rsidRPr="00B4447F">
        <w:rPr>
          <w:i/>
          <w:iCs/>
          <w:color w:val="000000"/>
          <w:shd w:val="clear" w:color="auto" w:fill="FFFFFF"/>
        </w:rPr>
        <w:t xml:space="preserve">Empire, </w:t>
      </w:r>
      <w:r w:rsidRPr="00B4447F">
        <w:rPr>
          <w:color w:val="000000"/>
          <w:shd w:val="clear" w:color="auto" w:fill="FFFFFF"/>
        </w:rPr>
        <w:t>p. 295.</w:t>
      </w:r>
    </w:p>
  </w:footnote>
  <w:footnote w:id="6">
    <w:p w14:paraId="2702867C" w14:textId="6736C9B2" w:rsidR="00C847FF" w:rsidRDefault="00C847FF">
      <w:pPr>
        <w:pStyle w:val="FootnoteText"/>
      </w:pPr>
      <w:r>
        <w:rPr>
          <w:rStyle w:val="FootnoteReference"/>
        </w:rPr>
        <w:footnoteRef/>
      </w:r>
      <w:r>
        <w:t xml:space="preserve"> </w:t>
      </w:r>
      <w:r w:rsidRPr="00B4447F">
        <w:rPr>
          <w:color w:val="000000"/>
          <w:shd w:val="clear" w:color="auto" w:fill="FFFFFF"/>
        </w:rPr>
        <w:t>Niall Ferguson, </w:t>
      </w:r>
      <w:r w:rsidRPr="00B4447F">
        <w:rPr>
          <w:i/>
          <w:iCs/>
          <w:color w:val="000000"/>
          <w:shd w:val="clear" w:color="auto" w:fill="FFFFFF"/>
        </w:rPr>
        <w:t xml:space="preserve">Empire, </w:t>
      </w:r>
      <w:r w:rsidRPr="00B4447F">
        <w:rPr>
          <w:color w:val="000000"/>
          <w:shd w:val="clear" w:color="auto" w:fill="FFFFFF"/>
        </w:rPr>
        <w:t xml:space="preserve">p. </w:t>
      </w:r>
      <w:r>
        <w:rPr>
          <w:color w:val="000000"/>
          <w:shd w:val="clear" w:color="auto" w:fill="FFFFFF"/>
        </w:rPr>
        <w:t>324</w:t>
      </w:r>
      <w:r w:rsidRPr="00B4447F">
        <w:rPr>
          <w:color w:val="000000"/>
          <w:shd w:val="clear" w:color="auto" w:fill="FFFFFF"/>
        </w:rPr>
        <w:t>.</w:t>
      </w:r>
    </w:p>
  </w:footnote>
  <w:footnote w:id="7">
    <w:p w14:paraId="3B99E119" w14:textId="46E599EB" w:rsidR="003D5F5C" w:rsidRDefault="003D5F5C">
      <w:pPr>
        <w:pStyle w:val="FootnoteText"/>
      </w:pPr>
      <w:r w:rsidRPr="00B4447F">
        <w:rPr>
          <w:rStyle w:val="FootnoteReference"/>
        </w:rPr>
        <w:footnoteRef/>
      </w:r>
      <w:r w:rsidRPr="00B4447F">
        <w:t xml:space="preserve"> </w:t>
      </w:r>
      <w:r w:rsidRPr="00B4447F">
        <w:rPr>
          <w:color w:val="000000"/>
          <w:shd w:val="clear" w:color="auto" w:fill="FFFFFF"/>
        </w:rPr>
        <w:t>Niall Ferguson, </w:t>
      </w:r>
      <w:r w:rsidRPr="00B4447F">
        <w:rPr>
          <w:i/>
          <w:iCs/>
          <w:color w:val="000000"/>
          <w:shd w:val="clear" w:color="auto" w:fill="FFFFFF"/>
        </w:rPr>
        <w:t xml:space="preserve">Empire, </w:t>
      </w:r>
      <w:r w:rsidRPr="00B4447F">
        <w:rPr>
          <w:color w:val="000000"/>
          <w:shd w:val="clear" w:color="auto" w:fill="FFFFFF"/>
        </w:rPr>
        <w:t>p. 317.</w:t>
      </w:r>
    </w:p>
  </w:footnote>
  <w:footnote w:id="8">
    <w:p w14:paraId="4DB6B8DA" w14:textId="12DEC2CA" w:rsidR="00EE3B58" w:rsidRDefault="00EE3B58">
      <w:pPr>
        <w:pStyle w:val="FootnoteText"/>
      </w:pPr>
      <w:r>
        <w:rPr>
          <w:rStyle w:val="FootnoteReference"/>
        </w:rPr>
        <w:footnoteRef/>
      </w:r>
      <w:r>
        <w:t xml:space="preserve"> </w:t>
      </w:r>
      <w:r w:rsidRPr="00B4447F">
        <w:rPr>
          <w:color w:val="000000"/>
          <w:shd w:val="clear" w:color="auto" w:fill="FFFFFF"/>
        </w:rPr>
        <w:t>Niall Ferguson, </w:t>
      </w:r>
      <w:r w:rsidRPr="00B4447F">
        <w:rPr>
          <w:i/>
          <w:iCs/>
          <w:color w:val="000000"/>
          <w:shd w:val="clear" w:color="auto" w:fill="FFFFFF"/>
        </w:rPr>
        <w:t xml:space="preserve">Empire, </w:t>
      </w:r>
      <w:r w:rsidRPr="00B4447F">
        <w:rPr>
          <w:color w:val="000000"/>
          <w:shd w:val="clear" w:color="auto" w:fill="FFFFFF"/>
        </w:rPr>
        <w:t xml:space="preserve">p. </w:t>
      </w:r>
      <w:r>
        <w:rPr>
          <w:color w:val="000000"/>
          <w:shd w:val="clear" w:color="auto" w:fill="FFFFFF"/>
        </w:rPr>
        <w:t>325</w:t>
      </w:r>
      <w:r w:rsidRPr="00B4447F">
        <w:rPr>
          <w:color w:val="000000"/>
          <w:shd w:val="clear" w:color="auto" w:fill="FFFFFF"/>
        </w:rPr>
        <w:t>.</w:t>
      </w:r>
    </w:p>
  </w:footnote>
  <w:footnote w:id="9">
    <w:p w14:paraId="10455173" w14:textId="180931DC" w:rsidR="00984526" w:rsidRDefault="00984526">
      <w:pPr>
        <w:pStyle w:val="FootnoteText"/>
      </w:pPr>
      <w:r>
        <w:rPr>
          <w:rStyle w:val="FootnoteReference"/>
        </w:rPr>
        <w:footnoteRef/>
      </w:r>
      <w:r>
        <w:t xml:space="preserve"> </w:t>
      </w:r>
      <w:r w:rsidRPr="00B4447F">
        <w:rPr>
          <w:color w:val="000000"/>
          <w:shd w:val="clear" w:color="auto" w:fill="FFFFFF"/>
        </w:rPr>
        <w:t>Niall Ferguson, </w:t>
      </w:r>
      <w:r w:rsidRPr="00B4447F">
        <w:rPr>
          <w:i/>
          <w:iCs/>
          <w:color w:val="000000"/>
          <w:shd w:val="clear" w:color="auto" w:fill="FFFFFF"/>
        </w:rPr>
        <w:t xml:space="preserve">Empire, </w:t>
      </w:r>
      <w:r w:rsidRPr="00B4447F">
        <w:rPr>
          <w:color w:val="000000"/>
          <w:shd w:val="clear" w:color="auto" w:fill="FFFFFF"/>
        </w:rPr>
        <w:t xml:space="preserve">p. </w:t>
      </w:r>
      <w:r>
        <w:rPr>
          <w:color w:val="000000"/>
          <w:shd w:val="clear" w:color="auto" w:fill="FFFFFF"/>
        </w:rPr>
        <w:t>325</w:t>
      </w:r>
      <w:r w:rsidRPr="00B4447F">
        <w:rPr>
          <w:color w:val="000000"/>
          <w:shd w:val="clear" w:color="auto" w:fill="FFFFFF"/>
        </w:rPr>
        <w:t>.</w:t>
      </w:r>
    </w:p>
  </w:footnote>
  <w:footnote w:id="10">
    <w:p w14:paraId="0F338859" w14:textId="407F9D3D" w:rsidR="001C7576" w:rsidRDefault="001C7576">
      <w:pPr>
        <w:pStyle w:val="FootnoteText"/>
      </w:pPr>
      <w:r>
        <w:rPr>
          <w:rStyle w:val="FootnoteReference"/>
        </w:rPr>
        <w:footnoteRef/>
      </w:r>
      <w:r>
        <w:t xml:space="preserve"> </w:t>
      </w:r>
      <w:r w:rsidRPr="00B4447F">
        <w:rPr>
          <w:color w:val="000000"/>
          <w:shd w:val="clear" w:color="auto" w:fill="FFFFFF"/>
        </w:rPr>
        <w:t>Niall Ferguson, </w:t>
      </w:r>
      <w:r w:rsidRPr="00B4447F">
        <w:rPr>
          <w:i/>
          <w:iCs/>
          <w:color w:val="000000"/>
          <w:shd w:val="clear" w:color="auto" w:fill="FFFFFF"/>
        </w:rPr>
        <w:t xml:space="preserve">Empire, </w:t>
      </w:r>
      <w:r w:rsidRPr="00B4447F">
        <w:rPr>
          <w:color w:val="000000"/>
          <w:shd w:val="clear" w:color="auto" w:fill="FFFFFF"/>
        </w:rPr>
        <w:t xml:space="preserve">p. </w:t>
      </w:r>
      <w:r>
        <w:rPr>
          <w:color w:val="000000"/>
          <w:shd w:val="clear" w:color="auto" w:fill="FFFFFF"/>
        </w:rPr>
        <w:t>326</w:t>
      </w:r>
      <w:r w:rsidRPr="00B4447F">
        <w:rPr>
          <w:color w:val="000000"/>
          <w:shd w:val="clear" w:color="auto" w:fill="FFFFFF"/>
        </w:rPr>
        <w:t>.</w:t>
      </w:r>
    </w:p>
  </w:footnote>
  <w:footnote w:id="11">
    <w:p w14:paraId="37B3C9C1" w14:textId="77777777" w:rsidR="00700610" w:rsidRPr="0005050F" w:rsidRDefault="00700610" w:rsidP="00700610">
      <w:pPr>
        <w:pStyle w:val="FootnoteText"/>
      </w:pPr>
      <w:r w:rsidRPr="0005050F">
        <w:rPr>
          <w:rStyle w:val="FootnoteReference"/>
        </w:rPr>
        <w:footnoteRef/>
      </w:r>
      <w:r w:rsidRPr="0005050F">
        <w:t xml:space="preserve"> </w:t>
      </w:r>
      <w:r w:rsidRPr="0005050F">
        <w:rPr>
          <w:color w:val="000000"/>
          <w:shd w:val="clear" w:color="auto" w:fill="FFFFFF"/>
        </w:rPr>
        <w:t xml:space="preserve">Kit </w:t>
      </w:r>
      <w:proofErr w:type="spellStart"/>
      <w:r w:rsidRPr="0005050F">
        <w:rPr>
          <w:color w:val="000000"/>
          <w:shd w:val="clear" w:color="auto" w:fill="FFFFFF"/>
        </w:rPr>
        <w:t>Dawnay</w:t>
      </w:r>
      <w:proofErr w:type="spellEnd"/>
      <w:r w:rsidRPr="0005050F">
        <w:rPr>
          <w:color w:val="000000"/>
          <w:shd w:val="clear" w:color="auto" w:fill="FFFFFF"/>
        </w:rPr>
        <w:t>, </w:t>
      </w:r>
      <w:r w:rsidRPr="0005050F">
        <w:rPr>
          <w:i/>
          <w:iCs/>
          <w:color w:val="000000"/>
          <w:shd w:val="clear" w:color="auto" w:fill="FFFFFF"/>
        </w:rPr>
        <w:t>A history of sterling</w:t>
      </w:r>
      <w:r w:rsidRPr="0005050F">
        <w:rPr>
          <w:color w:val="000000"/>
          <w:shd w:val="clear" w:color="auto" w:fill="FFFFFF"/>
        </w:rPr>
        <w:t> (2018) &lt;https://www.telegraph.co.uk/news/1399693/A-history-of-sterling.html&gt; [accessed 8 May 2018].</w:t>
      </w:r>
    </w:p>
  </w:footnote>
  <w:footnote w:id="12">
    <w:p w14:paraId="074FC03E" w14:textId="77777777" w:rsidR="00700610" w:rsidRDefault="00700610" w:rsidP="00700610">
      <w:pPr>
        <w:pStyle w:val="FootnoteText"/>
      </w:pPr>
      <w:r w:rsidRPr="0005050F">
        <w:rPr>
          <w:rStyle w:val="FootnoteReference"/>
        </w:rPr>
        <w:footnoteRef/>
      </w:r>
      <w:r w:rsidRPr="0005050F">
        <w:t xml:space="preserve"> </w:t>
      </w:r>
      <w:r w:rsidRPr="0005050F">
        <w:rPr>
          <w:color w:val="000000"/>
          <w:shd w:val="clear" w:color="auto" w:fill="FFFFFF"/>
        </w:rPr>
        <w:t xml:space="preserve">Kit </w:t>
      </w:r>
      <w:proofErr w:type="spellStart"/>
      <w:r w:rsidRPr="0005050F">
        <w:rPr>
          <w:color w:val="000000"/>
          <w:shd w:val="clear" w:color="auto" w:fill="FFFFFF"/>
        </w:rPr>
        <w:t>Dawnay</w:t>
      </w:r>
      <w:proofErr w:type="spellEnd"/>
      <w:r w:rsidRPr="0005050F">
        <w:rPr>
          <w:color w:val="000000"/>
          <w:shd w:val="clear" w:color="auto" w:fill="FFFFFF"/>
        </w:rPr>
        <w:t>, </w:t>
      </w:r>
      <w:r w:rsidRPr="0005050F">
        <w:rPr>
          <w:i/>
          <w:iCs/>
          <w:color w:val="000000"/>
          <w:shd w:val="clear" w:color="auto" w:fill="FFFFFF"/>
        </w:rPr>
        <w:t>A history of sterling</w:t>
      </w:r>
      <w:r w:rsidRPr="0005050F">
        <w:rPr>
          <w:color w:val="000000"/>
          <w:shd w:val="clear" w:color="auto" w:fill="FFFFFF"/>
        </w:rPr>
        <w:t> (2018) [accessed 8 May 2018].</w:t>
      </w:r>
    </w:p>
  </w:footnote>
  <w:footnote w:id="13">
    <w:p w14:paraId="198EB6CF" w14:textId="77777777" w:rsidR="00700610" w:rsidRDefault="00700610" w:rsidP="00700610">
      <w:pPr>
        <w:pStyle w:val="FootnoteText"/>
      </w:pPr>
      <w:r>
        <w:rPr>
          <w:rStyle w:val="FootnoteReference"/>
        </w:rPr>
        <w:footnoteRef/>
      </w:r>
      <w:r>
        <w:t xml:space="preserve"> </w:t>
      </w:r>
      <w:r w:rsidRPr="0005050F">
        <w:rPr>
          <w:color w:val="000000"/>
          <w:shd w:val="clear" w:color="auto" w:fill="FFFFFF"/>
        </w:rPr>
        <w:t xml:space="preserve">Kit </w:t>
      </w:r>
      <w:proofErr w:type="spellStart"/>
      <w:r w:rsidRPr="0005050F">
        <w:rPr>
          <w:color w:val="000000"/>
          <w:shd w:val="clear" w:color="auto" w:fill="FFFFFF"/>
        </w:rPr>
        <w:t>Dawnay</w:t>
      </w:r>
      <w:proofErr w:type="spellEnd"/>
      <w:r w:rsidRPr="0005050F">
        <w:rPr>
          <w:color w:val="000000"/>
          <w:shd w:val="clear" w:color="auto" w:fill="FFFFFF"/>
        </w:rPr>
        <w:t>, </w:t>
      </w:r>
      <w:r w:rsidRPr="0005050F">
        <w:rPr>
          <w:i/>
          <w:iCs/>
          <w:color w:val="000000"/>
          <w:shd w:val="clear" w:color="auto" w:fill="FFFFFF"/>
        </w:rPr>
        <w:t>A history of sterling</w:t>
      </w:r>
      <w:r w:rsidRPr="0005050F">
        <w:rPr>
          <w:color w:val="000000"/>
          <w:shd w:val="clear" w:color="auto" w:fill="FFFFFF"/>
        </w:rPr>
        <w:t> (2018) [accessed 8 May 2018].</w:t>
      </w:r>
    </w:p>
  </w:footnote>
  <w:footnote w:id="14">
    <w:p w14:paraId="1307E417" w14:textId="77777777" w:rsidR="00700610" w:rsidRDefault="00700610" w:rsidP="00700610">
      <w:pPr>
        <w:pStyle w:val="FootnoteText"/>
      </w:pPr>
      <w:r>
        <w:rPr>
          <w:rStyle w:val="FootnoteReference"/>
        </w:rPr>
        <w:footnoteRef/>
      </w:r>
      <w:r>
        <w:t xml:space="preserve"> </w:t>
      </w:r>
      <w:r w:rsidRPr="0005050F">
        <w:rPr>
          <w:color w:val="000000"/>
          <w:shd w:val="clear" w:color="auto" w:fill="FFFFFF"/>
        </w:rPr>
        <w:t xml:space="preserve">Kit </w:t>
      </w:r>
      <w:proofErr w:type="spellStart"/>
      <w:r w:rsidRPr="0005050F">
        <w:rPr>
          <w:color w:val="000000"/>
          <w:shd w:val="clear" w:color="auto" w:fill="FFFFFF"/>
        </w:rPr>
        <w:t>Dawnay</w:t>
      </w:r>
      <w:proofErr w:type="spellEnd"/>
      <w:r w:rsidRPr="0005050F">
        <w:rPr>
          <w:color w:val="000000"/>
          <w:shd w:val="clear" w:color="auto" w:fill="FFFFFF"/>
        </w:rPr>
        <w:t>, </w:t>
      </w:r>
      <w:r w:rsidRPr="0005050F">
        <w:rPr>
          <w:i/>
          <w:iCs/>
          <w:color w:val="000000"/>
          <w:shd w:val="clear" w:color="auto" w:fill="FFFFFF"/>
        </w:rPr>
        <w:t>A history of sterling</w:t>
      </w:r>
      <w:r w:rsidRPr="0005050F">
        <w:rPr>
          <w:color w:val="000000"/>
          <w:shd w:val="clear" w:color="auto" w:fill="FFFFFF"/>
        </w:rPr>
        <w:t> (2018) [accessed 8 May 2018].</w:t>
      </w:r>
    </w:p>
  </w:footnote>
  <w:footnote w:id="15">
    <w:p w14:paraId="30E20E59" w14:textId="09AB5F57" w:rsidR="00797E84" w:rsidRDefault="00797E84">
      <w:pPr>
        <w:pStyle w:val="FootnoteText"/>
      </w:pPr>
      <w:r>
        <w:rPr>
          <w:rStyle w:val="FootnoteReference"/>
        </w:rPr>
        <w:footnoteRef/>
      </w:r>
      <w:r>
        <w:t xml:space="preserve"> </w:t>
      </w:r>
      <w:r w:rsidRPr="00B4447F">
        <w:rPr>
          <w:color w:val="000000"/>
          <w:shd w:val="clear" w:color="auto" w:fill="FFFFFF"/>
        </w:rPr>
        <w:t>Niall Ferguson, </w:t>
      </w:r>
      <w:r w:rsidRPr="00B4447F">
        <w:rPr>
          <w:i/>
          <w:iCs/>
          <w:color w:val="000000"/>
          <w:shd w:val="clear" w:color="auto" w:fill="FFFFFF"/>
        </w:rPr>
        <w:t xml:space="preserve">Empire, </w:t>
      </w:r>
      <w:r w:rsidRPr="00B4447F">
        <w:rPr>
          <w:color w:val="000000"/>
          <w:shd w:val="clear" w:color="auto" w:fill="FFFFFF"/>
        </w:rPr>
        <w:t xml:space="preserve">p. </w:t>
      </w:r>
      <w:r>
        <w:rPr>
          <w:color w:val="000000"/>
          <w:shd w:val="clear" w:color="auto" w:fill="FFFFFF"/>
        </w:rPr>
        <w:t>327</w:t>
      </w:r>
      <w:r w:rsidRPr="00B4447F">
        <w:rPr>
          <w:color w:val="000000"/>
          <w:shd w:val="clear" w:color="auto" w:fill="FFFFFF"/>
        </w:rPr>
        <w:t>.</w:t>
      </w:r>
    </w:p>
  </w:footnote>
  <w:footnote w:id="16">
    <w:p w14:paraId="0A5756FB" w14:textId="3AE154B2" w:rsidR="006E010F" w:rsidRPr="000E0D92" w:rsidRDefault="006E010F">
      <w:pPr>
        <w:pStyle w:val="FootnoteText"/>
      </w:pPr>
      <w:r w:rsidRPr="000E0D92">
        <w:rPr>
          <w:rStyle w:val="FootnoteReference"/>
        </w:rPr>
        <w:footnoteRef/>
      </w:r>
      <w:r w:rsidRPr="000E0D92">
        <w:t xml:space="preserve"> </w:t>
      </w:r>
      <w:r w:rsidRPr="000E0D92">
        <w:rPr>
          <w:color w:val="000000"/>
          <w:shd w:val="clear" w:color="auto" w:fill="FFFFFF"/>
        </w:rPr>
        <w:t>Niall Ferguson, </w:t>
      </w:r>
      <w:r w:rsidRPr="000E0D92">
        <w:rPr>
          <w:i/>
          <w:iCs/>
          <w:color w:val="000000"/>
          <w:shd w:val="clear" w:color="auto" w:fill="FFFFFF"/>
        </w:rPr>
        <w:t xml:space="preserve">Empire, </w:t>
      </w:r>
      <w:r w:rsidRPr="000E0D92">
        <w:rPr>
          <w:color w:val="000000"/>
          <w:shd w:val="clear" w:color="auto" w:fill="FFFFFF"/>
        </w:rPr>
        <w:t>p. 327.- List of ingredients from specific countries that are included in the recipe for the ‘Empire Christmas Pudding’</w:t>
      </w:r>
    </w:p>
  </w:footnote>
  <w:footnote w:id="17">
    <w:p w14:paraId="3CE0CE51" w14:textId="2A18812E" w:rsidR="00583296" w:rsidRPr="000E0D92" w:rsidRDefault="00583296">
      <w:pPr>
        <w:pStyle w:val="FootnoteText"/>
      </w:pPr>
      <w:r w:rsidRPr="000E0D92">
        <w:rPr>
          <w:rStyle w:val="FootnoteReference"/>
        </w:rPr>
        <w:footnoteRef/>
      </w:r>
      <w:r w:rsidRPr="000E0D92">
        <w:t xml:space="preserve"> </w:t>
      </w:r>
      <w:r w:rsidRPr="000E0D92">
        <w:rPr>
          <w:color w:val="000000"/>
          <w:shd w:val="clear" w:color="auto" w:fill="FFFFFF"/>
        </w:rPr>
        <w:t>Niall Ferguson, </w:t>
      </w:r>
      <w:r w:rsidRPr="000E0D92">
        <w:rPr>
          <w:i/>
          <w:iCs/>
          <w:color w:val="000000"/>
          <w:shd w:val="clear" w:color="auto" w:fill="FFFFFF"/>
        </w:rPr>
        <w:t xml:space="preserve">Empire, </w:t>
      </w:r>
      <w:r w:rsidRPr="000E0D92">
        <w:rPr>
          <w:color w:val="000000"/>
          <w:shd w:val="clear" w:color="auto" w:fill="FFFFFF"/>
        </w:rPr>
        <w:t>p. 327.</w:t>
      </w:r>
    </w:p>
  </w:footnote>
  <w:footnote w:id="18">
    <w:p w14:paraId="7137F547" w14:textId="4F93DE02" w:rsidR="00D7176C" w:rsidRPr="000E0D92" w:rsidRDefault="00D7176C" w:rsidP="000E0D92">
      <w:pPr>
        <w:rPr>
          <w:sz w:val="20"/>
          <w:szCs w:val="20"/>
        </w:rPr>
      </w:pPr>
      <w:r w:rsidRPr="000E0D92">
        <w:rPr>
          <w:rStyle w:val="FootnoteReference"/>
          <w:sz w:val="20"/>
          <w:szCs w:val="20"/>
        </w:rPr>
        <w:footnoteRef/>
      </w:r>
      <w:r w:rsidRPr="000E0D92">
        <w:rPr>
          <w:sz w:val="20"/>
          <w:szCs w:val="20"/>
        </w:rPr>
        <w:t xml:space="preserve"> </w:t>
      </w:r>
      <w:r w:rsidRPr="000E0D92">
        <w:rPr>
          <w:color w:val="000000"/>
          <w:sz w:val="20"/>
          <w:szCs w:val="20"/>
          <w:shd w:val="clear" w:color="auto" w:fill="FFFFFF"/>
        </w:rPr>
        <w:t>Encyclopaedia Britannica, </w:t>
      </w:r>
      <w:r w:rsidRPr="000E0D92">
        <w:rPr>
          <w:i/>
          <w:iCs/>
          <w:color w:val="000000"/>
          <w:sz w:val="20"/>
          <w:szCs w:val="20"/>
          <w:shd w:val="clear" w:color="auto" w:fill="FFFFFF"/>
        </w:rPr>
        <w:t>East India Company</w:t>
      </w:r>
      <w:r w:rsidRPr="000E0D92">
        <w:rPr>
          <w:color w:val="000000"/>
          <w:sz w:val="20"/>
          <w:szCs w:val="20"/>
          <w:shd w:val="clear" w:color="auto" w:fill="FFFFFF"/>
        </w:rPr>
        <w:t> (2018) &lt;https://www.britannica.com/topic/East-India-Company&gt; [accessed 8 May 2018].</w:t>
      </w:r>
    </w:p>
  </w:footnote>
  <w:footnote w:id="19">
    <w:p w14:paraId="74B1BD9F" w14:textId="76B8CF7C" w:rsidR="00D7176C" w:rsidRPr="000E0D92" w:rsidRDefault="00D7176C" w:rsidP="000E0D92">
      <w:pPr>
        <w:rPr>
          <w:sz w:val="20"/>
          <w:szCs w:val="20"/>
        </w:rPr>
      </w:pPr>
      <w:r w:rsidRPr="000E0D92">
        <w:rPr>
          <w:rStyle w:val="FootnoteReference"/>
          <w:sz w:val="20"/>
          <w:szCs w:val="20"/>
        </w:rPr>
        <w:footnoteRef/>
      </w:r>
      <w:r w:rsidRPr="000E0D92">
        <w:rPr>
          <w:sz w:val="20"/>
          <w:szCs w:val="20"/>
        </w:rPr>
        <w:t xml:space="preserve"> </w:t>
      </w:r>
      <w:r w:rsidRPr="000E0D92">
        <w:rPr>
          <w:color w:val="000000"/>
          <w:sz w:val="20"/>
          <w:szCs w:val="20"/>
          <w:shd w:val="clear" w:color="auto" w:fill="FFFFFF"/>
        </w:rPr>
        <w:t>Encyclopaedia Britannica, </w:t>
      </w:r>
      <w:r w:rsidRPr="000E0D92">
        <w:rPr>
          <w:i/>
          <w:iCs/>
          <w:color w:val="000000"/>
          <w:sz w:val="20"/>
          <w:szCs w:val="20"/>
          <w:shd w:val="clear" w:color="auto" w:fill="FFFFFF"/>
        </w:rPr>
        <w:t>East India Company</w:t>
      </w:r>
      <w:r w:rsidRPr="000E0D92">
        <w:rPr>
          <w:color w:val="000000"/>
          <w:sz w:val="20"/>
          <w:szCs w:val="20"/>
          <w:shd w:val="clear" w:color="auto" w:fill="FFFFFF"/>
        </w:rPr>
        <w:t> (2018) &lt;https://www.britannica.com/topic/East-India-Company&gt; [accessed 8 May 2018].</w:t>
      </w:r>
    </w:p>
  </w:footnote>
  <w:footnote w:id="20">
    <w:p w14:paraId="460FAEB0" w14:textId="2AFCC34E" w:rsidR="00D7176C" w:rsidRPr="000E0D92" w:rsidRDefault="00D7176C" w:rsidP="000E0D92">
      <w:pPr>
        <w:rPr>
          <w:sz w:val="20"/>
          <w:szCs w:val="20"/>
        </w:rPr>
      </w:pPr>
      <w:r w:rsidRPr="000E0D92">
        <w:rPr>
          <w:rStyle w:val="FootnoteReference"/>
          <w:sz w:val="20"/>
          <w:szCs w:val="20"/>
        </w:rPr>
        <w:footnoteRef/>
      </w:r>
      <w:r w:rsidRPr="000E0D92">
        <w:rPr>
          <w:sz w:val="20"/>
          <w:szCs w:val="20"/>
        </w:rPr>
        <w:t xml:space="preserve"> </w:t>
      </w:r>
      <w:r w:rsidRPr="000E0D92">
        <w:rPr>
          <w:color w:val="000000"/>
          <w:sz w:val="20"/>
          <w:szCs w:val="20"/>
          <w:shd w:val="clear" w:color="auto" w:fill="FFFFFF"/>
        </w:rPr>
        <w:t>Encyclopaedia Britannica, </w:t>
      </w:r>
      <w:r w:rsidRPr="000E0D92">
        <w:rPr>
          <w:i/>
          <w:iCs/>
          <w:color w:val="000000"/>
          <w:sz w:val="20"/>
          <w:szCs w:val="20"/>
          <w:shd w:val="clear" w:color="auto" w:fill="FFFFFF"/>
        </w:rPr>
        <w:t>East India Company</w:t>
      </w:r>
      <w:r w:rsidRPr="000E0D92">
        <w:rPr>
          <w:color w:val="000000"/>
          <w:sz w:val="20"/>
          <w:szCs w:val="20"/>
          <w:shd w:val="clear" w:color="auto" w:fill="FFFFFF"/>
        </w:rPr>
        <w:t> (2018) &lt;https://www.britannica.com/topic/East-India-Company&gt; [accessed 8 May 2018].</w:t>
      </w:r>
    </w:p>
  </w:footnote>
  <w:footnote w:id="21">
    <w:p w14:paraId="62AD69B5" w14:textId="77777777" w:rsidR="00D7176C" w:rsidRPr="000E0D92" w:rsidRDefault="00D7176C" w:rsidP="00D7176C">
      <w:pPr>
        <w:rPr>
          <w:sz w:val="20"/>
          <w:szCs w:val="20"/>
        </w:rPr>
      </w:pPr>
      <w:r>
        <w:rPr>
          <w:rStyle w:val="FootnoteReference"/>
        </w:rPr>
        <w:footnoteRef/>
      </w:r>
      <w:r>
        <w:t xml:space="preserve"> </w:t>
      </w:r>
      <w:r w:rsidRPr="000E0D92">
        <w:rPr>
          <w:color w:val="000000"/>
          <w:sz w:val="20"/>
          <w:szCs w:val="20"/>
          <w:shd w:val="clear" w:color="auto" w:fill="FFFFFF"/>
        </w:rPr>
        <w:t>Encyclopaedia Britannica, </w:t>
      </w:r>
      <w:r w:rsidRPr="000E0D92">
        <w:rPr>
          <w:i/>
          <w:iCs/>
          <w:color w:val="000000"/>
          <w:sz w:val="20"/>
          <w:szCs w:val="20"/>
          <w:shd w:val="clear" w:color="auto" w:fill="FFFFFF"/>
        </w:rPr>
        <w:t>East India Company</w:t>
      </w:r>
      <w:r w:rsidRPr="000E0D92">
        <w:rPr>
          <w:color w:val="000000"/>
          <w:sz w:val="20"/>
          <w:szCs w:val="20"/>
          <w:shd w:val="clear" w:color="auto" w:fill="FFFFFF"/>
        </w:rPr>
        <w:t> (2018) &lt;https://www.britannica.com/topic/East-India-Company&gt; [accessed 8 May 2018].</w:t>
      </w:r>
    </w:p>
    <w:p w14:paraId="31BD2171" w14:textId="77777777" w:rsidR="00D7176C" w:rsidRDefault="00D7176C" w:rsidP="00D7176C">
      <w:pPr>
        <w:pStyle w:val="FootnoteText"/>
      </w:pPr>
    </w:p>
  </w:footnote>
  <w:footnote w:id="22">
    <w:p w14:paraId="3FB8B9FA" w14:textId="77777777" w:rsidR="00D7176C" w:rsidRPr="000E0D92" w:rsidRDefault="00D7176C" w:rsidP="00D7176C">
      <w:pPr>
        <w:rPr>
          <w:sz w:val="20"/>
          <w:szCs w:val="20"/>
        </w:rPr>
      </w:pPr>
      <w:r w:rsidRPr="000E0D92">
        <w:rPr>
          <w:rStyle w:val="FootnoteReference"/>
          <w:sz w:val="20"/>
          <w:szCs w:val="20"/>
        </w:rPr>
        <w:footnoteRef/>
      </w:r>
      <w:r w:rsidRPr="000E0D92">
        <w:rPr>
          <w:sz w:val="20"/>
          <w:szCs w:val="20"/>
        </w:rPr>
        <w:t xml:space="preserve"> </w:t>
      </w:r>
      <w:r w:rsidRPr="000E0D92">
        <w:rPr>
          <w:color w:val="000000"/>
          <w:sz w:val="20"/>
          <w:szCs w:val="20"/>
          <w:shd w:val="clear" w:color="auto" w:fill="FFFFFF"/>
        </w:rPr>
        <w:t>Encyclopaedia Britannica, </w:t>
      </w:r>
      <w:r w:rsidRPr="000E0D92">
        <w:rPr>
          <w:i/>
          <w:iCs/>
          <w:color w:val="000000"/>
          <w:sz w:val="20"/>
          <w:szCs w:val="20"/>
          <w:shd w:val="clear" w:color="auto" w:fill="FFFFFF"/>
        </w:rPr>
        <w:t>East India Company</w:t>
      </w:r>
      <w:r w:rsidRPr="000E0D92">
        <w:rPr>
          <w:color w:val="000000"/>
          <w:sz w:val="20"/>
          <w:szCs w:val="20"/>
          <w:shd w:val="clear" w:color="auto" w:fill="FFFFFF"/>
        </w:rPr>
        <w:t> (2018) &lt;https://www.britannica.com/topic/East-India-Company&gt; [accessed 8 May 2018].</w:t>
      </w:r>
    </w:p>
    <w:p w14:paraId="2CC38210" w14:textId="77777777" w:rsidR="00D7176C" w:rsidRPr="000E0D92" w:rsidRDefault="00D7176C" w:rsidP="00D7176C">
      <w:pPr>
        <w:pStyle w:val="FootnoteText"/>
      </w:pPr>
    </w:p>
  </w:footnote>
  <w:footnote w:id="23">
    <w:p w14:paraId="63617C46" w14:textId="77777777" w:rsidR="00D7176C" w:rsidRPr="000E0D92" w:rsidRDefault="00D7176C" w:rsidP="00D7176C">
      <w:pPr>
        <w:rPr>
          <w:sz w:val="20"/>
          <w:szCs w:val="20"/>
        </w:rPr>
      </w:pPr>
      <w:r w:rsidRPr="000E0D92">
        <w:rPr>
          <w:rStyle w:val="FootnoteReference"/>
          <w:sz w:val="20"/>
          <w:szCs w:val="20"/>
        </w:rPr>
        <w:footnoteRef/>
      </w:r>
      <w:r w:rsidRPr="000E0D92">
        <w:rPr>
          <w:sz w:val="20"/>
          <w:szCs w:val="20"/>
        </w:rPr>
        <w:t xml:space="preserve"> </w:t>
      </w:r>
      <w:r w:rsidRPr="000E0D92">
        <w:rPr>
          <w:color w:val="000000"/>
          <w:sz w:val="20"/>
          <w:szCs w:val="20"/>
          <w:shd w:val="clear" w:color="auto" w:fill="FFFFFF"/>
        </w:rPr>
        <w:t>Encyclopaedia Britannica, </w:t>
      </w:r>
      <w:r w:rsidRPr="000E0D92">
        <w:rPr>
          <w:i/>
          <w:iCs/>
          <w:color w:val="000000"/>
          <w:sz w:val="20"/>
          <w:szCs w:val="20"/>
          <w:shd w:val="clear" w:color="auto" w:fill="FFFFFF"/>
        </w:rPr>
        <w:t>East India Company</w:t>
      </w:r>
      <w:r w:rsidRPr="000E0D92">
        <w:rPr>
          <w:color w:val="000000"/>
          <w:sz w:val="20"/>
          <w:szCs w:val="20"/>
          <w:shd w:val="clear" w:color="auto" w:fill="FFFFFF"/>
        </w:rPr>
        <w:t> (2018) &lt;https://www.britannica.com/topic/East-India-Company&gt; [accessed 8 May 2018].</w:t>
      </w:r>
    </w:p>
    <w:p w14:paraId="2DE968D1" w14:textId="77777777" w:rsidR="00D7176C" w:rsidRPr="000E0D92" w:rsidRDefault="00D7176C" w:rsidP="00D7176C">
      <w:pPr>
        <w:pStyle w:val="FootnoteText"/>
      </w:pPr>
    </w:p>
  </w:footnote>
  <w:footnote w:id="24">
    <w:p w14:paraId="6E66D62A" w14:textId="77777777" w:rsidR="00D7176C" w:rsidRPr="000E0D92" w:rsidRDefault="00D7176C" w:rsidP="00D7176C">
      <w:pPr>
        <w:pStyle w:val="FootnoteText"/>
      </w:pPr>
      <w:r w:rsidRPr="000E0D92">
        <w:rPr>
          <w:rStyle w:val="FootnoteReference"/>
        </w:rPr>
        <w:footnoteRef/>
      </w:r>
      <w:r w:rsidRPr="000E0D92">
        <w:t xml:space="preserve"> </w:t>
      </w:r>
      <w:r w:rsidRPr="000E0D92">
        <w:rPr>
          <w:color w:val="000000"/>
          <w:shd w:val="clear" w:color="auto" w:fill="FFFFFF"/>
        </w:rPr>
        <w:t>Bright Hub, </w:t>
      </w:r>
      <w:r w:rsidRPr="000E0D92">
        <w:rPr>
          <w:i/>
          <w:iCs/>
          <w:color w:val="000000"/>
          <w:shd w:val="clear" w:color="auto" w:fill="FFFFFF"/>
        </w:rPr>
        <w:t>Eighteenth Century Slavery and Sugar</w:t>
      </w:r>
      <w:r w:rsidRPr="000E0D92">
        <w:rPr>
          <w:color w:val="000000"/>
          <w:shd w:val="clear" w:color="auto" w:fill="FFFFFF"/>
        </w:rPr>
        <w:t> (2016) &lt;https://www.brighthubeducation.com/history-homework-help/92096-slavery-and-the-sugar-trade-in-the-eighteenth-century/&gt; [accessed 8 May 2018].</w:t>
      </w:r>
    </w:p>
  </w:footnote>
  <w:footnote w:id="25">
    <w:p w14:paraId="6CA68D19" w14:textId="2514152E" w:rsidR="000E0D92" w:rsidRDefault="000E0D92" w:rsidP="000E0D92">
      <w:pPr>
        <w:pStyle w:val="FootnoteText"/>
      </w:pPr>
      <w:r w:rsidRPr="000E0D92">
        <w:rPr>
          <w:rStyle w:val="FootnoteReference"/>
        </w:rPr>
        <w:footnoteRef/>
      </w:r>
      <w:r w:rsidRPr="000E0D92">
        <w:t xml:space="preserve"> </w:t>
      </w:r>
      <w:r w:rsidRPr="000E0D92">
        <w:rPr>
          <w:color w:val="000000"/>
          <w:shd w:val="clear" w:color="auto" w:fill="FFFFFF"/>
        </w:rPr>
        <w:t>Bright Hub, </w:t>
      </w:r>
      <w:r w:rsidRPr="000E0D92">
        <w:rPr>
          <w:i/>
          <w:iCs/>
          <w:color w:val="000000"/>
          <w:shd w:val="clear" w:color="auto" w:fill="FFFFFF"/>
        </w:rPr>
        <w:t>Eighteenth Century Slavery and Sugar</w:t>
      </w:r>
      <w:r w:rsidRPr="000E0D92">
        <w:rPr>
          <w:color w:val="000000"/>
          <w:shd w:val="clear" w:color="auto" w:fill="FFFFFF"/>
        </w:rPr>
        <w:t> (2016) [accessed 8 May 2018].</w:t>
      </w:r>
    </w:p>
  </w:footnote>
  <w:footnote w:id="26">
    <w:p w14:paraId="4C7FF849" w14:textId="5346E6F7" w:rsidR="000E0D92" w:rsidRPr="000E0D92" w:rsidRDefault="000E0D92" w:rsidP="000E0D92">
      <w:pPr>
        <w:pStyle w:val="FootnoteText"/>
      </w:pPr>
      <w:r>
        <w:rPr>
          <w:rStyle w:val="FootnoteReference"/>
        </w:rPr>
        <w:footnoteRef/>
      </w:r>
      <w:r>
        <w:t xml:space="preserve"> </w:t>
      </w:r>
      <w:r w:rsidRPr="000E0D92">
        <w:rPr>
          <w:color w:val="000000"/>
          <w:shd w:val="clear" w:color="auto" w:fill="FFFFFF"/>
        </w:rPr>
        <w:t>Bright Hub, </w:t>
      </w:r>
      <w:r w:rsidRPr="000E0D92">
        <w:rPr>
          <w:i/>
          <w:iCs/>
          <w:color w:val="000000"/>
          <w:shd w:val="clear" w:color="auto" w:fill="FFFFFF"/>
        </w:rPr>
        <w:t>Eighteenth Century Slavery and Sugar</w:t>
      </w:r>
      <w:r w:rsidRPr="000E0D92">
        <w:rPr>
          <w:color w:val="000000"/>
          <w:shd w:val="clear" w:color="auto" w:fill="FFFFFF"/>
        </w:rPr>
        <w:t> (2016) [accessed 8 May 2018].</w:t>
      </w:r>
    </w:p>
  </w:footnote>
  <w:footnote w:id="27">
    <w:p w14:paraId="6464DA44" w14:textId="386107E2" w:rsidR="000E0D92" w:rsidRPr="000E0D92" w:rsidRDefault="000E0D92" w:rsidP="000E0D92">
      <w:pPr>
        <w:pStyle w:val="FootnoteText"/>
      </w:pPr>
      <w:r w:rsidRPr="000E0D92">
        <w:rPr>
          <w:rStyle w:val="FootnoteReference"/>
        </w:rPr>
        <w:footnoteRef/>
      </w:r>
      <w:r w:rsidRPr="000E0D92">
        <w:t xml:space="preserve"> </w:t>
      </w:r>
      <w:r w:rsidRPr="000E0D92">
        <w:rPr>
          <w:color w:val="000000"/>
          <w:shd w:val="clear" w:color="auto" w:fill="FFFFFF"/>
        </w:rPr>
        <w:t>Bright Hub, </w:t>
      </w:r>
      <w:r w:rsidRPr="000E0D92">
        <w:rPr>
          <w:i/>
          <w:iCs/>
          <w:color w:val="000000"/>
          <w:shd w:val="clear" w:color="auto" w:fill="FFFFFF"/>
        </w:rPr>
        <w:t>Eighteenth Century Slavery and Sugar</w:t>
      </w:r>
      <w:r w:rsidRPr="000E0D92">
        <w:rPr>
          <w:color w:val="000000"/>
          <w:shd w:val="clear" w:color="auto" w:fill="FFFFFF"/>
        </w:rPr>
        <w:t> (2016) [accessed 8 May 2018].</w:t>
      </w:r>
    </w:p>
  </w:footnote>
  <w:footnote w:id="28">
    <w:p w14:paraId="3C1C036E" w14:textId="3B0CD2F6" w:rsidR="00C21F1F" w:rsidRDefault="00C21F1F">
      <w:pPr>
        <w:pStyle w:val="FootnoteText"/>
      </w:pPr>
      <w:r>
        <w:rPr>
          <w:rStyle w:val="FootnoteReference"/>
        </w:rPr>
        <w:footnoteRef/>
      </w:r>
      <w:r>
        <w:t xml:space="preserve"> </w:t>
      </w:r>
      <w:r w:rsidRPr="00B4447F">
        <w:rPr>
          <w:color w:val="000000"/>
          <w:shd w:val="clear" w:color="auto" w:fill="FFFFFF"/>
        </w:rPr>
        <w:t>Niall Ferguson, </w:t>
      </w:r>
      <w:r w:rsidRPr="00B4447F">
        <w:rPr>
          <w:i/>
          <w:iCs/>
          <w:color w:val="000000"/>
          <w:shd w:val="clear" w:color="auto" w:fill="FFFFFF"/>
        </w:rPr>
        <w:t xml:space="preserve">Empire, </w:t>
      </w:r>
      <w:r w:rsidRPr="00B4447F">
        <w:rPr>
          <w:color w:val="000000"/>
          <w:shd w:val="clear" w:color="auto" w:fill="FFFFFF"/>
        </w:rPr>
        <w:t xml:space="preserve">p. </w:t>
      </w:r>
      <w:r>
        <w:rPr>
          <w:color w:val="000000"/>
          <w:shd w:val="clear" w:color="auto" w:fill="FFFFFF"/>
        </w:rPr>
        <w:t>.329</w:t>
      </w:r>
      <w:r w:rsidRPr="00B4447F">
        <w:rPr>
          <w:color w:val="000000"/>
          <w:shd w:val="clear" w:color="auto" w:fill="FFFFFF"/>
        </w:rPr>
        <w:t>.</w:t>
      </w:r>
    </w:p>
  </w:footnote>
  <w:footnote w:id="29">
    <w:p w14:paraId="31378257" w14:textId="63B3E1ED" w:rsidR="000B5618" w:rsidRDefault="000B5618">
      <w:pPr>
        <w:pStyle w:val="FootnoteText"/>
      </w:pPr>
      <w:r>
        <w:rPr>
          <w:rStyle w:val="FootnoteReference"/>
        </w:rPr>
        <w:footnoteRef/>
      </w:r>
      <w:r>
        <w:t xml:space="preserve"> </w:t>
      </w:r>
      <w:r w:rsidRPr="000B5618">
        <w:rPr>
          <w:color w:val="000000"/>
          <w:shd w:val="clear" w:color="auto" w:fill="FFFFFF"/>
        </w:rPr>
        <w:t>Ministry for Culture and Heritage, </w:t>
      </w:r>
      <w:r w:rsidRPr="000B5618">
        <w:rPr>
          <w:i/>
          <w:iCs/>
          <w:color w:val="000000"/>
          <w:shd w:val="clear" w:color="auto" w:fill="FFFFFF"/>
        </w:rPr>
        <w:t>United Kingdom of Great Britain and Ireland</w:t>
      </w:r>
      <w:r w:rsidRPr="000B5618">
        <w:rPr>
          <w:color w:val="000000"/>
          <w:shd w:val="clear" w:color="auto" w:fill="FFFFFF"/>
        </w:rPr>
        <w:t> (September 2014) &lt;https://nzhistory.govt.nz/war/united-kingdom-facts&gt; [accessed 7 May 2018].</w:t>
      </w:r>
    </w:p>
  </w:footnote>
  <w:footnote w:id="30">
    <w:p w14:paraId="7A79CB72" w14:textId="1D360317" w:rsidR="008651EB" w:rsidRDefault="008651EB">
      <w:pPr>
        <w:pStyle w:val="FootnoteText"/>
      </w:pPr>
      <w:r>
        <w:rPr>
          <w:rStyle w:val="FootnoteReference"/>
        </w:rPr>
        <w:footnoteRef/>
      </w:r>
      <w:r>
        <w:t xml:space="preserve"> </w:t>
      </w:r>
      <w:r w:rsidRPr="008651EB">
        <w:rPr>
          <w:color w:val="000000"/>
          <w:shd w:val="clear" w:color="auto" w:fill="FFFFFF"/>
        </w:rPr>
        <w:t xml:space="preserve">Mandy </w:t>
      </w:r>
      <w:proofErr w:type="gramStart"/>
      <w:r w:rsidRPr="008651EB">
        <w:rPr>
          <w:color w:val="000000"/>
          <w:shd w:val="clear" w:color="auto" w:fill="FFFFFF"/>
        </w:rPr>
        <w:t>Barrow ,</w:t>
      </w:r>
      <w:proofErr w:type="gramEnd"/>
      <w:r w:rsidRPr="008651EB">
        <w:rPr>
          <w:color w:val="000000"/>
          <w:shd w:val="clear" w:color="auto" w:fill="FFFFFF"/>
        </w:rPr>
        <w:t> </w:t>
      </w:r>
      <w:r w:rsidRPr="008651EB">
        <w:rPr>
          <w:i/>
          <w:iCs/>
          <w:color w:val="000000"/>
          <w:shd w:val="clear" w:color="auto" w:fill="FFFFFF"/>
        </w:rPr>
        <w:t>Project Britain British Life and Culture</w:t>
      </w:r>
      <w:r w:rsidRPr="008651EB">
        <w:rPr>
          <w:color w:val="000000"/>
          <w:shd w:val="clear" w:color="auto" w:fill="FFFFFF"/>
        </w:rPr>
        <w:t> (2014) &lt;http://projectbritain.com/population.html#anchor57006&gt; [accessed 7 May 2018].</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8810697"/>
    <w:multiLevelType w:val="multilevel"/>
    <w:tmpl w:val="EEF4BA3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36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36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0796"/>
    <w:rsid w:val="00047311"/>
    <w:rsid w:val="000A63B4"/>
    <w:rsid w:val="000B5618"/>
    <w:rsid w:val="000C6741"/>
    <w:rsid w:val="000E0D92"/>
    <w:rsid w:val="001C7576"/>
    <w:rsid w:val="002717A4"/>
    <w:rsid w:val="0029413C"/>
    <w:rsid w:val="00306D9B"/>
    <w:rsid w:val="00384D3E"/>
    <w:rsid w:val="003D5F5C"/>
    <w:rsid w:val="004048A6"/>
    <w:rsid w:val="00417838"/>
    <w:rsid w:val="004769E6"/>
    <w:rsid w:val="00504F08"/>
    <w:rsid w:val="00534A7D"/>
    <w:rsid w:val="00583296"/>
    <w:rsid w:val="005F2AC9"/>
    <w:rsid w:val="00674C23"/>
    <w:rsid w:val="006D5B88"/>
    <w:rsid w:val="006E010F"/>
    <w:rsid w:val="00700610"/>
    <w:rsid w:val="00714AB8"/>
    <w:rsid w:val="00782BCE"/>
    <w:rsid w:val="00797E84"/>
    <w:rsid w:val="007C358F"/>
    <w:rsid w:val="008532FA"/>
    <w:rsid w:val="008651EB"/>
    <w:rsid w:val="008D2614"/>
    <w:rsid w:val="00921758"/>
    <w:rsid w:val="00953A20"/>
    <w:rsid w:val="00984526"/>
    <w:rsid w:val="00984F0D"/>
    <w:rsid w:val="00A64C7F"/>
    <w:rsid w:val="00AA0796"/>
    <w:rsid w:val="00AB249C"/>
    <w:rsid w:val="00B42550"/>
    <w:rsid w:val="00B4447F"/>
    <w:rsid w:val="00B87338"/>
    <w:rsid w:val="00BA7D6D"/>
    <w:rsid w:val="00BD5DB2"/>
    <w:rsid w:val="00BD6B89"/>
    <w:rsid w:val="00C02C71"/>
    <w:rsid w:val="00C21F1F"/>
    <w:rsid w:val="00C847FF"/>
    <w:rsid w:val="00C8660F"/>
    <w:rsid w:val="00C96CED"/>
    <w:rsid w:val="00CA14A3"/>
    <w:rsid w:val="00CB55CC"/>
    <w:rsid w:val="00D7176C"/>
    <w:rsid w:val="00D919DD"/>
    <w:rsid w:val="00D96772"/>
    <w:rsid w:val="00E52EA4"/>
    <w:rsid w:val="00E66037"/>
    <w:rsid w:val="00EA7DAA"/>
    <w:rsid w:val="00EE3B58"/>
    <w:rsid w:val="00F04249"/>
    <w:rsid w:val="00F55FFC"/>
    <w:rsid w:val="00F670D3"/>
    <w:rsid w:val="00F85312"/>
    <w:rsid w:val="00FD0E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A8F0FF1"/>
  <w15:chartTrackingRefBased/>
  <w15:docId w15:val="{9B3DC90B-76F0-44E8-B332-E48853FA27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qFormat/>
    <w:rsid w:val="00AA0796"/>
    <w:pPr>
      <w:spacing w:after="200" w:line="276" w:lineRule="auto"/>
      <w:ind w:left="720"/>
      <w:contextualSpacing/>
    </w:pPr>
    <w:rPr>
      <w:rFonts w:eastAsiaTheme="minorEastAsia"/>
      <w:lang w:eastAsia="en-GB"/>
    </w:rPr>
  </w:style>
  <w:style w:type="paragraph" w:styleId="FootnoteText">
    <w:name w:val="footnote text"/>
    <w:basedOn w:val="Normal"/>
    <w:link w:val="FootnoteTextChar"/>
    <w:uiPriority w:val="99"/>
    <w:semiHidden/>
    <w:unhideWhenUsed/>
    <w:rsid w:val="00782BC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82BCE"/>
    <w:rPr>
      <w:sz w:val="20"/>
      <w:szCs w:val="20"/>
    </w:rPr>
  </w:style>
  <w:style w:type="character" w:styleId="FootnoteReference">
    <w:name w:val="footnote reference"/>
    <w:basedOn w:val="DefaultParagraphFont"/>
    <w:uiPriority w:val="99"/>
    <w:semiHidden/>
    <w:unhideWhenUsed/>
    <w:rsid w:val="00782BCE"/>
    <w:rPr>
      <w:vertAlign w:val="superscript"/>
    </w:rPr>
  </w:style>
  <w:style w:type="character" w:styleId="Strong">
    <w:name w:val="Strong"/>
    <w:basedOn w:val="DefaultParagraphFont"/>
    <w:uiPriority w:val="22"/>
    <w:qFormat/>
    <w:rsid w:val="00D7176C"/>
    <w:rPr>
      <w:b/>
      <w:bCs/>
    </w:rPr>
  </w:style>
  <w:style w:type="paragraph" w:styleId="NormalWeb">
    <w:name w:val="Normal (Web)"/>
    <w:basedOn w:val="Normal"/>
    <w:uiPriority w:val="99"/>
    <w:unhideWhenUsed/>
    <w:rsid w:val="00D7176C"/>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858296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4E8AEE1-F30C-4C21-8824-3AB401C932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161</TotalTime>
  <Pages>6</Pages>
  <Words>2441</Words>
  <Characters>13917</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Lewis (1600275)</dc:creator>
  <cp:keywords/>
  <dc:description/>
  <cp:lastModifiedBy>Emma Lewis (1600275)</cp:lastModifiedBy>
  <cp:revision>51</cp:revision>
  <dcterms:created xsi:type="dcterms:W3CDTF">2018-05-05T16:03:00Z</dcterms:created>
  <dcterms:modified xsi:type="dcterms:W3CDTF">2018-05-08T12:16:00Z</dcterms:modified>
</cp:coreProperties>
</file>