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Module: Food &amp; Beverage Operations</w:t>
      </w:r>
    </w:p>
    <w:p>
      <w:pPr>
        <w:spacing w:before="0" w:after="0" w:line="360"/>
        <w:ind w:right="0" w:left="0" w:firstLine="0"/>
        <w:jc w:val="center"/>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Module code: BMIH4002</w:t>
      </w:r>
    </w:p>
    <w:p>
      <w:pPr>
        <w:spacing w:before="0" w:after="0" w:line="360"/>
        <w:ind w:right="0" w:left="0" w:firstLine="0"/>
        <w:jc w:val="center"/>
        <w:rPr>
          <w:rFonts w:ascii="Times New Roman" w:hAnsi="Times New Roman" w:cs="Times New Roman" w:eastAsia="Times New Roman"/>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Assignment 1</w:t>
      </w:r>
    </w:p>
    <w:p>
      <w:pPr>
        <w:spacing w:before="0" w:after="0" w:line="360"/>
        <w:ind w:right="0" w:left="0" w:firstLine="0"/>
        <w:jc w:val="center"/>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Assignment Title: Student Journal (Learning Log)</w:t>
      </w:r>
    </w:p>
    <w:p>
      <w:pPr>
        <w:spacing w:before="0" w:after="0" w:line="360"/>
        <w:ind w:right="0" w:left="0" w:firstLine="0"/>
        <w:jc w:val="both"/>
        <w:rPr>
          <w:rFonts w:ascii="Times New Roman" w:hAnsi="Times New Roman" w:cs="Times New Roman" w:eastAsia="Times New Roman"/>
          <w:b/>
          <w:color w:val="auto"/>
          <w:spacing w:val="0"/>
          <w:position w:val="0"/>
          <w:sz w:val="24"/>
          <w:u w:val="single"/>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0"/>
          <w:shd w:fill="auto" w:val="clear"/>
        </w:rPr>
      </w:pPr>
    </w:p>
    <w:tbl>
      <w:tblPr/>
      <w:tblGrid>
        <w:gridCol w:w="3987"/>
        <w:gridCol w:w="7195"/>
      </w:tblGrid>
      <w:tr>
        <w:trPr>
          <w:trHeight w:val="1" w:hRule="atLeast"/>
          <w:jc w:val="left"/>
        </w:trPr>
        <w:tc>
          <w:tcPr>
            <w:tcW w:w="3987" w:type="dxa"/>
            <w:tcBorders>
              <w:top w:val="single" w:color="000000" w:sz="4"/>
              <w:left w:val="single" w:color="000000" w:sz="4"/>
              <w:bottom w:val="single" w:color="000000" w:sz="4"/>
              <w:right w:val="single" w:color="000000" w:sz="4"/>
            </w:tcBorders>
            <w:shd w:color="auto" w:fill="8db3e2"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b/>
                <w:color w:val="auto"/>
                <w:spacing w:val="0"/>
                <w:position w:val="0"/>
                <w:sz w:val="36"/>
                <w:shd w:fill="auto" w:val="clear"/>
              </w:rPr>
            </w:pPr>
            <w:r>
              <w:rPr>
                <w:rFonts w:ascii="Times New Roman" w:hAnsi="Times New Roman" w:cs="Times New Roman" w:eastAsia="Times New Roman"/>
                <w:b/>
                <w:color w:val="auto"/>
                <w:spacing w:val="0"/>
                <w:position w:val="0"/>
                <w:sz w:val="36"/>
                <w:shd w:fill="auto" w:val="clear"/>
              </w:rPr>
              <w:t xml:space="preserve">Student Name:</w:t>
            </w:r>
          </w:p>
          <w:p>
            <w:pPr>
              <w:spacing w:before="0" w:after="0" w:line="360"/>
              <w:ind w:right="0" w:left="0" w:firstLine="0"/>
              <w:jc w:val="both"/>
              <w:rPr>
                <w:rFonts w:ascii="Times New Roman" w:hAnsi="Times New Roman" w:cs="Times New Roman" w:eastAsia="Times New Roman"/>
                <w:b/>
                <w:color w:val="auto"/>
                <w:spacing w:val="0"/>
                <w:position w:val="0"/>
                <w:sz w:val="36"/>
                <w:shd w:fill="auto" w:val="clear"/>
              </w:rPr>
            </w:pPr>
            <w:r>
              <w:rPr>
                <w:rFonts w:ascii="Times New Roman" w:hAnsi="Times New Roman" w:cs="Times New Roman" w:eastAsia="Times New Roman"/>
                <w:b/>
                <w:color w:val="auto"/>
                <w:spacing w:val="0"/>
                <w:position w:val="0"/>
                <w:sz w:val="36"/>
                <w:shd w:fill="auto" w:val="clear"/>
              </w:rPr>
              <w:t xml:space="preserve">Petru Varga</w:t>
            </w:r>
          </w:p>
          <w:p>
            <w:pPr>
              <w:spacing w:before="0" w:after="0" w:line="360"/>
              <w:ind w:right="0" w:left="0" w:firstLine="0"/>
              <w:jc w:val="both"/>
              <w:rPr>
                <w:rFonts w:ascii="Times New Roman" w:hAnsi="Times New Roman" w:cs="Times New Roman" w:eastAsia="Times New Roman"/>
                <w:b/>
                <w:color w:val="auto"/>
                <w:spacing w:val="0"/>
                <w:position w:val="0"/>
                <w:sz w:val="36"/>
                <w:shd w:fill="auto" w:val="clear"/>
              </w:rPr>
            </w:pPr>
            <w:r>
              <w:rPr>
                <w:rFonts w:ascii="Times New Roman" w:hAnsi="Times New Roman" w:cs="Times New Roman" w:eastAsia="Times New Roman"/>
                <w:b/>
                <w:color w:val="auto"/>
                <w:spacing w:val="0"/>
                <w:position w:val="0"/>
                <w:sz w:val="36"/>
                <w:shd w:fill="auto" w:val="clear"/>
              </w:rPr>
              <w:t xml:space="preserve">Student Number:2022595</w:t>
            </w:r>
          </w:p>
          <w:p>
            <w:pPr>
              <w:spacing w:before="0" w:after="0" w:line="360"/>
              <w:ind w:right="0" w:left="0" w:firstLine="0"/>
              <w:jc w:val="both"/>
              <w:rPr>
                <w:color w:val="auto"/>
                <w:spacing w:val="0"/>
                <w:position w:val="0"/>
                <w:shd w:fill="auto" w:val="clear"/>
              </w:rPr>
            </w:pPr>
          </w:p>
        </w:tc>
        <w:tc>
          <w:tcPr>
            <w:tcW w:w="7195" w:type="dxa"/>
            <w:tcBorders>
              <w:top w:val="single" w:color="000000" w:sz="4"/>
              <w:left w:val="single" w:color="000000" w:sz="4"/>
              <w:bottom w:val="single" w:color="000000" w:sz="4"/>
              <w:right w:val="single" w:color="000000" w:sz="4"/>
            </w:tcBorders>
            <w:shd w:color="auto" w:fill="8db3e2"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b/>
                <w:color w:val="auto"/>
                <w:spacing w:val="0"/>
                <w:position w:val="0"/>
                <w:sz w:val="36"/>
                <w:shd w:fill="auto" w:val="clear"/>
              </w:rPr>
            </w:pPr>
            <w:r>
              <w:rPr>
                <w:rFonts w:ascii="Times New Roman" w:hAnsi="Times New Roman" w:cs="Times New Roman" w:eastAsia="Times New Roman"/>
                <w:b/>
                <w:color w:val="auto"/>
                <w:spacing w:val="0"/>
                <w:position w:val="0"/>
                <w:sz w:val="36"/>
                <w:shd w:fill="auto" w:val="clear"/>
              </w:rPr>
              <w:t xml:space="preserve">Module: Food and Beverage Operations</w:t>
            </w:r>
          </w:p>
          <w:p>
            <w:pPr>
              <w:spacing w:before="0" w:after="0" w:line="360"/>
              <w:ind w:right="0" w:left="0" w:firstLine="0"/>
              <w:jc w:val="both"/>
              <w:rPr>
                <w:rFonts w:ascii="Times New Roman" w:hAnsi="Times New Roman" w:cs="Times New Roman" w:eastAsia="Times New Roman"/>
                <w:b/>
                <w:color w:val="auto"/>
                <w:spacing w:val="0"/>
                <w:position w:val="0"/>
                <w:sz w:val="36"/>
                <w:shd w:fill="auto" w:val="clear"/>
              </w:rPr>
            </w:pPr>
          </w:p>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36"/>
                <w:shd w:fill="auto" w:val="clear"/>
              </w:rPr>
              <w:t xml:space="preserve">Lecturer:Lola Villard</w:t>
            </w:r>
          </w:p>
        </w:tc>
      </w:tr>
    </w:tbl>
    <w:p>
      <w:pPr>
        <w:spacing w:before="0" w:after="0" w:line="360"/>
        <w:ind w:right="0" w:left="0" w:firstLine="0"/>
        <w:jc w:val="both"/>
        <w:rPr>
          <w:rFonts w:ascii="Times New Roman" w:hAnsi="Times New Roman" w:cs="Times New Roman" w:eastAsia="Times New Roman"/>
          <w:color w:val="auto"/>
          <w:spacing w:val="0"/>
          <w:position w:val="0"/>
          <w:sz w:val="36"/>
          <w:shd w:fill="auto" w:val="clear"/>
        </w:rPr>
      </w:pPr>
    </w:p>
    <w:tbl>
      <w:tblPr/>
      <w:tblGrid>
        <w:gridCol w:w="3983"/>
        <w:gridCol w:w="7199"/>
      </w:tblGrid>
      <w:tr>
        <w:trPr>
          <w:trHeight w:val="1" w:hRule="atLeast"/>
          <w:jc w:val="left"/>
        </w:trPr>
        <w:tc>
          <w:tcPr>
            <w:tcW w:w="3983" w:type="dxa"/>
            <w:tcBorders>
              <w:top w:val="single" w:color="000000" w:sz="4"/>
              <w:left w:val="single" w:color="000000" w:sz="4"/>
              <w:bottom w:val="single" w:color="000000" w:sz="4"/>
              <w:right w:val="single" w:color="000000" w:sz="4"/>
            </w:tcBorders>
            <w:shd w:color="auto" w:fill="fbd5b5"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36"/>
                <w:shd w:fill="auto" w:val="clear"/>
              </w:rPr>
              <w:t xml:space="preserve">Topic of choice:</w:t>
            </w:r>
          </w:p>
        </w:tc>
        <w:tc>
          <w:tcPr>
            <w:tcW w:w="7199" w:type="dxa"/>
            <w:tcBorders>
              <w:top w:val="single" w:color="000000" w:sz="4"/>
              <w:left w:val="single" w:color="000000" w:sz="4"/>
              <w:bottom w:val="single" w:color="000000" w:sz="4"/>
              <w:right w:val="single" w:color="000000" w:sz="4"/>
            </w:tcBorders>
            <w:shd w:color="auto" w:fill="fbd5b5"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36"/>
                <w:shd w:fill="auto" w:val="clear"/>
              </w:rPr>
              <w:t xml:space="preserve">Ratings, Inspections and Reporting Procedures</w:t>
            </w:r>
          </w:p>
        </w:tc>
      </w:tr>
      <w:tr>
        <w:trPr>
          <w:trHeight w:val="2494" w:hRule="auto"/>
          <w:jc w:val="left"/>
        </w:trPr>
        <w:tc>
          <w:tcPr>
            <w:tcW w:w="11182"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0"/>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hospitality industry's profitability is heavily reliant on the food and beverage services sector. Due to the rise in popularity of social and business gatherings, catering businesses are seeing a spike in sales. Professionals in the F&amp;B industry work long and hard hours to ensure that their consumers get the best possible experience (Cousins, 2020). From the introductory lecture to feedback classes, I have learned the importance of managerial roles and practices that is directly connected to customer satisfaction and also learned about the matter of personal preferences and tastes. I will discuss here the importance of rating, inception, and reporting procedures in the food industry.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My first lecture was an inductor class and from this inductor class, I got a clear knowledge about the F&amp;B industries and all of their aspects and target audiences. Then I gradually learn about the rating, inspection, and rating procedure of the food and beverage industry from the next lecture.  An onsite review of an establishment's established food health and safety management system results in a food investigation report (</w:t>
            </w:r>
            <w:r>
              <w:rPr>
                <w:rFonts w:ascii="Times New Roman" w:hAnsi="Times New Roman" w:cs="Times New Roman" w:eastAsia="Times New Roman"/>
                <w:color w:val="222222"/>
                <w:spacing w:val="0"/>
                <w:position w:val="0"/>
                <w:sz w:val="24"/>
                <w:shd w:fill="FFFFFF" w:val="clear"/>
              </w:rPr>
              <w:t xml:space="preserve">Vainio, et al., 2020</w:t>
            </w:r>
            <w:r>
              <w:rPr>
                <w:rFonts w:ascii="Times New Roman" w:hAnsi="Times New Roman" w:cs="Times New Roman" w:eastAsia="Times New Roman"/>
                <w:color w:val="auto"/>
                <w:spacing w:val="0"/>
                <w:position w:val="0"/>
                <w:sz w:val="24"/>
                <w:shd w:fill="auto" w:val="clear"/>
              </w:rPr>
              <w:t xml:space="preserve">). It includes information on food safety methods, sanitary conditions, storage procedures, food safety practices, and the quality of food facility design. A high level of quality of food safety and the protection of public health are the goals of food inspections, which are preventative actions taken by local, national, and federal food safety authorities. For several food businessmen, the term "food safety inspection" brings shivers down their spines. Food inspections are a critical aspect sends the food industry since they ensure that all food firms are adhering to food safety standards (</w:t>
            </w:r>
            <w:r>
              <w:rPr>
                <w:rFonts w:ascii="Times New Roman" w:hAnsi="Times New Roman" w:cs="Times New Roman" w:eastAsia="Times New Roman"/>
                <w:color w:val="222222"/>
                <w:spacing w:val="0"/>
                <w:position w:val="0"/>
                <w:sz w:val="24"/>
                <w:shd w:fill="FFFFFF" w:val="clear"/>
              </w:rPr>
              <w:t xml:space="preserve">Choi, Nelson and Almanza, 2019</w:t>
            </w: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Many things can go wrong if a food establishment fails an inspection, so it's understandable that the proprietors of those establishments are worried. A food inspector's assessment of food handling techniques in a food inspection report could have major ramifications for a firm, or it could be assessed. From the lecture, I also know about the 4Cs that are most important to maintaining food hygiene. These are cleaning, cooking, and chilling as cross-contamination. In order to prevent harmful bacteria, chemicals, and foreign objects from accidentally dropping into food, it's critical that it be stored properly. We have to be sincere whenever food is being transported, such as from the headquarters to another location, or from other places to the headquarters, we must ensure that it does not become contaminated. Law requires food business operators to guarantee that food handlers are properly supervised and trained in food hygiene in accordance with the region in which they work (Zutshi, 2019). Food handlers in the UK are not required to get a food standards certificate in order to prepare and sell food. Another important topic that is covered by the lecture is food rating.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Rating is related to the safety of food from manufacture to delivery, which should be maintained strictly by the food industry according to the demand of the customers (</w:t>
            </w:r>
            <w:r>
              <w:rPr>
                <w:rFonts w:ascii="Times New Roman" w:hAnsi="Times New Roman" w:cs="Times New Roman" w:eastAsia="Times New Roman"/>
                <w:color w:val="222222"/>
                <w:spacing w:val="0"/>
                <w:position w:val="0"/>
                <w:sz w:val="24"/>
                <w:shd w:fill="FFFFFF" w:val="clear"/>
              </w:rPr>
              <w:t xml:space="preserve">Slabinskaya and Benderskaya, 2019</w:t>
            </w:r>
            <w:r>
              <w:rPr>
                <w:rFonts w:ascii="Times New Roman" w:hAnsi="Times New Roman" w:cs="Times New Roman" w:eastAsia="Times New Roman"/>
                <w:color w:val="auto"/>
                <w:spacing w:val="0"/>
                <w:position w:val="0"/>
                <w:sz w:val="24"/>
                <w:shd w:fill="auto" w:val="clear"/>
              </w:rPr>
              <w:t xml:space="preserve">). To be successful, a company must produce safe food, as consumers have a right to assume that the products, they buy are safe (</w:t>
            </w:r>
            <w:r>
              <w:rPr>
                <w:rFonts w:ascii="Times New Roman" w:hAnsi="Times New Roman" w:cs="Times New Roman" w:eastAsia="Times New Roman"/>
                <w:color w:val="222222"/>
                <w:spacing w:val="0"/>
                <w:position w:val="0"/>
                <w:sz w:val="24"/>
                <w:shd w:fill="FFFFFF" w:val="clear"/>
              </w:rPr>
              <w:t xml:space="preserve">Mantilla Herrera, et al., 2018</w:t>
            </w:r>
            <w:r>
              <w:rPr>
                <w:rFonts w:ascii="Times New Roman" w:hAnsi="Times New Roman" w:cs="Times New Roman" w:eastAsia="Times New Roman"/>
                <w:color w:val="auto"/>
                <w:spacing w:val="0"/>
                <w:position w:val="0"/>
                <w:sz w:val="24"/>
                <w:shd w:fill="auto" w:val="clear"/>
              </w:rPr>
              <w:t xml:space="preserve">). For export industries and other industries that offer items, such as manufacturers, merchants, or fast-food franchises, it is essential that enterprises can demonstrate the quality and safety of their goods. Producing food that is both safe and free of contamination relies heavily on (SOPs) (</w:t>
            </w:r>
            <w:r>
              <w:rPr>
                <w:rFonts w:ascii="Times New Roman" w:hAnsi="Times New Roman" w:cs="Times New Roman" w:eastAsia="Times New Roman"/>
                <w:color w:val="222222"/>
                <w:spacing w:val="0"/>
                <w:position w:val="0"/>
                <w:sz w:val="24"/>
                <w:shd w:fill="FFFFFF" w:val="clear"/>
              </w:rPr>
              <w:t xml:space="preserve">Guthrie, Cuganesan and Ward, 2018</w:t>
            </w:r>
            <w:r>
              <w:rPr>
                <w:rFonts w:ascii="Times New Roman" w:hAnsi="Times New Roman" w:cs="Times New Roman" w:eastAsia="Times New Roman"/>
                <w:color w:val="auto"/>
                <w:spacing w:val="0"/>
                <w:position w:val="0"/>
                <w:sz w:val="24"/>
                <w:shd w:fill="auto" w:val="clear"/>
              </w:rPr>
              <w:t xml:space="preserve">). A food agency's SOPs are documented guidelines and procedures for how the food is handled and produced. Routine operations are documented to ensure that they are performed consistently and accurately by the individuals working in the facility. In food processing facilities, standard operating procedures (SOPs) provide step-by-step guidance on how to do specific tasks (</w:t>
            </w:r>
            <w:r>
              <w:rPr>
                <w:rFonts w:ascii="Times New Roman" w:hAnsi="Times New Roman" w:cs="Times New Roman" w:eastAsia="Times New Roman"/>
                <w:color w:val="222222"/>
                <w:spacing w:val="0"/>
                <w:position w:val="0"/>
                <w:sz w:val="24"/>
                <w:shd w:fill="FFFFFF" w:val="clear"/>
              </w:rPr>
              <w:t xml:space="preserve">Roth and Menor, 2013</w:t>
            </w:r>
            <w:r>
              <w:rPr>
                <w:rFonts w:ascii="Times New Roman" w:hAnsi="Times New Roman" w:cs="Times New Roman" w:eastAsia="Times New Roman"/>
                <w:color w:val="auto"/>
                <w:spacing w:val="0"/>
                <w:position w:val="0"/>
                <w:sz w:val="24"/>
                <w:shd w:fill="auto" w:val="clear"/>
              </w:rPr>
              <w:t xml:space="preserv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summarize, the lecture introduced me to the overall concept of the F&amp;D industry and how important it is for the hospitality industry. By taking the lecture, I know that in the food and beverage industry, the topic of </w:t>
            </w:r>
            <w:r>
              <w:rPr>
                <w:rFonts w:ascii="Times New Roman" w:hAnsi="Times New Roman" w:cs="Times New Roman" w:eastAsia="Times New Roman"/>
                <w:color w:val="auto"/>
                <w:spacing w:val="0"/>
                <w:position w:val="0"/>
                <w:sz w:val="24"/>
                <w:shd w:fill="FFFFFF" w:val="clear"/>
              </w:rPr>
              <w:t xml:space="preserve">ratings, inspections, and reporting Procedures</w:t>
            </w:r>
            <w:r>
              <w:rPr>
                <w:rFonts w:ascii="Times New Roman" w:hAnsi="Times New Roman" w:cs="Times New Roman" w:eastAsia="Times New Roman"/>
                <w:color w:val="auto"/>
                <w:spacing w:val="0"/>
                <w:position w:val="0"/>
                <w:sz w:val="24"/>
                <w:shd w:fill="auto" w:val="clear"/>
              </w:rPr>
              <w:t xml:space="preserve"> in the food and beverage industry is considered the most important topic to keep in mind as nowadays, a large number of people are suffering from food intolerances. The lecture introduced me to put more concern on safer food to make better business, analysis on hazards, set critical control points, and most importantly, set ratings on food hygiene. It is necessary for all businesses to make a clear food inspection report to let the customers know whether the foods are safe or not. </w:t>
            </w:r>
          </w:p>
          <w:p>
            <w:pPr>
              <w:spacing w:before="0" w:after="0" w:line="360"/>
              <w:ind w:right="0" w:left="0" w:firstLine="0"/>
              <w:jc w:val="both"/>
              <w:rPr>
                <w:spacing w:val="0"/>
                <w:position w:val="0"/>
              </w:rPr>
            </w:pPr>
          </w:p>
        </w:tc>
      </w:tr>
    </w:tbl>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tbl>
      <w:tblPr/>
      <w:tblGrid>
        <w:gridCol w:w="10910"/>
        <w:gridCol w:w="272"/>
      </w:tblGrid>
      <w:tr>
        <w:trPr>
          <w:trHeight w:val="1" w:hRule="atLeast"/>
          <w:jc w:val="left"/>
        </w:trPr>
        <w:tc>
          <w:tcPr>
            <w:tcW w:w="10910" w:type="dxa"/>
            <w:tcBorders>
              <w:top w:val="single" w:color="000000" w:sz="4"/>
              <w:left w:val="single" w:color="000000" w:sz="4"/>
              <w:bottom w:val="single" w:color="000000" w:sz="4"/>
              <w:right w:val="single" w:color="000000" w:sz="4"/>
            </w:tcBorders>
            <w:shd w:color="auto" w:fill="fbd5b5"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0"/>
                <w:shd w:fill="auto" w:val="clear"/>
              </w:rPr>
              <w:t xml:space="preserve">REFERENCE LIST (not included in word count)</w:t>
            </w:r>
          </w:p>
        </w:tc>
        <w:tc>
          <w:tcPr>
            <w:tcW w:w="272" w:type="dxa"/>
            <w:tcBorders>
              <w:top w:val="single" w:color="000000" w:sz="4"/>
              <w:left w:val="single" w:color="000000" w:sz="4"/>
              <w:bottom w:val="single" w:color="000000" w:sz="4"/>
              <w:right w:val="single" w:color="000000" w:sz="4"/>
            </w:tcBorders>
            <w:shd w:color="auto" w:fill="fbd5b5"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b/>
                <w:color w:val="auto"/>
                <w:spacing w:val="0"/>
                <w:position w:val="0"/>
                <w:sz w:val="20"/>
                <w:shd w:fill="auto" w:val="clear"/>
              </w:rPr>
            </w:pPr>
          </w:p>
          <w:p>
            <w:pPr>
              <w:spacing w:before="0" w:after="0" w:line="360"/>
              <w:ind w:right="0" w:left="0" w:firstLine="0"/>
              <w:jc w:val="both"/>
              <w:rPr>
                <w:color w:val="auto"/>
                <w:spacing w:val="0"/>
                <w:position w:val="0"/>
                <w:shd w:fill="auto" w:val="clear"/>
              </w:rPr>
            </w:pPr>
          </w:p>
        </w:tc>
      </w:tr>
      <w:tr>
        <w:trPr>
          <w:trHeight w:val="2494" w:hRule="auto"/>
          <w:jc w:val="left"/>
        </w:trPr>
        <w:tc>
          <w:tcPr>
            <w:tcW w:w="11182"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0"/>
                <w:shd w:fill="auto" w:val="clear"/>
              </w:rPr>
            </w:pPr>
          </w:p>
          <w:p>
            <w:pPr>
              <w:spacing w:before="0" w:after="0" w:line="276"/>
              <w:ind w:right="0" w:left="0" w:firstLine="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Choi, J., Nelson, D. and Almanza, B., 2019. Food safety risk for restaurant management: use of restaurant health inspection report to predict consumers’ behavioural intention. Journal of Risk Research, 22(11), pp.1443-1457.</w:t>
            </w:r>
          </w:p>
          <w:p>
            <w:pPr>
              <w:spacing w:before="0" w:after="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Cousins, J. (2020) Food and beverage service. 10th edition. Suzanne. Weekes (ed.). London: Hodder Education Group.</w:t>
            </w:r>
          </w:p>
          <w:p>
            <w:pPr>
              <w:spacing w:before="0" w:after="0" w:line="276"/>
              <w:ind w:right="0" w:left="0" w:firstLine="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Guthrie, J., Cuganesan, S. and Ward, L., 2018, March. Industry-specific social and environmental reporting: The Australian Food and Beverage Industry. In Accounting Forum (Vol. 32, No. 1, pp. 1-15). No longer published by Elsevier.</w:t>
            </w:r>
          </w:p>
          <w:p>
            <w:pPr>
              <w:spacing w:before="0" w:after="0" w:line="276"/>
              <w:ind w:right="0" w:left="0" w:firstLine="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Mantilla Herrera, A.M., Crino, M., Erskine, H.E., Sacks, G., Ananthapavan, J., Mhurchu, C.N. and Lee, Y.Y., 2018. Cost-effectiveness of product reformulation in response to the health star rating food labelling system in Australia. Nutrients, 10(5), p.614.</w:t>
            </w:r>
          </w:p>
          <w:p>
            <w:pPr>
              <w:spacing w:before="0" w:after="0" w:line="276"/>
              <w:ind w:right="0" w:left="0" w:firstLine="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Roth, A.V. and Menor, L.J., 2013. Insights into service operations management: a research agenda. Production and Operations Management, 12(2), pp.145-164.</w:t>
            </w:r>
          </w:p>
          <w:p>
            <w:pPr>
              <w:spacing w:before="0" w:after="0" w:line="276"/>
              <w:ind w:right="0" w:left="0" w:firstLine="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Slabinskaya, I.A. and Benderskaya, O.B., 2019, June. Comparative Integrated Assessment and Rating of Stability of Functioning of Belgorod Region Food Industry Enterprises throughout 2016. In IOP Conference Series: Earth and Environmental Science (Vol. 272, No. 3, p. 032146). IOP Publishing.</w:t>
            </w:r>
          </w:p>
          <w:p>
            <w:pPr>
              <w:spacing w:before="0" w:after="0" w:line="276"/>
              <w:ind w:right="0" w:left="0" w:firstLine="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Vainio, A., Kaskela, J., Finell, E., Ollila, S. and Lundén, J., 2020. Consumer perceptions raised by the food safety inspection report: Does the smiley communicate a food safety risk?. Food Control, 110, p.106976.</w:t>
            </w:r>
          </w:p>
          <w:p>
            <w:pPr>
              <w:spacing w:before="0" w:after="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Zutshi, A. (2019) How to develop well-informed and assured teams to embed food safety compliance in the UK catering and hospitality industry. Perspectives in public health. [Online] 139 (6), 294</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295. Available from: doi:10.1177/1757913919872783.</w:t>
            </w:r>
          </w:p>
          <w:p>
            <w:pPr>
              <w:spacing w:before="0" w:after="0" w:line="240"/>
              <w:ind w:right="0" w:left="0" w:firstLine="0"/>
              <w:jc w:val="left"/>
              <w:rPr>
                <w:color w:val="auto"/>
                <w:spacing w:val="0"/>
                <w:position w:val="0"/>
              </w:rPr>
            </w:pPr>
          </w:p>
        </w:tc>
      </w:tr>
    </w:tbl>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