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3BFDC" w14:textId="77777777" w:rsidR="007F60E4" w:rsidRDefault="007F60E4">
      <w:pPr>
        <w:spacing w:before="240"/>
        <w:rPr>
          <w:b/>
          <w:bCs/>
        </w:rPr>
      </w:pPr>
    </w:p>
    <w:p w14:paraId="5684324A" w14:textId="77777777" w:rsidR="007F60E4" w:rsidRDefault="007F60E4">
      <w:pPr>
        <w:spacing w:before="240"/>
        <w:rPr>
          <w:b/>
          <w:bCs/>
        </w:rPr>
      </w:pPr>
    </w:p>
    <w:p w14:paraId="288A12C8" w14:textId="77777777" w:rsidR="007F60E4" w:rsidRDefault="007F60E4">
      <w:pPr>
        <w:spacing w:before="240"/>
        <w:rPr>
          <w:b/>
          <w:bCs/>
        </w:rPr>
      </w:pPr>
    </w:p>
    <w:p w14:paraId="53FF4A96" w14:textId="77777777" w:rsidR="007F60E4" w:rsidRDefault="00000000">
      <w:pPr>
        <w:spacing w:before="240"/>
        <w:jc w:val="center"/>
        <w:rPr>
          <w:b/>
          <w:bCs/>
          <w:sz w:val="32"/>
          <w:szCs w:val="32"/>
        </w:rPr>
      </w:pPr>
      <w:r>
        <w:rPr>
          <w:b/>
          <w:bCs/>
          <w:sz w:val="32"/>
          <w:szCs w:val="32"/>
        </w:rPr>
        <w:t>PROGRAMME: MASTER OF BUSINESS ADMINISTRATION</w:t>
      </w:r>
    </w:p>
    <w:p w14:paraId="03DD44B9" w14:textId="77777777" w:rsidR="007F60E4" w:rsidRDefault="00000000">
      <w:pPr>
        <w:spacing w:before="240"/>
        <w:jc w:val="center"/>
        <w:rPr>
          <w:b/>
          <w:bCs/>
          <w:sz w:val="32"/>
          <w:szCs w:val="32"/>
        </w:rPr>
      </w:pPr>
      <w:r>
        <w:rPr>
          <w:b/>
          <w:bCs/>
          <w:sz w:val="32"/>
          <w:szCs w:val="32"/>
        </w:rPr>
        <w:t>ASSIGNMENT TITLE: MARKETING ENVIRONMENT ANALYSIS OF BHP</w:t>
      </w:r>
    </w:p>
    <w:p w14:paraId="5AA213B8" w14:textId="77777777" w:rsidR="007F60E4" w:rsidRDefault="00000000">
      <w:pPr>
        <w:spacing w:before="240"/>
        <w:jc w:val="center"/>
        <w:rPr>
          <w:b/>
          <w:bCs/>
          <w:sz w:val="32"/>
          <w:szCs w:val="32"/>
        </w:rPr>
      </w:pPr>
      <w:r>
        <w:rPr>
          <w:b/>
          <w:bCs/>
          <w:sz w:val="32"/>
          <w:szCs w:val="32"/>
        </w:rPr>
        <w:t>MODULE: MARKETING MANAGEMENT</w:t>
      </w:r>
    </w:p>
    <w:p w14:paraId="16DB619F" w14:textId="77777777" w:rsidR="007F60E4" w:rsidRDefault="00000000">
      <w:pPr>
        <w:spacing w:before="240"/>
        <w:jc w:val="center"/>
        <w:rPr>
          <w:b/>
          <w:bCs/>
          <w:sz w:val="32"/>
          <w:szCs w:val="32"/>
        </w:rPr>
      </w:pPr>
      <w:r>
        <w:rPr>
          <w:b/>
          <w:bCs/>
          <w:sz w:val="32"/>
          <w:szCs w:val="32"/>
        </w:rPr>
        <w:t>MODULE CODE: LCMB7024</w:t>
      </w:r>
    </w:p>
    <w:p w14:paraId="793CDA30" w14:textId="239586D7" w:rsidR="007F60E4" w:rsidRDefault="00000000">
      <w:pPr>
        <w:spacing w:before="240"/>
        <w:jc w:val="center"/>
        <w:rPr>
          <w:b/>
          <w:bCs/>
          <w:color w:val="EE0000"/>
        </w:rPr>
      </w:pPr>
      <w:r>
        <w:rPr>
          <w:b/>
          <w:bCs/>
        </w:rPr>
        <w:t>LECTURER’S NAME:</w:t>
      </w:r>
      <w:r w:rsidR="00AD681D">
        <w:rPr>
          <w:b/>
          <w:bCs/>
        </w:rPr>
        <w:t xml:space="preserve"> </w:t>
      </w:r>
      <w:r w:rsidR="001A5D17">
        <w:rPr>
          <w:b/>
          <w:bCs/>
        </w:rPr>
        <w:t xml:space="preserve">Taonga Kaonga </w:t>
      </w:r>
      <w:proofErr w:type="spellStart"/>
      <w:r w:rsidR="001A5D17">
        <w:rPr>
          <w:b/>
          <w:bCs/>
        </w:rPr>
        <w:t>Sobere</w:t>
      </w:r>
      <w:r w:rsidR="00A1097B">
        <w:rPr>
          <w:b/>
          <w:bCs/>
        </w:rPr>
        <w:t>-Snithers</w:t>
      </w:r>
      <w:proofErr w:type="spellEnd"/>
    </w:p>
    <w:p w14:paraId="2E8B63F1" w14:textId="3111F288" w:rsidR="007F60E4" w:rsidRDefault="00000000">
      <w:pPr>
        <w:spacing w:before="240"/>
        <w:jc w:val="center"/>
        <w:rPr>
          <w:b/>
          <w:bCs/>
        </w:rPr>
      </w:pPr>
      <w:r>
        <w:rPr>
          <w:b/>
          <w:bCs/>
        </w:rPr>
        <w:t>STUDENT NAME</w:t>
      </w:r>
      <w:r w:rsidR="00832DC1">
        <w:rPr>
          <w:b/>
          <w:bCs/>
        </w:rPr>
        <w:t>: J</w:t>
      </w:r>
      <w:r w:rsidR="00E91098">
        <w:rPr>
          <w:b/>
          <w:bCs/>
        </w:rPr>
        <w:t>ayraj</w:t>
      </w:r>
      <w:r w:rsidR="00832DC1">
        <w:rPr>
          <w:b/>
          <w:bCs/>
        </w:rPr>
        <w:t xml:space="preserve"> </w:t>
      </w:r>
      <w:r w:rsidR="00965989">
        <w:rPr>
          <w:b/>
          <w:bCs/>
        </w:rPr>
        <w:t>N</w:t>
      </w:r>
      <w:r w:rsidR="00E91098">
        <w:rPr>
          <w:b/>
          <w:bCs/>
        </w:rPr>
        <w:t>athabhai</w:t>
      </w:r>
      <w:r w:rsidR="00965989">
        <w:rPr>
          <w:b/>
          <w:bCs/>
        </w:rPr>
        <w:t xml:space="preserve"> Keshvala</w:t>
      </w:r>
    </w:p>
    <w:p w14:paraId="3485DBCF" w14:textId="660D3B90" w:rsidR="007F60E4" w:rsidRDefault="00000000">
      <w:pPr>
        <w:spacing w:before="240"/>
        <w:jc w:val="center"/>
        <w:rPr>
          <w:b/>
          <w:bCs/>
        </w:rPr>
      </w:pPr>
      <w:r>
        <w:rPr>
          <w:b/>
          <w:bCs/>
        </w:rPr>
        <w:t>STUDENT ID:</w:t>
      </w:r>
      <w:r w:rsidR="001D7E8F">
        <w:rPr>
          <w:b/>
          <w:bCs/>
        </w:rPr>
        <w:t xml:space="preserve"> 2614288</w:t>
      </w:r>
    </w:p>
    <w:p w14:paraId="0E4E6413" w14:textId="77777777" w:rsidR="007F60E4" w:rsidRDefault="00000000">
      <w:pPr>
        <w:spacing w:before="240"/>
        <w:jc w:val="center"/>
        <w:rPr>
          <w:b/>
          <w:bCs/>
        </w:rPr>
      </w:pPr>
      <w:bookmarkStart w:id="0" w:name="_12kvn1kelwnj" w:colFirst="0" w:colLast="0"/>
      <w:bookmarkEnd w:id="0"/>
      <w:r>
        <w:rPr>
          <w:b/>
          <w:bCs/>
        </w:rPr>
        <w:t>Word count: 2505</w:t>
      </w:r>
    </w:p>
    <w:p w14:paraId="7061F881" w14:textId="77777777" w:rsidR="007F60E4" w:rsidRDefault="007F60E4">
      <w:pPr>
        <w:spacing w:before="240"/>
        <w:rPr>
          <w:b/>
          <w:bCs/>
        </w:rPr>
      </w:pPr>
    </w:p>
    <w:p w14:paraId="79875144" w14:textId="77777777" w:rsidR="007F60E4" w:rsidRDefault="00000000">
      <w:pPr>
        <w:spacing w:before="240"/>
        <w:rPr>
          <w:b/>
          <w:bCs/>
        </w:rPr>
      </w:pPr>
      <w:r>
        <w:br w:type="page"/>
      </w:r>
    </w:p>
    <w:p w14:paraId="574586D4" w14:textId="77777777" w:rsidR="007F60E4" w:rsidRDefault="00000000">
      <w:pPr>
        <w:spacing w:before="240" w:line="276" w:lineRule="auto"/>
        <w:jc w:val="center"/>
        <w:rPr>
          <w:b/>
          <w:bCs/>
          <w:sz w:val="28"/>
          <w:szCs w:val="28"/>
        </w:rPr>
      </w:pPr>
      <w:r>
        <w:rPr>
          <w:b/>
          <w:bCs/>
          <w:sz w:val="28"/>
          <w:szCs w:val="28"/>
        </w:rPr>
        <w:lastRenderedPageBreak/>
        <w:t>Table of Contents</w:t>
      </w:r>
    </w:p>
    <w:sdt>
      <w:sdtPr>
        <w:id w:val="46077336"/>
        <w:docPartObj>
          <w:docPartGallery w:val="Table of Contents"/>
          <w:docPartUnique/>
        </w:docPartObj>
      </w:sdtPr>
      <w:sdtContent>
        <w:p w14:paraId="1071CEB8" w14:textId="419DD6DA" w:rsidR="00FA3ACF" w:rsidRDefault="00000000">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41855652" w:history="1">
            <w:r w:rsidR="00FA3ACF" w:rsidRPr="00C66B23">
              <w:rPr>
                <w:rStyle w:val="Hyperlink"/>
                <w:noProof/>
              </w:rPr>
              <w:t>Task 1: Marketing Environment Analysis</w:t>
            </w:r>
            <w:r w:rsidR="00FA3ACF">
              <w:rPr>
                <w:noProof/>
                <w:webHidden/>
              </w:rPr>
              <w:tab/>
            </w:r>
            <w:r w:rsidR="00FA3ACF">
              <w:rPr>
                <w:noProof/>
                <w:webHidden/>
              </w:rPr>
              <w:fldChar w:fldCharType="begin"/>
            </w:r>
            <w:r w:rsidR="00FA3ACF">
              <w:rPr>
                <w:noProof/>
                <w:webHidden/>
              </w:rPr>
              <w:instrText xml:space="preserve"> PAGEREF _Toc241855652 \h </w:instrText>
            </w:r>
            <w:r w:rsidR="00FA3ACF">
              <w:rPr>
                <w:noProof/>
                <w:webHidden/>
              </w:rPr>
            </w:r>
            <w:r w:rsidR="00FA3ACF">
              <w:rPr>
                <w:noProof/>
                <w:webHidden/>
              </w:rPr>
              <w:fldChar w:fldCharType="separate"/>
            </w:r>
            <w:r w:rsidR="00872C1D">
              <w:rPr>
                <w:noProof/>
                <w:webHidden/>
              </w:rPr>
              <w:t>3</w:t>
            </w:r>
            <w:r w:rsidR="00FA3ACF">
              <w:rPr>
                <w:noProof/>
                <w:webHidden/>
              </w:rPr>
              <w:fldChar w:fldCharType="end"/>
            </w:r>
          </w:hyperlink>
        </w:p>
        <w:p w14:paraId="79141ABE" w14:textId="7223C33B" w:rsidR="00FA3ACF" w:rsidRDefault="00FA3ACF">
          <w:pPr>
            <w:pStyle w:val="TOC2"/>
            <w:tabs>
              <w:tab w:val="right" w:leader="dot" w:pos="9350"/>
            </w:tabs>
            <w:rPr>
              <w:noProof/>
            </w:rPr>
          </w:pPr>
          <w:hyperlink w:anchor="_Toc241855653" w:history="1">
            <w:r w:rsidRPr="00C66B23">
              <w:rPr>
                <w:rStyle w:val="Hyperlink"/>
                <w:noProof/>
              </w:rPr>
              <w:t>1.1 Company overview</w:t>
            </w:r>
            <w:r>
              <w:rPr>
                <w:noProof/>
                <w:webHidden/>
              </w:rPr>
              <w:tab/>
            </w:r>
            <w:r>
              <w:rPr>
                <w:noProof/>
                <w:webHidden/>
              </w:rPr>
              <w:fldChar w:fldCharType="begin"/>
            </w:r>
            <w:r>
              <w:rPr>
                <w:noProof/>
                <w:webHidden/>
              </w:rPr>
              <w:instrText xml:space="preserve"> PAGEREF _Toc241855653 \h </w:instrText>
            </w:r>
            <w:r>
              <w:rPr>
                <w:noProof/>
                <w:webHidden/>
              </w:rPr>
            </w:r>
            <w:r>
              <w:rPr>
                <w:noProof/>
                <w:webHidden/>
              </w:rPr>
              <w:fldChar w:fldCharType="separate"/>
            </w:r>
            <w:r w:rsidR="00872C1D">
              <w:rPr>
                <w:noProof/>
                <w:webHidden/>
              </w:rPr>
              <w:t>3</w:t>
            </w:r>
            <w:r>
              <w:rPr>
                <w:noProof/>
                <w:webHidden/>
              </w:rPr>
              <w:fldChar w:fldCharType="end"/>
            </w:r>
          </w:hyperlink>
        </w:p>
        <w:p w14:paraId="1352EA2E" w14:textId="326570D3" w:rsidR="00FA3ACF" w:rsidRDefault="00FA3ACF">
          <w:pPr>
            <w:pStyle w:val="TOC2"/>
            <w:tabs>
              <w:tab w:val="right" w:leader="dot" w:pos="9350"/>
            </w:tabs>
            <w:rPr>
              <w:noProof/>
            </w:rPr>
          </w:pPr>
          <w:hyperlink w:anchor="_Toc241855654" w:history="1">
            <w:r w:rsidRPr="00C66B23">
              <w:rPr>
                <w:rStyle w:val="Hyperlink"/>
                <w:noProof/>
              </w:rPr>
              <w:t>1.2 Analysis of market environment actors</w:t>
            </w:r>
            <w:r>
              <w:rPr>
                <w:noProof/>
                <w:webHidden/>
              </w:rPr>
              <w:tab/>
            </w:r>
            <w:r>
              <w:rPr>
                <w:noProof/>
                <w:webHidden/>
              </w:rPr>
              <w:fldChar w:fldCharType="begin"/>
            </w:r>
            <w:r>
              <w:rPr>
                <w:noProof/>
                <w:webHidden/>
              </w:rPr>
              <w:instrText xml:space="preserve"> PAGEREF _Toc241855654 \h </w:instrText>
            </w:r>
            <w:r>
              <w:rPr>
                <w:noProof/>
                <w:webHidden/>
              </w:rPr>
            </w:r>
            <w:r>
              <w:rPr>
                <w:noProof/>
                <w:webHidden/>
              </w:rPr>
              <w:fldChar w:fldCharType="separate"/>
            </w:r>
            <w:r w:rsidR="00872C1D">
              <w:rPr>
                <w:noProof/>
                <w:webHidden/>
              </w:rPr>
              <w:t>4</w:t>
            </w:r>
            <w:r>
              <w:rPr>
                <w:noProof/>
                <w:webHidden/>
              </w:rPr>
              <w:fldChar w:fldCharType="end"/>
            </w:r>
          </w:hyperlink>
        </w:p>
        <w:p w14:paraId="6EEEA3A0" w14:textId="17E26D2A" w:rsidR="00FA3ACF" w:rsidRDefault="00FA3ACF">
          <w:pPr>
            <w:pStyle w:val="TOC3"/>
            <w:tabs>
              <w:tab w:val="right" w:leader="dot" w:pos="9350"/>
            </w:tabs>
            <w:rPr>
              <w:noProof/>
            </w:rPr>
          </w:pPr>
          <w:hyperlink w:anchor="_Toc241855655" w:history="1">
            <w:r w:rsidRPr="00C66B23">
              <w:rPr>
                <w:rStyle w:val="Hyperlink"/>
                <w:noProof/>
              </w:rPr>
              <w:t>1.2.1 Political, legal, and environmental (PEL) actors influencing BHP’s transition towards lower-carbon products</w:t>
            </w:r>
            <w:r>
              <w:rPr>
                <w:noProof/>
                <w:webHidden/>
              </w:rPr>
              <w:tab/>
            </w:r>
            <w:r>
              <w:rPr>
                <w:noProof/>
                <w:webHidden/>
              </w:rPr>
              <w:fldChar w:fldCharType="begin"/>
            </w:r>
            <w:r>
              <w:rPr>
                <w:noProof/>
                <w:webHidden/>
              </w:rPr>
              <w:instrText xml:space="preserve"> PAGEREF _Toc241855655 \h </w:instrText>
            </w:r>
            <w:r>
              <w:rPr>
                <w:noProof/>
                <w:webHidden/>
              </w:rPr>
            </w:r>
            <w:r>
              <w:rPr>
                <w:noProof/>
                <w:webHidden/>
              </w:rPr>
              <w:fldChar w:fldCharType="separate"/>
            </w:r>
            <w:r w:rsidR="00872C1D">
              <w:rPr>
                <w:noProof/>
                <w:webHidden/>
              </w:rPr>
              <w:t>4</w:t>
            </w:r>
            <w:r>
              <w:rPr>
                <w:noProof/>
                <w:webHidden/>
              </w:rPr>
              <w:fldChar w:fldCharType="end"/>
            </w:r>
          </w:hyperlink>
        </w:p>
        <w:p w14:paraId="540824D0" w14:textId="05146A28" w:rsidR="00FA3ACF" w:rsidRDefault="00FA3ACF">
          <w:pPr>
            <w:pStyle w:val="TOC3"/>
            <w:tabs>
              <w:tab w:val="right" w:leader="dot" w:pos="9350"/>
            </w:tabs>
            <w:rPr>
              <w:noProof/>
            </w:rPr>
          </w:pPr>
          <w:hyperlink w:anchor="_Toc241855656" w:history="1">
            <w:r w:rsidRPr="00C66B23">
              <w:rPr>
                <w:rStyle w:val="Hyperlink"/>
                <w:noProof/>
              </w:rPr>
              <w:t>1.2.2 Environmental factors pushing towards transition</w:t>
            </w:r>
            <w:r>
              <w:rPr>
                <w:noProof/>
                <w:webHidden/>
              </w:rPr>
              <w:tab/>
            </w:r>
            <w:r>
              <w:rPr>
                <w:noProof/>
                <w:webHidden/>
              </w:rPr>
              <w:fldChar w:fldCharType="begin"/>
            </w:r>
            <w:r>
              <w:rPr>
                <w:noProof/>
                <w:webHidden/>
              </w:rPr>
              <w:instrText xml:space="preserve"> PAGEREF _Toc241855656 \h </w:instrText>
            </w:r>
            <w:r>
              <w:rPr>
                <w:noProof/>
                <w:webHidden/>
              </w:rPr>
            </w:r>
            <w:r>
              <w:rPr>
                <w:noProof/>
                <w:webHidden/>
              </w:rPr>
              <w:fldChar w:fldCharType="separate"/>
            </w:r>
            <w:r w:rsidR="00872C1D">
              <w:rPr>
                <w:noProof/>
                <w:webHidden/>
              </w:rPr>
              <w:t>10</w:t>
            </w:r>
            <w:r>
              <w:rPr>
                <w:noProof/>
                <w:webHidden/>
              </w:rPr>
              <w:fldChar w:fldCharType="end"/>
            </w:r>
          </w:hyperlink>
        </w:p>
        <w:p w14:paraId="57792AC9" w14:textId="5D227BAC" w:rsidR="00FA3ACF" w:rsidRDefault="00FA3ACF">
          <w:pPr>
            <w:pStyle w:val="TOC1"/>
            <w:tabs>
              <w:tab w:val="right" w:leader="dot" w:pos="9350"/>
            </w:tabs>
            <w:rPr>
              <w:noProof/>
            </w:rPr>
          </w:pPr>
          <w:hyperlink w:anchor="_Toc241855657" w:history="1">
            <w:r w:rsidRPr="00C66B23">
              <w:rPr>
                <w:rStyle w:val="Hyperlink"/>
                <w:noProof/>
              </w:rPr>
              <w:t>Task 2: Strategic Growth and Competitive Positioning</w:t>
            </w:r>
            <w:r>
              <w:rPr>
                <w:noProof/>
                <w:webHidden/>
              </w:rPr>
              <w:tab/>
            </w:r>
            <w:r>
              <w:rPr>
                <w:noProof/>
                <w:webHidden/>
              </w:rPr>
              <w:fldChar w:fldCharType="begin"/>
            </w:r>
            <w:r>
              <w:rPr>
                <w:noProof/>
                <w:webHidden/>
              </w:rPr>
              <w:instrText xml:space="preserve"> PAGEREF _Toc241855657 \h </w:instrText>
            </w:r>
            <w:r>
              <w:rPr>
                <w:noProof/>
                <w:webHidden/>
              </w:rPr>
            </w:r>
            <w:r>
              <w:rPr>
                <w:noProof/>
                <w:webHidden/>
              </w:rPr>
              <w:fldChar w:fldCharType="separate"/>
            </w:r>
            <w:r w:rsidR="00872C1D">
              <w:rPr>
                <w:noProof/>
                <w:webHidden/>
              </w:rPr>
              <w:t>13</w:t>
            </w:r>
            <w:r>
              <w:rPr>
                <w:noProof/>
                <w:webHidden/>
              </w:rPr>
              <w:fldChar w:fldCharType="end"/>
            </w:r>
          </w:hyperlink>
        </w:p>
        <w:p w14:paraId="5E6B3816" w14:textId="1018D9ED" w:rsidR="00FA3ACF" w:rsidRDefault="00FA3ACF">
          <w:pPr>
            <w:pStyle w:val="TOC2"/>
            <w:tabs>
              <w:tab w:val="right" w:leader="dot" w:pos="9350"/>
            </w:tabs>
            <w:rPr>
              <w:noProof/>
            </w:rPr>
          </w:pPr>
          <w:hyperlink w:anchor="_Toc241855658" w:history="1">
            <w:r w:rsidRPr="00C66B23">
              <w:rPr>
                <w:rStyle w:val="Hyperlink"/>
                <w:noProof/>
              </w:rPr>
              <w:t>2.1 Strategic Growth Strategy</w:t>
            </w:r>
            <w:r>
              <w:rPr>
                <w:noProof/>
                <w:webHidden/>
              </w:rPr>
              <w:tab/>
            </w:r>
            <w:r>
              <w:rPr>
                <w:noProof/>
                <w:webHidden/>
              </w:rPr>
              <w:fldChar w:fldCharType="begin"/>
            </w:r>
            <w:r>
              <w:rPr>
                <w:noProof/>
                <w:webHidden/>
              </w:rPr>
              <w:instrText xml:space="preserve"> PAGEREF _Toc241855658 \h </w:instrText>
            </w:r>
            <w:r>
              <w:rPr>
                <w:noProof/>
                <w:webHidden/>
              </w:rPr>
            </w:r>
            <w:r>
              <w:rPr>
                <w:noProof/>
                <w:webHidden/>
              </w:rPr>
              <w:fldChar w:fldCharType="separate"/>
            </w:r>
            <w:r w:rsidR="00872C1D">
              <w:rPr>
                <w:noProof/>
                <w:webHidden/>
              </w:rPr>
              <w:t>13</w:t>
            </w:r>
            <w:r>
              <w:rPr>
                <w:noProof/>
                <w:webHidden/>
              </w:rPr>
              <w:fldChar w:fldCharType="end"/>
            </w:r>
          </w:hyperlink>
        </w:p>
        <w:p w14:paraId="52538061" w14:textId="0A3CCA66" w:rsidR="00FA3ACF" w:rsidRDefault="00FA3ACF">
          <w:pPr>
            <w:pStyle w:val="TOC3"/>
            <w:tabs>
              <w:tab w:val="right" w:leader="dot" w:pos="9350"/>
            </w:tabs>
            <w:rPr>
              <w:noProof/>
            </w:rPr>
          </w:pPr>
          <w:hyperlink w:anchor="_Toc241855659" w:history="1">
            <w:r w:rsidRPr="00C66B23">
              <w:rPr>
                <w:rStyle w:val="Hyperlink"/>
                <w:noProof/>
              </w:rPr>
              <w:t>2.1.1 Applying the Ansoff Matrix</w:t>
            </w:r>
            <w:r>
              <w:rPr>
                <w:noProof/>
                <w:webHidden/>
              </w:rPr>
              <w:tab/>
            </w:r>
            <w:r>
              <w:rPr>
                <w:noProof/>
                <w:webHidden/>
              </w:rPr>
              <w:fldChar w:fldCharType="begin"/>
            </w:r>
            <w:r>
              <w:rPr>
                <w:noProof/>
                <w:webHidden/>
              </w:rPr>
              <w:instrText xml:space="preserve"> PAGEREF _Toc241855659 \h </w:instrText>
            </w:r>
            <w:r>
              <w:rPr>
                <w:noProof/>
                <w:webHidden/>
              </w:rPr>
            </w:r>
            <w:r>
              <w:rPr>
                <w:noProof/>
                <w:webHidden/>
              </w:rPr>
              <w:fldChar w:fldCharType="separate"/>
            </w:r>
            <w:r w:rsidR="00872C1D">
              <w:rPr>
                <w:noProof/>
                <w:webHidden/>
              </w:rPr>
              <w:t>13</w:t>
            </w:r>
            <w:r>
              <w:rPr>
                <w:noProof/>
                <w:webHidden/>
              </w:rPr>
              <w:fldChar w:fldCharType="end"/>
            </w:r>
          </w:hyperlink>
        </w:p>
        <w:p w14:paraId="6870E1A7" w14:textId="3FA9B562" w:rsidR="00FA3ACF" w:rsidRDefault="00FA3ACF">
          <w:pPr>
            <w:pStyle w:val="TOC3"/>
            <w:tabs>
              <w:tab w:val="right" w:leader="dot" w:pos="9350"/>
            </w:tabs>
            <w:rPr>
              <w:noProof/>
            </w:rPr>
          </w:pPr>
          <w:hyperlink w:anchor="_Toc241855660" w:history="1">
            <w:r w:rsidRPr="00C66B23">
              <w:rPr>
                <w:rStyle w:val="Hyperlink"/>
                <w:noProof/>
              </w:rPr>
              <w:t>2.1.2 Critical evaluation supported by PLC</w:t>
            </w:r>
            <w:r>
              <w:rPr>
                <w:noProof/>
                <w:webHidden/>
              </w:rPr>
              <w:tab/>
            </w:r>
            <w:r>
              <w:rPr>
                <w:noProof/>
                <w:webHidden/>
              </w:rPr>
              <w:fldChar w:fldCharType="begin"/>
            </w:r>
            <w:r>
              <w:rPr>
                <w:noProof/>
                <w:webHidden/>
              </w:rPr>
              <w:instrText xml:space="preserve"> PAGEREF _Toc241855660 \h </w:instrText>
            </w:r>
            <w:r>
              <w:rPr>
                <w:noProof/>
                <w:webHidden/>
              </w:rPr>
            </w:r>
            <w:r>
              <w:rPr>
                <w:noProof/>
                <w:webHidden/>
              </w:rPr>
              <w:fldChar w:fldCharType="separate"/>
            </w:r>
            <w:r w:rsidR="00872C1D">
              <w:rPr>
                <w:noProof/>
                <w:webHidden/>
              </w:rPr>
              <w:t>14</w:t>
            </w:r>
            <w:r>
              <w:rPr>
                <w:noProof/>
                <w:webHidden/>
              </w:rPr>
              <w:fldChar w:fldCharType="end"/>
            </w:r>
          </w:hyperlink>
        </w:p>
        <w:p w14:paraId="4D8DAA65" w14:textId="5E48CC38" w:rsidR="00FA3ACF" w:rsidRDefault="00FA3ACF">
          <w:pPr>
            <w:pStyle w:val="TOC3"/>
            <w:tabs>
              <w:tab w:val="right" w:leader="dot" w:pos="9350"/>
            </w:tabs>
            <w:rPr>
              <w:noProof/>
            </w:rPr>
          </w:pPr>
          <w:hyperlink w:anchor="_Toc241855661" w:history="1">
            <w:r w:rsidRPr="00C66B23">
              <w:rPr>
                <w:rStyle w:val="Hyperlink"/>
                <w:noProof/>
              </w:rPr>
              <w:t>2.1.3 Business unit or portfolio level analysis</w:t>
            </w:r>
            <w:r>
              <w:rPr>
                <w:noProof/>
                <w:webHidden/>
              </w:rPr>
              <w:tab/>
            </w:r>
            <w:r>
              <w:rPr>
                <w:noProof/>
                <w:webHidden/>
              </w:rPr>
              <w:fldChar w:fldCharType="begin"/>
            </w:r>
            <w:r>
              <w:rPr>
                <w:noProof/>
                <w:webHidden/>
              </w:rPr>
              <w:instrText xml:space="preserve"> PAGEREF _Toc241855661 \h </w:instrText>
            </w:r>
            <w:r>
              <w:rPr>
                <w:noProof/>
                <w:webHidden/>
              </w:rPr>
            </w:r>
            <w:r>
              <w:rPr>
                <w:noProof/>
                <w:webHidden/>
              </w:rPr>
              <w:fldChar w:fldCharType="separate"/>
            </w:r>
            <w:r w:rsidR="00872C1D">
              <w:rPr>
                <w:noProof/>
                <w:webHidden/>
              </w:rPr>
              <w:t>16</w:t>
            </w:r>
            <w:r>
              <w:rPr>
                <w:noProof/>
                <w:webHidden/>
              </w:rPr>
              <w:fldChar w:fldCharType="end"/>
            </w:r>
          </w:hyperlink>
        </w:p>
        <w:p w14:paraId="4ECEBFA7" w14:textId="14787B17" w:rsidR="00FA3ACF" w:rsidRDefault="00FA3ACF">
          <w:pPr>
            <w:pStyle w:val="TOC3"/>
            <w:tabs>
              <w:tab w:val="right" w:leader="dot" w:pos="9350"/>
            </w:tabs>
            <w:rPr>
              <w:noProof/>
            </w:rPr>
          </w:pPr>
          <w:hyperlink w:anchor="_Toc241855662" w:history="1">
            <w:r w:rsidRPr="00C66B23">
              <w:rPr>
                <w:rStyle w:val="Hyperlink"/>
                <w:noProof/>
              </w:rPr>
              <w:t>2.1.4 Risk-adjusted Ansoff evaluation</w:t>
            </w:r>
            <w:r>
              <w:rPr>
                <w:noProof/>
                <w:webHidden/>
              </w:rPr>
              <w:tab/>
            </w:r>
            <w:r>
              <w:rPr>
                <w:noProof/>
                <w:webHidden/>
              </w:rPr>
              <w:fldChar w:fldCharType="begin"/>
            </w:r>
            <w:r>
              <w:rPr>
                <w:noProof/>
                <w:webHidden/>
              </w:rPr>
              <w:instrText xml:space="preserve"> PAGEREF _Toc241855662 \h </w:instrText>
            </w:r>
            <w:r>
              <w:rPr>
                <w:noProof/>
                <w:webHidden/>
              </w:rPr>
            </w:r>
            <w:r>
              <w:rPr>
                <w:noProof/>
                <w:webHidden/>
              </w:rPr>
              <w:fldChar w:fldCharType="separate"/>
            </w:r>
            <w:r w:rsidR="00872C1D">
              <w:rPr>
                <w:noProof/>
                <w:webHidden/>
              </w:rPr>
              <w:t>16</w:t>
            </w:r>
            <w:r>
              <w:rPr>
                <w:noProof/>
                <w:webHidden/>
              </w:rPr>
              <w:fldChar w:fldCharType="end"/>
            </w:r>
          </w:hyperlink>
        </w:p>
        <w:p w14:paraId="6C9B5723" w14:textId="23BB5557" w:rsidR="00FA3ACF" w:rsidRDefault="00FA3ACF">
          <w:pPr>
            <w:pStyle w:val="TOC2"/>
            <w:tabs>
              <w:tab w:val="right" w:leader="dot" w:pos="9350"/>
            </w:tabs>
            <w:rPr>
              <w:noProof/>
            </w:rPr>
          </w:pPr>
          <w:hyperlink w:anchor="_Toc241855663" w:history="1">
            <w:r w:rsidRPr="00C66B23">
              <w:rPr>
                <w:rStyle w:val="Hyperlink"/>
                <w:noProof/>
              </w:rPr>
              <w:t>2.2 Competitive Advantage and Positioning</w:t>
            </w:r>
            <w:r>
              <w:rPr>
                <w:noProof/>
                <w:webHidden/>
              </w:rPr>
              <w:tab/>
            </w:r>
            <w:r>
              <w:rPr>
                <w:noProof/>
                <w:webHidden/>
              </w:rPr>
              <w:fldChar w:fldCharType="begin"/>
            </w:r>
            <w:r>
              <w:rPr>
                <w:noProof/>
                <w:webHidden/>
              </w:rPr>
              <w:instrText xml:space="preserve"> PAGEREF _Toc241855663 \h </w:instrText>
            </w:r>
            <w:r>
              <w:rPr>
                <w:noProof/>
                <w:webHidden/>
              </w:rPr>
            </w:r>
            <w:r>
              <w:rPr>
                <w:noProof/>
                <w:webHidden/>
              </w:rPr>
              <w:fldChar w:fldCharType="separate"/>
            </w:r>
            <w:r w:rsidR="00872C1D">
              <w:rPr>
                <w:noProof/>
                <w:webHidden/>
              </w:rPr>
              <w:t>17</w:t>
            </w:r>
            <w:r>
              <w:rPr>
                <w:noProof/>
                <w:webHidden/>
              </w:rPr>
              <w:fldChar w:fldCharType="end"/>
            </w:r>
          </w:hyperlink>
        </w:p>
        <w:p w14:paraId="1E6AC204" w14:textId="1036B04C" w:rsidR="00FA3ACF" w:rsidRDefault="00FA3ACF">
          <w:pPr>
            <w:pStyle w:val="TOC3"/>
            <w:tabs>
              <w:tab w:val="right" w:leader="dot" w:pos="9350"/>
            </w:tabs>
            <w:rPr>
              <w:noProof/>
            </w:rPr>
          </w:pPr>
          <w:hyperlink w:anchor="_Toc241855664" w:history="1">
            <w:r w:rsidRPr="00C66B23">
              <w:rPr>
                <w:rStyle w:val="Hyperlink"/>
                <w:noProof/>
              </w:rPr>
              <w:t>2.2.1 Applying Porter’s Generic Strategies</w:t>
            </w:r>
            <w:r>
              <w:rPr>
                <w:noProof/>
                <w:webHidden/>
              </w:rPr>
              <w:tab/>
            </w:r>
            <w:r>
              <w:rPr>
                <w:noProof/>
                <w:webHidden/>
              </w:rPr>
              <w:fldChar w:fldCharType="begin"/>
            </w:r>
            <w:r>
              <w:rPr>
                <w:noProof/>
                <w:webHidden/>
              </w:rPr>
              <w:instrText xml:space="preserve"> PAGEREF _Toc241855664 \h </w:instrText>
            </w:r>
            <w:r>
              <w:rPr>
                <w:noProof/>
                <w:webHidden/>
              </w:rPr>
            </w:r>
            <w:r>
              <w:rPr>
                <w:noProof/>
                <w:webHidden/>
              </w:rPr>
              <w:fldChar w:fldCharType="separate"/>
            </w:r>
            <w:r w:rsidR="00872C1D">
              <w:rPr>
                <w:noProof/>
                <w:webHidden/>
              </w:rPr>
              <w:t>17</w:t>
            </w:r>
            <w:r>
              <w:rPr>
                <w:noProof/>
                <w:webHidden/>
              </w:rPr>
              <w:fldChar w:fldCharType="end"/>
            </w:r>
          </w:hyperlink>
        </w:p>
        <w:p w14:paraId="00A1E74D" w14:textId="7495C092" w:rsidR="00FA3ACF" w:rsidRDefault="00FA3ACF">
          <w:pPr>
            <w:pStyle w:val="TOC3"/>
            <w:tabs>
              <w:tab w:val="right" w:leader="dot" w:pos="9350"/>
            </w:tabs>
            <w:rPr>
              <w:noProof/>
            </w:rPr>
          </w:pPr>
          <w:hyperlink w:anchor="_Toc241855665" w:history="1">
            <w:r w:rsidRPr="00C66B23">
              <w:rPr>
                <w:rStyle w:val="Hyperlink"/>
                <w:noProof/>
              </w:rPr>
              <w:t>2.2.2 Strategic competitor matrix</w:t>
            </w:r>
            <w:r>
              <w:rPr>
                <w:noProof/>
                <w:webHidden/>
              </w:rPr>
              <w:tab/>
            </w:r>
            <w:r>
              <w:rPr>
                <w:noProof/>
                <w:webHidden/>
              </w:rPr>
              <w:fldChar w:fldCharType="begin"/>
            </w:r>
            <w:r>
              <w:rPr>
                <w:noProof/>
                <w:webHidden/>
              </w:rPr>
              <w:instrText xml:space="preserve"> PAGEREF _Toc241855665 \h </w:instrText>
            </w:r>
            <w:r>
              <w:rPr>
                <w:noProof/>
                <w:webHidden/>
              </w:rPr>
            </w:r>
            <w:r>
              <w:rPr>
                <w:noProof/>
                <w:webHidden/>
              </w:rPr>
              <w:fldChar w:fldCharType="separate"/>
            </w:r>
            <w:r w:rsidR="00872C1D">
              <w:rPr>
                <w:noProof/>
                <w:webHidden/>
              </w:rPr>
              <w:t>18</w:t>
            </w:r>
            <w:r>
              <w:rPr>
                <w:noProof/>
                <w:webHidden/>
              </w:rPr>
              <w:fldChar w:fldCharType="end"/>
            </w:r>
          </w:hyperlink>
        </w:p>
        <w:p w14:paraId="5E333243" w14:textId="7AAFADF6" w:rsidR="00FA3ACF" w:rsidRDefault="00FA3ACF">
          <w:pPr>
            <w:pStyle w:val="TOC2"/>
            <w:tabs>
              <w:tab w:val="right" w:leader="dot" w:pos="9350"/>
            </w:tabs>
            <w:rPr>
              <w:noProof/>
            </w:rPr>
          </w:pPr>
          <w:hyperlink w:anchor="_Toc241855666" w:history="1">
            <w:r w:rsidRPr="00C66B23">
              <w:rPr>
                <w:rStyle w:val="Hyperlink"/>
                <w:noProof/>
              </w:rPr>
              <w:t>2.3 Brief Strategic Synthesis</w:t>
            </w:r>
            <w:r>
              <w:rPr>
                <w:noProof/>
                <w:webHidden/>
              </w:rPr>
              <w:tab/>
            </w:r>
            <w:r>
              <w:rPr>
                <w:noProof/>
                <w:webHidden/>
              </w:rPr>
              <w:fldChar w:fldCharType="begin"/>
            </w:r>
            <w:r>
              <w:rPr>
                <w:noProof/>
                <w:webHidden/>
              </w:rPr>
              <w:instrText xml:space="preserve"> PAGEREF _Toc241855666 \h </w:instrText>
            </w:r>
            <w:r>
              <w:rPr>
                <w:noProof/>
                <w:webHidden/>
              </w:rPr>
            </w:r>
            <w:r>
              <w:rPr>
                <w:noProof/>
                <w:webHidden/>
              </w:rPr>
              <w:fldChar w:fldCharType="separate"/>
            </w:r>
            <w:r w:rsidR="00872C1D">
              <w:rPr>
                <w:noProof/>
                <w:webHidden/>
              </w:rPr>
              <w:t>19</w:t>
            </w:r>
            <w:r>
              <w:rPr>
                <w:noProof/>
                <w:webHidden/>
              </w:rPr>
              <w:fldChar w:fldCharType="end"/>
            </w:r>
          </w:hyperlink>
        </w:p>
        <w:p w14:paraId="6D1C2482" w14:textId="79041B68" w:rsidR="00FA3ACF" w:rsidRDefault="00FA3ACF">
          <w:pPr>
            <w:pStyle w:val="TOC1"/>
            <w:tabs>
              <w:tab w:val="right" w:leader="dot" w:pos="9350"/>
            </w:tabs>
            <w:rPr>
              <w:noProof/>
            </w:rPr>
          </w:pPr>
          <w:hyperlink w:anchor="_Toc241855667" w:history="1">
            <w:r w:rsidRPr="00C66B23">
              <w:rPr>
                <w:rStyle w:val="Hyperlink"/>
                <w:noProof/>
              </w:rPr>
              <w:t>Task 3: Managerial and Professional Reflection</w:t>
            </w:r>
            <w:r>
              <w:rPr>
                <w:noProof/>
                <w:webHidden/>
              </w:rPr>
              <w:tab/>
            </w:r>
            <w:r>
              <w:rPr>
                <w:noProof/>
                <w:webHidden/>
              </w:rPr>
              <w:fldChar w:fldCharType="begin"/>
            </w:r>
            <w:r>
              <w:rPr>
                <w:noProof/>
                <w:webHidden/>
              </w:rPr>
              <w:instrText xml:space="preserve"> PAGEREF _Toc241855667 \h </w:instrText>
            </w:r>
            <w:r>
              <w:rPr>
                <w:noProof/>
                <w:webHidden/>
              </w:rPr>
            </w:r>
            <w:r>
              <w:rPr>
                <w:noProof/>
                <w:webHidden/>
              </w:rPr>
              <w:fldChar w:fldCharType="separate"/>
            </w:r>
            <w:r w:rsidR="00872C1D">
              <w:rPr>
                <w:noProof/>
                <w:webHidden/>
              </w:rPr>
              <w:t>21</w:t>
            </w:r>
            <w:r>
              <w:rPr>
                <w:noProof/>
                <w:webHidden/>
              </w:rPr>
              <w:fldChar w:fldCharType="end"/>
            </w:r>
          </w:hyperlink>
        </w:p>
        <w:p w14:paraId="6BB1714E" w14:textId="62179DAC" w:rsidR="00FA3ACF" w:rsidRDefault="00FA3ACF">
          <w:pPr>
            <w:pStyle w:val="TOC2"/>
            <w:tabs>
              <w:tab w:val="right" w:leader="dot" w:pos="9350"/>
            </w:tabs>
            <w:rPr>
              <w:noProof/>
            </w:rPr>
          </w:pPr>
          <w:hyperlink w:anchor="_Toc241855668" w:history="1">
            <w:r w:rsidRPr="00C66B23">
              <w:rPr>
                <w:rStyle w:val="Hyperlink"/>
                <w:noProof/>
              </w:rPr>
              <w:t>3.1 Rationale for Company Selection</w:t>
            </w:r>
            <w:r>
              <w:rPr>
                <w:noProof/>
                <w:webHidden/>
              </w:rPr>
              <w:tab/>
            </w:r>
            <w:r>
              <w:rPr>
                <w:noProof/>
                <w:webHidden/>
              </w:rPr>
              <w:fldChar w:fldCharType="begin"/>
            </w:r>
            <w:r>
              <w:rPr>
                <w:noProof/>
                <w:webHidden/>
              </w:rPr>
              <w:instrText xml:space="preserve"> PAGEREF _Toc241855668 \h </w:instrText>
            </w:r>
            <w:r>
              <w:rPr>
                <w:noProof/>
                <w:webHidden/>
              </w:rPr>
            </w:r>
            <w:r>
              <w:rPr>
                <w:noProof/>
                <w:webHidden/>
              </w:rPr>
              <w:fldChar w:fldCharType="separate"/>
            </w:r>
            <w:r w:rsidR="00872C1D">
              <w:rPr>
                <w:noProof/>
                <w:webHidden/>
              </w:rPr>
              <w:t>21</w:t>
            </w:r>
            <w:r>
              <w:rPr>
                <w:noProof/>
                <w:webHidden/>
              </w:rPr>
              <w:fldChar w:fldCharType="end"/>
            </w:r>
          </w:hyperlink>
        </w:p>
        <w:p w14:paraId="1154B4B3" w14:textId="4B93B878" w:rsidR="00FA3ACF" w:rsidRDefault="00FA3ACF">
          <w:pPr>
            <w:pStyle w:val="TOC2"/>
            <w:tabs>
              <w:tab w:val="right" w:leader="dot" w:pos="9350"/>
            </w:tabs>
            <w:rPr>
              <w:noProof/>
            </w:rPr>
          </w:pPr>
          <w:hyperlink w:anchor="_Toc241855669" w:history="1">
            <w:r w:rsidRPr="00C66B23">
              <w:rPr>
                <w:rStyle w:val="Hyperlink"/>
                <w:noProof/>
              </w:rPr>
              <w:t>3.2 Reflection on Environmental Analysis Decision</w:t>
            </w:r>
            <w:r>
              <w:rPr>
                <w:noProof/>
                <w:webHidden/>
              </w:rPr>
              <w:tab/>
            </w:r>
            <w:r>
              <w:rPr>
                <w:noProof/>
                <w:webHidden/>
              </w:rPr>
              <w:fldChar w:fldCharType="begin"/>
            </w:r>
            <w:r>
              <w:rPr>
                <w:noProof/>
                <w:webHidden/>
              </w:rPr>
              <w:instrText xml:space="preserve"> PAGEREF _Toc241855669 \h </w:instrText>
            </w:r>
            <w:r>
              <w:rPr>
                <w:noProof/>
                <w:webHidden/>
              </w:rPr>
            </w:r>
            <w:r>
              <w:rPr>
                <w:noProof/>
                <w:webHidden/>
              </w:rPr>
              <w:fldChar w:fldCharType="separate"/>
            </w:r>
            <w:r w:rsidR="00872C1D">
              <w:rPr>
                <w:noProof/>
                <w:webHidden/>
              </w:rPr>
              <w:t>21</w:t>
            </w:r>
            <w:r>
              <w:rPr>
                <w:noProof/>
                <w:webHidden/>
              </w:rPr>
              <w:fldChar w:fldCharType="end"/>
            </w:r>
          </w:hyperlink>
        </w:p>
        <w:p w14:paraId="79A4F823" w14:textId="372128BB" w:rsidR="00FA3ACF" w:rsidRDefault="00FA3ACF">
          <w:pPr>
            <w:pStyle w:val="TOC2"/>
            <w:tabs>
              <w:tab w:val="right" w:leader="dot" w:pos="9350"/>
            </w:tabs>
            <w:rPr>
              <w:noProof/>
            </w:rPr>
          </w:pPr>
          <w:hyperlink w:anchor="_Toc241855670" w:history="1">
            <w:r w:rsidRPr="00C66B23">
              <w:rPr>
                <w:rStyle w:val="Hyperlink"/>
                <w:noProof/>
              </w:rPr>
              <w:t>3.3 Reflection on Strategic Growth Decisions</w:t>
            </w:r>
            <w:r>
              <w:rPr>
                <w:noProof/>
                <w:webHidden/>
              </w:rPr>
              <w:tab/>
            </w:r>
            <w:r>
              <w:rPr>
                <w:noProof/>
                <w:webHidden/>
              </w:rPr>
              <w:fldChar w:fldCharType="begin"/>
            </w:r>
            <w:r>
              <w:rPr>
                <w:noProof/>
                <w:webHidden/>
              </w:rPr>
              <w:instrText xml:space="preserve"> PAGEREF _Toc241855670 \h </w:instrText>
            </w:r>
            <w:r>
              <w:rPr>
                <w:noProof/>
                <w:webHidden/>
              </w:rPr>
            </w:r>
            <w:r>
              <w:rPr>
                <w:noProof/>
                <w:webHidden/>
              </w:rPr>
              <w:fldChar w:fldCharType="separate"/>
            </w:r>
            <w:r w:rsidR="00872C1D">
              <w:rPr>
                <w:noProof/>
                <w:webHidden/>
              </w:rPr>
              <w:t>22</w:t>
            </w:r>
            <w:r>
              <w:rPr>
                <w:noProof/>
                <w:webHidden/>
              </w:rPr>
              <w:fldChar w:fldCharType="end"/>
            </w:r>
          </w:hyperlink>
        </w:p>
        <w:p w14:paraId="48D050FF" w14:textId="227D8D55" w:rsidR="00FA3ACF" w:rsidRDefault="00FA3ACF">
          <w:pPr>
            <w:pStyle w:val="TOC2"/>
            <w:tabs>
              <w:tab w:val="right" w:leader="dot" w:pos="9350"/>
            </w:tabs>
            <w:rPr>
              <w:noProof/>
            </w:rPr>
          </w:pPr>
          <w:hyperlink w:anchor="_Toc241855671" w:history="1">
            <w:r w:rsidRPr="00C66B23">
              <w:rPr>
                <w:rStyle w:val="Hyperlink"/>
                <w:noProof/>
              </w:rPr>
              <w:t>3.4 Limitations and Gaps in the Analysis</w:t>
            </w:r>
            <w:r>
              <w:rPr>
                <w:noProof/>
                <w:webHidden/>
              </w:rPr>
              <w:tab/>
            </w:r>
            <w:r>
              <w:rPr>
                <w:noProof/>
                <w:webHidden/>
              </w:rPr>
              <w:fldChar w:fldCharType="begin"/>
            </w:r>
            <w:r>
              <w:rPr>
                <w:noProof/>
                <w:webHidden/>
              </w:rPr>
              <w:instrText xml:space="preserve"> PAGEREF _Toc241855671 \h </w:instrText>
            </w:r>
            <w:r>
              <w:rPr>
                <w:noProof/>
                <w:webHidden/>
              </w:rPr>
            </w:r>
            <w:r>
              <w:rPr>
                <w:noProof/>
                <w:webHidden/>
              </w:rPr>
              <w:fldChar w:fldCharType="separate"/>
            </w:r>
            <w:r w:rsidR="00872C1D">
              <w:rPr>
                <w:noProof/>
                <w:webHidden/>
              </w:rPr>
              <w:t>23</w:t>
            </w:r>
            <w:r>
              <w:rPr>
                <w:noProof/>
                <w:webHidden/>
              </w:rPr>
              <w:fldChar w:fldCharType="end"/>
            </w:r>
          </w:hyperlink>
        </w:p>
        <w:p w14:paraId="7AC03142" w14:textId="357EF8E2" w:rsidR="00FA3ACF" w:rsidRDefault="00FA3ACF">
          <w:pPr>
            <w:pStyle w:val="TOC2"/>
            <w:tabs>
              <w:tab w:val="right" w:leader="dot" w:pos="9350"/>
            </w:tabs>
            <w:rPr>
              <w:noProof/>
            </w:rPr>
          </w:pPr>
          <w:hyperlink w:anchor="_Toc241855672" w:history="1">
            <w:r w:rsidRPr="00C66B23">
              <w:rPr>
                <w:rStyle w:val="Hyperlink"/>
                <w:noProof/>
              </w:rPr>
              <w:t>3.5 Information Required Before Final Recommendation</w:t>
            </w:r>
            <w:r>
              <w:rPr>
                <w:noProof/>
                <w:webHidden/>
              </w:rPr>
              <w:tab/>
            </w:r>
            <w:r>
              <w:rPr>
                <w:noProof/>
                <w:webHidden/>
              </w:rPr>
              <w:fldChar w:fldCharType="begin"/>
            </w:r>
            <w:r>
              <w:rPr>
                <w:noProof/>
                <w:webHidden/>
              </w:rPr>
              <w:instrText xml:space="preserve"> PAGEREF _Toc241855672 \h </w:instrText>
            </w:r>
            <w:r>
              <w:rPr>
                <w:noProof/>
                <w:webHidden/>
              </w:rPr>
            </w:r>
            <w:r>
              <w:rPr>
                <w:noProof/>
                <w:webHidden/>
              </w:rPr>
              <w:fldChar w:fldCharType="separate"/>
            </w:r>
            <w:r w:rsidR="00872C1D">
              <w:rPr>
                <w:noProof/>
                <w:webHidden/>
              </w:rPr>
              <w:t>23</w:t>
            </w:r>
            <w:r>
              <w:rPr>
                <w:noProof/>
                <w:webHidden/>
              </w:rPr>
              <w:fldChar w:fldCharType="end"/>
            </w:r>
          </w:hyperlink>
        </w:p>
        <w:p w14:paraId="3A2E9D06" w14:textId="2E6735E2" w:rsidR="00FA3ACF" w:rsidRDefault="00FA3ACF">
          <w:pPr>
            <w:pStyle w:val="TOC2"/>
            <w:tabs>
              <w:tab w:val="right" w:leader="dot" w:pos="9350"/>
            </w:tabs>
            <w:rPr>
              <w:noProof/>
            </w:rPr>
          </w:pPr>
          <w:hyperlink w:anchor="_Toc241855673" w:history="1">
            <w:r w:rsidRPr="00C66B23">
              <w:rPr>
                <w:rStyle w:val="Hyperlink"/>
                <w:noProof/>
              </w:rPr>
              <w:t>3.6 Professional Learning and Reflection</w:t>
            </w:r>
            <w:r>
              <w:rPr>
                <w:noProof/>
                <w:webHidden/>
              </w:rPr>
              <w:tab/>
            </w:r>
            <w:r>
              <w:rPr>
                <w:noProof/>
                <w:webHidden/>
              </w:rPr>
              <w:fldChar w:fldCharType="begin"/>
            </w:r>
            <w:r>
              <w:rPr>
                <w:noProof/>
                <w:webHidden/>
              </w:rPr>
              <w:instrText xml:space="preserve"> PAGEREF _Toc241855673 \h </w:instrText>
            </w:r>
            <w:r>
              <w:rPr>
                <w:noProof/>
                <w:webHidden/>
              </w:rPr>
            </w:r>
            <w:r>
              <w:rPr>
                <w:noProof/>
                <w:webHidden/>
              </w:rPr>
              <w:fldChar w:fldCharType="separate"/>
            </w:r>
            <w:r w:rsidR="00872C1D">
              <w:rPr>
                <w:noProof/>
                <w:webHidden/>
              </w:rPr>
              <w:t>23</w:t>
            </w:r>
            <w:r>
              <w:rPr>
                <w:noProof/>
                <w:webHidden/>
              </w:rPr>
              <w:fldChar w:fldCharType="end"/>
            </w:r>
          </w:hyperlink>
        </w:p>
        <w:p w14:paraId="294AC653" w14:textId="128EF47D" w:rsidR="00FA3ACF" w:rsidRDefault="00FA3ACF">
          <w:pPr>
            <w:pStyle w:val="TOC1"/>
            <w:tabs>
              <w:tab w:val="right" w:leader="dot" w:pos="9350"/>
            </w:tabs>
            <w:rPr>
              <w:noProof/>
            </w:rPr>
          </w:pPr>
          <w:hyperlink w:anchor="_Toc241855674" w:history="1">
            <w:r w:rsidRPr="00C66B23">
              <w:rPr>
                <w:rStyle w:val="Hyperlink"/>
                <w:noProof/>
              </w:rPr>
              <w:t>References</w:t>
            </w:r>
            <w:r>
              <w:rPr>
                <w:noProof/>
                <w:webHidden/>
              </w:rPr>
              <w:tab/>
            </w:r>
            <w:r>
              <w:rPr>
                <w:noProof/>
                <w:webHidden/>
              </w:rPr>
              <w:fldChar w:fldCharType="begin"/>
            </w:r>
            <w:r>
              <w:rPr>
                <w:noProof/>
                <w:webHidden/>
              </w:rPr>
              <w:instrText xml:space="preserve"> PAGEREF _Toc241855674 \h </w:instrText>
            </w:r>
            <w:r>
              <w:rPr>
                <w:noProof/>
                <w:webHidden/>
              </w:rPr>
            </w:r>
            <w:r>
              <w:rPr>
                <w:noProof/>
                <w:webHidden/>
              </w:rPr>
              <w:fldChar w:fldCharType="separate"/>
            </w:r>
            <w:r w:rsidR="00872C1D">
              <w:rPr>
                <w:noProof/>
                <w:webHidden/>
              </w:rPr>
              <w:t>24</w:t>
            </w:r>
            <w:r>
              <w:rPr>
                <w:noProof/>
                <w:webHidden/>
              </w:rPr>
              <w:fldChar w:fldCharType="end"/>
            </w:r>
          </w:hyperlink>
        </w:p>
        <w:p w14:paraId="3FA348F9" w14:textId="34A71B25" w:rsidR="007F60E4"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end"/>
          </w:r>
        </w:p>
      </w:sdtContent>
    </w:sdt>
    <w:p w14:paraId="76333C44" w14:textId="77777777" w:rsidR="007F60E4" w:rsidRDefault="007F60E4">
      <w:pPr>
        <w:widowControl w:val="0"/>
        <w:tabs>
          <w:tab w:val="right" w:pos="9360"/>
        </w:tabs>
        <w:spacing w:before="240" w:after="0"/>
        <w:rPr>
          <w:color w:val="000000"/>
        </w:rPr>
      </w:pPr>
    </w:p>
    <w:p w14:paraId="269BE54E" w14:textId="77777777" w:rsidR="007F60E4" w:rsidRDefault="00000000">
      <w:pPr>
        <w:pStyle w:val="Heading1"/>
      </w:pPr>
      <w:bookmarkStart w:id="1" w:name="_Toc241855652"/>
      <w:r>
        <w:t>Task 1: Marketing Environment Analysis</w:t>
      </w:r>
      <w:bookmarkEnd w:id="1"/>
      <w:r>
        <w:t> </w:t>
      </w:r>
    </w:p>
    <w:p w14:paraId="45B8AAB1" w14:textId="77777777" w:rsidR="007F60E4" w:rsidRDefault="00000000">
      <w:pPr>
        <w:pStyle w:val="Heading2"/>
      </w:pPr>
      <w:bookmarkStart w:id="2" w:name="_Toc241855653"/>
      <w:r>
        <w:t>1.1 Company overview</w:t>
      </w:r>
      <w:bookmarkEnd w:id="2"/>
      <w:r>
        <w:t> </w:t>
      </w:r>
    </w:p>
    <w:p w14:paraId="58791B78" w14:textId="77777777" w:rsidR="007F60E4" w:rsidRDefault="00000000">
      <w:pPr>
        <w:spacing w:before="240" w:after="0"/>
        <w:rPr>
          <w:color w:val="000000"/>
        </w:rPr>
      </w:pPr>
      <w:r>
        <w:rPr>
          <w:color w:val="000000"/>
        </w:rPr>
        <w:t xml:space="preserve">BHP Group Limited is one of the highest-value companies in the global metal and mining sector. The company generated revenue of US$58.76 billion in FY26. EBITDA was US$32.9 billion, and profit was US$13.20 billion in 2026 (Macro trends, 2026). Moreover, the external factors include environmental, political, and legal factors. </w:t>
      </w:r>
    </w:p>
    <w:p w14:paraId="391FBC43" w14:textId="77777777" w:rsidR="007F60E4" w:rsidRDefault="00000000">
      <w:pPr>
        <w:spacing w:before="240" w:after="0"/>
        <w:rPr>
          <w:color w:val="000000"/>
        </w:rPr>
      </w:pPr>
      <w:r>
        <w:rPr>
          <w:color w:val="000000"/>
        </w:rPr>
        <w:t xml:space="preserve">This puts pressure on BHP to transition to lower-carbon products to capture market opportunities in green steel and sustainable mining. </w:t>
      </w:r>
      <w:proofErr w:type="gramStart"/>
      <w:r>
        <w:rPr>
          <w:color w:val="000000"/>
        </w:rPr>
        <w:t>Also</w:t>
      </w:r>
      <w:proofErr w:type="gramEnd"/>
      <w:r>
        <w:rPr>
          <w:color w:val="000000"/>
        </w:rPr>
        <w:t xml:space="preserve"> the study </w:t>
      </w:r>
      <w:proofErr w:type="gramStart"/>
      <w:r>
        <w:rPr>
          <w:color w:val="000000"/>
        </w:rPr>
        <w:t>help</w:t>
      </w:r>
      <w:proofErr w:type="gramEnd"/>
      <w:r>
        <w:rPr>
          <w:color w:val="000000"/>
        </w:rPr>
        <w:t xml:space="preserve"> BHP to adopt sustainable initiatives to overcome the pressure. </w:t>
      </w:r>
    </w:p>
    <w:p w14:paraId="11861EE0" w14:textId="77777777" w:rsidR="007F60E4" w:rsidRDefault="00000000">
      <w:pPr>
        <w:spacing w:before="240" w:after="0"/>
        <w:rPr>
          <w:color w:val="000000"/>
        </w:rPr>
      </w:pPr>
      <w:r>
        <w:rPr>
          <w:color w:val="000000"/>
        </w:rPr>
        <w:t xml:space="preserve">As suggested by </w:t>
      </w:r>
      <w:r>
        <w:t xml:space="preserve">Kotler et al. (2024), most of the primary producers face rising pressure from the institutional investors and the end users to get the transparent roadmaps. </w:t>
      </w:r>
    </w:p>
    <w:p w14:paraId="615B2441" w14:textId="77777777" w:rsidR="007F60E4" w:rsidRDefault="00000000">
      <w:pPr>
        <w:spacing w:before="240" w:after="0"/>
        <w:jc w:val="center"/>
      </w:pPr>
      <w:r>
        <w:rPr>
          <w:noProof/>
        </w:rPr>
        <w:drawing>
          <wp:inline distT="0" distB="0" distL="0" distR="0" wp14:anchorId="4D561B0A" wp14:editId="7B58397A">
            <wp:extent cx="5731510" cy="1645014"/>
            <wp:effectExtent l="0" t="0" r="0" b="0"/>
            <wp:docPr id="2" name="image2.png" descr="C:\Users\MISTI\OneDrive\Pictures\Screenshots\Screenshot 2026-09-30 122515.png"/>
            <wp:cNvGraphicFramePr/>
            <a:graphic xmlns:a="http://schemas.openxmlformats.org/drawingml/2006/main">
              <a:graphicData uri="http://schemas.openxmlformats.org/drawingml/2006/picture">
                <pic:pic xmlns:pic="http://schemas.openxmlformats.org/drawingml/2006/picture">
                  <pic:nvPicPr>
                    <pic:cNvPr id="0" name="image2.png" descr="C:\Users\MISTI\OneDrive\Pictures\Screenshots\Screenshot 2026-09-30 122515.png"/>
                    <pic:cNvPicPr preferRelativeResize="0"/>
                  </pic:nvPicPr>
                  <pic:blipFill>
                    <a:blip r:embed="rId7"/>
                    <a:srcRect/>
                    <a:stretch>
                      <a:fillRect/>
                    </a:stretch>
                  </pic:blipFill>
                  <pic:spPr>
                    <a:xfrm>
                      <a:off x="0" y="0"/>
                      <a:ext cx="5731510" cy="1645014"/>
                    </a:xfrm>
                    <a:prstGeom prst="rect">
                      <a:avLst/>
                    </a:prstGeom>
                    <a:ln/>
                  </pic:spPr>
                </pic:pic>
              </a:graphicData>
            </a:graphic>
          </wp:inline>
        </w:drawing>
      </w:r>
    </w:p>
    <w:p w14:paraId="008ACA41" w14:textId="77777777" w:rsidR="007F60E4" w:rsidRDefault="00000000">
      <w:pPr>
        <w:spacing w:before="240" w:after="0"/>
        <w:jc w:val="center"/>
      </w:pPr>
      <w:r>
        <w:rPr>
          <w:b/>
          <w:bCs/>
          <w:color w:val="000000"/>
        </w:rPr>
        <w:t>Figure 1: The Financial Performance of BHP</w:t>
      </w:r>
    </w:p>
    <w:p w14:paraId="677DBDA8" w14:textId="77777777" w:rsidR="007F60E4" w:rsidRDefault="00000000">
      <w:pPr>
        <w:spacing w:before="240" w:after="0"/>
        <w:jc w:val="center"/>
        <w:rPr>
          <w:color w:val="000000"/>
        </w:rPr>
      </w:pPr>
      <w:r>
        <w:rPr>
          <w:color w:val="000000"/>
        </w:rPr>
        <w:t>(Source: BHP Annual Report, 2026)</w:t>
      </w:r>
    </w:p>
    <w:p w14:paraId="5DE1D004" w14:textId="77777777" w:rsidR="007F60E4" w:rsidRDefault="00000000">
      <w:pPr>
        <w:spacing w:before="240" w:after="0"/>
        <w:jc w:val="center"/>
      </w:pPr>
      <w:r>
        <w:rPr>
          <w:noProof/>
        </w:rPr>
        <w:lastRenderedPageBreak/>
        <w:drawing>
          <wp:inline distT="0" distB="0" distL="0" distR="0" wp14:anchorId="02A1FE47" wp14:editId="1BA48E23">
            <wp:extent cx="5731510" cy="4410246"/>
            <wp:effectExtent l="0" t="0" r="0" b="0"/>
            <wp:docPr id="4" name="image4.png" descr="C:\Users\MISTI\OneDrive\Pictures\Screenshots\Screenshot 2026-09-30 121942.png"/>
            <wp:cNvGraphicFramePr/>
            <a:graphic xmlns:a="http://schemas.openxmlformats.org/drawingml/2006/main">
              <a:graphicData uri="http://schemas.openxmlformats.org/drawingml/2006/picture">
                <pic:pic xmlns:pic="http://schemas.openxmlformats.org/drawingml/2006/picture">
                  <pic:nvPicPr>
                    <pic:cNvPr id="0" name="image4.png" descr="C:\Users\MISTI\OneDrive\Pictures\Screenshots\Screenshot 2026-09-30 121942.png"/>
                    <pic:cNvPicPr preferRelativeResize="0"/>
                  </pic:nvPicPr>
                  <pic:blipFill>
                    <a:blip r:embed="rId8"/>
                    <a:srcRect/>
                    <a:stretch>
                      <a:fillRect/>
                    </a:stretch>
                  </pic:blipFill>
                  <pic:spPr>
                    <a:xfrm>
                      <a:off x="0" y="0"/>
                      <a:ext cx="5731510" cy="4410246"/>
                    </a:xfrm>
                    <a:prstGeom prst="rect">
                      <a:avLst/>
                    </a:prstGeom>
                    <a:ln/>
                  </pic:spPr>
                </pic:pic>
              </a:graphicData>
            </a:graphic>
          </wp:inline>
        </w:drawing>
      </w:r>
    </w:p>
    <w:p w14:paraId="3AF603AB" w14:textId="77777777" w:rsidR="007F60E4" w:rsidRDefault="00000000">
      <w:pPr>
        <w:spacing w:before="240" w:after="0"/>
        <w:jc w:val="center"/>
      </w:pPr>
      <w:r>
        <w:rPr>
          <w:b/>
          <w:bCs/>
          <w:color w:val="000000"/>
        </w:rPr>
        <w:t>Figure 2: The net revenue of BHP</w:t>
      </w:r>
    </w:p>
    <w:p w14:paraId="0AF78546" w14:textId="77777777" w:rsidR="007F60E4" w:rsidRDefault="00000000">
      <w:pPr>
        <w:spacing w:before="240" w:after="0"/>
        <w:jc w:val="center"/>
      </w:pPr>
      <w:r>
        <w:rPr>
          <w:color w:val="000000"/>
        </w:rPr>
        <w:t>(Source: Market Screener, 2026)</w:t>
      </w:r>
    </w:p>
    <w:p w14:paraId="54C09337" w14:textId="77777777" w:rsidR="007F60E4" w:rsidRDefault="00000000">
      <w:pPr>
        <w:pStyle w:val="Heading2"/>
      </w:pPr>
      <w:bookmarkStart w:id="3" w:name="_Toc241855654"/>
      <w:r>
        <w:t>1.2 Analysis of market environment actors</w:t>
      </w:r>
      <w:bookmarkEnd w:id="3"/>
    </w:p>
    <w:p w14:paraId="7ADC7513" w14:textId="77777777" w:rsidR="007F60E4" w:rsidRDefault="00000000">
      <w:pPr>
        <w:pStyle w:val="Heading3"/>
      </w:pPr>
      <w:bookmarkStart w:id="4" w:name="_Toc241855655"/>
      <w:r>
        <w:t>1.2.1 Political, legal, and environmental (PEL) actors influencing BHP’s transition towards lower-carbon products</w:t>
      </w:r>
      <w:bookmarkEnd w:id="4"/>
    </w:p>
    <w:p w14:paraId="768460C5" w14:textId="77777777" w:rsidR="007F60E4" w:rsidRDefault="00000000">
      <w:pPr>
        <w:spacing w:before="240" w:after="0"/>
      </w:pPr>
      <w:r>
        <w:rPr>
          <w:b/>
          <w:bCs/>
          <w:i/>
          <w:iCs/>
          <w:color w:val="000000"/>
          <w:u w:val="single"/>
        </w:rPr>
        <w:t>Political environmental actor </w:t>
      </w:r>
    </w:p>
    <w:p w14:paraId="4F8163F8" w14:textId="77777777" w:rsidR="007F60E4" w:rsidRDefault="00000000">
      <w:pPr>
        <w:numPr>
          <w:ilvl w:val="0"/>
          <w:numId w:val="6"/>
        </w:numPr>
        <w:spacing w:before="240" w:after="0"/>
        <w:rPr>
          <w:color w:val="000000"/>
        </w:rPr>
      </w:pPr>
      <w:r>
        <w:rPr>
          <w:color w:val="000000"/>
        </w:rPr>
        <w:t xml:space="preserve">Australia’s safeguard mechanism is administered under the National Greenhouse and Energy Reporting (NGER) framework. This is mandatory for the baseline emissions intensity to reduce by 4.9% per year and to emit over 100,000 </w:t>
      </w:r>
      <w:proofErr w:type="spellStart"/>
      <w:r>
        <w:rPr>
          <w:color w:val="000000"/>
        </w:rPr>
        <w:t>CO₂e</w:t>
      </w:r>
      <w:proofErr w:type="spellEnd"/>
      <w:r>
        <w:rPr>
          <w:color w:val="000000"/>
        </w:rPr>
        <w:t xml:space="preserve"> annually. </w:t>
      </w:r>
    </w:p>
    <w:p w14:paraId="31E50B6B" w14:textId="77777777" w:rsidR="007F60E4" w:rsidRDefault="00000000">
      <w:pPr>
        <w:numPr>
          <w:ilvl w:val="0"/>
          <w:numId w:val="6"/>
        </w:numPr>
        <w:spacing w:before="240" w:after="0"/>
        <w:rPr>
          <w:color w:val="000000"/>
        </w:rPr>
      </w:pPr>
      <w:r>
        <w:rPr>
          <w:color w:val="000000"/>
        </w:rPr>
        <w:t>This policy directly impacts BHP’s Western Australia Iron Ore (WAIO) and the “Queensland metallurgical coal operations (BMA)” (</w:t>
      </w:r>
      <w:r>
        <w:t>ICAP, 2026)</w:t>
      </w:r>
      <w:r>
        <w:rPr>
          <w:color w:val="000000"/>
        </w:rPr>
        <w:t xml:space="preserve">. This mostly covered the </w:t>
      </w:r>
      <w:r>
        <w:rPr>
          <w:color w:val="000000"/>
        </w:rPr>
        <w:lastRenderedPageBreak/>
        <w:t xml:space="preserve">net emissions in Australian safeguard facilities reached 132.8 Mt </w:t>
      </w:r>
      <w:proofErr w:type="spellStart"/>
      <w:r>
        <w:rPr>
          <w:color w:val="000000"/>
        </w:rPr>
        <w:t>CO₂e</w:t>
      </w:r>
      <w:proofErr w:type="spellEnd"/>
      <w:r>
        <w:rPr>
          <w:color w:val="000000"/>
        </w:rPr>
        <w:t xml:space="preserve"> in FY25-26 (Clean Energy Regulator Safeguard Data, 2026). The legislative pressure directly exposes BHP to financial penalties (CER, 2026). </w:t>
      </w:r>
    </w:p>
    <w:p w14:paraId="3AF3D80C" w14:textId="77777777" w:rsidR="007F60E4" w:rsidRDefault="00000000">
      <w:pPr>
        <w:spacing w:before="240" w:after="0"/>
        <w:jc w:val="center"/>
      </w:pPr>
      <w:r>
        <w:rPr>
          <w:noProof/>
        </w:rPr>
        <w:drawing>
          <wp:inline distT="0" distB="0" distL="0" distR="0" wp14:anchorId="12ED8BDE" wp14:editId="3E1B8224">
            <wp:extent cx="5937943" cy="3495614"/>
            <wp:effectExtent l="0" t="0" r="0" b="0"/>
            <wp:docPr id="3" name="image3.png" descr="C:\Users\MISTI\OneDrive\Pictures\Screenshots\Screenshot 2026-09-30 122930.png"/>
            <wp:cNvGraphicFramePr/>
            <a:graphic xmlns:a="http://schemas.openxmlformats.org/drawingml/2006/main">
              <a:graphicData uri="http://schemas.openxmlformats.org/drawingml/2006/picture">
                <pic:pic xmlns:pic="http://schemas.openxmlformats.org/drawingml/2006/picture">
                  <pic:nvPicPr>
                    <pic:cNvPr id="0" name="image3.png" descr="C:\Users\MISTI\OneDrive\Pictures\Screenshots\Screenshot 2026-09-30 122930.png"/>
                    <pic:cNvPicPr preferRelativeResize="0"/>
                  </pic:nvPicPr>
                  <pic:blipFill>
                    <a:blip r:embed="rId9"/>
                    <a:srcRect/>
                    <a:stretch>
                      <a:fillRect/>
                    </a:stretch>
                  </pic:blipFill>
                  <pic:spPr>
                    <a:xfrm>
                      <a:off x="0" y="0"/>
                      <a:ext cx="5937943" cy="3495614"/>
                    </a:xfrm>
                    <a:prstGeom prst="rect">
                      <a:avLst/>
                    </a:prstGeom>
                    <a:ln/>
                  </pic:spPr>
                </pic:pic>
              </a:graphicData>
            </a:graphic>
          </wp:inline>
        </w:drawing>
      </w:r>
    </w:p>
    <w:p w14:paraId="37B40579" w14:textId="77777777" w:rsidR="007F60E4" w:rsidRDefault="00000000">
      <w:pPr>
        <w:spacing w:before="240" w:after="0"/>
        <w:jc w:val="center"/>
      </w:pPr>
      <w:r>
        <w:rPr>
          <w:b/>
          <w:bCs/>
          <w:color w:val="000000"/>
        </w:rPr>
        <w:t>Figure 3: CO₂ emission intensity of BHP operational sites</w:t>
      </w:r>
    </w:p>
    <w:p w14:paraId="1042C6E1" w14:textId="77777777" w:rsidR="007F60E4" w:rsidRDefault="00000000">
      <w:pPr>
        <w:spacing w:before="240" w:after="0"/>
        <w:jc w:val="center"/>
      </w:pPr>
      <w:r>
        <w:rPr>
          <w:color w:val="000000"/>
        </w:rPr>
        <w:t>(Source: Clean Energy Regulator Safeguard Data, 2026)</w:t>
      </w:r>
    </w:p>
    <w:p w14:paraId="6CD469FF" w14:textId="77777777" w:rsidR="007F60E4" w:rsidRDefault="00000000">
      <w:pPr>
        <w:numPr>
          <w:ilvl w:val="0"/>
          <w:numId w:val="7"/>
        </w:numPr>
        <w:spacing w:before="240" w:after="0"/>
        <w:rPr>
          <w:color w:val="000000"/>
        </w:rPr>
      </w:pPr>
      <w:r>
        <w:rPr>
          <w:color w:val="000000"/>
        </w:rPr>
        <w:t xml:space="preserve">Internationally, the political mechanism also includes the European Union’s carbon Border adjustment mechanism (CBAM) and the tariff push by BHP. It helps to reduce direct emissions in their value chains. To overcome this issue, BHP developed a decarbonised partnership with the Asian steelmakers. </w:t>
      </w:r>
    </w:p>
    <w:p w14:paraId="2BF347AF" w14:textId="77777777" w:rsidR="007F60E4" w:rsidRDefault="00000000">
      <w:pPr>
        <w:numPr>
          <w:ilvl w:val="0"/>
          <w:numId w:val="7"/>
        </w:numPr>
        <w:spacing w:before="240" w:after="0"/>
        <w:rPr>
          <w:color w:val="000000"/>
        </w:rPr>
      </w:pPr>
      <w:r>
        <w:rPr>
          <w:color w:val="000000"/>
        </w:rPr>
        <w:t>This international political cross-border traffic can create higher risk margin erosion for BHP’s B2B clients (Global Efficiency Intelligence, 2026; BHP Group, 2026). </w:t>
      </w:r>
    </w:p>
    <w:p w14:paraId="2F11DBB8" w14:textId="77777777" w:rsidR="007F60E4" w:rsidRDefault="00000000">
      <w:pPr>
        <w:numPr>
          <w:ilvl w:val="0"/>
          <w:numId w:val="7"/>
        </w:numPr>
        <w:spacing w:before="240" w:after="0"/>
        <w:rPr>
          <w:color w:val="000000"/>
        </w:rPr>
      </w:pPr>
      <w:r>
        <w:rPr>
          <w:color w:val="000000"/>
        </w:rPr>
        <w:t xml:space="preserve">The </w:t>
      </w:r>
      <w:proofErr w:type="gramStart"/>
      <w:r>
        <w:rPr>
          <w:color w:val="000000"/>
        </w:rPr>
        <w:t>cross boarder</w:t>
      </w:r>
      <w:proofErr w:type="gramEnd"/>
      <w:r>
        <w:rPr>
          <w:color w:val="000000"/>
        </w:rPr>
        <w:t xml:space="preserve"> carbon equalization tariffs like CBAM </w:t>
      </w:r>
      <w:proofErr w:type="gramStart"/>
      <w:r>
        <w:rPr>
          <w:color w:val="000000"/>
        </w:rPr>
        <w:t>enhances</w:t>
      </w:r>
      <w:proofErr w:type="gramEnd"/>
      <w:r>
        <w:rPr>
          <w:color w:val="000000"/>
        </w:rPr>
        <w:t xml:space="preserve"> the landed costs for carbon-intensive primary commodities. </w:t>
      </w:r>
    </w:p>
    <w:p w14:paraId="5B26DED6" w14:textId="77777777" w:rsidR="007F60E4" w:rsidRDefault="00000000">
      <w:pPr>
        <w:spacing w:before="240" w:after="0"/>
        <w:ind w:left="360"/>
        <w:jc w:val="center"/>
        <w:rPr>
          <w:color w:val="000000"/>
        </w:rPr>
      </w:pPr>
      <w:r>
        <w:rPr>
          <w:noProof/>
        </w:rPr>
        <w:lastRenderedPageBreak/>
        <w:drawing>
          <wp:inline distT="0" distB="0" distL="0" distR="0" wp14:anchorId="405C6549" wp14:editId="33A682ED">
            <wp:extent cx="6254940" cy="2661087"/>
            <wp:effectExtent l="0" t="0" r="0" b="0"/>
            <wp:docPr id="6" name="image6.png" descr="Operational GHG emissions (Scopes 1 and 2 emissions from our operated ..."/>
            <wp:cNvGraphicFramePr/>
            <a:graphic xmlns:a="http://schemas.openxmlformats.org/drawingml/2006/main">
              <a:graphicData uri="http://schemas.openxmlformats.org/drawingml/2006/picture">
                <pic:pic xmlns:pic="http://schemas.openxmlformats.org/drawingml/2006/picture">
                  <pic:nvPicPr>
                    <pic:cNvPr id="0" name="image6.png" descr="Operational GHG emissions (Scopes 1 and 2 emissions from our operated ..."/>
                    <pic:cNvPicPr preferRelativeResize="0"/>
                  </pic:nvPicPr>
                  <pic:blipFill>
                    <a:blip r:embed="rId10"/>
                    <a:srcRect b="23399"/>
                    <a:stretch>
                      <a:fillRect/>
                    </a:stretch>
                  </pic:blipFill>
                  <pic:spPr>
                    <a:xfrm>
                      <a:off x="0" y="0"/>
                      <a:ext cx="6254940" cy="2661087"/>
                    </a:xfrm>
                    <a:prstGeom prst="rect">
                      <a:avLst/>
                    </a:prstGeom>
                    <a:ln/>
                  </pic:spPr>
                </pic:pic>
              </a:graphicData>
            </a:graphic>
          </wp:inline>
        </w:drawing>
      </w:r>
    </w:p>
    <w:p w14:paraId="7D3F8C08" w14:textId="77777777" w:rsidR="007F60E4" w:rsidRDefault="00000000">
      <w:pPr>
        <w:spacing w:before="240" w:after="0"/>
        <w:jc w:val="center"/>
      </w:pPr>
      <w:r>
        <w:rPr>
          <w:b/>
          <w:bCs/>
          <w:color w:val="000000"/>
        </w:rPr>
        <w:t>Figure 4: Potential exposure reduction trend over time</w:t>
      </w:r>
    </w:p>
    <w:p w14:paraId="09EC1C60" w14:textId="77777777" w:rsidR="007F60E4" w:rsidRDefault="00000000">
      <w:pPr>
        <w:spacing w:before="240" w:after="0"/>
        <w:jc w:val="center"/>
      </w:pPr>
      <w:r>
        <w:rPr>
          <w:color w:val="000000"/>
        </w:rPr>
        <w:t>(Source: BHP Group, 2026)</w:t>
      </w:r>
    </w:p>
    <w:p w14:paraId="42093FF4" w14:textId="77777777" w:rsidR="007F60E4" w:rsidRDefault="00000000">
      <w:pPr>
        <w:numPr>
          <w:ilvl w:val="0"/>
          <w:numId w:val="8"/>
        </w:numPr>
        <w:spacing w:before="240" w:after="0"/>
        <w:rPr>
          <w:color w:val="000000"/>
        </w:rPr>
      </w:pPr>
      <w:r>
        <w:rPr>
          <w:color w:val="000000"/>
        </w:rPr>
        <w:t xml:space="preserve">To power domestic assets' sustainability, BHP co-founded renewable infrastructure projects across the Pilbara micro grid. </w:t>
      </w:r>
    </w:p>
    <w:p w14:paraId="77E74C81" w14:textId="77777777" w:rsidR="007F60E4" w:rsidRDefault="00000000">
      <w:pPr>
        <w:numPr>
          <w:ilvl w:val="0"/>
          <w:numId w:val="8"/>
        </w:numPr>
        <w:spacing w:before="240" w:after="0"/>
        <w:rPr>
          <w:color w:val="000000"/>
        </w:rPr>
      </w:pPr>
      <w:r>
        <w:rPr>
          <w:color w:val="000000"/>
        </w:rPr>
        <w:t>This integrates 200 MV of solar power and battery storage to reduce dependence on gas turbines. This green energy transition can ensure a long-term energy process (CER, 2026; BHP Group, 2026). </w:t>
      </w:r>
    </w:p>
    <w:p w14:paraId="7F6EDB08" w14:textId="77777777" w:rsidR="007F60E4" w:rsidRDefault="00000000">
      <w:pPr>
        <w:spacing w:before="240" w:after="0"/>
      </w:pPr>
      <w:r>
        <w:rPr>
          <w:b/>
          <w:bCs/>
          <w:i/>
          <w:iCs/>
          <w:color w:val="000000"/>
          <w:u w:val="single"/>
        </w:rPr>
        <w:t>Legal environmental actor </w:t>
      </w:r>
    </w:p>
    <w:p w14:paraId="5AD5D0F1" w14:textId="77777777" w:rsidR="007F60E4" w:rsidRDefault="00000000">
      <w:pPr>
        <w:numPr>
          <w:ilvl w:val="0"/>
          <w:numId w:val="9"/>
        </w:numPr>
        <w:spacing w:before="240" w:after="0"/>
        <w:rPr>
          <w:color w:val="000000"/>
        </w:rPr>
      </w:pPr>
      <w:r>
        <w:rPr>
          <w:color w:val="000000"/>
        </w:rPr>
        <w:t xml:space="preserve">Nationally, under the mandatory climate rules forced by the Australian Securities and Investments Commission (ASIC), the “International Sustainability Standards Board (ISSB S1/S2) requirements” are voluntary. BHP needs to publish a detailed annual greenhouse gas report. In 2026, BHP reported 9.4 Mt </w:t>
      </w:r>
      <w:proofErr w:type="spellStart"/>
      <w:r>
        <w:rPr>
          <w:color w:val="000000"/>
        </w:rPr>
        <w:t>CO₂e</w:t>
      </w:r>
      <w:proofErr w:type="spellEnd"/>
      <w:r>
        <w:rPr>
          <w:color w:val="000000"/>
        </w:rPr>
        <w:t xml:space="preserve"> of combined Scope 1 and Scope 2 operational emissions (BHP ESG Data book, 2026). </w:t>
      </w:r>
    </w:p>
    <w:p w14:paraId="57BDA450" w14:textId="77777777" w:rsidR="007F60E4" w:rsidRDefault="00000000">
      <w:pPr>
        <w:numPr>
          <w:ilvl w:val="0"/>
          <w:numId w:val="9"/>
        </w:numPr>
        <w:spacing w:before="240" w:after="0"/>
        <w:rPr>
          <w:color w:val="000000"/>
        </w:rPr>
      </w:pPr>
      <w:r>
        <w:rPr>
          <w:color w:val="000000"/>
        </w:rPr>
        <w:t xml:space="preserve">Also, 382.5 Mt </w:t>
      </w:r>
      <w:proofErr w:type="spellStart"/>
      <w:r>
        <w:rPr>
          <w:color w:val="000000"/>
        </w:rPr>
        <w:t>CO₂e</w:t>
      </w:r>
      <w:proofErr w:type="spellEnd"/>
      <w:r>
        <w:rPr>
          <w:color w:val="000000"/>
        </w:rPr>
        <w:t xml:space="preserve"> of Scope 3 emissions from steelmaking customer processing (BHP ESG Data book, 2026). This legal transparency forces BHP to track value chain carbon liabilities. It directly influences the ESG rating scores (ASIC, 2026; BHP ESG Data book, </w:t>
      </w:r>
      <w:r>
        <w:rPr>
          <w:color w:val="000000"/>
        </w:rPr>
        <w:lastRenderedPageBreak/>
        <w:t xml:space="preserve">2026). With the help of the legal auditing under ASIC this minimize the corporate greenwashing risks. </w:t>
      </w:r>
    </w:p>
    <w:p w14:paraId="21556715" w14:textId="77777777" w:rsidR="007F60E4" w:rsidRDefault="00000000">
      <w:pPr>
        <w:spacing w:before="240" w:after="0"/>
        <w:ind w:left="720"/>
        <w:jc w:val="center"/>
        <w:rPr>
          <w:b/>
          <w:bCs/>
          <w:color w:val="000000"/>
        </w:rPr>
      </w:pPr>
      <w:r>
        <w:rPr>
          <w:noProof/>
        </w:rPr>
        <w:drawing>
          <wp:inline distT="0" distB="0" distL="0" distR="0" wp14:anchorId="15F99D09" wp14:editId="240A1B11">
            <wp:extent cx="5731510" cy="3223895"/>
            <wp:effectExtent l="0" t="0" r="0" b="0"/>
            <wp:docPr id="5" name="image5.png" descr="The International Sustainability Standards Board (ISSB) | GFC Explains"/>
            <wp:cNvGraphicFramePr/>
            <a:graphic xmlns:a="http://schemas.openxmlformats.org/drawingml/2006/main">
              <a:graphicData uri="http://schemas.openxmlformats.org/drawingml/2006/picture">
                <pic:pic xmlns:pic="http://schemas.openxmlformats.org/drawingml/2006/picture">
                  <pic:nvPicPr>
                    <pic:cNvPr id="0" name="image5.png" descr="The International Sustainability Standards Board (ISSB) | GFC Explains"/>
                    <pic:cNvPicPr preferRelativeResize="0"/>
                  </pic:nvPicPr>
                  <pic:blipFill>
                    <a:blip r:embed="rId11"/>
                    <a:srcRect/>
                    <a:stretch>
                      <a:fillRect/>
                    </a:stretch>
                  </pic:blipFill>
                  <pic:spPr>
                    <a:xfrm>
                      <a:off x="0" y="0"/>
                      <a:ext cx="5731510" cy="3223895"/>
                    </a:xfrm>
                    <a:prstGeom prst="rect">
                      <a:avLst/>
                    </a:prstGeom>
                    <a:ln/>
                  </pic:spPr>
                </pic:pic>
              </a:graphicData>
            </a:graphic>
          </wp:inline>
        </w:drawing>
      </w:r>
    </w:p>
    <w:p w14:paraId="6460582F" w14:textId="77777777" w:rsidR="007F60E4" w:rsidRDefault="00000000">
      <w:pPr>
        <w:spacing w:before="240" w:after="0"/>
        <w:ind w:left="720"/>
        <w:jc w:val="center"/>
        <w:rPr>
          <w:b/>
          <w:bCs/>
          <w:color w:val="000000"/>
        </w:rPr>
      </w:pPr>
      <w:r>
        <w:rPr>
          <w:b/>
          <w:bCs/>
          <w:color w:val="000000"/>
        </w:rPr>
        <w:t>Figure 5: Proper guide to mandatory climate reporting in Australia</w:t>
      </w:r>
    </w:p>
    <w:p w14:paraId="5F23EED2" w14:textId="77777777" w:rsidR="007F60E4" w:rsidRDefault="00000000">
      <w:pPr>
        <w:spacing w:before="240" w:after="0"/>
        <w:ind w:left="720"/>
        <w:jc w:val="center"/>
      </w:pPr>
      <w:r>
        <w:rPr>
          <w:color w:val="000000"/>
        </w:rPr>
        <w:t xml:space="preserve">(Source: </w:t>
      </w:r>
      <w:r>
        <w:t>ASIC</w:t>
      </w:r>
      <w:r>
        <w:rPr>
          <w:color w:val="000000"/>
        </w:rPr>
        <w:t>, 2026)</w:t>
      </w:r>
    </w:p>
    <w:p w14:paraId="008DCFC6" w14:textId="77777777" w:rsidR="007F60E4" w:rsidRDefault="00000000">
      <w:pPr>
        <w:numPr>
          <w:ilvl w:val="0"/>
          <w:numId w:val="10"/>
        </w:numPr>
        <w:spacing w:before="240" w:after="0"/>
        <w:rPr>
          <w:color w:val="000000"/>
        </w:rPr>
      </w:pPr>
      <w:r>
        <w:rPr>
          <w:color w:val="000000"/>
        </w:rPr>
        <w:t>Internationally, regulatory pressure creates pressure. In South America, strict water extraction limits the Escondido copper mine. This pressurized BHP to invest over $4 billion in industrial seawater desalination plants. This helps to eliminate the groundwater draw. </w:t>
      </w:r>
    </w:p>
    <w:p w14:paraId="5B689E78" w14:textId="77777777" w:rsidR="007F60E4" w:rsidRDefault="007F60E4">
      <w:pPr>
        <w:spacing w:before="240" w:after="0"/>
        <w:rPr>
          <w:b/>
          <w:bCs/>
          <w:color w:val="000000"/>
        </w:rPr>
      </w:pPr>
    </w:p>
    <w:p w14:paraId="57943CA2" w14:textId="77777777" w:rsidR="007F60E4" w:rsidRDefault="00000000">
      <w:pPr>
        <w:spacing w:before="240" w:after="0"/>
        <w:jc w:val="center"/>
        <w:rPr>
          <w:b/>
          <w:bCs/>
          <w:color w:val="000000"/>
        </w:rPr>
      </w:pPr>
      <w:r>
        <w:rPr>
          <w:noProof/>
        </w:rPr>
        <w:lastRenderedPageBreak/>
        <w:drawing>
          <wp:inline distT="0" distB="0" distL="0" distR="0" wp14:anchorId="32BD28E1" wp14:editId="1DD60114">
            <wp:extent cx="5731510" cy="4069080"/>
            <wp:effectExtent l="0" t="0" r="0" b="0"/>
            <wp:docPr id="8" name="image8.png" descr="Pathways for decarbonization in mining - AT Minerals"/>
            <wp:cNvGraphicFramePr/>
            <a:graphic xmlns:a="http://schemas.openxmlformats.org/drawingml/2006/main">
              <a:graphicData uri="http://schemas.openxmlformats.org/drawingml/2006/picture">
                <pic:pic xmlns:pic="http://schemas.openxmlformats.org/drawingml/2006/picture">
                  <pic:nvPicPr>
                    <pic:cNvPr id="0" name="image8.png" descr="Pathways for decarbonization in mining - AT Minerals"/>
                    <pic:cNvPicPr preferRelativeResize="0"/>
                  </pic:nvPicPr>
                  <pic:blipFill>
                    <a:blip r:embed="rId12"/>
                    <a:srcRect/>
                    <a:stretch>
                      <a:fillRect/>
                    </a:stretch>
                  </pic:blipFill>
                  <pic:spPr>
                    <a:xfrm>
                      <a:off x="0" y="0"/>
                      <a:ext cx="5731510" cy="4069080"/>
                    </a:xfrm>
                    <a:prstGeom prst="rect">
                      <a:avLst/>
                    </a:prstGeom>
                    <a:ln/>
                  </pic:spPr>
                </pic:pic>
              </a:graphicData>
            </a:graphic>
          </wp:inline>
        </w:drawing>
      </w:r>
    </w:p>
    <w:p w14:paraId="6CE6EC63" w14:textId="77777777" w:rsidR="007F60E4" w:rsidRDefault="00000000">
      <w:pPr>
        <w:spacing w:before="240" w:after="0"/>
        <w:jc w:val="center"/>
      </w:pPr>
      <w:r>
        <w:rPr>
          <w:b/>
          <w:bCs/>
          <w:color w:val="000000"/>
        </w:rPr>
        <w:t>Figure 6: The CO₂ emissions by BHP</w:t>
      </w:r>
    </w:p>
    <w:p w14:paraId="7207947D" w14:textId="77777777" w:rsidR="007F60E4" w:rsidRDefault="00000000">
      <w:pPr>
        <w:spacing w:before="240" w:after="0"/>
        <w:jc w:val="center"/>
      </w:pPr>
      <w:r>
        <w:rPr>
          <w:color w:val="000000"/>
        </w:rPr>
        <w:t>(Source: BHP Group, 2026)</w:t>
      </w:r>
    </w:p>
    <w:p w14:paraId="27D8696F" w14:textId="77777777" w:rsidR="007F60E4" w:rsidRDefault="00000000">
      <w:pPr>
        <w:spacing w:before="240" w:after="0"/>
      </w:pPr>
      <w:r>
        <w:rPr>
          <w:b/>
          <w:bCs/>
          <w:i/>
          <w:iCs/>
          <w:color w:val="000000"/>
          <w:u w:val="single"/>
        </w:rPr>
        <w:t>Environmental actor </w:t>
      </w:r>
    </w:p>
    <w:p w14:paraId="3451A210" w14:textId="77777777" w:rsidR="007F60E4" w:rsidRDefault="00000000">
      <w:pPr>
        <w:numPr>
          <w:ilvl w:val="0"/>
          <w:numId w:val="1"/>
        </w:numPr>
        <w:spacing w:before="240" w:after="0"/>
        <w:rPr>
          <w:color w:val="000000"/>
        </w:rPr>
      </w:pPr>
      <w:r>
        <w:rPr>
          <w:color w:val="000000"/>
        </w:rPr>
        <w:t xml:space="preserve">The environmental factors force BHP to take a sustainable product and operational transformation. The global ore grade degradation mostly extracts the larger rock volumes. As suggested by </w:t>
      </w:r>
      <w:r>
        <w:rPr>
          <w:color w:val="222222"/>
        </w:rPr>
        <w:t>Stroykov</w:t>
      </w:r>
      <w:r>
        <w:rPr>
          <w:color w:val="000000"/>
        </w:rPr>
        <w:t xml:space="preserve"> </w:t>
      </w:r>
      <w:r>
        <w:rPr>
          <w:i/>
          <w:iCs/>
          <w:color w:val="000000"/>
        </w:rPr>
        <w:t>et al.</w:t>
      </w:r>
      <w:r>
        <w:rPr>
          <w:color w:val="000000"/>
        </w:rPr>
        <w:t xml:space="preserve"> (2026), this determined the energy intensity with the help of the volume. </w:t>
      </w:r>
    </w:p>
    <w:p w14:paraId="3AC31861" w14:textId="77777777" w:rsidR="007F60E4" w:rsidRDefault="00000000">
      <w:pPr>
        <w:numPr>
          <w:ilvl w:val="0"/>
          <w:numId w:val="1"/>
        </w:numPr>
        <w:spacing w:before="240" w:after="0"/>
        <w:rPr>
          <w:color w:val="000000"/>
        </w:rPr>
      </w:pPr>
      <w:r>
        <w:rPr>
          <w:color w:val="000000"/>
        </w:rPr>
        <w:t>BHP’s average iron ore grade across the pits declined from 62% Fe content to 60.8% Fe. This drive the higher energy consumption per tonne. The decline of physical resources forces BHP to use advanced processing and high-grade selection (Fast markets, 2026). </w:t>
      </w:r>
    </w:p>
    <w:p w14:paraId="698B0F89" w14:textId="77777777" w:rsidR="007F60E4" w:rsidRDefault="00000000">
      <w:pPr>
        <w:numPr>
          <w:ilvl w:val="0"/>
          <w:numId w:val="1"/>
        </w:numPr>
        <w:spacing w:before="240" w:after="0"/>
        <w:rPr>
          <w:color w:val="000000"/>
        </w:rPr>
      </w:pPr>
      <w:r>
        <w:rPr>
          <w:color w:val="000000"/>
        </w:rPr>
        <w:lastRenderedPageBreak/>
        <w:t xml:space="preserve">The downstream B2B automotive customers, such as BMW and Volkswagen, demand sustainable copper and battery nickel supply. This is to fulfil the corporate net-zero commitments and lower Scope 3 footprints. </w:t>
      </w:r>
    </w:p>
    <w:p w14:paraId="16DFF3DB" w14:textId="77777777" w:rsidR="007F60E4" w:rsidRDefault="00000000">
      <w:pPr>
        <w:numPr>
          <w:ilvl w:val="0"/>
          <w:numId w:val="1"/>
        </w:numPr>
        <w:spacing w:before="240" w:after="0"/>
        <w:rPr>
          <w:color w:val="000000"/>
        </w:rPr>
      </w:pPr>
      <w:r>
        <w:rPr>
          <w:color w:val="000000"/>
        </w:rPr>
        <w:t xml:space="preserve">The ESG-driven investors' pressure also impacts the capital evaluation process. BHP faced equity price volatility during Q1 of 2026 (PwC, 2026; ICMM, 2026). The automotive OEMs prioritize the main resource suppliers by offering proper carbon traceability. This directly risks the loss of </w:t>
      </w:r>
      <w:proofErr w:type="gramStart"/>
      <w:r>
        <w:rPr>
          <w:color w:val="000000"/>
        </w:rPr>
        <w:t>long term</w:t>
      </w:r>
      <w:proofErr w:type="gramEnd"/>
      <w:r>
        <w:rPr>
          <w:color w:val="000000"/>
        </w:rPr>
        <w:t xml:space="preserve"> contracts (Kotler </w:t>
      </w:r>
      <w:r>
        <w:rPr>
          <w:i/>
          <w:iCs/>
          <w:color w:val="000000"/>
        </w:rPr>
        <w:t xml:space="preserve">et al., </w:t>
      </w:r>
      <w:r>
        <w:rPr>
          <w:color w:val="000000"/>
        </w:rPr>
        <w:t>2024). </w:t>
      </w:r>
    </w:p>
    <w:p w14:paraId="289AE06B" w14:textId="77777777" w:rsidR="007F60E4" w:rsidRDefault="00000000">
      <w:pPr>
        <w:spacing w:before="240" w:after="0"/>
        <w:jc w:val="center"/>
      </w:pPr>
      <w:r>
        <w:rPr>
          <w:noProof/>
        </w:rPr>
        <w:drawing>
          <wp:inline distT="0" distB="0" distL="0" distR="0" wp14:anchorId="35F41EBA" wp14:editId="55DD45E9">
            <wp:extent cx="4225159" cy="5013435"/>
            <wp:effectExtent l="0" t="0" r="4445"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228596" cy="5017514"/>
                    </a:xfrm>
                    <a:prstGeom prst="rect">
                      <a:avLst/>
                    </a:prstGeom>
                    <a:ln/>
                  </pic:spPr>
                </pic:pic>
              </a:graphicData>
            </a:graphic>
          </wp:inline>
        </w:drawing>
      </w:r>
    </w:p>
    <w:p w14:paraId="58A023C3" w14:textId="77777777" w:rsidR="007F60E4" w:rsidRDefault="00000000">
      <w:pPr>
        <w:spacing w:before="240" w:after="0"/>
        <w:jc w:val="center"/>
      </w:pPr>
      <w:r>
        <w:rPr>
          <w:b/>
          <w:bCs/>
          <w:color w:val="000000"/>
        </w:rPr>
        <w:t>Figure 7: Water and mining increase pressure</w:t>
      </w:r>
    </w:p>
    <w:p w14:paraId="1288E734" w14:textId="77777777" w:rsidR="007F60E4" w:rsidRDefault="00000000">
      <w:pPr>
        <w:spacing w:before="240" w:after="0"/>
        <w:jc w:val="center"/>
      </w:pPr>
      <w:r>
        <w:rPr>
          <w:color w:val="000000"/>
        </w:rPr>
        <w:t>(Source: ICMM, 2026)</w:t>
      </w:r>
    </w:p>
    <w:p w14:paraId="291A76EE" w14:textId="77777777" w:rsidR="007F60E4" w:rsidRDefault="00000000">
      <w:pPr>
        <w:pStyle w:val="Heading3"/>
      </w:pPr>
      <w:bookmarkStart w:id="5" w:name="_Toc241855656"/>
      <w:r>
        <w:lastRenderedPageBreak/>
        <w:t>1.2.2 Environmental factors pushing towards transition</w:t>
      </w:r>
      <w:bookmarkEnd w:id="5"/>
      <w:r>
        <w:t> </w:t>
      </w:r>
    </w:p>
    <w:p w14:paraId="77515569" w14:textId="77777777" w:rsidR="007F60E4" w:rsidRDefault="00000000">
      <w:pPr>
        <w:spacing w:before="240" w:after="0"/>
      </w:pPr>
      <w:r>
        <w:rPr>
          <w:color w:val="000000"/>
        </w:rPr>
        <w:t>The global mining and metals extraction sector is highly energy-intensive. This accounts for almost 25% of the industrial emissions globally (Global Energy Intelligence, 2026). The change towards decarbonised extraction via battery electric hauling fleets and zero-carbon processing is effective for long-term viability. </w:t>
      </w:r>
    </w:p>
    <w:p w14:paraId="06468BE4" w14:textId="77777777" w:rsidR="007F60E4" w:rsidRDefault="00000000">
      <w:pPr>
        <w:spacing w:before="240" w:after="0"/>
        <w:rPr>
          <w:color w:val="000000"/>
        </w:rPr>
      </w:pPr>
      <w:r>
        <w:rPr>
          <w:b/>
          <w:bCs/>
          <w:i/>
          <w:iCs/>
          <w:color w:val="000000"/>
        </w:rPr>
        <w:t xml:space="preserve">Resource scarcity: </w:t>
      </w:r>
      <w:r>
        <w:rPr>
          <w:color w:val="000000"/>
        </w:rPr>
        <w:t>Resource scarcity is the main environmental driver. Using the high-grade mineral reserves focuses market leaders on developing proper, beneficial technologies. The lower-grade ores offer high-quality lump iron ore, which helps steelmakers to reduce coking coal intensity (</w:t>
      </w:r>
      <w:proofErr w:type="spellStart"/>
      <w:r>
        <w:rPr>
          <w:color w:val="222222"/>
        </w:rPr>
        <w:t>Amegboleza</w:t>
      </w:r>
      <w:proofErr w:type="spellEnd"/>
      <w:r>
        <w:rPr>
          <w:color w:val="222222"/>
        </w:rPr>
        <w:t xml:space="preserve"> and Ülkü, 2025)</w:t>
      </w:r>
      <w:r>
        <w:rPr>
          <w:color w:val="000000"/>
        </w:rPr>
        <w:t>. This structural deficit in the natural high-grade ores connects to BHP investing in the infrastructure to maintain the premium B2B products (Fast markets, 2026). </w:t>
      </w:r>
    </w:p>
    <w:p w14:paraId="5B716F49" w14:textId="77777777" w:rsidR="007F60E4" w:rsidRDefault="00000000">
      <w:pPr>
        <w:spacing w:before="240" w:after="0"/>
        <w:jc w:val="center"/>
      </w:pPr>
      <w:r>
        <w:rPr>
          <w:noProof/>
        </w:rPr>
        <w:drawing>
          <wp:inline distT="0" distB="0" distL="0" distR="0" wp14:anchorId="7DD8E92F" wp14:editId="0576A2F1">
            <wp:extent cx="5731510" cy="259207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510" cy="2592070"/>
                    </a:xfrm>
                    <a:prstGeom prst="rect">
                      <a:avLst/>
                    </a:prstGeom>
                    <a:ln/>
                  </pic:spPr>
                </pic:pic>
              </a:graphicData>
            </a:graphic>
          </wp:inline>
        </w:drawing>
      </w:r>
    </w:p>
    <w:p w14:paraId="29C72BF9" w14:textId="77777777" w:rsidR="007F60E4" w:rsidRDefault="00000000">
      <w:pPr>
        <w:spacing w:before="240" w:after="0"/>
        <w:jc w:val="center"/>
        <w:rPr>
          <w:b/>
          <w:bCs/>
        </w:rPr>
      </w:pPr>
      <w:r>
        <w:rPr>
          <w:b/>
          <w:bCs/>
          <w:color w:val="000000"/>
        </w:rPr>
        <w:t>Figure 8: Top 9 mining companies as per resources</w:t>
      </w:r>
    </w:p>
    <w:p w14:paraId="58EEAAE0" w14:textId="77777777" w:rsidR="007F60E4" w:rsidRPr="005D4DA9" w:rsidRDefault="00000000">
      <w:pPr>
        <w:spacing w:before="240" w:after="0"/>
        <w:jc w:val="center"/>
      </w:pPr>
      <w:r>
        <w:rPr>
          <w:color w:val="000000"/>
        </w:rPr>
        <w:t>(Sour</w:t>
      </w:r>
      <w:r w:rsidRPr="005D4DA9">
        <w:t>ce: PwC, 2026)</w:t>
      </w:r>
    </w:p>
    <w:p w14:paraId="571E2EC9" w14:textId="77777777" w:rsidR="007F60E4" w:rsidRPr="005D4DA9" w:rsidRDefault="00000000">
      <w:pPr>
        <w:numPr>
          <w:ilvl w:val="0"/>
          <w:numId w:val="2"/>
        </w:numPr>
        <w:spacing w:before="240" w:after="0"/>
      </w:pPr>
      <w:r w:rsidRPr="005D4DA9">
        <w:rPr>
          <w:b/>
          <w:bCs/>
          <w:i/>
          <w:iCs/>
          <w:u w:val="single"/>
        </w:rPr>
        <w:t>Opportunity:</w:t>
      </w:r>
      <w:r w:rsidRPr="005D4DA9">
        <w:t xml:space="preserve"> Beneficiation and scrap integration help BHP to reduce the site processing emission intensity by 15 to 20%. The maximum mineral recovery rates compliance credits under the safeguarding mechanism of Australia (Clean Energy Regulator Safeguard Data, 2026). Generating tradeable safeguard related to credits lowers corporate tax burdens. </w:t>
      </w:r>
      <w:r w:rsidRPr="005D4DA9">
        <w:lastRenderedPageBreak/>
        <w:t xml:space="preserve">Along with that, developing overall operational EBITDA margins across Western Australian iron ore sites (CER, 2026). </w:t>
      </w:r>
    </w:p>
    <w:p w14:paraId="3BF5C5F0" w14:textId="77777777" w:rsidR="007F60E4" w:rsidRPr="005D4DA9" w:rsidRDefault="00000000">
      <w:pPr>
        <w:numPr>
          <w:ilvl w:val="0"/>
          <w:numId w:val="2"/>
        </w:numPr>
        <w:pBdr>
          <w:top w:val="nil"/>
          <w:left w:val="nil"/>
          <w:bottom w:val="nil"/>
          <w:right w:val="nil"/>
          <w:between w:val="nil"/>
        </w:pBdr>
        <w:spacing w:before="240" w:after="0"/>
      </w:pPr>
      <w:r w:rsidRPr="005D4DA9">
        <w:rPr>
          <w:b/>
          <w:bCs/>
          <w:i/>
          <w:iCs/>
          <w:u w:val="single"/>
        </w:rPr>
        <w:t>Challenge:</w:t>
      </w:r>
      <w:r w:rsidRPr="005D4DA9">
        <w:rPr>
          <w:b/>
          <w:bCs/>
          <w:i/>
          <w:iCs/>
        </w:rPr>
        <w:t xml:space="preserve"> </w:t>
      </w:r>
      <w:r w:rsidRPr="005D4DA9">
        <w:t>Higher dependence on the global scrap market and underdeveloped green hydrogen infrastructure can limit large-scale production. The lack of a national green hydrogen supply chain can restrict the commercial-scale deployment of DRI steelmaking. </w:t>
      </w:r>
    </w:p>
    <w:p w14:paraId="5EB757C3" w14:textId="77777777" w:rsidR="007F60E4" w:rsidRPr="005D4DA9" w:rsidRDefault="00000000">
      <w:pPr>
        <w:spacing w:before="240" w:after="0"/>
      </w:pPr>
      <w:r w:rsidRPr="005D4DA9">
        <w:rPr>
          <w:b/>
          <w:bCs/>
          <w:i/>
          <w:iCs/>
        </w:rPr>
        <w:t xml:space="preserve">Environmental pollution: </w:t>
      </w:r>
      <w:r w:rsidRPr="005D4DA9">
        <w:t xml:space="preserve">The main extraction activities bear the environmental pollution liabilities. Almost 38% of the global mining facilities operate in regions with tighter baseline water stress. BHP targeted a freshwater consumption reduction to 1.22 m³/t of material processed in 2026. Moreover, the implementation of Zero Liquid Discharge (ZLD) systems and dry stack tailings can protect the regional watersheds. As suggested by Paul (2026), controlling air dust and tailings leakage can mitigate higher ecological degradation. The elimination of the tailing run off and the air pollution protects the regional biodiversity process (Paul, 2026). It needed to secure the proper social license to operate within the local ecosystem process. </w:t>
      </w:r>
    </w:p>
    <w:p w14:paraId="3AAEA9EF" w14:textId="77777777" w:rsidR="007F60E4" w:rsidRPr="005D4DA9" w:rsidRDefault="00000000">
      <w:pPr>
        <w:spacing w:before="240" w:after="0"/>
        <w:jc w:val="center"/>
      </w:pPr>
      <w:r w:rsidRPr="005D4DA9">
        <w:rPr>
          <w:noProof/>
        </w:rPr>
        <w:drawing>
          <wp:inline distT="0" distB="0" distL="0" distR="0" wp14:anchorId="3355BC90" wp14:editId="7B2F9EF3">
            <wp:extent cx="6221828" cy="1441124"/>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6221828" cy="1441124"/>
                    </a:xfrm>
                    <a:prstGeom prst="rect">
                      <a:avLst/>
                    </a:prstGeom>
                    <a:ln/>
                  </pic:spPr>
                </pic:pic>
              </a:graphicData>
            </a:graphic>
          </wp:inline>
        </w:drawing>
      </w:r>
      <w:r w:rsidRPr="005D4DA9">
        <w:t xml:space="preserve"> </w:t>
      </w:r>
    </w:p>
    <w:p w14:paraId="59BA0459" w14:textId="77777777" w:rsidR="007F60E4" w:rsidRPr="005D4DA9" w:rsidRDefault="00000000">
      <w:pPr>
        <w:spacing w:before="240" w:after="0"/>
        <w:jc w:val="center"/>
        <w:rPr>
          <w:b/>
          <w:bCs/>
        </w:rPr>
      </w:pPr>
      <w:r w:rsidRPr="005D4DA9">
        <w:rPr>
          <w:b/>
          <w:bCs/>
        </w:rPr>
        <w:t>Figure 9: The sustainability initiatives taken by BHP</w:t>
      </w:r>
    </w:p>
    <w:p w14:paraId="5045B1F5" w14:textId="77777777" w:rsidR="007F60E4" w:rsidRPr="005D4DA9" w:rsidRDefault="00000000">
      <w:pPr>
        <w:spacing w:before="240" w:after="0"/>
        <w:jc w:val="center"/>
      </w:pPr>
      <w:r w:rsidRPr="005D4DA9">
        <w:t>(Source: BHP Group, 2026)</w:t>
      </w:r>
    </w:p>
    <w:p w14:paraId="1CC8E5DD" w14:textId="77777777" w:rsidR="007F60E4" w:rsidRPr="005D4DA9" w:rsidRDefault="00000000">
      <w:pPr>
        <w:numPr>
          <w:ilvl w:val="0"/>
          <w:numId w:val="3"/>
        </w:numPr>
        <w:spacing w:before="240" w:after="0"/>
      </w:pPr>
      <w:r w:rsidRPr="005D4DA9">
        <w:rPr>
          <w:b/>
          <w:bCs/>
          <w:i/>
          <w:iCs/>
          <w:u w:val="single"/>
        </w:rPr>
        <w:t xml:space="preserve">Opportunity: </w:t>
      </w:r>
      <w:r w:rsidRPr="005D4DA9">
        <w:t xml:space="preserve">The adoption of ZLD can prevent regulatory fines. This also secures the local operational permits. As suggested by Araújo and de Medeiros (2024), it helps with water supply during the drought cycles. Moreover, maintaining operational continuity during severe climate events can protect the corporate revenue of the company (ICMM, 2026). Closed-loop water recycling guarantees stable processing and </w:t>
      </w:r>
      <w:proofErr w:type="gramStart"/>
      <w:r w:rsidRPr="005D4DA9">
        <w:t>safeguard</w:t>
      </w:r>
      <w:proofErr w:type="gramEnd"/>
      <w:r w:rsidRPr="005D4DA9">
        <w:t xml:space="preserve"> the </w:t>
      </w:r>
      <w:proofErr w:type="gramStart"/>
      <w:r w:rsidRPr="005D4DA9">
        <w:t>long term</w:t>
      </w:r>
      <w:proofErr w:type="gramEnd"/>
      <w:r w:rsidRPr="005D4DA9">
        <w:t xml:space="preserve"> production process. </w:t>
      </w:r>
    </w:p>
    <w:p w14:paraId="62270B4D" w14:textId="77777777" w:rsidR="007F60E4" w:rsidRDefault="00000000">
      <w:pPr>
        <w:numPr>
          <w:ilvl w:val="0"/>
          <w:numId w:val="3"/>
        </w:numPr>
        <w:spacing w:before="240" w:after="0"/>
        <w:rPr>
          <w:color w:val="000000"/>
        </w:rPr>
      </w:pPr>
      <w:r>
        <w:rPr>
          <w:b/>
          <w:bCs/>
          <w:i/>
          <w:iCs/>
          <w:color w:val="000000"/>
          <w:u w:val="single"/>
        </w:rPr>
        <w:lastRenderedPageBreak/>
        <w:t xml:space="preserve">Challenge: </w:t>
      </w:r>
      <w:r>
        <w:rPr>
          <w:color w:val="000000"/>
        </w:rPr>
        <w:t>The transition of legacy mining assets to ZLD and dry stacking needs the proper capital expenditure. This compresses the operational margins. The higher capital allocation in the non-revenue-generating waste infrastructure can reduce the short-term cash flow process. </w:t>
      </w:r>
    </w:p>
    <w:p w14:paraId="0EE975C6" w14:textId="77777777" w:rsidR="007F60E4" w:rsidRDefault="00000000">
      <w:pPr>
        <w:rPr>
          <w:color w:val="000000"/>
        </w:rPr>
      </w:pPr>
      <w:r>
        <w:br w:type="page"/>
      </w:r>
    </w:p>
    <w:p w14:paraId="2D57D684" w14:textId="77777777" w:rsidR="007F60E4" w:rsidRDefault="00000000">
      <w:pPr>
        <w:pStyle w:val="Heading1"/>
      </w:pPr>
      <w:bookmarkStart w:id="6" w:name="_Toc241855657"/>
      <w:r>
        <w:lastRenderedPageBreak/>
        <w:t>Task 2: Strategic Growth and Competitive Positioning</w:t>
      </w:r>
      <w:bookmarkEnd w:id="6"/>
    </w:p>
    <w:p w14:paraId="1DCD5887" w14:textId="77777777" w:rsidR="007F60E4" w:rsidRDefault="00000000">
      <w:pPr>
        <w:pStyle w:val="Heading2"/>
      </w:pPr>
      <w:bookmarkStart w:id="7" w:name="_Toc241855658"/>
      <w:r>
        <w:t>2.1 Strategic Growth Strategy</w:t>
      </w:r>
      <w:bookmarkEnd w:id="7"/>
    </w:p>
    <w:p w14:paraId="69C9ECF6" w14:textId="77777777" w:rsidR="007F60E4" w:rsidRDefault="00000000">
      <w:pPr>
        <w:pStyle w:val="Heading3"/>
      </w:pPr>
      <w:bookmarkStart w:id="8" w:name="_Toc241855659"/>
      <w:r>
        <w:t>2.1.1 Applying the Ansoff Matrix</w:t>
      </w:r>
      <w:bookmarkEnd w:id="8"/>
    </w:p>
    <w:tbl>
      <w:tblPr>
        <w:tblStyle w:val="a"/>
        <w:tblW w:w="9350"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866"/>
        <w:gridCol w:w="2078"/>
        <w:gridCol w:w="5406"/>
      </w:tblGrid>
      <w:tr w:rsidR="007F60E4" w14:paraId="7F117503" w14:textId="77777777" w:rsidTr="007F60E4">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66" w:type="dxa"/>
          </w:tcPr>
          <w:p w14:paraId="029482DF" w14:textId="77777777" w:rsidR="007F60E4" w:rsidRDefault="00000000">
            <w:pPr>
              <w:spacing w:before="240" w:line="360" w:lineRule="auto"/>
              <w:jc w:val="center"/>
            </w:pPr>
            <w:r>
              <w:rPr>
                <w:color w:val="000000"/>
              </w:rPr>
              <w:t>Strategy vector</w:t>
            </w:r>
          </w:p>
        </w:tc>
        <w:tc>
          <w:tcPr>
            <w:tcW w:w="2078" w:type="dxa"/>
          </w:tcPr>
          <w:p w14:paraId="166D4EE6" w14:textId="77777777" w:rsidR="007F60E4"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pPr>
            <w:r>
              <w:rPr>
                <w:color w:val="000000"/>
              </w:rPr>
              <w:t>Relevance</w:t>
            </w:r>
          </w:p>
        </w:tc>
        <w:tc>
          <w:tcPr>
            <w:tcW w:w="5406" w:type="dxa"/>
          </w:tcPr>
          <w:p w14:paraId="7A7895A3" w14:textId="77777777" w:rsidR="007F60E4"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pPr>
            <w:r>
              <w:rPr>
                <w:color w:val="000000"/>
              </w:rPr>
              <w:t>Core strategic rationale</w:t>
            </w:r>
          </w:p>
        </w:tc>
      </w:tr>
      <w:tr w:rsidR="007F60E4" w14:paraId="201FD8DB" w14:textId="77777777" w:rsidTr="007F60E4">
        <w:trPr>
          <w:cnfStyle w:val="000000100000" w:firstRow="0" w:lastRow="0" w:firstColumn="0" w:lastColumn="0" w:oddVBand="0" w:evenVBand="0" w:oddHBand="1" w:evenHBand="0" w:firstRowFirstColumn="0" w:firstRowLastColumn="0" w:lastRowFirstColumn="0" w:lastRowLastColumn="0"/>
          <w:trHeight w:val="1650"/>
        </w:trPr>
        <w:tc>
          <w:tcPr>
            <w:cnfStyle w:val="001000000000" w:firstRow="0" w:lastRow="0" w:firstColumn="1" w:lastColumn="0" w:oddVBand="0" w:evenVBand="0" w:oddHBand="0" w:evenHBand="0" w:firstRowFirstColumn="0" w:firstRowLastColumn="0" w:lastRowFirstColumn="0" w:lastRowLastColumn="0"/>
            <w:tcW w:w="1866" w:type="dxa"/>
          </w:tcPr>
          <w:p w14:paraId="5BC2FC62" w14:textId="77777777" w:rsidR="007F60E4" w:rsidRDefault="00000000">
            <w:pPr>
              <w:spacing w:before="240" w:line="360" w:lineRule="auto"/>
            </w:pPr>
            <w:r>
              <w:rPr>
                <w:color w:val="000000"/>
              </w:rPr>
              <w:t>Product development</w:t>
            </w:r>
          </w:p>
        </w:tc>
        <w:tc>
          <w:tcPr>
            <w:tcW w:w="2078" w:type="dxa"/>
          </w:tcPr>
          <w:p w14:paraId="62592506"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High (Primary Vector)</w:t>
            </w:r>
          </w:p>
        </w:tc>
        <w:tc>
          <w:tcPr>
            <w:tcW w:w="5406" w:type="dxa"/>
          </w:tcPr>
          <w:p w14:paraId="10EE46D3"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 xml:space="preserve">Develop the certified low-carbon commodity variants such as eco-copper with sub-0.5 </w:t>
            </w:r>
            <w:proofErr w:type="spellStart"/>
            <w:r>
              <w:rPr>
                <w:color w:val="000000"/>
              </w:rPr>
              <w:t>tCO₂e</w:t>
            </w:r>
            <w:proofErr w:type="spellEnd"/>
            <w:r>
              <w:rPr>
                <w:color w:val="000000"/>
              </w:rPr>
              <w:t xml:space="preserve">/t intensity. For the previous B2B industrial clients this can reduce the Scope 3 liabilities </w:t>
            </w:r>
            <w:proofErr w:type="gramStart"/>
            <w:r>
              <w:rPr>
                <w:color w:val="000000"/>
              </w:rPr>
              <w:t xml:space="preserve">( </w:t>
            </w:r>
            <w:r>
              <w:rPr>
                <w:color w:val="222222"/>
              </w:rPr>
              <w:t>Hossain</w:t>
            </w:r>
            <w:proofErr w:type="gramEnd"/>
            <w:r>
              <w:rPr>
                <w:i/>
                <w:iCs/>
                <w:color w:val="000000"/>
              </w:rPr>
              <w:t xml:space="preserve"> et al., </w:t>
            </w:r>
            <w:r>
              <w:rPr>
                <w:color w:val="000000"/>
              </w:rPr>
              <w:t>2026)</w:t>
            </w:r>
          </w:p>
        </w:tc>
      </w:tr>
      <w:tr w:rsidR="007F60E4" w14:paraId="38D28AF1" w14:textId="77777777" w:rsidTr="007F60E4">
        <w:trPr>
          <w:trHeight w:val="930"/>
        </w:trPr>
        <w:tc>
          <w:tcPr>
            <w:cnfStyle w:val="001000000000" w:firstRow="0" w:lastRow="0" w:firstColumn="1" w:lastColumn="0" w:oddVBand="0" w:evenVBand="0" w:oddHBand="0" w:evenHBand="0" w:firstRowFirstColumn="0" w:firstRowLastColumn="0" w:lastRowFirstColumn="0" w:lastRowLastColumn="0"/>
            <w:tcW w:w="1866" w:type="dxa"/>
          </w:tcPr>
          <w:p w14:paraId="00CF18FD" w14:textId="77777777" w:rsidR="007F60E4" w:rsidRDefault="00000000">
            <w:pPr>
              <w:spacing w:before="240" w:line="360" w:lineRule="auto"/>
            </w:pPr>
            <w:r>
              <w:rPr>
                <w:color w:val="000000"/>
              </w:rPr>
              <w:t>Market development</w:t>
            </w:r>
          </w:p>
        </w:tc>
        <w:tc>
          <w:tcPr>
            <w:tcW w:w="2078" w:type="dxa"/>
          </w:tcPr>
          <w:p w14:paraId="23FE43B4"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Medium–high (Secondary vector) </w:t>
            </w:r>
          </w:p>
          <w:p w14:paraId="6C782728" w14:textId="77777777" w:rsidR="007F60E4" w:rsidRDefault="007F60E4">
            <w:pPr>
              <w:spacing w:before="240" w:line="360" w:lineRule="auto"/>
              <w:cnfStyle w:val="000000000000" w:firstRow="0" w:lastRow="0" w:firstColumn="0" w:lastColumn="0" w:oddVBand="0" w:evenVBand="0" w:oddHBand="0" w:evenHBand="0" w:firstRowFirstColumn="0" w:firstRowLastColumn="0" w:lastRowFirstColumn="0" w:lastRowLastColumn="0"/>
            </w:pPr>
          </w:p>
        </w:tc>
        <w:tc>
          <w:tcPr>
            <w:tcW w:w="5406" w:type="dxa"/>
          </w:tcPr>
          <w:p w14:paraId="58831BE8"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Develop green copper and potash exploration in the carbon-regulated part. This is mostly in European battery gigafactories and the North American market. </w:t>
            </w:r>
          </w:p>
        </w:tc>
      </w:tr>
      <w:tr w:rsidR="007F60E4" w14:paraId="1775C141" w14:textId="77777777" w:rsidTr="007F60E4">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1866" w:type="dxa"/>
          </w:tcPr>
          <w:p w14:paraId="00291C77" w14:textId="77777777" w:rsidR="007F60E4" w:rsidRDefault="00000000">
            <w:pPr>
              <w:spacing w:before="240" w:line="360" w:lineRule="auto"/>
            </w:pPr>
            <w:r>
              <w:rPr>
                <w:color w:val="000000"/>
              </w:rPr>
              <w:t>Market penetration</w:t>
            </w:r>
          </w:p>
        </w:tc>
        <w:tc>
          <w:tcPr>
            <w:tcW w:w="2078" w:type="dxa"/>
          </w:tcPr>
          <w:p w14:paraId="4435BDB3"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Low–medium (Baseline)</w:t>
            </w:r>
          </w:p>
        </w:tc>
        <w:tc>
          <w:tcPr>
            <w:tcW w:w="5406" w:type="dxa"/>
          </w:tcPr>
          <w:p w14:paraId="5CBB45E8"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Harvest the cash flow from the WAIO and BMA by managing rising carbon baselines under the safeguard mechanism of Australia. </w:t>
            </w:r>
          </w:p>
        </w:tc>
      </w:tr>
      <w:tr w:rsidR="007F60E4" w14:paraId="4049574E" w14:textId="77777777" w:rsidTr="007F60E4">
        <w:trPr>
          <w:trHeight w:val="930"/>
        </w:trPr>
        <w:tc>
          <w:tcPr>
            <w:cnfStyle w:val="001000000000" w:firstRow="0" w:lastRow="0" w:firstColumn="1" w:lastColumn="0" w:oddVBand="0" w:evenVBand="0" w:oddHBand="0" w:evenHBand="0" w:firstRowFirstColumn="0" w:firstRowLastColumn="0" w:lastRowFirstColumn="0" w:lastRowLastColumn="0"/>
            <w:tcW w:w="1866" w:type="dxa"/>
          </w:tcPr>
          <w:p w14:paraId="1B83AAA4" w14:textId="77777777" w:rsidR="007F60E4" w:rsidRDefault="00000000">
            <w:pPr>
              <w:spacing w:before="240" w:line="360" w:lineRule="auto"/>
            </w:pPr>
            <w:r>
              <w:rPr>
                <w:color w:val="000000"/>
              </w:rPr>
              <w:t>Diversification</w:t>
            </w:r>
          </w:p>
        </w:tc>
        <w:tc>
          <w:tcPr>
            <w:tcW w:w="2078" w:type="dxa"/>
          </w:tcPr>
          <w:p w14:paraId="253608C2"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Low (Unfavourable)</w:t>
            </w:r>
          </w:p>
        </w:tc>
        <w:tc>
          <w:tcPr>
            <w:tcW w:w="5406" w:type="dxa"/>
          </w:tcPr>
          <w:p w14:paraId="24FAB047"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Non-mining operational risks and high capital intensity make non-core diversification necessary (</w:t>
            </w:r>
            <w:r>
              <w:rPr>
                <w:color w:val="222222"/>
              </w:rPr>
              <w:t>Vigil</w:t>
            </w:r>
            <w:r>
              <w:rPr>
                <w:color w:val="000000"/>
              </w:rPr>
              <w:t xml:space="preserve"> </w:t>
            </w:r>
            <w:r>
              <w:rPr>
                <w:i/>
                <w:iCs/>
                <w:color w:val="000000"/>
              </w:rPr>
              <w:t>et al.,</w:t>
            </w:r>
            <w:r>
              <w:rPr>
                <w:color w:val="000000"/>
              </w:rPr>
              <w:t xml:space="preserve"> 2025). </w:t>
            </w:r>
          </w:p>
        </w:tc>
      </w:tr>
    </w:tbl>
    <w:p w14:paraId="58A71810" w14:textId="77777777" w:rsidR="007F60E4" w:rsidRDefault="00000000">
      <w:pPr>
        <w:spacing w:before="240" w:after="0"/>
        <w:jc w:val="center"/>
      </w:pPr>
      <w:r>
        <w:rPr>
          <w:b/>
          <w:bCs/>
          <w:color w:val="000000"/>
        </w:rPr>
        <w:t>Table 1: Ansoff matrix application</w:t>
      </w:r>
    </w:p>
    <w:p w14:paraId="1D52F7A7" w14:textId="77777777" w:rsidR="007F60E4" w:rsidRDefault="00000000">
      <w:pPr>
        <w:spacing w:before="240" w:after="0"/>
        <w:jc w:val="center"/>
        <w:rPr>
          <w:color w:val="000000"/>
        </w:rPr>
      </w:pPr>
      <w:r>
        <w:rPr>
          <w:color w:val="000000"/>
        </w:rPr>
        <w:t xml:space="preserve">(Source: Self-developed; BHP Annual Report, 2026; </w:t>
      </w:r>
      <w:r>
        <w:rPr>
          <w:color w:val="222222"/>
        </w:rPr>
        <w:t>Zugay, 2023</w:t>
      </w:r>
      <w:r>
        <w:rPr>
          <w:color w:val="000000"/>
        </w:rPr>
        <w:t>)</w:t>
      </w:r>
    </w:p>
    <w:p w14:paraId="12F39358" w14:textId="77777777" w:rsidR="007F60E4" w:rsidRDefault="00000000">
      <w:pPr>
        <w:spacing w:before="240" w:after="0"/>
        <w:jc w:val="center"/>
      </w:pPr>
      <w:r>
        <w:rPr>
          <w:noProof/>
        </w:rPr>
        <w:lastRenderedPageBreak/>
        <w:drawing>
          <wp:inline distT="0" distB="0" distL="0" distR="0" wp14:anchorId="6CF1CAC8" wp14:editId="12FD5A43">
            <wp:extent cx="5731510" cy="385762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731510" cy="3857625"/>
                    </a:xfrm>
                    <a:prstGeom prst="rect">
                      <a:avLst/>
                    </a:prstGeom>
                    <a:ln/>
                  </pic:spPr>
                </pic:pic>
              </a:graphicData>
            </a:graphic>
          </wp:inline>
        </w:drawing>
      </w:r>
    </w:p>
    <w:p w14:paraId="256849FF" w14:textId="77777777" w:rsidR="007F60E4" w:rsidRDefault="00000000">
      <w:pPr>
        <w:spacing w:before="240" w:after="0"/>
        <w:jc w:val="center"/>
        <w:rPr>
          <w:b/>
          <w:bCs/>
        </w:rPr>
      </w:pPr>
      <w:r>
        <w:rPr>
          <w:b/>
          <w:bCs/>
          <w:color w:val="000000"/>
        </w:rPr>
        <w:t>Figure 10: BHP profit tops estimates as copper powers growth</w:t>
      </w:r>
    </w:p>
    <w:p w14:paraId="2CEB89DD" w14:textId="77777777" w:rsidR="007F60E4" w:rsidRPr="005D4DA9" w:rsidRDefault="00000000">
      <w:pPr>
        <w:spacing w:before="240" w:after="0"/>
        <w:jc w:val="center"/>
      </w:pPr>
      <w:r w:rsidRPr="005D4DA9">
        <w:t>(Source: Reuters, 2026)</w:t>
      </w:r>
    </w:p>
    <w:p w14:paraId="6314AF09" w14:textId="77777777" w:rsidR="007F60E4" w:rsidRPr="005D4DA9" w:rsidRDefault="00000000">
      <w:pPr>
        <w:pStyle w:val="Heading3"/>
      </w:pPr>
      <w:bookmarkStart w:id="9" w:name="_Toc241855660"/>
      <w:r w:rsidRPr="005D4DA9">
        <w:t>2.1.2 Critical evaluation supported by PLC</w:t>
      </w:r>
      <w:bookmarkEnd w:id="9"/>
    </w:p>
    <w:p w14:paraId="2B8BDE9D" w14:textId="77777777" w:rsidR="007F60E4" w:rsidRPr="005D4DA9" w:rsidRDefault="00000000">
      <w:pPr>
        <w:spacing w:before="240" w:after="0"/>
      </w:pPr>
      <w:r w:rsidRPr="005D4DA9">
        <w:t>The main strategic growth venture for BHP is Product Development. The application of the Product Life Cycle (PLC) framework to high-carbon mineral extraction assets. As suggested by Bukhari and Bukhari (2025), the Maturity and Decline stage is due to the legal carbon limits and CBAM import penalties. On the other hand, certified sustainable commodities such as eco copper and high-grade iron ore are in the growth and introduction stage. BHP uses B2B relationships with OEMs such as Tesla and BMW (Reuters, 2026).</w:t>
      </w:r>
    </w:p>
    <w:p w14:paraId="2FE7E78E" w14:textId="77777777" w:rsidR="007F60E4" w:rsidRPr="005D4DA9" w:rsidRDefault="00000000">
      <w:pPr>
        <w:spacing w:before="240" w:after="0"/>
        <w:jc w:val="center"/>
      </w:pPr>
      <w:r w:rsidRPr="005D4DA9">
        <w:rPr>
          <w:noProof/>
        </w:rPr>
        <w:lastRenderedPageBreak/>
        <w:drawing>
          <wp:inline distT="0" distB="0" distL="0" distR="0" wp14:anchorId="1C7C7CB5" wp14:editId="536BE7F6">
            <wp:extent cx="5984340" cy="4472412"/>
            <wp:effectExtent l="0" t="0" r="0" b="4445"/>
            <wp:docPr id="11" name="image11.png" descr="BHP profit beats forecasts as copper tops iron ore earnings on AI ..."/>
            <wp:cNvGraphicFramePr/>
            <a:graphic xmlns:a="http://schemas.openxmlformats.org/drawingml/2006/main">
              <a:graphicData uri="http://schemas.openxmlformats.org/drawingml/2006/picture">
                <pic:pic xmlns:pic="http://schemas.openxmlformats.org/drawingml/2006/picture">
                  <pic:nvPicPr>
                    <pic:cNvPr id="0" name="image11.png" descr="BHP profit beats forecasts as copper tops iron ore earnings on AI ..."/>
                    <pic:cNvPicPr preferRelativeResize="0"/>
                  </pic:nvPicPr>
                  <pic:blipFill>
                    <a:blip r:embed="rId17"/>
                    <a:srcRect/>
                    <a:stretch>
                      <a:fillRect/>
                    </a:stretch>
                  </pic:blipFill>
                  <pic:spPr>
                    <a:xfrm>
                      <a:off x="0" y="0"/>
                      <a:ext cx="5988550" cy="4475558"/>
                    </a:xfrm>
                    <a:prstGeom prst="rect">
                      <a:avLst/>
                    </a:prstGeom>
                    <a:ln/>
                  </pic:spPr>
                </pic:pic>
              </a:graphicData>
            </a:graphic>
          </wp:inline>
        </w:drawing>
      </w:r>
    </w:p>
    <w:p w14:paraId="6EAB071A" w14:textId="77777777" w:rsidR="007F60E4" w:rsidRPr="005D4DA9" w:rsidRDefault="00000000">
      <w:pPr>
        <w:spacing w:before="240" w:after="0"/>
        <w:jc w:val="center"/>
        <w:rPr>
          <w:b/>
          <w:bCs/>
        </w:rPr>
      </w:pPr>
      <w:r w:rsidRPr="005D4DA9">
        <w:rPr>
          <w:b/>
          <w:bCs/>
        </w:rPr>
        <w:t xml:space="preserve">Figure 11: BHP’s first half profit boosted by </w:t>
      </w:r>
      <w:proofErr w:type="gramStart"/>
      <w:r w:rsidRPr="005D4DA9">
        <w:rPr>
          <w:b/>
          <w:bCs/>
        </w:rPr>
        <w:t>Copper</w:t>
      </w:r>
      <w:proofErr w:type="gramEnd"/>
      <w:r w:rsidRPr="005D4DA9">
        <w:rPr>
          <w:b/>
          <w:bCs/>
        </w:rPr>
        <w:t xml:space="preserve"> earnings</w:t>
      </w:r>
    </w:p>
    <w:p w14:paraId="323C6C74" w14:textId="77777777" w:rsidR="007F60E4" w:rsidRPr="005D4DA9" w:rsidRDefault="00000000">
      <w:pPr>
        <w:spacing w:before="240" w:after="0"/>
        <w:jc w:val="center"/>
      </w:pPr>
      <w:r w:rsidRPr="005D4DA9">
        <w:t>(Source: Reuters, 2026)</w:t>
      </w:r>
    </w:p>
    <w:p w14:paraId="5319694B" w14:textId="77777777" w:rsidR="007F60E4" w:rsidRPr="005D4DA9" w:rsidRDefault="00000000">
      <w:pPr>
        <w:spacing w:before="240" w:after="0"/>
      </w:pPr>
      <w:r w:rsidRPr="005D4DA9">
        <w:t>The growth process is aligned with Porter’s Focused Differentiation strategy. It provides third-party carbon traceability with the help of digital provenance platforms. BHP shows price premiums from B2B customer target the Scope 3 compliance (Insights IAS, 2026).  </w:t>
      </w:r>
    </w:p>
    <w:p w14:paraId="60E7AD89" w14:textId="77777777" w:rsidR="005D4DA9" w:rsidRDefault="005D4DA9">
      <w:pPr>
        <w:rPr>
          <w:b/>
          <w:bCs/>
        </w:rPr>
      </w:pPr>
      <w:r>
        <w:br w:type="page"/>
      </w:r>
    </w:p>
    <w:p w14:paraId="10E94335" w14:textId="6DAEAB1F" w:rsidR="007F60E4" w:rsidRPr="005D4DA9" w:rsidRDefault="00000000">
      <w:pPr>
        <w:pStyle w:val="Heading3"/>
      </w:pPr>
      <w:bookmarkStart w:id="10" w:name="_Toc241855661"/>
      <w:r w:rsidRPr="005D4DA9">
        <w:lastRenderedPageBreak/>
        <w:t>2.1.3 Business unit or portfolio level analysis</w:t>
      </w:r>
      <w:bookmarkEnd w:id="10"/>
    </w:p>
    <w:tbl>
      <w:tblPr>
        <w:tblStyle w:val="a0"/>
        <w:tblW w:w="93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3"/>
        <w:gridCol w:w="2625"/>
        <w:gridCol w:w="5302"/>
      </w:tblGrid>
      <w:tr w:rsidR="007F60E4" w:rsidRPr="005D4DA9" w14:paraId="595B22C9" w14:textId="77777777" w:rsidTr="005D4DA9">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423" w:type="dxa"/>
            <w:tcBorders>
              <w:top w:val="none" w:sz="0" w:space="0" w:color="auto"/>
              <w:left w:val="none" w:sz="0" w:space="0" w:color="auto"/>
              <w:right w:val="none" w:sz="0" w:space="0" w:color="auto"/>
            </w:tcBorders>
          </w:tcPr>
          <w:p w14:paraId="5FC3FD60" w14:textId="77777777" w:rsidR="007F60E4" w:rsidRPr="005D4DA9" w:rsidRDefault="00000000">
            <w:pPr>
              <w:spacing w:before="240" w:line="360" w:lineRule="auto"/>
              <w:jc w:val="center"/>
              <w:rPr>
                <w:color w:val="auto"/>
              </w:rPr>
            </w:pPr>
            <w:r w:rsidRPr="005D4DA9">
              <w:rPr>
                <w:color w:val="auto"/>
              </w:rPr>
              <w:t>Category</w:t>
            </w:r>
          </w:p>
        </w:tc>
        <w:tc>
          <w:tcPr>
            <w:tcW w:w="2625" w:type="dxa"/>
            <w:tcBorders>
              <w:top w:val="none" w:sz="0" w:space="0" w:color="auto"/>
              <w:left w:val="none" w:sz="0" w:space="0" w:color="auto"/>
              <w:right w:val="none" w:sz="0" w:space="0" w:color="auto"/>
            </w:tcBorders>
          </w:tcPr>
          <w:p w14:paraId="7CDC43C2" w14:textId="77777777" w:rsidR="007F60E4" w:rsidRPr="005D4DA9"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5D4DA9">
              <w:rPr>
                <w:color w:val="auto"/>
              </w:rPr>
              <w:t>Product line/ Asset</w:t>
            </w:r>
          </w:p>
        </w:tc>
        <w:tc>
          <w:tcPr>
            <w:tcW w:w="5302" w:type="dxa"/>
            <w:tcBorders>
              <w:top w:val="none" w:sz="0" w:space="0" w:color="auto"/>
              <w:left w:val="none" w:sz="0" w:space="0" w:color="auto"/>
              <w:right w:val="none" w:sz="0" w:space="0" w:color="auto"/>
            </w:tcBorders>
          </w:tcPr>
          <w:p w14:paraId="29205B4B" w14:textId="77777777" w:rsidR="007F60E4" w:rsidRPr="005D4DA9"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5D4DA9">
              <w:rPr>
                <w:color w:val="auto"/>
              </w:rPr>
              <w:t>Strategic action</w:t>
            </w:r>
          </w:p>
        </w:tc>
      </w:tr>
      <w:tr w:rsidR="007F60E4" w:rsidRPr="005D4DA9" w14:paraId="7A2C3C6B" w14:textId="77777777" w:rsidTr="005D4DA9">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1423" w:type="dxa"/>
            <w:tcBorders>
              <w:left w:val="none" w:sz="0" w:space="0" w:color="auto"/>
            </w:tcBorders>
          </w:tcPr>
          <w:p w14:paraId="1852715B" w14:textId="77777777" w:rsidR="007F60E4" w:rsidRPr="005D4DA9" w:rsidRDefault="00000000">
            <w:pPr>
              <w:spacing w:before="240" w:line="360" w:lineRule="auto"/>
              <w:rPr>
                <w:color w:val="auto"/>
              </w:rPr>
            </w:pPr>
            <w:r w:rsidRPr="005D4DA9">
              <w:rPr>
                <w:color w:val="auto"/>
              </w:rPr>
              <w:t>Cash cows</w:t>
            </w:r>
          </w:p>
        </w:tc>
        <w:tc>
          <w:tcPr>
            <w:tcW w:w="2625" w:type="dxa"/>
          </w:tcPr>
          <w:p w14:paraId="2DD37EF6" w14:textId="77777777" w:rsidR="007F60E4" w:rsidRPr="005D4DA9"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sidRPr="005D4DA9">
              <w:t>WAIO Iron Ore Operations </w:t>
            </w:r>
          </w:p>
        </w:tc>
        <w:tc>
          <w:tcPr>
            <w:tcW w:w="5302" w:type="dxa"/>
          </w:tcPr>
          <w:p w14:paraId="25BA611C" w14:textId="77777777" w:rsidR="007F60E4" w:rsidRPr="005D4DA9"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sidRPr="005D4DA9">
              <w:t>Harvest operational cash flows such as $18B+ EBITDA to fund decarbonization technology (BHP Group, 2026). </w:t>
            </w:r>
          </w:p>
        </w:tc>
      </w:tr>
      <w:tr w:rsidR="007F60E4" w:rsidRPr="005D4DA9" w14:paraId="1CBB9CF1" w14:textId="77777777" w:rsidTr="005D4DA9">
        <w:trPr>
          <w:trHeight w:val="930"/>
        </w:trPr>
        <w:tc>
          <w:tcPr>
            <w:cnfStyle w:val="001000000000" w:firstRow="0" w:lastRow="0" w:firstColumn="1" w:lastColumn="0" w:oddVBand="0" w:evenVBand="0" w:oddHBand="0" w:evenHBand="0" w:firstRowFirstColumn="0" w:firstRowLastColumn="0" w:lastRowFirstColumn="0" w:lastRowLastColumn="0"/>
            <w:tcW w:w="1423" w:type="dxa"/>
            <w:tcBorders>
              <w:left w:val="none" w:sz="0" w:space="0" w:color="auto"/>
            </w:tcBorders>
          </w:tcPr>
          <w:p w14:paraId="0E16DF7E" w14:textId="77777777" w:rsidR="007F60E4" w:rsidRPr="005D4DA9" w:rsidRDefault="00000000">
            <w:pPr>
              <w:spacing w:before="240" w:line="360" w:lineRule="auto"/>
              <w:rPr>
                <w:color w:val="auto"/>
              </w:rPr>
            </w:pPr>
            <w:r w:rsidRPr="005D4DA9">
              <w:rPr>
                <w:color w:val="auto"/>
              </w:rPr>
              <w:t>Stars</w:t>
            </w:r>
          </w:p>
        </w:tc>
        <w:tc>
          <w:tcPr>
            <w:tcW w:w="2625" w:type="dxa"/>
          </w:tcPr>
          <w:p w14:paraId="1E8899C0" w14:textId="77777777" w:rsidR="007F60E4" w:rsidRPr="005D4DA9"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sidRPr="005D4DA9">
              <w:t>Escondida &amp; Copper South Australia </w:t>
            </w:r>
          </w:p>
        </w:tc>
        <w:tc>
          <w:tcPr>
            <w:tcW w:w="5302" w:type="dxa"/>
          </w:tcPr>
          <w:p w14:paraId="797F1E55" w14:textId="77777777" w:rsidR="007F60E4" w:rsidRPr="005D4DA9"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sidRPr="005D4DA9">
              <w:t xml:space="preserve">Develop production towards ~2 </w:t>
            </w:r>
            <w:proofErr w:type="spellStart"/>
            <w:r w:rsidRPr="005D4DA9">
              <w:t>MtPA</w:t>
            </w:r>
            <w:proofErr w:type="spellEnd"/>
            <w:r w:rsidRPr="005D4DA9">
              <w:t xml:space="preserve">; allocate </w:t>
            </w:r>
            <w:proofErr w:type="spellStart"/>
            <w:r w:rsidRPr="005D4DA9">
              <w:t>CapEx</w:t>
            </w:r>
            <w:proofErr w:type="spellEnd"/>
            <w:r w:rsidRPr="005D4DA9">
              <w:t xml:space="preserve"> to capture electrification demand (Reuters, 2026).  </w:t>
            </w:r>
          </w:p>
        </w:tc>
      </w:tr>
      <w:tr w:rsidR="007F60E4" w:rsidRPr="005D4DA9" w14:paraId="5D0939C9" w14:textId="77777777" w:rsidTr="005D4DA9">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1423" w:type="dxa"/>
            <w:tcBorders>
              <w:left w:val="none" w:sz="0" w:space="0" w:color="auto"/>
            </w:tcBorders>
          </w:tcPr>
          <w:p w14:paraId="648078FA" w14:textId="77777777" w:rsidR="007F60E4" w:rsidRPr="005D4DA9" w:rsidRDefault="00000000">
            <w:pPr>
              <w:spacing w:before="240" w:line="360" w:lineRule="auto"/>
              <w:rPr>
                <w:color w:val="auto"/>
              </w:rPr>
            </w:pPr>
            <w:r w:rsidRPr="005D4DA9">
              <w:rPr>
                <w:color w:val="auto"/>
              </w:rPr>
              <w:t>Question marks</w:t>
            </w:r>
          </w:p>
        </w:tc>
        <w:tc>
          <w:tcPr>
            <w:tcW w:w="2625" w:type="dxa"/>
          </w:tcPr>
          <w:p w14:paraId="2FAE0E33" w14:textId="77777777" w:rsidR="007F60E4" w:rsidRPr="005D4DA9"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sidRPr="005D4DA9">
              <w:t>Green Hydrogen DRI &amp; CCUS Partnerships </w:t>
            </w:r>
          </w:p>
        </w:tc>
        <w:tc>
          <w:tcPr>
            <w:tcW w:w="5302" w:type="dxa"/>
          </w:tcPr>
          <w:p w14:paraId="43638C46" w14:textId="77777777" w:rsidR="007F60E4" w:rsidRPr="005D4DA9"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sidRPr="005D4DA9">
              <w:t>Joint venture R&amp;D investments to determine the viability before scaling. </w:t>
            </w:r>
          </w:p>
        </w:tc>
      </w:tr>
      <w:tr w:rsidR="007F60E4" w:rsidRPr="005D4DA9" w14:paraId="0C411E23" w14:textId="77777777" w:rsidTr="005D4DA9">
        <w:trPr>
          <w:trHeight w:val="570"/>
        </w:trPr>
        <w:tc>
          <w:tcPr>
            <w:cnfStyle w:val="001000000000" w:firstRow="0" w:lastRow="0" w:firstColumn="1" w:lastColumn="0" w:oddVBand="0" w:evenVBand="0" w:oddHBand="0" w:evenHBand="0" w:firstRowFirstColumn="0" w:firstRowLastColumn="0" w:lastRowFirstColumn="0" w:lastRowLastColumn="0"/>
            <w:tcW w:w="1423" w:type="dxa"/>
            <w:tcBorders>
              <w:left w:val="none" w:sz="0" w:space="0" w:color="auto"/>
              <w:bottom w:val="none" w:sz="0" w:space="0" w:color="auto"/>
            </w:tcBorders>
          </w:tcPr>
          <w:p w14:paraId="45FAC47D" w14:textId="77777777" w:rsidR="007F60E4" w:rsidRPr="005D4DA9" w:rsidRDefault="00000000">
            <w:pPr>
              <w:spacing w:before="240" w:line="360" w:lineRule="auto"/>
              <w:rPr>
                <w:color w:val="auto"/>
              </w:rPr>
            </w:pPr>
            <w:r w:rsidRPr="005D4DA9">
              <w:rPr>
                <w:color w:val="auto"/>
              </w:rPr>
              <w:t>Dogs</w:t>
            </w:r>
          </w:p>
        </w:tc>
        <w:tc>
          <w:tcPr>
            <w:tcW w:w="2625" w:type="dxa"/>
          </w:tcPr>
          <w:p w14:paraId="4050BB8A" w14:textId="77777777" w:rsidR="007F60E4" w:rsidRPr="005D4DA9"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sidRPr="005D4DA9">
              <w:t>Legacy High-Emission Thermal Coal </w:t>
            </w:r>
          </w:p>
        </w:tc>
        <w:tc>
          <w:tcPr>
            <w:tcW w:w="5302" w:type="dxa"/>
          </w:tcPr>
          <w:p w14:paraId="74376596" w14:textId="77777777" w:rsidR="007F60E4" w:rsidRPr="005D4DA9"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sidRPr="005D4DA9">
              <w:t>Phased divestment to eliminate the long-term carbon liabilities. </w:t>
            </w:r>
          </w:p>
        </w:tc>
      </w:tr>
    </w:tbl>
    <w:p w14:paraId="392DD4E5" w14:textId="77777777" w:rsidR="007F60E4" w:rsidRPr="005D4DA9" w:rsidRDefault="00000000">
      <w:pPr>
        <w:spacing w:before="240" w:after="0"/>
        <w:jc w:val="center"/>
      </w:pPr>
      <w:r w:rsidRPr="005D4DA9">
        <w:rPr>
          <w:b/>
          <w:bCs/>
        </w:rPr>
        <w:t>Table 2: Growth-share strategies of BHP</w:t>
      </w:r>
    </w:p>
    <w:p w14:paraId="2E4D272A" w14:textId="77777777" w:rsidR="007F60E4" w:rsidRPr="005D4DA9" w:rsidRDefault="00000000">
      <w:pPr>
        <w:spacing w:before="240" w:after="0"/>
        <w:jc w:val="center"/>
      </w:pPr>
      <w:r w:rsidRPr="005D4DA9">
        <w:t>(Source: BHP Annual Report 2026; PwC Mine 2026 Report)</w:t>
      </w:r>
    </w:p>
    <w:p w14:paraId="60E44528" w14:textId="77777777" w:rsidR="007F60E4" w:rsidRPr="005D4DA9" w:rsidRDefault="00000000">
      <w:pPr>
        <w:pStyle w:val="Heading3"/>
      </w:pPr>
      <w:bookmarkStart w:id="11" w:name="_Toc241855662"/>
      <w:r w:rsidRPr="005D4DA9">
        <w:t>2.1.4 Risk-adjusted Ansoff evaluation</w:t>
      </w:r>
      <w:bookmarkEnd w:id="11"/>
    </w:p>
    <w:p w14:paraId="303DF3A3" w14:textId="77777777" w:rsidR="007F60E4" w:rsidRDefault="00000000">
      <w:pPr>
        <w:numPr>
          <w:ilvl w:val="0"/>
          <w:numId w:val="4"/>
        </w:numPr>
        <w:spacing w:before="240" w:after="0"/>
        <w:rPr>
          <w:color w:val="000000"/>
        </w:rPr>
      </w:pPr>
      <w:r w:rsidRPr="005D4DA9">
        <w:rPr>
          <w:b/>
          <w:bCs/>
          <w:i/>
          <w:iCs/>
        </w:rPr>
        <w:t xml:space="preserve">Product development risk: </w:t>
      </w:r>
      <w:r w:rsidRPr="005D4DA9">
        <w:t xml:space="preserve">Higher </w:t>
      </w:r>
      <w:proofErr w:type="spellStart"/>
      <w:r w:rsidRPr="005D4DA9">
        <w:t>CapEx</w:t>
      </w:r>
      <w:proofErr w:type="spellEnd"/>
      <w:r>
        <w:rPr>
          <w:color w:val="000000"/>
        </w:rPr>
        <w:t xml:space="preserve"> requirements, such as $10.2B in FY26, and technological delays in electrification (ICAP, 2026). This can mitigate the 70% EBITDA margin in copper. </w:t>
      </w:r>
    </w:p>
    <w:p w14:paraId="53B88177" w14:textId="77777777" w:rsidR="007F60E4" w:rsidRDefault="00000000">
      <w:pPr>
        <w:numPr>
          <w:ilvl w:val="0"/>
          <w:numId w:val="4"/>
        </w:numPr>
        <w:spacing w:before="240" w:after="0"/>
        <w:rPr>
          <w:color w:val="000000"/>
        </w:rPr>
      </w:pPr>
      <w:r>
        <w:rPr>
          <w:b/>
          <w:bCs/>
          <w:i/>
          <w:iCs/>
          <w:color w:val="000000"/>
        </w:rPr>
        <w:t xml:space="preserve">Strategic verdict: </w:t>
      </w:r>
      <w:r>
        <w:rPr>
          <w:color w:val="000000"/>
        </w:rPr>
        <w:t>The product development optimizes the risk-return balance process. This helps to get 18.5% of ROCE and generate almost $9.8 billion in free cash flow. It helps to develop portfolio resilience. </w:t>
      </w:r>
    </w:p>
    <w:p w14:paraId="684B967B" w14:textId="77777777" w:rsidR="007F60E4" w:rsidRDefault="00000000">
      <w:pPr>
        <w:numPr>
          <w:ilvl w:val="0"/>
          <w:numId w:val="4"/>
        </w:numPr>
        <w:spacing w:before="240" w:after="0"/>
        <w:rPr>
          <w:color w:val="000000"/>
        </w:rPr>
      </w:pPr>
      <w:r>
        <w:rPr>
          <w:b/>
          <w:bCs/>
          <w:i/>
          <w:iCs/>
          <w:color w:val="000000"/>
        </w:rPr>
        <w:t>Market development risks:</w:t>
      </w:r>
      <w:r>
        <w:rPr>
          <w:color w:val="000000"/>
        </w:rPr>
        <w:t xml:space="preserve"> The </w:t>
      </w:r>
      <w:proofErr w:type="gramStart"/>
      <w:r>
        <w:rPr>
          <w:color w:val="000000"/>
        </w:rPr>
        <w:t>cross border</w:t>
      </w:r>
      <w:proofErr w:type="gramEnd"/>
      <w:r>
        <w:rPr>
          <w:color w:val="000000"/>
        </w:rPr>
        <w:t xml:space="preserve"> trade protectionism and CBAM regulations to manage with the joint ventures with Asian Steelmakers. </w:t>
      </w:r>
    </w:p>
    <w:p w14:paraId="36D8EE3C" w14:textId="77777777" w:rsidR="007F60E4" w:rsidRDefault="00000000">
      <w:pPr>
        <w:pStyle w:val="Heading2"/>
      </w:pPr>
      <w:bookmarkStart w:id="12" w:name="_Toc241855663"/>
      <w:r>
        <w:lastRenderedPageBreak/>
        <w:t>2.2 Competitive Advantage and Positioning</w:t>
      </w:r>
      <w:bookmarkEnd w:id="12"/>
      <w:r>
        <w:t> </w:t>
      </w:r>
    </w:p>
    <w:p w14:paraId="3B384FCF" w14:textId="77777777" w:rsidR="007F60E4" w:rsidRDefault="00000000">
      <w:pPr>
        <w:pStyle w:val="Heading3"/>
      </w:pPr>
      <w:bookmarkStart w:id="13" w:name="_Toc241855664"/>
      <w:r>
        <w:t>2.2.1 Applying Porter’s Generic Strategies</w:t>
      </w:r>
      <w:bookmarkEnd w:id="13"/>
      <w:r>
        <w:t> </w:t>
      </w:r>
    </w:p>
    <w:p w14:paraId="7A5A9422" w14:textId="77777777" w:rsidR="007F60E4" w:rsidRDefault="00000000">
      <w:pPr>
        <w:spacing w:before="240" w:after="0"/>
        <w:rPr>
          <w:color w:val="000000"/>
        </w:rPr>
      </w:pPr>
      <w:r>
        <w:rPr>
          <w:color w:val="000000"/>
        </w:rPr>
        <w:t>BHP is transitioning from cost leadership to focused differentiation across the premium mineral portfolio. BHP further uses the low-cost WAIO asset base to finance the site. Moreover, the investment of $1.8 billion in renewable microgrids delivers and the low carbon commodities (</w:t>
      </w:r>
      <w:hyperlink r:id="rId18">
        <w:r w:rsidR="007F60E4">
          <w:rPr>
            <w:color w:val="1155CC"/>
            <w:u w:val="single"/>
          </w:rPr>
          <w:t>Mining.com.au</w:t>
        </w:r>
      </w:hyperlink>
      <w:r>
        <w:rPr>
          <w:color w:val="000000"/>
        </w:rPr>
        <w:t>, 2026). BHP is emerging from the price wars with the high-emission miners and Vale. The premium position is developed by the carbon provenance and supports the EBITDA margins, which are almost 60% in 2026. </w:t>
      </w:r>
    </w:p>
    <w:p w14:paraId="7FF1D7AE" w14:textId="77777777" w:rsidR="007F60E4" w:rsidRDefault="00000000">
      <w:pPr>
        <w:spacing w:before="240" w:after="0"/>
        <w:jc w:val="center"/>
      </w:pPr>
      <w:r>
        <w:rPr>
          <w:noProof/>
        </w:rPr>
        <w:drawing>
          <wp:inline distT="0" distB="0" distL="0" distR="0" wp14:anchorId="2B53CA2B" wp14:editId="487F95A2">
            <wp:extent cx="5943249" cy="4459083"/>
            <wp:effectExtent l="0" t="0" r="0" b="0"/>
            <wp:docPr id="12" name="image12.png" descr="slide9"/>
            <wp:cNvGraphicFramePr/>
            <a:graphic xmlns:a="http://schemas.openxmlformats.org/drawingml/2006/main">
              <a:graphicData uri="http://schemas.openxmlformats.org/drawingml/2006/picture">
                <pic:pic xmlns:pic="http://schemas.openxmlformats.org/drawingml/2006/picture">
                  <pic:nvPicPr>
                    <pic:cNvPr id="0" name="image12.png" descr="slide9"/>
                    <pic:cNvPicPr preferRelativeResize="0"/>
                  </pic:nvPicPr>
                  <pic:blipFill>
                    <a:blip r:embed="rId19"/>
                    <a:srcRect/>
                    <a:stretch>
                      <a:fillRect/>
                    </a:stretch>
                  </pic:blipFill>
                  <pic:spPr>
                    <a:xfrm>
                      <a:off x="0" y="0"/>
                      <a:ext cx="5943249" cy="4459083"/>
                    </a:xfrm>
                    <a:prstGeom prst="rect">
                      <a:avLst/>
                    </a:prstGeom>
                    <a:ln/>
                  </pic:spPr>
                </pic:pic>
              </a:graphicData>
            </a:graphic>
          </wp:inline>
        </w:drawing>
      </w:r>
    </w:p>
    <w:p w14:paraId="7BEC2DCF" w14:textId="77777777" w:rsidR="007F60E4" w:rsidRDefault="00000000">
      <w:pPr>
        <w:spacing w:before="240" w:after="0"/>
        <w:jc w:val="center"/>
      </w:pPr>
      <w:r>
        <w:rPr>
          <w:b/>
          <w:bCs/>
          <w:color w:val="000000"/>
        </w:rPr>
        <w:t>Figure 12: Projected 2026 Adjusted EBITDA of BHP</w:t>
      </w:r>
    </w:p>
    <w:p w14:paraId="2EA66B4A" w14:textId="77777777" w:rsidR="007F60E4" w:rsidRDefault="00000000">
      <w:pPr>
        <w:spacing w:before="240" w:after="0"/>
        <w:jc w:val="center"/>
      </w:pPr>
      <w:r>
        <w:rPr>
          <w:color w:val="000000"/>
        </w:rPr>
        <w:t>(Source: BHP Group, 2026)</w:t>
      </w:r>
    </w:p>
    <w:p w14:paraId="416ED0EC" w14:textId="77777777" w:rsidR="007F60E4" w:rsidRDefault="00000000">
      <w:pPr>
        <w:pStyle w:val="Heading3"/>
      </w:pPr>
      <w:bookmarkStart w:id="14" w:name="_Toc241855665"/>
      <w:r>
        <w:lastRenderedPageBreak/>
        <w:t>2.2.2 Strategic competitor matrix</w:t>
      </w:r>
      <w:bookmarkEnd w:id="14"/>
    </w:p>
    <w:tbl>
      <w:tblPr>
        <w:tblStyle w:val="a1"/>
        <w:tblW w:w="935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1829"/>
        <w:gridCol w:w="2675"/>
        <w:gridCol w:w="2423"/>
        <w:gridCol w:w="2423"/>
      </w:tblGrid>
      <w:tr w:rsidR="007F60E4" w14:paraId="00A0593F" w14:textId="77777777" w:rsidTr="007F60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9" w:type="dxa"/>
          </w:tcPr>
          <w:p w14:paraId="5351BBCF" w14:textId="77777777" w:rsidR="007F60E4" w:rsidRDefault="00000000">
            <w:pPr>
              <w:spacing w:before="240" w:line="360" w:lineRule="auto"/>
              <w:jc w:val="center"/>
            </w:pPr>
            <w:r>
              <w:rPr>
                <w:color w:val="000000"/>
              </w:rPr>
              <w:t>Metric</w:t>
            </w:r>
          </w:p>
        </w:tc>
        <w:tc>
          <w:tcPr>
            <w:tcW w:w="2675" w:type="dxa"/>
          </w:tcPr>
          <w:p w14:paraId="019ED862" w14:textId="77777777" w:rsidR="007F60E4"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pPr>
            <w:r>
              <w:rPr>
                <w:color w:val="000000"/>
              </w:rPr>
              <w:t>BHP</w:t>
            </w:r>
          </w:p>
        </w:tc>
        <w:tc>
          <w:tcPr>
            <w:tcW w:w="2423" w:type="dxa"/>
          </w:tcPr>
          <w:p w14:paraId="45DFD575" w14:textId="77777777" w:rsidR="007F60E4"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pPr>
            <w:r>
              <w:rPr>
                <w:color w:val="000000"/>
              </w:rPr>
              <w:t>Rio Tinto</w:t>
            </w:r>
          </w:p>
        </w:tc>
        <w:tc>
          <w:tcPr>
            <w:tcW w:w="2423" w:type="dxa"/>
          </w:tcPr>
          <w:p w14:paraId="370CC9A4" w14:textId="77777777" w:rsidR="007F60E4" w:rsidRDefault="00000000">
            <w:pPr>
              <w:spacing w:before="240" w:line="360" w:lineRule="auto"/>
              <w:jc w:val="center"/>
              <w:cnfStyle w:val="100000000000" w:firstRow="1" w:lastRow="0" w:firstColumn="0" w:lastColumn="0" w:oddVBand="0" w:evenVBand="0" w:oddHBand="0" w:evenHBand="0" w:firstRowFirstColumn="0" w:firstRowLastColumn="0" w:lastRowFirstColumn="0" w:lastRowLastColumn="0"/>
            </w:pPr>
            <w:r>
              <w:rPr>
                <w:color w:val="000000"/>
              </w:rPr>
              <w:t>Fortescue (FMG)</w:t>
            </w:r>
          </w:p>
        </w:tc>
      </w:tr>
      <w:tr w:rsidR="007F60E4" w14:paraId="4EA72F38" w14:textId="77777777" w:rsidTr="007F60E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29" w:type="dxa"/>
          </w:tcPr>
          <w:p w14:paraId="228C7000" w14:textId="77777777" w:rsidR="007F60E4" w:rsidRDefault="00000000">
            <w:pPr>
              <w:spacing w:before="240" w:line="360" w:lineRule="auto"/>
            </w:pPr>
            <w:r>
              <w:rPr>
                <w:color w:val="000000"/>
              </w:rPr>
              <w:t>Revenue growth </w:t>
            </w:r>
          </w:p>
        </w:tc>
        <w:tc>
          <w:tcPr>
            <w:tcW w:w="2675" w:type="dxa"/>
          </w:tcPr>
          <w:p w14:paraId="00B166A1"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$58.76 Billion (+9.2%) </w:t>
            </w:r>
          </w:p>
        </w:tc>
        <w:tc>
          <w:tcPr>
            <w:tcW w:w="2423" w:type="dxa"/>
          </w:tcPr>
          <w:p w14:paraId="30BAD710"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$54.10 Billion (+3.1%) </w:t>
            </w:r>
          </w:p>
        </w:tc>
        <w:tc>
          <w:tcPr>
            <w:tcW w:w="2423" w:type="dxa"/>
          </w:tcPr>
          <w:p w14:paraId="0AD95539"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$18.20 Billion (-1.4%) </w:t>
            </w:r>
          </w:p>
        </w:tc>
      </w:tr>
      <w:tr w:rsidR="007F60E4" w14:paraId="7DAEAF62" w14:textId="77777777" w:rsidTr="007F60E4">
        <w:trPr>
          <w:trHeight w:val="570"/>
        </w:trPr>
        <w:tc>
          <w:tcPr>
            <w:cnfStyle w:val="001000000000" w:firstRow="0" w:lastRow="0" w:firstColumn="1" w:lastColumn="0" w:oddVBand="0" w:evenVBand="0" w:oddHBand="0" w:evenHBand="0" w:firstRowFirstColumn="0" w:firstRowLastColumn="0" w:lastRowFirstColumn="0" w:lastRowLastColumn="0"/>
            <w:tcW w:w="1829" w:type="dxa"/>
          </w:tcPr>
          <w:p w14:paraId="7ECB4411" w14:textId="77777777" w:rsidR="007F60E4" w:rsidRDefault="00000000">
            <w:pPr>
              <w:spacing w:before="240" w:line="360" w:lineRule="auto"/>
            </w:pPr>
            <w:r>
              <w:rPr>
                <w:color w:val="000000"/>
              </w:rPr>
              <w:t>Underlying EBITDA </w:t>
            </w:r>
          </w:p>
        </w:tc>
        <w:tc>
          <w:tcPr>
            <w:tcW w:w="2675" w:type="dxa"/>
          </w:tcPr>
          <w:p w14:paraId="56FF4061"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$32.90 Billion (~56.0%) </w:t>
            </w:r>
          </w:p>
        </w:tc>
        <w:tc>
          <w:tcPr>
            <w:tcW w:w="2423" w:type="dxa"/>
          </w:tcPr>
          <w:p w14:paraId="19559AFD"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$25.30 Billion (~46.8%) </w:t>
            </w:r>
          </w:p>
        </w:tc>
        <w:tc>
          <w:tcPr>
            <w:tcW w:w="2423" w:type="dxa"/>
          </w:tcPr>
          <w:p w14:paraId="042795E9"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$8.75 Billion (~48.1%) </w:t>
            </w:r>
          </w:p>
        </w:tc>
      </w:tr>
      <w:tr w:rsidR="007F60E4" w14:paraId="6EACC659" w14:textId="77777777" w:rsidTr="007F60E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29" w:type="dxa"/>
          </w:tcPr>
          <w:p w14:paraId="318B3518" w14:textId="77777777" w:rsidR="007F60E4" w:rsidRDefault="00000000">
            <w:pPr>
              <w:spacing w:before="240" w:line="360" w:lineRule="auto"/>
            </w:pPr>
            <w:r>
              <w:rPr>
                <w:color w:val="000000"/>
              </w:rPr>
              <w:t>CO₂ Intensity Target</w:t>
            </w:r>
          </w:p>
        </w:tc>
        <w:tc>
          <w:tcPr>
            <w:tcW w:w="2675" w:type="dxa"/>
          </w:tcPr>
          <w:p w14:paraId="4480A22D"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-30% by 2030 (Net Zero 2050) </w:t>
            </w:r>
          </w:p>
        </w:tc>
        <w:tc>
          <w:tcPr>
            <w:tcW w:w="2423" w:type="dxa"/>
          </w:tcPr>
          <w:p w14:paraId="15DA64A1"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-50% by 2030 (Net Zero 2050) </w:t>
            </w:r>
          </w:p>
        </w:tc>
        <w:tc>
          <w:tcPr>
            <w:tcW w:w="2423" w:type="dxa"/>
          </w:tcPr>
          <w:p w14:paraId="76532484"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Real Zero by 2030 </w:t>
            </w:r>
          </w:p>
        </w:tc>
      </w:tr>
      <w:tr w:rsidR="007F60E4" w14:paraId="4FB3C2C7" w14:textId="77777777" w:rsidTr="007F60E4">
        <w:trPr>
          <w:trHeight w:val="535"/>
        </w:trPr>
        <w:tc>
          <w:tcPr>
            <w:cnfStyle w:val="001000000000" w:firstRow="0" w:lastRow="0" w:firstColumn="1" w:lastColumn="0" w:oddVBand="0" w:evenVBand="0" w:oddHBand="0" w:evenHBand="0" w:firstRowFirstColumn="0" w:firstRowLastColumn="0" w:lastRowFirstColumn="0" w:lastRowLastColumn="0"/>
            <w:tcW w:w="1829" w:type="dxa"/>
          </w:tcPr>
          <w:p w14:paraId="754241D6" w14:textId="77777777" w:rsidR="007F60E4" w:rsidRDefault="00000000">
            <w:pPr>
              <w:spacing w:before="240" w:after="80" w:line="360" w:lineRule="auto"/>
            </w:pPr>
            <w:r>
              <w:rPr>
                <w:color w:val="000000"/>
              </w:rPr>
              <w:t xml:space="preserve">Waste </w:t>
            </w:r>
            <w:proofErr w:type="gramStart"/>
            <w:r>
              <w:rPr>
                <w:color w:val="000000"/>
              </w:rPr>
              <w:t>generate</w:t>
            </w:r>
            <w:proofErr w:type="gramEnd"/>
          </w:p>
          <w:p w14:paraId="09E4922D" w14:textId="77777777" w:rsidR="007F60E4" w:rsidRDefault="007F60E4">
            <w:pPr>
              <w:spacing w:before="240" w:line="360" w:lineRule="auto"/>
            </w:pPr>
          </w:p>
        </w:tc>
        <w:tc>
          <w:tcPr>
            <w:tcW w:w="2675" w:type="dxa"/>
          </w:tcPr>
          <w:p w14:paraId="20C87D53"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~240 Mt/year total waste &amp; tailings managed </w:t>
            </w:r>
          </w:p>
        </w:tc>
        <w:tc>
          <w:tcPr>
            <w:tcW w:w="2423" w:type="dxa"/>
          </w:tcPr>
          <w:p w14:paraId="467C9CBD"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~210 Mt/year total mineral waste </w:t>
            </w:r>
          </w:p>
        </w:tc>
        <w:tc>
          <w:tcPr>
            <w:tcW w:w="2423" w:type="dxa"/>
          </w:tcPr>
          <w:p w14:paraId="3595D25B"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~145 Mt/year mineral waste </w:t>
            </w:r>
          </w:p>
        </w:tc>
      </w:tr>
      <w:tr w:rsidR="007F60E4" w14:paraId="3537A015" w14:textId="77777777" w:rsidTr="007F60E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29" w:type="dxa"/>
          </w:tcPr>
          <w:p w14:paraId="3E441E57" w14:textId="77777777" w:rsidR="007F60E4" w:rsidRDefault="00000000">
            <w:pPr>
              <w:spacing w:before="240" w:after="80" w:line="360" w:lineRule="auto"/>
            </w:pPr>
            <w:r>
              <w:rPr>
                <w:color w:val="000000"/>
              </w:rPr>
              <w:t>Air pollution rate</w:t>
            </w:r>
          </w:p>
        </w:tc>
        <w:tc>
          <w:tcPr>
            <w:tcW w:w="2675" w:type="dxa"/>
          </w:tcPr>
          <w:p w14:paraId="564CC579"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Low-to-medium (PM10: ~0.85 kg/t material processed)</w:t>
            </w:r>
          </w:p>
        </w:tc>
        <w:tc>
          <w:tcPr>
            <w:tcW w:w="2423" w:type="dxa"/>
          </w:tcPr>
          <w:p w14:paraId="5A4092F0"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Medium (PM10: ~1.10 kg/t material processed)</w:t>
            </w:r>
          </w:p>
        </w:tc>
        <w:tc>
          <w:tcPr>
            <w:tcW w:w="2423" w:type="dxa"/>
          </w:tcPr>
          <w:p w14:paraId="7A51F52C" w14:textId="77777777" w:rsidR="007F60E4" w:rsidRDefault="00000000">
            <w:pPr>
              <w:spacing w:before="240" w:line="360" w:lineRule="auto"/>
              <w:cnfStyle w:val="000000100000" w:firstRow="0" w:lastRow="0" w:firstColumn="0" w:lastColumn="0" w:oddVBand="0" w:evenVBand="0" w:oddHBand="1" w:evenHBand="0" w:firstRowFirstColumn="0" w:firstRowLastColumn="0" w:lastRowFirstColumn="0" w:lastRowLastColumn="0"/>
            </w:pPr>
            <w:r>
              <w:rPr>
                <w:color w:val="000000"/>
              </w:rPr>
              <w:t>Medium (PM10: ~1.25 kg/t material processed)</w:t>
            </w:r>
          </w:p>
        </w:tc>
      </w:tr>
      <w:tr w:rsidR="007F60E4" w14:paraId="5054E934" w14:textId="77777777" w:rsidTr="007F60E4">
        <w:trPr>
          <w:trHeight w:val="570"/>
        </w:trPr>
        <w:tc>
          <w:tcPr>
            <w:cnfStyle w:val="001000000000" w:firstRow="0" w:lastRow="0" w:firstColumn="1" w:lastColumn="0" w:oddVBand="0" w:evenVBand="0" w:oddHBand="0" w:evenHBand="0" w:firstRowFirstColumn="0" w:firstRowLastColumn="0" w:lastRowFirstColumn="0" w:lastRowLastColumn="0"/>
            <w:tcW w:w="1829" w:type="dxa"/>
          </w:tcPr>
          <w:p w14:paraId="32050C4A" w14:textId="77777777" w:rsidR="007F60E4" w:rsidRDefault="00000000">
            <w:pPr>
              <w:spacing w:before="240" w:after="80" w:line="360" w:lineRule="auto"/>
            </w:pPr>
            <w:r>
              <w:rPr>
                <w:color w:val="000000"/>
              </w:rPr>
              <w:t>Energy consumption</w:t>
            </w:r>
          </w:p>
        </w:tc>
        <w:tc>
          <w:tcPr>
            <w:tcW w:w="2675" w:type="dxa"/>
          </w:tcPr>
          <w:p w14:paraId="06B53160"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~310 Petajoules (PJ) total energy </w:t>
            </w:r>
          </w:p>
        </w:tc>
        <w:tc>
          <w:tcPr>
            <w:tcW w:w="2423" w:type="dxa"/>
          </w:tcPr>
          <w:p w14:paraId="7033F615"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~410 Petajoules (PJ) total energy </w:t>
            </w:r>
          </w:p>
        </w:tc>
        <w:tc>
          <w:tcPr>
            <w:tcW w:w="2423" w:type="dxa"/>
          </w:tcPr>
          <w:p w14:paraId="1474650A" w14:textId="77777777" w:rsidR="007F60E4" w:rsidRDefault="00000000">
            <w:pPr>
              <w:spacing w:before="240" w:line="360" w:lineRule="auto"/>
              <w:cnfStyle w:val="000000000000" w:firstRow="0" w:lastRow="0" w:firstColumn="0" w:lastColumn="0" w:oddVBand="0" w:evenVBand="0" w:oddHBand="0" w:evenHBand="0" w:firstRowFirstColumn="0" w:firstRowLastColumn="0" w:lastRowFirstColumn="0" w:lastRowLastColumn="0"/>
            </w:pPr>
            <w:r>
              <w:rPr>
                <w:color w:val="000000"/>
              </w:rPr>
              <w:t>~165 Petajoules (PJ) total energy </w:t>
            </w:r>
          </w:p>
        </w:tc>
      </w:tr>
    </w:tbl>
    <w:p w14:paraId="64834F0C" w14:textId="77777777" w:rsidR="007F60E4" w:rsidRDefault="00000000">
      <w:pPr>
        <w:spacing w:before="240" w:after="0"/>
        <w:jc w:val="center"/>
      </w:pPr>
      <w:r>
        <w:rPr>
          <w:b/>
          <w:bCs/>
          <w:color w:val="000000"/>
        </w:rPr>
        <w:t>Table 3: Competitive market scenario</w:t>
      </w:r>
    </w:p>
    <w:p w14:paraId="1C7C736D" w14:textId="77777777" w:rsidR="007F60E4" w:rsidRDefault="00000000">
      <w:pPr>
        <w:spacing w:before="240" w:after="0"/>
        <w:jc w:val="center"/>
      </w:pPr>
      <w:r>
        <w:rPr>
          <w:color w:val="000000"/>
        </w:rPr>
        <w:t>(Source: BHP Annual Report 2026; Rio Tinto, 2026; Fortescue, 2026)</w:t>
      </w:r>
    </w:p>
    <w:p w14:paraId="6D64DDEF" w14:textId="77777777" w:rsidR="007F60E4" w:rsidRDefault="00000000">
      <w:pPr>
        <w:spacing w:before="240" w:after="0"/>
        <w:jc w:val="center"/>
      </w:pPr>
      <w:r>
        <w:rPr>
          <w:noProof/>
        </w:rPr>
        <w:lastRenderedPageBreak/>
        <w:drawing>
          <wp:inline distT="0" distB="0" distL="0" distR="0" wp14:anchorId="619C42AA" wp14:editId="42B6534B">
            <wp:extent cx="6287692" cy="3171808"/>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t="252" r="4169" b="-258"/>
                    <a:stretch>
                      <a:fillRect/>
                    </a:stretch>
                  </pic:blipFill>
                  <pic:spPr>
                    <a:xfrm>
                      <a:off x="0" y="0"/>
                      <a:ext cx="6287692" cy="3171808"/>
                    </a:xfrm>
                    <a:prstGeom prst="rect">
                      <a:avLst/>
                    </a:prstGeom>
                    <a:ln/>
                  </pic:spPr>
                </pic:pic>
              </a:graphicData>
            </a:graphic>
          </wp:inline>
        </w:drawing>
      </w:r>
    </w:p>
    <w:p w14:paraId="51A302A6" w14:textId="77777777" w:rsidR="007F60E4" w:rsidRDefault="00000000">
      <w:pPr>
        <w:spacing w:before="240" w:after="0"/>
        <w:jc w:val="center"/>
      </w:pPr>
      <w:r>
        <w:rPr>
          <w:b/>
          <w:bCs/>
          <w:color w:val="000000"/>
        </w:rPr>
        <w:t>Figure 13: The comparative analysis between BHP, Rio Tinto, and Fortescue</w:t>
      </w:r>
    </w:p>
    <w:p w14:paraId="75A978A3" w14:textId="77777777" w:rsidR="007F60E4" w:rsidRDefault="00000000">
      <w:pPr>
        <w:spacing w:before="240" w:after="0"/>
        <w:jc w:val="center"/>
      </w:pPr>
      <w:r>
        <w:rPr>
          <w:color w:val="000000"/>
        </w:rPr>
        <w:t>(Source: Self-developed)</w:t>
      </w:r>
    </w:p>
    <w:p w14:paraId="0185F95C" w14:textId="77777777" w:rsidR="007F60E4" w:rsidRDefault="00000000">
      <w:pPr>
        <w:pStyle w:val="Heading2"/>
      </w:pPr>
      <w:bookmarkStart w:id="15" w:name="_Toc241855666"/>
      <w:r>
        <w:t>2.3 Brief Strategic Synthesis</w:t>
      </w:r>
      <w:bookmarkEnd w:id="15"/>
      <w:r>
        <w:t> </w:t>
      </w:r>
    </w:p>
    <w:p w14:paraId="0BBBE085" w14:textId="77777777" w:rsidR="007F60E4" w:rsidRDefault="00000000">
      <w:pPr>
        <w:spacing w:before="240" w:after="0"/>
        <w:rPr>
          <w:color w:val="000000"/>
        </w:rPr>
      </w:pPr>
      <w:r>
        <w:rPr>
          <w:color w:val="000000"/>
        </w:rPr>
        <w:t>BHP operates the first-mover green initiatives under the Climate Transition Action Plan. The development of the brand process and driving operations performance, along with regulatory compliance. As suggested by Paul (2026), these systematic professions help to build B2B trust controls and manage climate-related operational risks. This secure long-term co-development partnership will integrate the customer's decarbonization roadmaps. </w:t>
      </w:r>
    </w:p>
    <w:p w14:paraId="41A0F43B" w14:textId="77777777" w:rsidR="007F60E4" w:rsidRDefault="00000000">
      <w:pPr>
        <w:spacing w:before="240" w:after="0"/>
        <w:jc w:val="center"/>
      </w:pPr>
      <w:r>
        <w:rPr>
          <w:noProof/>
        </w:rPr>
        <w:lastRenderedPageBreak/>
        <w:drawing>
          <wp:inline distT="0" distB="0" distL="0" distR="0" wp14:anchorId="67A62E6C" wp14:editId="6D4FDEB1">
            <wp:extent cx="5731510" cy="2474595"/>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31510" cy="2474595"/>
                    </a:xfrm>
                    <a:prstGeom prst="rect">
                      <a:avLst/>
                    </a:prstGeom>
                    <a:ln/>
                  </pic:spPr>
                </pic:pic>
              </a:graphicData>
            </a:graphic>
          </wp:inline>
        </w:drawing>
      </w:r>
    </w:p>
    <w:p w14:paraId="56C65D54" w14:textId="77777777" w:rsidR="007F60E4" w:rsidRDefault="00000000">
      <w:pPr>
        <w:spacing w:before="240" w:after="0"/>
        <w:jc w:val="center"/>
      </w:pPr>
      <w:r>
        <w:rPr>
          <w:b/>
          <w:bCs/>
          <w:color w:val="000000"/>
        </w:rPr>
        <w:t>Figure 14: The comparison of mining productivity</w:t>
      </w:r>
    </w:p>
    <w:p w14:paraId="12F7323D" w14:textId="77777777" w:rsidR="007F60E4" w:rsidRDefault="00000000">
      <w:pPr>
        <w:spacing w:before="240" w:after="0"/>
        <w:jc w:val="center"/>
        <w:rPr>
          <w:color w:val="000000"/>
        </w:rPr>
      </w:pPr>
      <w:r>
        <w:rPr>
          <w:color w:val="000000"/>
        </w:rPr>
        <w:t>(Source: PwC, 2026)</w:t>
      </w:r>
    </w:p>
    <w:p w14:paraId="304F1605" w14:textId="77777777" w:rsidR="007F60E4" w:rsidRDefault="00000000">
      <w:pPr>
        <w:rPr>
          <w:color w:val="000000"/>
        </w:rPr>
      </w:pPr>
      <w:r>
        <w:br w:type="page"/>
      </w:r>
    </w:p>
    <w:p w14:paraId="650C78B5" w14:textId="77777777" w:rsidR="007F60E4" w:rsidRDefault="00000000">
      <w:pPr>
        <w:pStyle w:val="Heading1"/>
      </w:pPr>
      <w:bookmarkStart w:id="16" w:name="_Toc241855667"/>
      <w:r>
        <w:lastRenderedPageBreak/>
        <w:t>Task 3: Managerial and Professional Reflection</w:t>
      </w:r>
      <w:bookmarkEnd w:id="16"/>
    </w:p>
    <w:p w14:paraId="2A7FAF1E" w14:textId="77777777" w:rsidR="007F60E4" w:rsidRDefault="00000000">
      <w:pPr>
        <w:pStyle w:val="Heading2"/>
      </w:pPr>
      <w:bookmarkStart w:id="17" w:name="_Toc241855668"/>
      <w:r>
        <w:t>3.1 Rationale for Company Selection</w:t>
      </w:r>
      <w:bookmarkEnd w:id="17"/>
    </w:p>
    <w:p w14:paraId="7F6DD2EF" w14:textId="77777777" w:rsidR="007F60E4" w:rsidRDefault="00000000">
      <w:pPr>
        <w:spacing w:before="240" w:after="0"/>
      </w:pPr>
      <w:r>
        <w:rPr>
          <w:color w:val="000000"/>
        </w:rPr>
        <w:t>The selection of the BHP Group is effective as it has an effective market scale and a high-impact role on the primary suppliers. The reported revenue of $58.76 billion and an underlying EBITDA of $32.90 billion in FY26 show the strong financial performance (BHP Annual Report 2026).  BHP also operates across the energy-intensive primary assets, including iron ore, coal, and copper. The company’s commitment to reducing emissions also provides a proper case to determine the modern marketing environment across the growth strategies. </w:t>
      </w:r>
    </w:p>
    <w:p w14:paraId="33420E24" w14:textId="77777777" w:rsidR="007F60E4" w:rsidRDefault="00000000">
      <w:pPr>
        <w:pStyle w:val="Heading2"/>
      </w:pPr>
      <w:bookmarkStart w:id="18" w:name="_Toc241855669"/>
      <w:r>
        <w:t>3.2 Reflection on Environmental Analysis Decision</w:t>
      </w:r>
      <w:bookmarkEnd w:id="18"/>
    </w:p>
    <w:p w14:paraId="0825438A" w14:textId="77777777" w:rsidR="007F60E4" w:rsidRDefault="00000000">
      <w:pPr>
        <w:spacing w:before="240" w:after="0"/>
      </w:pPr>
      <w:r>
        <w:rPr>
          <w:color w:val="000000"/>
        </w:rPr>
        <w:t>The selection of political, legal, and environmental markets helped in the structured evaluation of the external environment analysis. With the help of the analysis, I recognise that these three environmental factors are deeply connected. The political factors such as Australia’s Safeguard Mechanism of 4.9% annual baseline reduction, were effective (ASIC, 2026). Similarly, the legal process under NGER and ASIC reporting rules also impacted BHP along with the industry process. </w:t>
      </w:r>
    </w:p>
    <w:p w14:paraId="189CAB0D" w14:textId="77777777" w:rsidR="007F60E4" w:rsidRDefault="00000000">
      <w:pPr>
        <w:spacing w:before="240" w:after="0"/>
        <w:jc w:val="center"/>
      </w:pPr>
      <w:r>
        <w:rPr>
          <w:noProof/>
        </w:rPr>
        <w:lastRenderedPageBreak/>
        <w:drawing>
          <wp:inline distT="0" distB="0" distL="0" distR="0" wp14:anchorId="2C1F1700" wp14:editId="3FC227A7">
            <wp:extent cx="3353091" cy="5113463"/>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3353091" cy="5113463"/>
                    </a:xfrm>
                    <a:prstGeom prst="rect">
                      <a:avLst/>
                    </a:prstGeom>
                    <a:ln/>
                  </pic:spPr>
                </pic:pic>
              </a:graphicData>
            </a:graphic>
          </wp:inline>
        </w:drawing>
      </w:r>
    </w:p>
    <w:p w14:paraId="4D5AC1C0" w14:textId="77777777" w:rsidR="007F60E4" w:rsidRDefault="00000000">
      <w:pPr>
        <w:spacing w:before="240" w:after="0"/>
        <w:jc w:val="center"/>
      </w:pPr>
      <w:r>
        <w:rPr>
          <w:b/>
          <w:bCs/>
          <w:color w:val="000000"/>
        </w:rPr>
        <w:t xml:space="preserve">Figure 15: The alignment of macro-environmental </w:t>
      </w:r>
      <w:proofErr w:type="spellStart"/>
      <w:r>
        <w:rPr>
          <w:b/>
          <w:bCs/>
          <w:color w:val="000000"/>
        </w:rPr>
        <w:t>actors</w:t>
      </w:r>
      <w:proofErr w:type="spellEnd"/>
      <w:r>
        <w:rPr>
          <w:b/>
          <w:bCs/>
          <w:color w:val="000000"/>
        </w:rPr>
        <w:t xml:space="preserve"> influencing BHP</w:t>
      </w:r>
    </w:p>
    <w:p w14:paraId="2DC7CD26" w14:textId="77777777" w:rsidR="007F60E4" w:rsidRDefault="00000000">
      <w:pPr>
        <w:spacing w:before="240" w:after="0"/>
        <w:jc w:val="center"/>
      </w:pPr>
      <w:r>
        <w:rPr>
          <w:color w:val="000000"/>
        </w:rPr>
        <w:t>(Source: Self-developed)</w:t>
      </w:r>
    </w:p>
    <w:p w14:paraId="651601F2" w14:textId="77777777" w:rsidR="007F60E4" w:rsidRDefault="00000000">
      <w:pPr>
        <w:pStyle w:val="Heading2"/>
      </w:pPr>
      <w:bookmarkStart w:id="19" w:name="_Toc241855670"/>
      <w:r>
        <w:t>3.3 Reflection on Strategic Growth Decisions</w:t>
      </w:r>
      <w:bookmarkEnd w:id="19"/>
      <w:r>
        <w:t> </w:t>
      </w:r>
    </w:p>
    <w:p w14:paraId="18558446" w14:textId="77777777" w:rsidR="007F60E4" w:rsidRDefault="00000000">
      <w:pPr>
        <w:spacing w:before="240" w:after="0"/>
      </w:pPr>
      <w:r>
        <w:rPr>
          <w:color w:val="000000"/>
        </w:rPr>
        <w:t>The use of the growth factors, such as the Ansoff Matrix, showed that product development provides the most effective strategy for BHP. The integrated product lifecycle theory showed that carbon-intensive assets can face declining long-term returns. On the other hand, growth-stage commodities include the term Reuters due to the rising regulatory costs. </w:t>
      </w:r>
    </w:p>
    <w:p w14:paraId="23C01F5D" w14:textId="77777777" w:rsidR="007F60E4" w:rsidRDefault="00000000">
      <w:pPr>
        <w:pStyle w:val="Heading2"/>
      </w:pPr>
      <w:bookmarkStart w:id="20" w:name="_Toc241855671"/>
      <w:r>
        <w:lastRenderedPageBreak/>
        <w:t>3.4 Limitations and Gaps in the Analysis</w:t>
      </w:r>
      <w:bookmarkEnd w:id="20"/>
      <w:r>
        <w:t> </w:t>
      </w:r>
    </w:p>
    <w:p w14:paraId="1C7FF387" w14:textId="77777777" w:rsidR="007F60E4" w:rsidRDefault="00000000">
      <w:pPr>
        <w:spacing w:before="240" w:after="0"/>
      </w:pPr>
      <w:r>
        <w:rPr>
          <w:color w:val="000000"/>
        </w:rPr>
        <w:t>The main limitation of this report is the dependence on secondary resource sources such as the annual reports, corporate reports, and sustainability reports. The secondary corporate reporting can show potential bias. Most of the reports focus on the positive ESG targets and ignore the operational issues (</w:t>
      </w:r>
      <w:r>
        <w:rPr>
          <w:color w:val="222222"/>
        </w:rPr>
        <w:t>Vigil</w:t>
      </w:r>
      <w:r>
        <w:rPr>
          <w:color w:val="000000"/>
        </w:rPr>
        <w:t xml:space="preserve"> </w:t>
      </w:r>
      <w:r>
        <w:rPr>
          <w:i/>
          <w:iCs/>
          <w:color w:val="000000"/>
        </w:rPr>
        <w:t xml:space="preserve">et al., </w:t>
      </w:r>
      <w:r>
        <w:rPr>
          <w:color w:val="000000"/>
        </w:rPr>
        <w:t>2025). The primary research, such as interviews with the engineers, supply chain managers, and regulatory officers, can provide a more unbiased view of the issues of BHP’s decarbonisation commitment. </w:t>
      </w:r>
    </w:p>
    <w:p w14:paraId="73AE331E" w14:textId="77777777" w:rsidR="007F60E4" w:rsidRDefault="00000000">
      <w:pPr>
        <w:pStyle w:val="Heading2"/>
      </w:pPr>
      <w:bookmarkStart w:id="21" w:name="_Toc241855672"/>
      <w:r>
        <w:t>3.5 Information Required Before Final Recommendation</w:t>
      </w:r>
      <w:bookmarkEnd w:id="21"/>
      <w:r>
        <w:t> </w:t>
      </w:r>
    </w:p>
    <w:p w14:paraId="7CEC0520" w14:textId="77777777" w:rsidR="007F60E4" w:rsidRDefault="00000000">
      <w:pPr>
        <w:spacing w:before="240" w:after="0"/>
      </w:pPr>
      <w:r>
        <w:rPr>
          <w:color w:val="000000"/>
        </w:rPr>
        <w:t>Before providing the final recommendations to the senior executive leadership, a professional management consultant is required. This would include:</w:t>
      </w:r>
    </w:p>
    <w:p w14:paraId="058D86F4" w14:textId="77777777" w:rsidR="007F60E4" w:rsidRDefault="00000000">
      <w:pPr>
        <w:numPr>
          <w:ilvl w:val="0"/>
          <w:numId w:val="5"/>
        </w:numPr>
        <w:spacing w:before="240" w:after="0"/>
        <w:rPr>
          <w:color w:val="000000"/>
        </w:rPr>
      </w:pPr>
      <w:r>
        <w:rPr>
          <w:color w:val="000000"/>
        </w:rPr>
        <w:t xml:space="preserve">B2B contract pricing structured as the verified green price premium negotiation with the tier-1 steel makers. These can include China </w:t>
      </w:r>
      <w:proofErr w:type="spellStart"/>
      <w:r>
        <w:rPr>
          <w:color w:val="000000"/>
        </w:rPr>
        <w:t>Baowu</w:t>
      </w:r>
      <w:proofErr w:type="spellEnd"/>
      <w:r>
        <w:rPr>
          <w:color w:val="000000"/>
        </w:rPr>
        <w:t xml:space="preserve"> and POSCO for the higher-grade iron ore.</w:t>
      </w:r>
    </w:p>
    <w:p w14:paraId="217EE887" w14:textId="77777777" w:rsidR="007F60E4" w:rsidRDefault="00000000">
      <w:pPr>
        <w:numPr>
          <w:ilvl w:val="0"/>
          <w:numId w:val="5"/>
        </w:numPr>
        <w:spacing w:before="240" w:after="0"/>
        <w:rPr>
          <w:color w:val="000000"/>
        </w:rPr>
      </w:pPr>
      <w:r>
        <w:rPr>
          <w:color w:val="000000"/>
        </w:rPr>
        <w:t>The detailed capital expenditure breakdown and the internal rate of return can help with the battery-electric free fleet conversions in WAIO assets. </w:t>
      </w:r>
    </w:p>
    <w:p w14:paraId="1CAB4B20" w14:textId="77777777" w:rsidR="007F60E4" w:rsidRDefault="00000000">
      <w:pPr>
        <w:numPr>
          <w:ilvl w:val="0"/>
          <w:numId w:val="5"/>
        </w:numPr>
        <w:spacing w:before="240" w:after="0"/>
        <w:rPr>
          <w:color w:val="000000"/>
        </w:rPr>
      </w:pPr>
      <w:r>
        <w:rPr>
          <w:color w:val="000000"/>
        </w:rPr>
        <w:t>Econometric modelling of the cross-border carbon tariff can change under the EU CBAM regulations. </w:t>
      </w:r>
    </w:p>
    <w:p w14:paraId="726DDA6C" w14:textId="77777777" w:rsidR="007F60E4" w:rsidRDefault="00000000">
      <w:pPr>
        <w:numPr>
          <w:ilvl w:val="0"/>
          <w:numId w:val="5"/>
        </w:numPr>
        <w:spacing w:before="240" w:after="0"/>
        <w:rPr>
          <w:color w:val="000000"/>
        </w:rPr>
      </w:pPr>
      <w:r>
        <w:rPr>
          <w:color w:val="000000"/>
        </w:rPr>
        <w:t>The proper supply chain data related to the metal procurement networks are effective. Also, the green Power Purchase Agreement (PPA) is related to the tariff structures. </w:t>
      </w:r>
    </w:p>
    <w:p w14:paraId="7B614C3B" w14:textId="77777777" w:rsidR="007F60E4" w:rsidRDefault="00000000">
      <w:pPr>
        <w:pStyle w:val="Heading2"/>
      </w:pPr>
      <w:bookmarkStart w:id="22" w:name="_Toc241855673"/>
      <w:r>
        <w:t>3.6 Professional Learning and Reflection</w:t>
      </w:r>
      <w:bookmarkEnd w:id="22"/>
      <w:r>
        <w:t> </w:t>
      </w:r>
    </w:p>
    <w:p w14:paraId="5EB65BF5" w14:textId="77777777" w:rsidR="007F60E4" w:rsidRDefault="00000000">
      <w:pPr>
        <w:spacing w:before="240" w:after="0"/>
      </w:pPr>
      <w:r>
        <w:rPr>
          <w:color w:val="000000"/>
        </w:rPr>
        <w:t>Professionally, this assessment developed my capabilities to analyse financial statements. Also, the complex environment performance metrics have been determined. I also developed knowledge of how corporate sustainability initiatives directly protect market access in the B2B market. Personally, I aim to refine my financial modelling and risk adjustment capabilities. I further evaluated the capital allocation decision in this energy industry. </w:t>
      </w:r>
    </w:p>
    <w:p w14:paraId="14F2AED5" w14:textId="77777777" w:rsidR="007F60E4" w:rsidRDefault="00000000">
      <w:r>
        <w:br w:type="page"/>
      </w:r>
    </w:p>
    <w:p w14:paraId="3D29D947" w14:textId="77777777" w:rsidR="007F60E4" w:rsidRDefault="00000000">
      <w:pPr>
        <w:pStyle w:val="Heading1"/>
      </w:pPr>
      <w:bookmarkStart w:id="23" w:name="_Toc241855674"/>
      <w:r>
        <w:lastRenderedPageBreak/>
        <w:t>References</w:t>
      </w:r>
      <w:bookmarkEnd w:id="23"/>
    </w:p>
    <w:p w14:paraId="09813F9B" w14:textId="77777777" w:rsidR="007F60E4" w:rsidRDefault="00000000">
      <w:pPr>
        <w:spacing w:before="240" w:after="0"/>
      </w:pPr>
      <w:proofErr w:type="spellStart"/>
      <w:r>
        <w:rPr>
          <w:color w:val="222222"/>
          <w:highlight w:val="white"/>
        </w:rPr>
        <w:t>Amegboleza</w:t>
      </w:r>
      <w:proofErr w:type="spellEnd"/>
      <w:r>
        <w:rPr>
          <w:color w:val="222222"/>
          <w:highlight w:val="white"/>
        </w:rPr>
        <w:t xml:space="preserve">, A.A. and Ülkü, M.A., (2025). Sustainable energy transition for the mining industry: A bibliometric analysis of trends and emerging research pathways. </w:t>
      </w:r>
      <w:r>
        <w:rPr>
          <w:i/>
          <w:iCs/>
          <w:color w:val="222222"/>
          <w:highlight w:val="white"/>
        </w:rPr>
        <w:t>Sustainability</w:t>
      </w:r>
      <w:r>
        <w:rPr>
          <w:color w:val="222222"/>
          <w:highlight w:val="white"/>
        </w:rPr>
        <w:t xml:space="preserve">, </w:t>
      </w:r>
      <w:r>
        <w:rPr>
          <w:i/>
          <w:iCs/>
          <w:color w:val="222222"/>
          <w:highlight w:val="white"/>
        </w:rPr>
        <w:t>17</w:t>
      </w:r>
      <w:r>
        <w:rPr>
          <w:color w:val="222222"/>
          <w:highlight w:val="white"/>
        </w:rPr>
        <w:t>(5), p.2292.</w:t>
      </w:r>
      <w:r>
        <w:t xml:space="preserve"> </w:t>
      </w:r>
      <w:hyperlink r:id="rId23">
        <w:r w:rsidR="007F60E4">
          <w:rPr>
            <w:color w:val="0000FF"/>
            <w:highlight w:val="white"/>
            <w:u w:val="single"/>
          </w:rPr>
          <w:t>https://www.mdpi.com/2071-1050/17/5/2292</w:t>
        </w:r>
      </w:hyperlink>
    </w:p>
    <w:p w14:paraId="3E71C35F" w14:textId="77777777" w:rsidR="007F60E4" w:rsidRDefault="00000000">
      <w:pPr>
        <w:spacing w:before="240" w:after="0"/>
      </w:pPr>
      <w:r>
        <w:rPr>
          <w:color w:val="222222"/>
          <w:highlight w:val="white"/>
        </w:rPr>
        <w:t xml:space="preserve">Araújo, O.D.Q.F. and de Medeiros, J.L., (2024). Green steel: technologies enabling decarbonization from mine to steel. </w:t>
      </w:r>
      <w:r>
        <w:rPr>
          <w:i/>
          <w:iCs/>
          <w:color w:val="222222"/>
          <w:highlight w:val="white"/>
        </w:rPr>
        <w:t>Clean Technologies and Environmental Policy</w:t>
      </w:r>
      <w:r>
        <w:rPr>
          <w:color w:val="222222"/>
          <w:highlight w:val="white"/>
        </w:rPr>
        <w:t xml:space="preserve">, </w:t>
      </w:r>
      <w:r>
        <w:rPr>
          <w:i/>
          <w:iCs/>
          <w:color w:val="222222"/>
          <w:highlight w:val="white"/>
        </w:rPr>
        <w:t>26</w:t>
      </w:r>
      <w:r>
        <w:rPr>
          <w:color w:val="222222"/>
          <w:highlight w:val="white"/>
        </w:rPr>
        <w:t xml:space="preserve">(10), pp.3151-3153. </w:t>
      </w:r>
      <w:hyperlink r:id="rId24">
        <w:r w:rsidR="007F60E4">
          <w:rPr>
            <w:color w:val="0000FF"/>
            <w:highlight w:val="white"/>
            <w:u w:val="single"/>
          </w:rPr>
          <w:t>https://link.springer.com/content/pdf/10.1007/s10098-024-03050-3.pdf</w:t>
        </w:r>
      </w:hyperlink>
    </w:p>
    <w:p w14:paraId="2D60F7D8" w14:textId="77777777" w:rsidR="007F60E4" w:rsidRDefault="00000000">
      <w:pPr>
        <w:pBdr>
          <w:top w:val="nil"/>
          <w:left w:val="nil"/>
          <w:bottom w:val="nil"/>
          <w:right w:val="nil"/>
          <w:between w:val="nil"/>
        </w:pBdr>
        <w:spacing w:before="240" w:after="280"/>
        <w:rPr>
          <w:color w:val="000000"/>
        </w:rPr>
      </w:pPr>
      <w:r>
        <w:rPr>
          <w:color w:val="000000"/>
        </w:rPr>
        <w:t xml:space="preserve">ASIC, (2026). </w:t>
      </w:r>
      <w:r>
        <w:rPr>
          <w:i/>
          <w:iCs/>
          <w:color w:val="000000"/>
        </w:rPr>
        <w:t xml:space="preserve">A director’s guide to mandatory climate reporting. </w:t>
      </w:r>
      <w:r>
        <w:rPr>
          <w:color w:val="000000"/>
        </w:rPr>
        <w:t xml:space="preserve">Available at: </w:t>
      </w:r>
      <w:hyperlink r:id="rId25">
        <w:r w:rsidR="007F60E4">
          <w:rPr>
            <w:color w:val="0000FF"/>
            <w:u w:val="single"/>
          </w:rPr>
          <w:t>https://www.aicd.com.au/content/dam/aicd/pdf/tools-resources/director-resources/directors-guide-to-mandatory-climate-reporting-web.pdf</w:t>
        </w:r>
      </w:hyperlink>
      <w:r>
        <w:rPr>
          <w:color w:val="000000"/>
        </w:rPr>
        <w:t xml:space="preserve"> [Accessed on: 30/09/2026]</w:t>
      </w:r>
    </w:p>
    <w:p w14:paraId="7C10D542" w14:textId="77777777" w:rsidR="007F60E4" w:rsidRDefault="00000000">
      <w:pPr>
        <w:pBdr>
          <w:top w:val="nil"/>
          <w:left w:val="nil"/>
          <w:bottom w:val="nil"/>
          <w:right w:val="nil"/>
          <w:between w:val="nil"/>
        </w:pBdr>
        <w:spacing w:before="240" w:after="280"/>
        <w:rPr>
          <w:color w:val="000000"/>
        </w:rPr>
      </w:pPr>
      <w:r>
        <w:rPr>
          <w:color w:val="000000"/>
        </w:rPr>
        <w:t xml:space="preserve">BHP Annual report, (2026). </w:t>
      </w:r>
      <w:r>
        <w:rPr>
          <w:i/>
          <w:iCs/>
          <w:color w:val="000000"/>
        </w:rPr>
        <w:t xml:space="preserve">BHP Annual Report 2026. </w:t>
      </w:r>
      <w:r>
        <w:rPr>
          <w:color w:val="000000"/>
        </w:rPr>
        <w:t xml:space="preserve">Available at: </w:t>
      </w:r>
      <w:hyperlink r:id="rId26">
        <w:r w:rsidR="007F60E4">
          <w:rPr>
            <w:color w:val="0000FF"/>
            <w:u w:val="single"/>
          </w:rPr>
          <w:t>file:///E:/New%20folder%20(2)/SEPTEMBER/30/260818_bhpannualreport2026%20(1).pdf</w:t>
        </w:r>
      </w:hyperlink>
      <w:r>
        <w:rPr>
          <w:color w:val="000000"/>
        </w:rPr>
        <w:t xml:space="preserve">  [Accessed on: 30/09/2026]</w:t>
      </w:r>
    </w:p>
    <w:p w14:paraId="2CD2433B" w14:textId="77777777" w:rsidR="007F60E4" w:rsidRDefault="00000000">
      <w:pPr>
        <w:pBdr>
          <w:top w:val="nil"/>
          <w:left w:val="nil"/>
          <w:bottom w:val="nil"/>
          <w:right w:val="nil"/>
          <w:between w:val="nil"/>
        </w:pBdr>
        <w:spacing w:before="240" w:after="280"/>
        <w:rPr>
          <w:color w:val="000000"/>
        </w:rPr>
      </w:pPr>
      <w:r>
        <w:rPr>
          <w:color w:val="000000"/>
        </w:rPr>
        <w:t xml:space="preserve">BHP Group, (2026). </w:t>
      </w:r>
      <w:r>
        <w:rPr>
          <w:i/>
          <w:iCs/>
          <w:color w:val="000000"/>
        </w:rPr>
        <w:t>BHP Climate Transition Action Plan &amp; ESG Databook 2026</w:t>
      </w:r>
      <w:r>
        <w:rPr>
          <w:color w:val="000000"/>
        </w:rPr>
        <w:t xml:space="preserve">. Available at: </w:t>
      </w:r>
      <w:hyperlink r:id="rId27">
        <w:r w:rsidR="007F60E4">
          <w:rPr>
            <w:color w:val="0000FF"/>
            <w:u w:val="single"/>
          </w:rPr>
          <w:t>https://www.bhp.com/sustainability/climate-change/transition-to-a-net-zero-economy</w:t>
        </w:r>
      </w:hyperlink>
      <w:r>
        <w:rPr>
          <w:color w:val="000000"/>
        </w:rPr>
        <w:t xml:space="preserve">  [Accessed on: 20/09/2026]</w:t>
      </w:r>
    </w:p>
    <w:p w14:paraId="196A0AD3" w14:textId="77777777" w:rsidR="007F60E4" w:rsidRDefault="00000000">
      <w:pPr>
        <w:spacing w:before="240" w:after="0"/>
      </w:pPr>
      <w:r>
        <w:rPr>
          <w:color w:val="222222"/>
          <w:highlight w:val="white"/>
        </w:rPr>
        <w:t xml:space="preserve">Bukhari, S.N.Z. and Bukhari, S.A.A., (2025). Customer-Based Islamic Brand Equity (CBIBE) Pyramid. </w:t>
      </w:r>
      <w:r>
        <w:rPr>
          <w:i/>
          <w:iCs/>
          <w:color w:val="222222"/>
          <w:highlight w:val="white"/>
        </w:rPr>
        <w:t>Journal of Climate and Community Development</w:t>
      </w:r>
      <w:r>
        <w:rPr>
          <w:color w:val="222222"/>
          <w:highlight w:val="white"/>
        </w:rPr>
        <w:t xml:space="preserve">, </w:t>
      </w:r>
      <w:r>
        <w:rPr>
          <w:i/>
          <w:iCs/>
          <w:color w:val="222222"/>
          <w:highlight w:val="white"/>
        </w:rPr>
        <w:t>4</w:t>
      </w:r>
      <w:r>
        <w:rPr>
          <w:color w:val="222222"/>
          <w:highlight w:val="white"/>
        </w:rPr>
        <w:t xml:space="preserve">(1), pp.78-90. </w:t>
      </w:r>
      <w:hyperlink r:id="rId28">
        <w:r w:rsidR="007F60E4">
          <w:rPr>
            <w:color w:val="0000FF"/>
            <w:highlight w:val="white"/>
            <w:u w:val="single"/>
          </w:rPr>
          <w:t>https://www.joccd.com/index.php/joccd/article/download/67/55</w:t>
        </w:r>
      </w:hyperlink>
    </w:p>
    <w:p w14:paraId="142DF2B5" w14:textId="77777777" w:rsidR="007F60E4" w:rsidRDefault="00000000">
      <w:pPr>
        <w:pBdr>
          <w:top w:val="nil"/>
          <w:left w:val="nil"/>
          <w:bottom w:val="nil"/>
          <w:right w:val="nil"/>
          <w:between w:val="nil"/>
        </w:pBdr>
        <w:spacing w:before="240" w:after="280"/>
        <w:rPr>
          <w:color w:val="000000"/>
        </w:rPr>
      </w:pPr>
      <w:r>
        <w:rPr>
          <w:color w:val="000000"/>
        </w:rPr>
        <w:t xml:space="preserve">CER, (2026). </w:t>
      </w:r>
      <w:r>
        <w:rPr>
          <w:i/>
          <w:iCs/>
          <w:color w:val="000000"/>
        </w:rPr>
        <w:t>2024–25 Safeguard Mechanism Data Insights</w:t>
      </w:r>
      <w:r>
        <w:rPr>
          <w:color w:val="000000"/>
        </w:rPr>
        <w:t xml:space="preserve">. Available at: </w:t>
      </w:r>
      <w:hyperlink r:id="rId29">
        <w:r w:rsidR="007F60E4">
          <w:rPr>
            <w:color w:val="0000FF"/>
            <w:u w:val="single"/>
          </w:rPr>
          <w:t>https://cer.gov.au/document/2024-25-safeguard-mechanism-data-insights</w:t>
        </w:r>
      </w:hyperlink>
      <w:r>
        <w:rPr>
          <w:color w:val="000000"/>
        </w:rPr>
        <w:t xml:space="preserve"> [Accessed on: 18/09/2026]</w:t>
      </w:r>
    </w:p>
    <w:p w14:paraId="41C4CA1E" w14:textId="77777777" w:rsidR="007F60E4" w:rsidRDefault="00000000">
      <w:pPr>
        <w:pBdr>
          <w:top w:val="nil"/>
          <w:left w:val="nil"/>
          <w:bottom w:val="nil"/>
          <w:right w:val="nil"/>
          <w:between w:val="nil"/>
        </w:pBdr>
        <w:spacing w:before="240" w:after="280"/>
        <w:rPr>
          <w:color w:val="000000"/>
        </w:rPr>
      </w:pPr>
      <w:proofErr w:type="spellStart"/>
      <w:r>
        <w:rPr>
          <w:color w:val="000000"/>
        </w:rPr>
        <w:t>Fastmarkets</w:t>
      </w:r>
      <w:proofErr w:type="spellEnd"/>
      <w:r>
        <w:rPr>
          <w:color w:val="000000"/>
        </w:rPr>
        <w:t xml:space="preserve">, (2026). </w:t>
      </w:r>
      <w:r>
        <w:rPr>
          <w:i/>
          <w:iCs/>
          <w:color w:val="000000"/>
        </w:rPr>
        <w:t>Iron ore quality decline meets green steel ambitions</w:t>
      </w:r>
      <w:r>
        <w:rPr>
          <w:color w:val="000000"/>
        </w:rPr>
        <w:t xml:space="preserve">. Available at: </w:t>
      </w:r>
      <w:hyperlink r:id="rId30">
        <w:r w:rsidR="007F60E4">
          <w:rPr>
            <w:color w:val="0000FF"/>
            <w:u w:val="single"/>
          </w:rPr>
          <w:t>https://www.fastmarkets.com/insights/iron-ore-quality-decline-meets-green-steel-ambitions/</w:t>
        </w:r>
      </w:hyperlink>
      <w:r>
        <w:rPr>
          <w:color w:val="000000"/>
        </w:rPr>
        <w:t xml:space="preserve"> [Accessed on: 18/09/2026]</w:t>
      </w:r>
    </w:p>
    <w:p w14:paraId="358ABBDD" w14:textId="77777777" w:rsidR="007F60E4" w:rsidRDefault="00000000">
      <w:pPr>
        <w:spacing w:before="240" w:after="0"/>
      </w:pPr>
      <w:r>
        <w:lastRenderedPageBreak/>
        <w:t xml:space="preserve">Fortescue (2026), Sustainability at Fortescue 2026. Available at:  </w:t>
      </w:r>
      <w:hyperlink r:id="rId31">
        <w:r w:rsidR="007F60E4">
          <w:rPr>
            <w:color w:val="0000FF"/>
            <w:u w:val="single"/>
          </w:rPr>
          <w:t>https://fy26sustainability.fortescue.com/en</w:t>
        </w:r>
      </w:hyperlink>
      <w:r>
        <w:t xml:space="preserve"> [Accessed on: 16/07/2026]</w:t>
      </w:r>
    </w:p>
    <w:p w14:paraId="2655D465" w14:textId="77777777" w:rsidR="007F60E4" w:rsidRDefault="00000000">
      <w:pPr>
        <w:spacing w:before="240" w:after="0"/>
      </w:pPr>
      <w:r>
        <w:t xml:space="preserve">Global Efficiency Intelligence, (2026). </w:t>
      </w:r>
      <w:r>
        <w:rPr>
          <w:i/>
          <w:iCs/>
        </w:rPr>
        <w:t>The Impact of Global Carbon Policy Mechanisms on Raw Material Trade</w:t>
      </w:r>
      <w:r>
        <w:t xml:space="preserve">. Available at: </w:t>
      </w:r>
      <w:hyperlink r:id="rId32">
        <w:r w:rsidR="007F60E4">
          <w:rPr>
            <w:color w:val="0000FF"/>
            <w:u w:val="single"/>
          </w:rPr>
          <w:t>https://www.globalefficiencyintel.com/research</w:t>
        </w:r>
      </w:hyperlink>
      <w:r>
        <w:t xml:space="preserve"> [Accessed on: 21/09/2026]</w:t>
      </w:r>
    </w:p>
    <w:p w14:paraId="45C1E8A1" w14:textId="77777777" w:rsidR="007F60E4" w:rsidRDefault="00000000">
      <w:pPr>
        <w:spacing w:before="240" w:after="0"/>
      </w:pPr>
      <w:r>
        <w:rPr>
          <w:color w:val="222222"/>
          <w:highlight w:val="white"/>
        </w:rPr>
        <w:t xml:space="preserve"> Hossain, M.M., Lema, A.C., Nahar, S., Rahman, M.J., Edirisinghe, U.C. and Bodle, K., (2026). Corporate Indigenous Stakeholder Engagement in the Sustainability Reporting: Evidence </w:t>
      </w:r>
      <w:proofErr w:type="gramStart"/>
      <w:r>
        <w:rPr>
          <w:color w:val="222222"/>
          <w:highlight w:val="white"/>
        </w:rPr>
        <w:t>From</w:t>
      </w:r>
      <w:proofErr w:type="gramEnd"/>
      <w:r>
        <w:rPr>
          <w:color w:val="222222"/>
          <w:highlight w:val="white"/>
        </w:rPr>
        <w:t xml:space="preserve"> the Australian Mining Industry. </w:t>
      </w:r>
      <w:r>
        <w:rPr>
          <w:i/>
          <w:iCs/>
          <w:color w:val="222222"/>
          <w:highlight w:val="white"/>
        </w:rPr>
        <w:t>Business strategy and the environment</w:t>
      </w:r>
      <w:r>
        <w:rPr>
          <w:color w:val="222222"/>
          <w:highlight w:val="white"/>
        </w:rPr>
        <w:t xml:space="preserve">. </w:t>
      </w:r>
      <w:hyperlink r:id="rId33">
        <w:r w:rsidR="007F60E4">
          <w:rPr>
            <w:color w:val="0000FF"/>
            <w:highlight w:val="white"/>
            <w:u w:val="single"/>
          </w:rPr>
          <w:t>https://onlinelibrary.wiley.com/doi/pdf/10.1002/bse.71325</w:t>
        </w:r>
      </w:hyperlink>
    </w:p>
    <w:p w14:paraId="3B063C55" w14:textId="77777777" w:rsidR="007F60E4" w:rsidRDefault="00000000">
      <w:pPr>
        <w:pBdr>
          <w:top w:val="nil"/>
          <w:left w:val="nil"/>
          <w:bottom w:val="nil"/>
          <w:right w:val="nil"/>
          <w:between w:val="nil"/>
        </w:pBdr>
        <w:spacing w:before="240" w:after="280"/>
        <w:rPr>
          <w:color w:val="000000"/>
        </w:rPr>
      </w:pPr>
      <w:r>
        <w:rPr>
          <w:color w:val="000000"/>
        </w:rPr>
        <w:t xml:space="preserve">ICAP, (2026). </w:t>
      </w:r>
      <w:r>
        <w:rPr>
          <w:i/>
          <w:iCs/>
          <w:color w:val="000000"/>
        </w:rPr>
        <w:t>Australian Safeguard Mechanism ETS Policy Profile</w:t>
      </w:r>
      <w:r>
        <w:rPr>
          <w:color w:val="000000"/>
        </w:rPr>
        <w:t xml:space="preserve">. Available at: </w:t>
      </w:r>
      <w:hyperlink r:id="rId34">
        <w:r w:rsidR="007F60E4">
          <w:rPr>
            <w:color w:val="0000FF"/>
            <w:u w:val="single"/>
          </w:rPr>
          <w:t>https://icapcarbonaction.com/en/ets-pdf-download/128</w:t>
        </w:r>
      </w:hyperlink>
      <w:r>
        <w:rPr>
          <w:color w:val="000000"/>
        </w:rPr>
        <w:t xml:space="preserve"> [Accessed on: 15/09/2026]</w:t>
      </w:r>
    </w:p>
    <w:p w14:paraId="79456C88" w14:textId="77777777" w:rsidR="007F60E4" w:rsidRDefault="00000000">
      <w:pPr>
        <w:spacing w:before="240" w:after="0"/>
      </w:pPr>
      <w:r>
        <w:t xml:space="preserve">ICMM, (2026), </w:t>
      </w:r>
      <w:r>
        <w:rPr>
          <w:i/>
          <w:iCs/>
        </w:rPr>
        <w:t>Global Mining and Metals Water Dataset</w:t>
      </w:r>
      <w:r>
        <w:t xml:space="preserve">. Available at:   </w:t>
      </w:r>
      <w:hyperlink r:id="rId35">
        <w:r w:rsidR="007F60E4">
          <w:rPr>
            <w:color w:val="0000FF"/>
            <w:u w:val="single"/>
          </w:rPr>
          <w:t>https://www.icmm.com/global-datasets/water</w:t>
        </w:r>
      </w:hyperlink>
      <w:r>
        <w:t xml:space="preserve"> [Accessed on: 16/07/2026]</w:t>
      </w:r>
    </w:p>
    <w:p w14:paraId="77618D92" w14:textId="77777777" w:rsidR="007F60E4" w:rsidRDefault="00000000">
      <w:pPr>
        <w:pBdr>
          <w:top w:val="nil"/>
          <w:left w:val="nil"/>
          <w:bottom w:val="nil"/>
          <w:right w:val="nil"/>
          <w:between w:val="nil"/>
        </w:pBdr>
        <w:spacing w:before="240" w:after="280"/>
        <w:rPr>
          <w:color w:val="000000"/>
        </w:rPr>
      </w:pPr>
      <w:r>
        <w:rPr>
          <w:color w:val="000000"/>
        </w:rPr>
        <w:t xml:space="preserve">Insights IAS, (2026). </w:t>
      </w:r>
      <w:r>
        <w:rPr>
          <w:i/>
          <w:iCs/>
          <w:color w:val="000000"/>
        </w:rPr>
        <w:t>The Global Mining and Metals Water Dataset Report</w:t>
      </w:r>
      <w:r>
        <w:rPr>
          <w:color w:val="000000"/>
        </w:rPr>
        <w:t xml:space="preserve">. Available at: </w:t>
      </w:r>
      <w:hyperlink r:id="rId36">
        <w:r w:rsidR="007F60E4">
          <w:rPr>
            <w:color w:val="0000FF"/>
            <w:u w:val="single"/>
          </w:rPr>
          <w:t>https://www.insightsonindia.com/2026/07/25/the-global-mining-and-metals-water-dataset-report/</w:t>
        </w:r>
      </w:hyperlink>
      <w:r>
        <w:rPr>
          <w:color w:val="000000"/>
        </w:rPr>
        <w:t xml:space="preserve"> [Accessed on: 25/07/2026]</w:t>
      </w:r>
    </w:p>
    <w:p w14:paraId="74811717" w14:textId="77777777" w:rsidR="007F60E4" w:rsidRDefault="00000000">
      <w:pPr>
        <w:pBdr>
          <w:top w:val="nil"/>
          <w:left w:val="nil"/>
          <w:bottom w:val="nil"/>
          <w:right w:val="nil"/>
          <w:between w:val="nil"/>
        </w:pBdr>
        <w:spacing w:before="240" w:after="280"/>
        <w:rPr>
          <w:color w:val="000000"/>
        </w:rPr>
      </w:pPr>
      <w:r>
        <w:rPr>
          <w:color w:val="000000"/>
        </w:rPr>
        <w:t xml:space="preserve">Kotler, P., Armstrong, G., Harris, L.C. and He, H., (2024). </w:t>
      </w:r>
      <w:r>
        <w:rPr>
          <w:i/>
          <w:iCs/>
          <w:color w:val="000000"/>
        </w:rPr>
        <w:t>Principles of Marketing</w:t>
      </w:r>
      <w:r>
        <w:rPr>
          <w:color w:val="000000"/>
        </w:rPr>
        <w:t xml:space="preserve">. 19th </w:t>
      </w:r>
      <w:proofErr w:type="spellStart"/>
      <w:r>
        <w:rPr>
          <w:color w:val="000000"/>
        </w:rPr>
        <w:t>edn</w:t>
      </w:r>
      <w:proofErr w:type="spellEnd"/>
      <w:r>
        <w:rPr>
          <w:color w:val="000000"/>
        </w:rPr>
        <w:t xml:space="preserve">. Harlow: Pearson Education. </w:t>
      </w:r>
    </w:p>
    <w:p w14:paraId="175FD3B4" w14:textId="77777777" w:rsidR="007F60E4" w:rsidRDefault="00000000">
      <w:pPr>
        <w:spacing w:before="240" w:after="0"/>
      </w:pPr>
      <w:r>
        <w:t xml:space="preserve">Macro trends, (2026), BHP Group Revenue 2012-2026 | BHP. Available at: </w:t>
      </w:r>
      <w:hyperlink r:id="rId37">
        <w:r w:rsidR="007F60E4">
          <w:rPr>
            <w:color w:val="0000FF"/>
            <w:u w:val="single"/>
          </w:rPr>
          <w:t>https://www.macrotrends.net/stocks/charts/BHP/bhp-group/revenue</w:t>
        </w:r>
      </w:hyperlink>
      <w:r>
        <w:t xml:space="preserve"> [Accessed on: 16/07/2026]</w:t>
      </w:r>
    </w:p>
    <w:p w14:paraId="52496E17" w14:textId="77777777" w:rsidR="007F60E4" w:rsidRDefault="00000000">
      <w:pPr>
        <w:spacing w:before="240" w:after="0"/>
      </w:pPr>
      <w:r>
        <w:t xml:space="preserve">Market Screener, (2026), BHP Group Limited. Available at: </w:t>
      </w:r>
      <w:hyperlink r:id="rId38">
        <w:r w:rsidR="007F60E4">
          <w:rPr>
            <w:color w:val="0000FF"/>
            <w:u w:val="single"/>
          </w:rPr>
          <w:t>https://www.marketscreener.com/quote/stock/BHP-GROUP-LIMITED-6492795/calendar/</w:t>
        </w:r>
      </w:hyperlink>
      <w:r>
        <w:t xml:space="preserve"> [Accessed on: 16/07/2026]</w:t>
      </w:r>
    </w:p>
    <w:p w14:paraId="6611500E" w14:textId="77777777" w:rsidR="007F60E4" w:rsidRDefault="00000000">
      <w:pPr>
        <w:pBdr>
          <w:top w:val="nil"/>
          <w:left w:val="nil"/>
          <w:bottom w:val="nil"/>
          <w:right w:val="nil"/>
          <w:between w:val="nil"/>
        </w:pBdr>
        <w:spacing w:before="240" w:after="280"/>
        <w:rPr>
          <w:color w:val="000000"/>
        </w:rPr>
      </w:pPr>
      <w:r>
        <w:rPr>
          <w:color w:val="000000"/>
        </w:rPr>
        <w:t xml:space="preserve">Mining.com.au, (2026). </w:t>
      </w:r>
      <w:r>
        <w:rPr>
          <w:i/>
          <w:iCs/>
          <w:color w:val="000000"/>
        </w:rPr>
        <w:t>ICMM reveals water risk has become a material issue for mining</w:t>
      </w:r>
      <w:r>
        <w:rPr>
          <w:color w:val="000000"/>
        </w:rPr>
        <w:t xml:space="preserve">. Available at: </w:t>
      </w:r>
      <w:hyperlink r:id="rId39">
        <w:r w:rsidR="007F60E4">
          <w:rPr>
            <w:color w:val="0000FF"/>
            <w:u w:val="single"/>
          </w:rPr>
          <w:t>https://mining.com.au/icmm-reveals-water-risk-has-become-a-material-issue-for-mining/</w:t>
        </w:r>
      </w:hyperlink>
      <w:r>
        <w:rPr>
          <w:color w:val="000000"/>
        </w:rPr>
        <w:t xml:space="preserve"> [Accessed on: 23/07/2026]</w:t>
      </w:r>
    </w:p>
    <w:p w14:paraId="413911E9" w14:textId="77777777" w:rsidR="007F60E4" w:rsidRDefault="00000000">
      <w:pPr>
        <w:pBdr>
          <w:top w:val="nil"/>
          <w:left w:val="nil"/>
          <w:bottom w:val="nil"/>
          <w:right w:val="nil"/>
          <w:between w:val="nil"/>
        </w:pBdr>
        <w:spacing w:before="240" w:after="280"/>
        <w:rPr>
          <w:color w:val="000000"/>
        </w:rPr>
      </w:pPr>
      <w:r>
        <w:rPr>
          <w:color w:val="000000"/>
        </w:rPr>
        <w:lastRenderedPageBreak/>
        <w:t xml:space="preserve">Paul, M., (2026). </w:t>
      </w:r>
      <w:r>
        <w:rPr>
          <w:i/>
          <w:iCs/>
          <w:color w:val="000000"/>
        </w:rPr>
        <w:t>Two-thirds of global mining facilities face significant water risk, ICMM report says</w:t>
      </w:r>
      <w:r>
        <w:rPr>
          <w:color w:val="000000"/>
        </w:rPr>
        <w:t>. Down To Earth.</w:t>
      </w:r>
    </w:p>
    <w:p w14:paraId="4570F5E8" w14:textId="77777777" w:rsidR="007F60E4" w:rsidRDefault="00000000">
      <w:pPr>
        <w:pBdr>
          <w:top w:val="nil"/>
          <w:left w:val="nil"/>
          <w:bottom w:val="nil"/>
          <w:right w:val="nil"/>
          <w:between w:val="nil"/>
        </w:pBdr>
        <w:spacing w:before="240" w:after="280"/>
        <w:rPr>
          <w:color w:val="000000"/>
        </w:rPr>
      </w:pPr>
      <w:r>
        <w:rPr>
          <w:color w:val="000000"/>
        </w:rPr>
        <w:t xml:space="preserve">PwC, (2026), Mine 2026: Ambition to Action. Available at:  </w:t>
      </w:r>
      <w:hyperlink r:id="rId40">
        <w:r w:rsidR="007F60E4">
          <w:rPr>
            <w:color w:val="0000FF"/>
            <w:u w:val="single"/>
          </w:rPr>
          <w:t>https://www.pwc.com/gx/en/industries/energy-utilities-resources/global-mine-2026.pdf</w:t>
        </w:r>
      </w:hyperlink>
      <w:r>
        <w:rPr>
          <w:color w:val="000000"/>
        </w:rPr>
        <w:t xml:space="preserve"> [Accessed on: 19/09/2026]</w:t>
      </w:r>
    </w:p>
    <w:p w14:paraId="19968C17" w14:textId="77777777" w:rsidR="007F60E4" w:rsidRDefault="00000000">
      <w:pPr>
        <w:spacing w:before="240" w:after="0"/>
      </w:pPr>
      <w:r>
        <w:t xml:space="preserve">Reuters, (2026), </w:t>
      </w:r>
      <w:r>
        <w:rPr>
          <w:i/>
          <w:iCs/>
        </w:rPr>
        <w:t>BHP profit beats forecasts as copper tops iron ore earnings on AI-driven demand</w:t>
      </w:r>
      <w:r>
        <w:t xml:space="preserve">. Available at: </w:t>
      </w:r>
      <w:hyperlink r:id="rId41">
        <w:r w:rsidR="007F60E4">
          <w:rPr>
            <w:color w:val="0000FF"/>
            <w:u w:val="single"/>
          </w:rPr>
          <w:t>https://www.reuters.com/business/bhp-group-reports-22-growth-first-half-profit-2026-02-16/</w:t>
        </w:r>
      </w:hyperlink>
      <w:r>
        <w:t xml:space="preserve">  [Accessed on: 16/07/2026]</w:t>
      </w:r>
    </w:p>
    <w:p w14:paraId="3F891AC8" w14:textId="77777777" w:rsidR="007F60E4" w:rsidRDefault="00000000">
      <w:pPr>
        <w:spacing w:before="240" w:after="0"/>
      </w:pPr>
      <w:r>
        <w:t xml:space="preserve">Reuters, (2026), BHP profit tops estimates as copper powers growth, to pay highest dividend in 4 years. Available at: </w:t>
      </w:r>
      <w:hyperlink r:id="rId42">
        <w:r w:rsidR="007F60E4">
          <w:rPr>
            <w:color w:val="0000FF"/>
            <w:u w:val="single"/>
          </w:rPr>
          <w:t>https://www.reuters.com/business/energy/bhp-profit-tops-estimates-copper-powers-growth-highest-dividend-4-years-2026-08-17/</w:t>
        </w:r>
      </w:hyperlink>
      <w:r>
        <w:t xml:space="preserve">  [Accessed on: 16/07/2026]</w:t>
      </w:r>
    </w:p>
    <w:p w14:paraId="09D54EFD" w14:textId="77777777" w:rsidR="007F60E4" w:rsidRDefault="00000000">
      <w:pPr>
        <w:pBdr>
          <w:top w:val="nil"/>
          <w:left w:val="nil"/>
          <w:bottom w:val="nil"/>
          <w:right w:val="nil"/>
          <w:between w:val="nil"/>
        </w:pBdr>
        <w:spacing w:before="240" w:after="280"/>
        <w:rPr>
          <w:color w:val="000000"/>
        </w:rPr>
      </w:pPr>
      <w:r>
        <w:rPr>
          <w:color w:val="000000"/>
        </w:rPr>
        <w:t xml:space="preserve">Rio Tinto, (2026). Sustainability reporting.  Available at: </w:t>
      </w:r>
      <w:hyperlink r:id="rId43">
        <w:r w:rsidR="007F60E4">
          <w:rPr>
            <w:color w:val="0000FF"/>
            <w:u w:val="single"/>
          </w:rPr>
          <w:t>https://www.riotinto.com/en/invest/reports/sustainability-report</w:t>
        </w:r>
      </w:hyperlink>
      <w:r>
        <w:rPr>
          <w:color w:val="000000"/>
        </w:rPr>
        <w:t xml:space="preserve"> [Accessed on: 16/07/2026]</w:t>
      </w:r>
    </w:p>
    <w:p w14:paraId="5743FBB4" w14:textId="77777777" w:rsidR="007F60E4" w:rsidRDefault="00000000">
      <w:pPr>
        <w:spacing w:before="240" w:after="0"/>
      </w:pPr>
      <w:r>
        <w:rPr>
          <w:color w:val="222222"/>
          <w:highlight w:val="white"/>
        </w:rPr>
        <w:t xml:space="preserve">Stroykov, G., Lebedev, A., Belous, A. and </w:t>
      </w:r>
      <w:proofErr w:type="spellStart"/>
      <w:r>
        <w:rPr>
          <w:color w:val="222222"/>
          <w:highlight w:val="white"/>
        </w:rPr>
        <w:t>Kolganova</w:t>
      </w:r>
      <w:proofErr w:type="spellEnd"/>
      <w:r>
        <w:rPr>
          <w:color w:val="222222"/>
          <w:highlight w:val="white"/>
        </w:rPr>
        <w:t xml:space="preserve">, E., (2026). Achieving Sustainable Development Goals Through Hybrid Energy Supply Systems in Mining: The Case of the </w:t>
      </w:r>
      <w:proofErr w:type="spellStart"/>
      <w:r>
        <w:rPr>
          <w:color w:val="222222"/>
          <w:highlight w:val="white"/>
        </w:rPr>
        <w:t>Varvarinskoye</w:t>
      </w:r>
      <w:proofErr w:type="spellEnd"/>
      <w:r>
        <w:rPr>
          <w:color w:val="222222"/>
          <w:highlight w:val="white"/>
        </w:rPr>
        <w:t xml:space="preserve"> Copper–Gold Deposit. </w:t>
      </w:r>
      <w:r>
        <w:rPr>
          <w:i/>
          <w:iCs/>
          <w:color w:val="222222"/>
          <w:highlight w:val="white"/>
        </w:rPr>
        <w:t>Resources</w:t>
      </w:r>
      <w:r>
        <w:rPr>
          <w:color w:val="222222"/>
          <w:highlight w:val="white"/>
        </w:rPr>
        <w:t xml:space="preserve">, </w:t>
      </w:r>
      <w:r>
        <w:rPr>
          <w:i/>
          <w:iCs/>
          <w:color w:val="222222"/>
          <w:highlight w:val="white"/>
        </w:rPr>
        <w:t>15</w:t>
      </w:r>
      <w:r>
        <w:rPr>
          <w:color w:val="222222"/>
          <w:highlight w:val="white"/>
        </w:rPr>
        <w:t xml:space="preserve">(2), p.25. </w:t>
      </w:r>
      <w:hyperlink r:id="rId44">
        <w:r w:rsidR="007F60E4">
          <w:rPr>
            <w:color w:val="0000FF"/>
            <w:highlight w:val="white"/>
            <w:u w:val="single"/>
          </w:rPr>
          <w:t>https://www.mdpi.com/2079-9276/15/2/25</w:t>
        </w:r>
      </w:hyperlink>
    </w:p>
    <w:p w14:paraId="661C0048" w14:textId="77777777" w:rsidR="007F60E4" w:rsidRDefault="00000000">
      <w:pPr>
        <w:spacing w:before="240" w:after="0"/>
      </w:pPr>
      <w:r>
        <w:rPr>
          <w:color w:val="222222"/>
          <w:highlight w:val="white"/>
        </w:rPr>
        <w:t xml:space="preserve">Vigil, D.A., Johnson Jr, R.L. and Tauchnitz, J., (2025). Improved estimation methods for surface coal mine methane emissions for reporting, beneficial use, and emission reduction purposes and relative to Australia's safeguard mechanisms. </w:t>
      </w:r>
      <w:r>
        <w:rPr>
          <w:i/>
          <w:iCs/>
          <w:color w:val="222222"/>
          <w:highlight w:val="white"/>
        </w:rPr>
        <w:t>Journal of Environmental Management</w:t>
      </w:r>
      <w:r>
        <w:rPr>
          <w:color w:val="222222"/>
          <w:highlight w:val="white"/>
        </w:rPr>
        <w:t xml:space="preserve">, </w:t>
      </w:r>
      <w:r>
        <w:rPr>
          <w:i/>
          <w:iCs/>
          <w:color w:val="222222"/>
          <w:highlight w:val="white"/>
        </w:rPr>
        <w:t>376</w:t>
      </w:r>
      <w:r>
        <w:rPr>
          <w:color w:val="222222"/>
          <w:highlight w:val="white"/>
        </w:rPr>
        <w:t xml:space="preserve">, p.124366. </w:t>
      </w:r>
      <w:hyperlink r:id="rId45">
        <w:r w:rsidR="007F60E4">
          <w:rPr>
            <w:color w:val="0000FF"/>
            <w:highlight w:val="white"/>
            <w:u w:val="single"/>
          </w:rPr>
          <w:t>https://www.sciencedirect.com/science/article/pii/S0301479725003421</w:t>
        </w:r>
      </w:hyperlink>
      <w:r>
        <w:rPr>
          <w:color w:val="222222"/>
          <w:highlight w:val="white"/>
        </w:rPr>
        <w:t xml:space="preserve"> </w:t>
      </w:r>
    </w:p>
    <w:p w14:paraId="5B43A677" w14:textId="77777777" w:rsidR="007F60E4" w:rsidRDefault="00000000">
      <w:pPr>
        <w:spacing w:before="240" w:after="0"/>
      </w:pPr>
      <w:r>
        <w:rPr>
          <w:color w:val="222222"/>
          <w:highlight w:val="white"/>
        </w:rPr>
        <w:t xml:space="preserve">Zugay, B. (2023). </w:t>
      </w:r>
      <w:r>
        <w:rPr>
          <w:i/>
          <w:iCs/>
          <w:color w:val="222222"/>
          <w:highlight w:val="white"/>
        </w:rPr>
        <w:t>Ansoff matrix</w:t>
      </w:r>
      <w:r>
        <w:rPr>
          <w:color w:val="222222"/>
          <w:highlight w:val="white"/>
        </w:rPr>
        <w:t xml:space="preserve">. SAGE Publications, </w:t>
      </w:r>
      <w:proofErr w:type="gramStart"/>
      <w:r>
        <w:rPr>
          <w:color w:val="222222"/>
          <w:highlight w:val="white"/>
        </w:rPr>
        <w:t>Inc..</w:t>
      </w:r>
      <w:proofErr w:type="gramEnd"/>
      <w:r>
        <w:rPr>
          <w:color w:val="222222"/>
          <w:highlight w:val="white"/>
        </w:rPr>
        <w:t xml:space="preserve"> </w:t>
      </w:r>
      <w:hyperlink r:id="rId46">
        <w:r w:rsidR="007F60E4">
          <w:rPr>
            <w:color w:val="0000FF"/>
            <w:highlight w:val="white"/>
            <w:u w:val="single"/>
          </w:rPr>
          <w:t>https://sk.sagepub.com/foundations/ansoff-matrix</w:t>
        </w:r>
      </w:hyperlink>
    </w:p>
    <w:sectPr w:rsidR="007F60E4">
      <w:footerReference w:type="default" r:id="rId47"/>
      <w:headerReference w:type="first" r:id="rId4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B613E" w14:textId="77777777" w:rsidR="00887ABE" w:rsidRDefault="00887ABE">
      <w:pPr>
        <w:spacing w:after="0" w:line="240" w:lineRule="auto"/>
      </w:pPr>
      <w:r>
        <w:separator/>
      </w:r>
    </w:p>
  </w:endnote>
  <w:endnote w:type="continuationSeparator" w:id="0">
    <w:p w14:paraId="7FA57DF0" w14:textId="77777777" w:rsidR="00887ABE" w:rsidRDefault="0088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0C74827-68F8-4DF3-86A9-AB54BC79D5AA}"/>
  </w:font>
  <w:font w:name="Calibri">
    <w:panose1 w:val="020F0502020204030204"/>
    <w:charset w:val="00"/>
    <w:family w:val="swiss"/>
    <w:pitch w:val="variable"/>
    <w:sig w:usb0="E4002EFF" w:usb1="C200247B" w:usb2="00000009" w:usb3="00000000" w:csb0="000001FF" w:csb1="00000000"/>
    <w:embedRegular r:id="rId2" w:fontKey="{516CA74F-49F1-473A-A610-A933A28518B2}"/>
  </w:font>
  <w:font w:name="Shruti">
    <w:panose1 w:val="020B0502040204020203"/>
    <w:charset w:val="00"/>
    <w:family w:val="swiss"/>
    <w:pitch w:val="variable"/>
    <w:sig w:usb0="00040003" w:usb1="00000000" w:usb2="00000000" w:usb3="00000000" w:csb0="00000001" w:csb1="00000000"/>
    <w:embedRegular r:id="rId3" w:fontKey="{935B08C7-362C-4DA5-B5A4-1ED3EA2D89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89AE" w14:textId="77777777" w:rsidR="007F60E4"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5D4DA9">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94114" w14:textId="77777777" w:rsidR="00887ABE" w:rsidRDefault="00887ABE">
      <w:pPr>
        <w:spacing w:after="0" w:line="240" w:lineRule="auto"/>
      </w:pPr>
      <w:r>
        <w:separator/>
      </w:r>
    </w:p>
  </w:footnote>
  <w:footnote w:type="continuationSeparator" w:id="0">
    <w:p w14:paraId="59A1E4DD" w14:textId="77777777" w:rsidR="00887ABE" w:rsidRDefault="00887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6B8F2" w14:textId="77777777" w:rsidR="007F60E4" w:rsidRDefault="00000000">
    <w:r>
      <w:rPr>
        <w:noProof/>
      </w:rPr>
      <w:drawing>
        <wp:anchor distT="0" distB="0" distL="114300" distR="114300" simplePos="0" relativeHeight="251658240" behindDoc="0" locked="0" layoutInCell="1" hidden="0" allowOverlap="1" wp14:anchorId="72E51DFC" wp14:editId="5ABC3AB1">
          <wp:simplePos x="0" y="0"/>
          <wp:positionH relativeFrom="column">
            <wp:posOffset>-320039</wp:posOffset>
          </wp:positionH>
          <wp:positionV relativeFrom="paragraph">
            <wp:posOffset>-266699</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1394"/>
    <w:multiLevelType w:val="multilevel"/>
    <w:tmpl w:val="926CE1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B27372"/>
    <w:multiLevelType w:val="multilevel"/>
    <w:tmpl w:val="4F0276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CB752BE"/>
    <w:multiLevelType w:val="multilevel"/>
    <w:tmpl w:val="27C285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F857188"/>
    <w:multiLevelType w:val="multilevel"/>
    <w:tmpl w:val="71066C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5697510"/>
    <w:multiLevelType w:val="multilevel"/>
    <w:tmpl w:val="566E3A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6F9485F"/>
    <w:multiLevelType w:val="multilevel"/>
    <w:tmpl w:val="42BEFA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0EE444B"/>
    <w:multiLevelType w:val="multilevel"/>
    <w:tmpl w:val="7A06CE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8957A02"/>
    <w:multiLevelType w:val="multilevel"/>
    <w:tmpl w:val="2BCCA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50A58BE"/>
    <w:multiLevelType w:val="multilevel"/>
    <w:tmpl w:val="5D866F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EEF7ADB"/>
    <w:multiLevelType w:val="multilevel"/>
    <w:tmpl w:val="EB48AF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769082437">
    <w:abstractNumId w:val="7"/>
  </w:num>
  <w:num w:numId="2" w16cid:durableId="46344137">
    <w:abstractNumId w:val="4"/>
  </w:num>
  <w:num w:numId="3" w16cid:durableId="284510172">
    <w:abstractNumId w:val="9"/>
  </w:num>
  <w:num w:numId="4" w16cid:durableId="2013213176">
    <w:abstractNumId w:val="5"/>
  </w:num>
  <w:num w:numId="5" w16cid:durableId="807627520">
    <w:abstractNumId w:val="8"/>
  </w:num>
  <w:num w:numId="6" w16cid:durableId="1104308056">
    <w:abstractNumId w:val="2"/>
  </w:num>
  <w:num w:numId="7" w16cid:durableId="1306545513">
    <w:abstractNumId w:val="6"/>
  </w:num>
  <w:num w:numId="8" w16cid:durableId="432360265">
    <w:abstractNumId w:val="1"/>
  </w:num>
  <w:num w:numId="9" w16cid:durableId="1839953969">
    <w:abstractNumId w:val="3"/>
  </w:num>
  <w:num w:numId="10" w16cid:durableId="1911578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0E4"/>
    <w:rsid w:val="00080068"/>
    <w:rsid w:val="000977B5"/>
    <w:rsid w:val="001A5D17"/>
    <w:rsid w:val="001D7E8F"/>
    <w:rsid w:val="0038317C"/>
    <w:rsid w:val="004D669B"/>
    <w:rsid w:val="005D4DA9"/>
    <w:rsid w:val="007F15AF"/>
    <w:rsid w:val="007F60E4"/>
    <w:rsid w:val="00832DC1"/>
    <w:rsid w:val="00872C1D"/>
    <w:rsid w:val="00887ABE"/>
    <w:rsid w:val="00965989"/>
    <w:rsid w:val="00A1097B"/>
    <w:rsid w:val="00AC016B"/>
    <w:rsid w:val="00AD681D"/>
    <w:rsid w:val="00B039FF"/>
    <w:rsid w:val="00E91098"/>
    <w:rsid w:val="00EF4F68"/>
    <w:rsid w:val="00FA3ACF"/>
    <w:rsid w:val="00FB30E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2EEE"/>
  <w15:docId w15:val="{9301C720-4080-4277-ABC0-31DFB38D9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gu-IN"/>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a0">
    <w:basedOn w:val="TableNormal0"/>
    <w:pPr>
      <w:spacing w:after="0" w:line="240" w:lineRule="auto"/>
    </w:pPr>
    <w:tblPr>
      <w:tblStyleRowBandSize w:val="1"/>
      <w:tblStyleColBandSize w:val="1"/>
      <w:tblCellMar>
        <w:top w:w="0" w:type="dxa"/>
        <w:left w:w="115" w:type="dxa"/>
        <w:bottom w:w="0" w:type="dxa"/>
        <w:right w:w="115" w:type="dxa"/>
      </w:tblCellMar>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sing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TOC1">
    <w:name w:val="toc 1"/>
    <w:basedOn w:val="Normal"/>
    <w:next w:val="Normal"/>
    <w:autoRedefine/>
    <w:uiPriority w:val="39"/>
    <w:unhideWhenUsed/>
    <w:rsid w:val="00FA3ACF"/>
    <w:pPr>
      <w:spacing w:after="100"/>
    </w:pPr>
  </w:style>
  <w:style w:type="paragraph" w:styleId="TOC2">
    <w:name w:val="toc 2"/>
    <w:basedOn w:val="Normal"/>
    <w:next w:val="Normal"/>
    <w:autoRedefine/>
    <w:uiPriority w:val="39"/>
    <w:unhideWhenUsed/>
    <w:rsid w:val="00FA3ACF"/>
    <w:pPr>
      <w:spacing w:after="100"/>
      <w:ind w:left="240"/>
    </w:pPr>
  </w:style>
  <w:style w:type="paragraph" w:styleId="TOC3">
    <w:name w:val="toc 3"/>
    <w:basedOn w:val="Normal"/>
    <w:next w:val="Normal"/>
    <w:autoRedefine/>
    <w:uiPriority w:val="39"/>
    <w:unhideWhenUsed/>
    <w:rsid w:val="00FA3ACF"/>
    <w:pPr>
      <w:spacing w:after="100"/>
      <w:ind w:left="480"/>
    </w:pPr>
  </w:style>
  <w:style w:type="character" w:styleId="Hyperlink">
    <w:name w:val="Hyperlink"/>
    <w:basedOn w:val="DefaultParagraphFont"/>
    <w:uiPriority w:val="99"/>
    <w:unhideWhenUsed/>
    <w:rsid w:val="00FA3A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mining.com.au" TargetMode="External"/><Relationship Id="rId26" Type="http://schemas.openxmlformats.org/officeDocument/2006/relationships/hyperlink" Target="about:blank" TargetMode="External"/><Relationship Id="rId39" Type="http://schemas.openxmlformats.org/officeDocument/2006/relationships/hyperlink" Target="https://mining.com.au/icmm-reveals-water-risk-has-become-a-material-issue-for-mining/" TargetMode="External"/><Relationship Id="rId21" Type="http://schemas.openxmlformats.org/officeDocument/2006/relationships/image" Target="media/image14.png"/><Relationship Id="rId34" Type="http://schemas.openxmlformats.org/officeDocument/2006/relationships/hyperlink" Target="https://icapcarbonaction.com/en/ets-pdf-download/128" TargetMode="External"/><Relationship Id="rId42" Type="http://schemas.openxmlformats.org/officeDocument/2006/relationships/hyperlink" Target="https://www.reuters.com/business/energy/bhp-profit-tops-estimates-copper-powers-growth-highest-dividend-4-years-2026-08-17/"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cer.gov.au/document/2024-25-safeguard-mechanism-data-insights" TargetMode="External"/><Relationship Id="rId11" Type="http://schemas.openxmlformats.org/officeDocument/2006/relationships/image" Target="media/image5.png"/><Relationship Id="rId24" Type="http://schemas.openxmlformats.org/officeDocument/2006/relationships/hyperlink" Target="https://link.springer.com/content/pdf/10.1007/s10098-024-03050-3.pdf" TargetMode="External"/><Relationship Id="rId32" Type="http://schemas.openxmlformats.org/officeDocument/2006/relationships/hyperlink" Target="https://www.google.com/search?q=https://www.globalefficiencyintel.com/research" TargetMode="External"/><Relationship Id="rId37" Type="http://schemas.openxmlformats.org/officeDocument/2006/relationships/hyperlink" Target="https://www.macrotrends.net/stocks/charts/BHP/bhp-group/revenue" TargetMode="External"/><Relationship Id="rId40" Type="http://schemas.openxmlformats.org/officeDocument/2006/relationships/hyperlink" Target="https://www.pwc.com/gx/en/industries/energy-utilities-resources/global-mine-2026.pdf" TargetMode="External"/><Relationship Id="rId45" Type="http://schemas.openxmlformats.org/officeDocument/2006/relationships/hyperlink" Target="https://www.sciencedirect.com/science/article/pii/S0301479725003421"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dpi.com/2071-1050/17/5/2292" TargetMode="External"/><Relationship Id="rId28" Type="http://schemas.openxmlformats.org/officeDocument/2006/relationships/hyperlink" Target="https://www.joccd.com/index.php/joccd/article/download/67/55" TargetMode="External"/><Relationship Id="rId36" Type="http://schemas.openxmlformats.org/officeDocument/2006/relationships/hyperlink" Target="https://www.insightsonindia.com/2026/07/25/the-global-mining-and-metals-water-dataset-report/"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fy26sustainability.fortescue.com/en" TargetMode="External"/><Relationship Id="rId44" Type="http://schemas.openxmlformats.org/officeDocument/2006/relationships/hyperlink" Target="https://www.mdpi.com/2079-9276/15/2/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www.bhp.com/sustainability/climate-change/transition-to-a-net-zero-economy" TargetMode="External"/><Relationship Id="rId30" Type="http://schemas.openxmlformats.org/officeDocument/2006/relationships/hyperlink" Target="https://www.fastmarkets.com/insights/iron-ore-quality-decline-meets-green-steel-ambitions/" TargetMode="External"/><Relationship Id="rId35" Type="http://schemas.openxmlformats.org/officeDocument/2006/relationships/hyperlink" Target="https://www.icmm.com/global-datasets/water" TargetMode="External"/><Relationship Id="rId43" Type="http://schemas.openxmlformats.org/officeDocument/2006/relationships/hyperlink" Target="https://www.riotinto.com/en/invest/reports/sustainability-report" TargetMode="External"/><Relationship Id="rId48"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icd.com.au/content/dam/aicd/pdf/tools-resources/director-resources/directors-guide-to-mandatory-climate-reporting-web.pdf" TargetMode="External"/><Relationship Id="rId33" Type="http://schemas.openxmlformats.org/officeDocument/2006/relationships/hyperlink" Target="https://onlinelibrary.wiley.com/doi/pdf/10.1002/bse.71325" TargetMode="External"/><Relationship Id="rId38" Type="http://schemas.openxmlformats.org/officeDocument/2006/relationships/hyperlink" Target="https://www.marketscreener.com/quote/stock/BHP-GROUP-LIMITED-6492795/calendar/" TargetMode="External"/><Relationship Id="rId46" Type="http://schemas.openxmlformats.org/officeDocument/2006/relationships/hyperlink" Target="https://sk.sagepub.com/foundations/ansoff-matrix" TargetMode="External"/><Relationship Id="rId20" Type="http://schemas.openxmlformats.org/officeDocument/2006/relationships/image" Target="media/image13.png"/><Relationship Id="rId41" Type="http://schemas.openxmlformats.org/officeDocument/2006/relationships/hyperlink" Target="https://www.reuters.com/business/bhp-group-reports-22-growth-first-half-profit-2026-02-16/" TargetMode="External"/><Relationship Id="rId1" Type="http://schemas.openxmlformats.org/officeDocument/2006/relationships/numbering" Target="numbering.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26</Pages>
  <Words>4131</Words>
  <Characters>23549</Characters>
  <Application>Microsoft Office Word</Application>
  <DocSecurity>0</DocSecurity>
  <Lines>196</Lines>
  <Paragraphs>55</Paragraphs>
  <ScaleCrop>false</ScaleCrop>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Jayraj Nathabhai keshvala</cp:lastModifiedBy>
  <cp:revision>15</cp:revision>
  <dcterms:created xsi:type="dcterms:W3CDTF">2026-10-02T12:15:00Z</dcterms:created>
  <dcterms:modified xsi:type="dcterms:W3CDTF">2026-10-07T10:40:00Z</dcterms:modified>
</cp:coreProperties>
</file>