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5CD80851">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94B4036" w:rsidR="003C154B" w:rsidRPr="00753CE4" w:rsidRDefault="00F67270" w:rsidP="00945CEC">
            <w:pPr>
              <w:rPr>
                <w:sz w:val="28"/>
                <w:szCs w:val="28"/>
              </w:rPr>
            </w:pPr>
            <w:r>
              <w:rPr>
                <w:sz w:val="28"/>
                <w:szCs w:val="28"/>
              </w:rPr>
              <w:t>Kayleigh Phillips (2012754)</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3465354" w14:textId="1F9455A9" w:rsidR="003C154B" w:rsidRPr="006F3D33" w:rsidRDefault="00F67270" w:rsidP="00945CEC">
            <w:pPr>
              <w:rPr>
                <w:i/>
                <w:sz w:val="20"/>
                <w:szCs w:val="28"/>
              </w:rPr>
            </w:pPr>
            <w:r>
              <w:rPr>
                <w:sz w:val="28"/>
                <w:szCs w:val="28"/>
              </w:rPr>
              <w:t>Zoe Cooke</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5AED2CFC" w:rsidR="009648D6" w:rsidRDefault="00E24A0F" w:rsidP="00C15547">
            <w:pPr>
              <w:rPr>
                <w:rFonts w:ascii="Arial" w:hAnsi="Arial" w:cs="Arial"/>
                <w:sz w:val="20"/>
                <w:szCs w:val="20"/>
              </w:rPr>
            </w:pPr>
            <w:r>
              <w:rPr>
                <w:rFonts w:ascii="Arial" w:hAnsi="Arial" w:cs="Arial"/>
                <w:sz w:val="20"/>
                <w:szCs w:val="20"/>
              </w:rPr>
              <w:t xml:space="preserve">Health Psychology </w:t>
            </w:r>
            <w:r w:rsidR="00F67270">
              <w:rPr>
                <w:rFonts w:ascii="Segoe UI Symbol" w:hAnsi="Segoe UI Symbol" w:cs="Segoe UI Symbol"/>
                <w:color w:val="000000"/>
                <w:sz w:val="36"/>
                <w:szCs w:val="36"/>
              </w:rPr>
              <w:t>✓</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25BBEA81"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6D1CA1F2"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r w:rsidR="00F67270">
              <w:rPr>
                <w:rFonts w:ascii="Segoe UI Symbol" w:hAnsi="Segoe UI Symbol" w:cs="Segoe UI Symbol"/>
                <w:color w:val="000000"/>
                <w:sz w:val="36"/>
                <w:szCs w:val="36"/>
              </w:rPr>
              <w:t>✓</w:t>
            </w:r>
          </w:p>
        </w:tc>
      </w:tr>
      <w:tr w:rsidR="0031057E" w:rsidRPr="00A05E89" w14:paraId="133C1C2C" w14:textId="77777777" w:rsidTr="0031057E">
        <w:tc>
          <w:tcPr>
            <w:tcW w:w="2577" w:type="dxa"/>
          </w:tcPr>
          <w:p w14:paraId="0E4AA437" w14:textId="35202B89"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2E32E3FD" w:rsidR="0031057E" w:rsidRDefault="00E7102A"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35363DCF"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r w:rsidR="00F67270">
              <w:rPr>
                <w:rFonts w:ascii="Segoe UI Symbol" w:hAnsi="Segoe UI Symbol" w:cs="Segoe UI Symbol"/>
                <w:color w:val="000000"/>
                <w:sz w:val="36"/>
                <w:szCs w:val="36"/>
              </w:rPr>
              <w:t>✓</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569D1DE5" w:rsidR="00A5268F" w:rsidRDefault="00F67270" w:rsidP="00C15547">
            <w:r>
              <w:rPr>
                <w:rFonts w:ascii="Arial" w:hAnsi="Arial" w:cs="Arial"/>
                <w:b/>
                <w:sz w:val="20"/>
              </w:rPr>
              <w:t xml:space="preserve">Exploring the </w:t>
            </w:r>
            <w:r w:rsidR="00761CE5">
              <w:rPr>
                <w:rFonts w:ascii="Arial" w:hAnsi="Arial" w:cs="Arial"/>
                <w:b/>
                <w:sz w:val="20"/>
              </w:rPr>
              <w:t xml:space="preserve">psychosocial </w:t>
            </w:r>
            <w:r>
              <w:rPr>
                <w:rFonts w:ascii="Arial" w:hAnsi="Arial" w:cs="Arial"/>
                <w:b/>
                <w:sz w:val="20"/>
              </w:rPr>
              <w:t>impact of diagnostic waiting times on individuals with endometriosis and the support needs and education of those pre-diagnosis.</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56AF22DE" w14:textId="77777777" w:rsidR="00F67270" w:rsidRPr="00813F24" w:rsidRDefault="00F67270" w:rsidP="00F67270">
            <w:pPr>
              <w:rPr>
                <w:rFonts w:ascii="Arial" w:hAnsi="Arial" w:cs="Arial"/>
                <w:bCs/>
              </w:rPr>
            </w:pPr>
          </w:p>
          <w:p w14:paraId="17D98933" w14:textId="008BEEB7" w:rsidR="00F67270" w:rsidRDefault="00F67270" w:rsidP="00761CE5">
            <w:pPr>
              <w:spacing w:line="360" w:lineRule="auto"/>
              <w:rPr>
                <w:rFonts w:ascii="Arial" w:hAnsi="Arial" w:cs="Arial"/>
                <w:bCs/>
              </w:rPr>
            </w:pPr>
            <w:r w:rsidRPr="00813F24">
              <w:rPr>
                <w:rFonts w:ascii="Arial" w:hAnsi="Arial" w:cs="Arial"/>
                <w:bCs/>
              </w:rPr>
              <w:t xml:space="preserve">Waiting for test results or a diagnosis has a significant impact on an individual’s psychological wellbeing and </w:t>
            </w:r>
            <w:r w:rsidRPr="00761CE5">
              <w:rPr>
                <w:rFonts w:ascii="Arial" w:hAnsi="Arial" w:cs="Arial"/>
                <w:bCs/>
              </w:rPr>
              <w:t>quality of life (QoL), often eliciting feeling of distress, worry and panic</w:t>
            </w:r>
            <w:r w:rsidR="00761CE5" w:rsidRPr="00761CE5">
              <w:rPr>
                <w:rFonts w:ascii="Arial" w:hAnsi="Arial" w:cs="Arial"/>
                <w:bCs/>
              </w:rPr>
              <w:t xml:space="preserve"> (</w:t>
            </w:r>
            <w:r w:rsidR="00761CE5" w:rsidRPr="00761CE5">
              <w:rPr>
                <w:rFonts w:ascii="Arial" w:hAnsi="Arial" w:cs="Arial"/>
                <w:color w:val="000000"/>
              </w:rPr>
              <w:t>Bueno-Sánchez et al., 2022; Moyneur</w:t>
            </w:r>
            <w:r w:rsidR="00761CE5">
              <w:rPr>
                <w:rFonts w:ascii="Arial" w:hAnsi="Arial" w:cs="Arial"/>
                <w:color w:val="000000"/>
              </w:rPr>
              <w:t xml:space="preserve"> et al., 2020; Sweeney et al., 2019; Sweeney, 2018</w:t>
            </w:r>
            <w:r w:rsidR="00761CE5">
              <w:rPr>
                <w:rFonts w:ascii="Arial" w:hAnsi="Arial" w:cs="Arial"/>
                <w:bCs/>
              </w:rPr>
              <w:t>)</w:t>
            </w:r>
            <w:r w:rsidRPr="00813F24">
              <w:rPr>
                <w:rFonts w:ascii="Arial" w:hAnsi="Arial" w:cs="Arial"/>
                <w:bCs/>
              </w:rPr>
              <w:t xml:space="preserve">. </w:t>
            </w:r>
          </w:p>
          <w:p w14:paraId="0F71283F" w14:textId="77777777" w:rsidR="00F67270" w:rsidRPr="00813F24" w:rsidRDefault="00F67270" w:rsidP="00761CE5">
            <w:pPr>
              <w:spacing w:line="360" w:lineRule="auto"/>
              <w:rPr>
                <w:rFonts w:ascii="Arial" w:hAnsi="Arial" w:cs="Arial"/>
                <w:bCs/>
              </w:rPr>
            </w:pPr>
          </w:p>
          <w:p w14:paraId="0321ADA4" w14:textId="208D6117" w:rsidR="00F67270" w:rsidRDefault="00F67270" w:rsidP="00761CE5">
            <w:pPr>
              <w:spacing w:line="360" w:lineRule="auto"/>
              <w:rPr>
                <w:rFonts w:ascii="Arial" w:hAnsi="Arial" w:cs="Arial"/>
                <w:bCs/>
              </w:rPr>
            </w:pPr>
            <w:r w:rsidRPr="00813F24">
              <w:rPr>
                <w:rFonts w:ascii="Arial" w:hAnsi="Arial" w:cs="Arial"/>
                <w:bCs/>
              </w:rPr>
              <w:t>There is a vast amount of research into the impact on psychological wellbeing, such as depression and anxiety, that current medical waiting times can have on an individual (Gagliardi et al., 202</w:t>
            </w:r>
            <w:r>
              <w:rPr>
                <w:rFonts w:ascii="Arial" w:hAnsi="Arial" w:cs="Arial"/>
                <w:bCs/>
              </w:rPr>
              <w:t>1; Bo</w:t>
            </w:r>
            <w:r w:rsidR="00E77D68">
              <w:rPr>
                <w:rFonts w:ascii="Arial" w:hAnsi="Arial" w:cs="Arial"/>
                <w:bCs/>
              </w:rPr>
              <w:t>l</w:t>
            </w:r>
            <w:r>
              <w:rPr>
                <w:rFonts w:ascii="Arial" w:hAnsi="Arial" w:cs="Arial"/>
                <w:bCs/>
              </w:rPr>
              <w:t>vin &amp; Lancastle, 2010). Little investigation has been conducted surrounding those awaiting formal diagnosis for endometriosis for either investigative laparoscopy or for those diagnosed for excision. Endometriosis is a health condition that impacts 1 in 10 individuals</w:t>
            </w:r>
            <w:r w:rsidR="00761CE5">
              <w:rPr>
                <w:rFonts w:ascii="Arial" w:hAnsi="Arial" w:cs="Arial"/>
                <w:bCs/>
              </w:rPr>
              <w:t xml:space="preserve"> physically and mentally</w:t>
            </w:r>
            <w:r>
              <w:rPr>
                <w:rFonts w:ascii="Arial" w:hAnsi="Arial" w:cs="Arial"/>
                <w:bCs/>
              </w:rPr>
              <w:t>, with waiting times estimated to be around 8-10 years</w:t>
            </w:r>
            <w:r w:rsidR="00761CE5">
              <w:rPr>
                <w:rFonts w:ascii="Arial" w:hAnsi="Arial" w:cs="Arial"/>
                <w:bCs/>
              </w:rPr>
              <w:t>, in Wales this is 9 years</w:t>
            </w:r>
            <w:r>
              <w:rPr>
                <w:rFonts w:ascii="Arial" w:hAnsi="Arial" w:cs="Arial"/>
                <w:bCs/>
              </w:rPr>
              <w:t xml:space="preserve"> (Endometriosis UK, 202</w:t>
            </w:r>
            <w:r w:rsidR="00736609">
              <w:rPr>
                <w:rFonts w:ascii="Arial" w:hAnsi="Arial" w:cs="Arial"/>
                <w:bCs/>
              </w:rPr>
              <w:t>4</w:t>
            </w:r>
            <w:r>
              <w:rPr>
                <w:rFonts w:ascii="Arial" w:hAnsi="Arial" w:cs="Arial"/>
                <w:bCs/>
              </w:rPr>
              <w:t>). This research will explore the psychosocial impact of individuals waiting for a diagnosis compared to those who have received a formal diagnosis</w:t>
            </w:r>
            <w:r w:rsidR="00761CE5">
              <w:rPr>
                <w:rFonts w:ascii="Arial" w:hAnsi="Arial" w:cs="Arial"/>
                <w:bCs/>
              </w:rPr>
              <w:t>, utilising the Common-Sense Model of Illness Representations (CSM; Leventhal et al., 1980) to assess how beliefs and knowledge surrounding endometriosis can impact QoL and wellbeing</w:t>
            </w:r>
            <w:r>
              <w:rPr>
                <w:rFonts w:ascii="Arial" w:hAnsi="Arial" w:cs="Arial"/>
                <w:bCs/>
              </w:rPr>
              <w:t xml:space="preserve">. </w:t>
            </w:r>
          </w:p>
          <w:p w14:paraId="3E0F1B42" w14:textId="77777777" w:rsidR="00F67270" w:rsidRDefault="00F67270" w:rsidP="00761CE5">
            <w:pPr>
              <w:spacing w:line="360" w:lineRule="auto"/>
              <w:rPr>
                <w:rFonts w:ascii="Arial" w:hAnsi="Arial" w:cs="Arial"/>
                <w:bCs/>
              </w:rPr>
            </w:pPr>
          </w:p>
          <w:p w14:paraId="6CF4C981" w14:textId="5C5C24A7" w:rsidR="00992264" w:rsidRPr="00360403" w:rsidRDefault="00F67270" w:rsidP="00761CE5">
            <w:pPr>
              <w:spacing w:line="360" w:lineRule="auto"/>
              <w:rPr>
                <w:rFonts w:ascii="Arial" w:hAnsi="Arial" w:cs="Arial"/>
                <w:bCs/>
              </w:rPr>
            </w:pPr>
            <w:r>
              <w:rPr>
                <w:rFonts w:ascii="Arial" w:hAnsi="Arial" w:cs="Arial"/>
                <w:bCs/>
              </w:rPr>
              <w:t>The Endometriosis Health Profile (EH</w:t>
            </w:r>
            <w:r w:rsidR="00EA3CDA">
              <w:rPr>
                <w:rFonts w:ascii="Arial" w:hAnsi="Arial" w:cs="Arial"/>
                <w:bCs/>
              </w:rPr>
              <w:t>P</w:t>
            </w:r>
            <w:r>
              <w:rPr>
                <w:rFonts w:ascii="Arial" w:hAnsi="Arial" w:cs="Arial"/>
                <w:bCs/>
              </w:rPr>
              <w:t xml:space="preserve">) is a </w:t>
            </w:r>
            <w:r w:rsidR="001B5C3E">
              <w:rPr>
                <w:rFonts w:ascii="Arial" w:hAnsi="Arial" w:cs="Arial"/>
                <w:bCs/>
              </w:rPr>
              <w:t>health related</w:t>
            </w:r>
            <w:r>
              <w:rPr>
                <w:rFonts w:ascii="Arial" w:hAnsi="Arial" w:cs="Arial"/>
                <w:bCs/>
              </w:rPr>
              <w:t xml:space="preserve"> QoL scale, specifically anchored towards endometriosis (Jones et al., 2001). The EH</w:t>
            </w:r>
            <w:r w:rsidR="00EA3CDA">
              <w:rPr>
                <w:rFonts w:ascii="Arial" w:hAnsi="Arial" w:cs="Arial"/>
                <w:bCs/>
              </w:rPr>
              <w:t>P</w:t>
            </w:r>
            <w:r>
              <w:rPr>
                <w:rFonts w:ascii="Arial" w:hAnsi="Arial" w:cs="Arial"/>
                <w:bCs/>
              </w:rPr>
              <w:t xml:space="preserve"> successfully addresses concerns felt by individuals with endometriosis when clinically compared to general QoL scales to identify the impact of surgical and medical interventions (Jones et al., 2024). This study would implement the EH</w:t>
            </w:r>
            <w:r w:rsidR="00EA3CDA">
              <w:rPr>
                <w:rFonts w:ascii="Arial" w:hAnsi="Arial" w:cs="Arial"/>
                <w:bCs/>
              </w:rPr>
              <w:t>P</w:t>
            </w:r>
            <w:r>
              <w:rPr>
                <w:rFonts w:ascii="Arial" w:hAnsi="Arial" w:cs="Arial"/>
                <w:bCs/>
              </w:rPr>
              <w:t xml:space="preserve"> to assess QoL for those awaiting a diagnosis and with a formal diagnosis to gather quantitative data</w:t>
            </w:r>
            <w:r w:rsidR="00761CE5">
              <w:rPr>
                <w:rFonts w:ascii="Arial" w:hAnsi="Arial" w:cs="Arial"/>
                <w:bCs/>
              </w:rPr>
              <w:t xml:space="preserve"> along with additional qualitative open-ended questions to explore support and information needs to </w:t>
            </w:r>
            <w:r>
              <w:rPr>
                <w:rFonts w:ascii="Arial" w:hAnsi="Arial" w:cs="Arial"/>
                <w:bCs/>
              </w:rPr>
              <w:t>potentially establish effective support interventions for those waiting for a formal diagno</w:t>
            </w:r>
            <w:r w:rsidRPr="00360403">
              <w:rPr>
                <w:rFonts w:ascii="Arial" w:hAnsi="Arial" w:cs="Arial"/>
                <w:bCs/>
              </w:rPr>
              <w:t>sis.</w:t>
            </w:r>
          </w:p>
          <w:p w14:paraId="4FA98648" w14:textId="77777777" w:rsidR="00BC17A0" w:rsidRDefault="00BC17A0" w:rsidP="00761CE5">
            <w:pPr>
              <w:spacing w:line="360" w:lineRule="auto"/>
              <w:rPr>
                <w:rFonts w:ascii="Arial" w:hAnsi="Arial" w:cs="Arial"/>
                <w:bCs/>
              </w:rPr>
            </w:pPr>
          </w:p>
          <w:p w14:paraId="63098618" w14:textId="20392919" w:rsidR="00761CE5" w:rsidRDefault="00761CE5" w:rsidP="00761CE5">
            <w:pPr>
              <w:pStyle w:val="Heading1"/>
              <w:jc w:val="left"/>
              <w:rPr>
                <w:sz w:val="24"/>
                <w:szCs w:val="24"/>
                <w:u w:val="single"/>
              </w:rPr>
            </w:pPr>
            <w:r w:rsidRPr="00761CE5">
              <w:rPr>
                <w:sz w:val="24"/>
                <w:szCs w:val="24"/>
                <w:u w:val="single"/>
              </w:rPr>
              <w:t>Reference List</w:t>
            </w:r>
          </w:p>
          <w:p w14:paraId="30562066" w14:textId="77777777" w:rsidR="00761CE5" w:rsidRPr="00761CE5" w:rsidRDefault="00761CE5" w:rsidP="00761CE5"/>
          <w:p w14:paraId="303C6A25" w14:textId="0967E634"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r w:rsidRPr="00761CE5">
              <w:rPr>
                <w:rFonts w:ascii="Arial" w:hAnsi="Arial" w:cs="Arial"/>
                <w:color w:val="000000"/>
              </w:rPr>
              <w:t>Bueno-Sánchez, L., Alhambra-Borrás, T., Gallego-Valadés, A., &amp; Garcés-Ferrer, J. (2022). Quality of Life and Conformity to Gender Norms in Women Receiving Assisted Reproductive Technologies as a Potential Indicator of Mental Health.</w:t>
            </w:r>
            <w:r w:rsidRPr="00761CE5">
              <w:rPr>
                <w:rStyle w:val="apple-converted-space"/>
                <w:rFonts w:ascii="Arial" w:hAnsi="Arial" w:cs="Arial"/>
                <w:color w:val="000000"/>
              </w:rPr>
              <w:t> </w:t>
            </w:r>
            <w:r w:rsidRPr="00761CE5">
              <w:rPr>
                <w:rFonts w:ascii="Arial" w:hAnsi="Arial" w:cs="Arial"/>
                <w:i/>
                <w:iCs/>
                <w:color w:val="000000"/>
              </w:rPr>
              <w:t xml:space="preserve">International </w:t>
            </w:r>
            <w:r w:rsidRPr="00761CE5">
              <w:rPr>
                <w:rFonts w:ascii="Arial" w:hAnsi="Arial" w:cs="Arial"/>
                <w:i/>
                <w:iCs/>
                <w:color w:val="000000"/>
              </w:rPr>
              <w:lastRenderedPageBreak/>
              <w:t>Journal of Environmental Research and Public Health</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19</w:t>
            </w:r>
            <w:r w:rsidRPr="00761CE5">
              <w:rPr>
                <w:rFonts w:ascii="Arial" w:hAnsi="Arial" w:cs="Arial"/>
                <w:color w:val="000000"/>
              </w:rPr>
              <w:t>(16), 10031. https://doi.org/10.3390/ijerph191610031</w:t>
            </w:r>
          </w:p>
          <w:p w14:paraId="16A44C9C" w14:textId="77777777" w:rsidR="00E77D68" w:rsidRPr="00761CE5" w:rsidRDefault="00E77D68" w:rsidP="00761CE5">
            <w:pPr>
              <w:pStyle w:val="NormalWeb"/>
              <w:spacing w:line="480" w:lineRule="auto"/>
              <w:ind w:left="567" w:hanging="567"/>
              <w:rPr>
                <w:rFonts w:ascii="Arial" w:hAnsi="Arial" w:cs="Arial"/>
                <w:color w:val="000000"/>
              </w:rPr>
            </w:pPr>
            <w:r w:rsidRPr="00761CE5">
              <w:rPr>
                <w:rFonts w:ascii="Arial" w:hAnsi="Arial" w:cs="Arial"/>
                <w:color w:val="000000"/>
              </w:rPr>
              <w:t>Bolvin, J., &amp; Lancastle, D. (2010). Medical waiting periods: Imminence, emotions and coping.</w:t>
            </w:r>
            <w:r w:rsidRPr="00761CE5">
              <w:rPr>
                <w:rStyle w:val="apple-converted-space"/>
                <w:rFonts w:ascii="Arial" w:hAnsi="Arial" w:cs="Arial"/>
                <w:color w:val="000000"/>
              </w:rPr>
              <w:t> </w:t>
            </w:r>
            <w:r w:rsidRPr="00761CE5">
              <w:rPr>
                <w:rFonts w:ascii="Arial" w:hAnsi="Arial" w:cs="Arial"/>
                <w:i/>
                <w:iCs/>
                <w:color w:val="000000"/>
              </w:rPr>
              <w:t>Women’s Health</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6</w:t>
            </w:r>
            <w:r w:rsidRPr="00761CE5">
              <w:rPr>
                <w:rFonts w:ascii="Arial" w:hAnsi="Arial" w:cs="Arial"/>
                <w:color w:val="000000"/>
              </w:rPr>
              <w:t>(1), 59–69. https://doi.org/10.2217/whe.09.79</w:t>
            </w:r>
            <w:r w:rsidRPr="00761CE5">
              <w:rPr>
                <w:rStyle w:val="apple-converted-space"/>
                <w:rFonts w:ascii="Arial" w:hAnsi="Arial" w:cs="Arial"/>
                <w:color w:val="000000"/>
              </w:rPr>
              <w:t> </w:t>
            </w:r>
          </w:p>
          <w:p w14:paraId="381BBBD6" w14:textId="7199BCDC" w:rsidR="00E77D68" w:rsidRPr="00761CE5" w:rsidRDefault="00E77D68" w:rsidP="00761CE5">
            <w:pPr>
              <w:pStyle w:val="NormalWeb"/>
              <w:spacing w:line="480" w:lineRule="auto"/>
              <w:ind w:left="567" w:hanging="567"/>
              <w:rPr>
                <w:rFonts w:ascii="Arial" w:hAnsi="Arial" w:cs="Arial"/>
                <w:color w:val="000000"/>
              </w:rPr>
            </w:pPr>
            <w:r w:rsidRPr="00761CE5">
              <w:rPr>
                <w:rFonts w:ascii="Arial" w:hAnsi="Arial" w:cs="Arial"/>
                <w:color w:val="000000"/>
              </w:rPr>
              <w:t>Endometriosis UK. (2024).</w:t>
            </w:r>
            <w:r w:rsidRPr="00761CE5">
              <w:rPr>
                <w:rStyle w:val="apple-converted-space"/>
                <w:rFonts w:ascii="Arial" w:hAnsi="Arial" w:cs="Arial"/>
                <w:color w:val="000000"/>
              </w:rPr>
              <w:t> </w:t>
            </w:r>
            <w:r w:rsidRPr="00761CE5">
              <w:rPr>
                <w:rFonts w:ascii="Arial" w:hAnsi="Arial" w:cs="Arial"/>
                <w:i/>
                <w:iCs/>
                <w:color w:val="000000"/>
              </w:rPr>
              <w:t>“Dismissed, ignored and belittled” The long road to endometriosis diagnosis in the UK</w:t>
            </w:r>
            <w:r w:rsidRPr="00761CE5">
              <w:rPr>
                <w:rFonts w:ascii="Arial" w:hAnsi="Arial" w:cs="Arial"/>
                <w:color w:val="000000"/>
              </w:rPr>
              <w:t>. Retrieved from https://www.endometriosis-uk.org/sites/default/files/2024-03/Endometriosis%20UK%20diagnosis%20survey%202023%20report%20March.pdf.</w:t>
            </w:r>
            <w:r w:rsidRPr="00761CE5">
              <w:rPr>
                <w:rStyle w:val="apple-converted-space"/>
                <w:rFonts w:ascii="Arial" w:hAnsi="Arial" w:cs="Arial"/>
                <w:color w:val="000000"/>
              </w:rPr>
              <w:t> </w:t>
            </w:r>
          </w:p>
          <w:p w14:paraId="1B01DF4E" w14:textId="77777777" w:rsidR="00E77D68" w:rsidRPr="00761CE5" w:rsidRDefault="00E77D68" w:rsidP="00761CE5">
            <w:pPr>
              <w:pStyle w:val="NormalWeb"/>
              <w:spacing w:line="480" w:lineRule="auto"/>
              <w:ind w:left="567" w:hanging="567"/>
              <w:rPr>
                <w:rFonts w:ascii="Arial" w:hAnsi="Arial" w:cs="Arial"/>
                <w:color w:val="000000"/>
              </w:rPr>
            </w:pPr>
            <w:r w:rsidRPr="00761CE5">
              <w:rPr>
                <w:rFonts w:ascii="Arial" w:hAnsi="Arial" w:cs="Arial"/>
                <w:color w:val="000000"/>
              </w:rPr>
              <w:t>Gagliardi, A. R., Yip, C. Y., Irish, J., Wright, F. C., Rubin, B., Ross, H., Green, R., Abbey, S., McAndrews, M. P., &amp; Stewart, D. E. (2021). The psychological burden of waiting for procedures and patient</w:t>
            </w:r>
            <w:r w:rsidRPr="00761CE5">
              <w:rPr>
                <w:rFonts w:ascii="Cambria Math" w:hAnsi="Cambria Math" w:cs="Cambria Math"/>
                <w:color w:val="000000"/>
              </w:rPr>
              <w:t>‐</w:t>
            </w:r>
            <w:r w:rsidRPr="00761CE5">
              <w:rPr>
                <w:rFonts w:ascii="Arial" w:hAnsi="Arial" w:cs="Arial"/>
                <w:color w:val="000000"/>
              </w:rPr>
              <w:t>centred strategies that could support the mental health of wait</w:t>
            </w:r>
            <w:r w:rsidRPr="00761CE5">
              <w:rPr>
                <w:rFonts w:ascii="Cambria Math" w:hAnsi="Cambria Math" w:cs="Cambria Math"/>
                <w:color w:val="000000"/>
              </w:rPr>
              <w:t>‐</w:t>
            </w:r>
            <w:r w:rsidRPr="00761CE5">
              <w:rPr>
                <w:rFonts w:ascii="Arial" w:hAnsi="Arial" w:cs="Arial"/>
                <w:color w:val="000000"/>
              </w:rPr>
              <w:t>listed patients and caregivers during the COVID</w:t>
            </w:r>
            <w:r w:rsidRPr="00761CE5">
              <w:rPr>
                <w:rFonts w:ascii="Cambria Math" w:hAnsi="Cambria Math" w:cs="Cambria Math"/>
                <w:color w:val="000000"/>
              </w:rPr>
              <w:t>‐</w:t>
            </w:r>
            <w:r w:rsidRPr="00761CE5">
              <w:rPr>
                <w:rFonts w:ascii="Arial" w:hAnsi="Arial" w:cs="Arial"/>
                <w:color w:val="000000"/>
              </w:rPr>
              <w:t>19 pandemic: A scoping review.</w:t>
            </w:r>
            <w:r w:rsidRPr="00761CE5">
              <w:rPr>
                <w:rStyle w:val="apple-converted-space"/>
                <w:rFonts w:ascii="Arial" w:hAnsi="Arial" w:cs="Arial"/>
                <w:color w:val="000000"/>
              </w:rPr>
              <w:t> </w:t>
            </w:r>
            <w:r w:rsidRPr="00761CE5">
              <w:rPr>
                <w:rFonts w:ascii="Arial" w:hAnsi="Arial" w:cs="Arial"/>
                <w:i/>
                <w:iCs/>
                <w:color w:val="000000"/>
              </w:rPr>
              <w:t>Health Expectations</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24</w:t>
            </w:r>
            <w:r w:rsidRPr="00761CE5">
              <w:rPr>
                <w:rFonts w:ascii="Arial" w:hAnsi="Arial" w:cs="Arial"/>
                <w:color w:val="000000"/>
              </w:rPr>
              <w:t>(3), 978–990. https://doi.org/10.1111/hex.13241</w:t>
            </w:r>
            <w:r w:rsidRPr="00761CE5">
              <w:rPr>
                <w:rStyle w:val="apple-converted-space"/>
                <w:rFonts w:ascii="Arial" w:hAnsi="Arial" w:cs="Arial"/>
                <w:color w:val="000000"/>
              </w:rPr>
              <w:t> </w:t>
            </w:r>
          </w:p>
          <w:p w14:paraId="31E06FA8" w14:textId="77777777" w:rsidR="00E77D68" w:rsidRPr="00761CE5" w:rsidRDefault="00E77D68" w:rsidP="00761CE5">
            <w:pPr>
              <w:pStyle w:val="NormalWeb"/>
              <w:spacing w:line="480" w:lineRule="auto"/>
              <w:ind w:left="567" w:hanging="567"/>
              <w:rPr>
                <w:rFonts w:ascii="Arial" w:hAnsi="Arial" w:cs="Arial"/>
                <w:color w:val="000000"/>
              </w:rPr>
            </w:pPr>
            <w:r w:rsidRPr="00761CE5">
              <w:rPr>
                <w:rFonts w:ascii="Arial" w:hAnsi="Arial" w:cs="Arial"/>
                <w:color w:val="000000"/>
              </w:rPr>
              <w:t>Jones, G. L., Budds, K., Taylor, F., Musson, D., Raymer, J., Churchman, D., Kennedy, S. H., &amp; Jenkinson, C. (2024). A systematic review to determine use of the endometriosis health profiles to measure quality of life outcomes in women with endometriosis.</w:t>
            </w:r>
            <w:r w:rsidRPr="00761CE5">
              <w:rPr>
                <w:rStyle w:val="apple-converted-space"/>
                <w:rFonts w:ascii="Arial" w:hAnsi="Arial" w:cs="Arial"/>
                <w:color w:val="000000"/>
              </w:rPr>
              <w:t> </w:t>
            </w:r>
            <w:r w:rsidRPr="00761CE5">
              <w:rPr>
                <w:rFonts w:ascii="Arial" w:hAnsi="Arial" w:cs="Arial"/>
                <w:i/>
                <w:iCs/>
                <w:color w:val="000000"/>
              </w:rPr>
              <w:t>Human Reproduction Update</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30</w:t>
            </w:r>
            <w:r w:rsidRPr="00761CE5">
              <w:rPr>
                <w:rFonts w:ascii="Arial" w:hAnsi="Arial" w:cs="Arial"/>
                <w:color w:val="000000"/>
              </w:rPr>
              <w:t>(2), 186–214. https://doi.org/10.1093/humupd/dmad029</w:t>
            </w:r>
            <w:r w:rsidRPr="00761CE5">
              <w:rPr>
                <w:rStyle w:val="apple-converted-space"/>
                <w:rFonts w:ascii="Arial" w:hAnsi="Arial" w:cs="Arial"/>
                <w:color w:val="000000"/>
              </w:rPr>
              <w:t> </w:t>
            </w:r>
          </w:p>
          <w:p w14:paraId="36BBA0A6" w14:textId="77777777" w:rsidR="00B91B51" w:rsidRDefault="00E77D68" w:rsidP="00761CE5">
            <w:pPr>
              <w:pStyle w:val="NormalWeb"/>
              <w:spacing w:line="480" w:lineRule="auto"/>
              <w:ind w:left="567" w:hanging="567"/>
              <w:rPr>
                <w:rStyle w:val="apple-converted-space"/>
                <w:rFonts w:ascii="Arial" w:hAnsi="Arial" w:cs="Arial"/>
                <w:color w:val="000000"/>
              </w:rPr>
            </w:pPr>
            <w:r w:rsidRPr="00761CE5">
              <w:rPr>
                <w:rFonts w:ascii="Arial" w:hAnsi="Arial" w:cs="Arial"/>
                <w:color w:val="000000"/>
              </w:rPr>
              <w:t>Jones, G., Jenkinson, C., Wong, J., Barnard, A., &amp; Kennedy, S. (2001). Development of an endometriosis quality-of-life instrument: The endometriosis health profile-30.</w:t>
            </w:r>
            <w:r w:rsidRPr="00761CE5">
              <w:rPr>
                <w:rStyle w:val="apple-converted-space"/>
                <w:rFonts w:ascii="Arial" w:hAnsi="Arial" w:cs="Arial"/>
                <w:color w:val="000000"/>
              </w:rPr>
              <w:t> </w:t>
            </w:r>
            <w:r w:rsidRPr="00761CE5">
              <w:rPr>
                <w:rFonts w:ascii="Arial" w:hAnsi="Arial" w:cs="Arial"/>
                <w:i/>
                <w:iCs/>
                <w:color w:val="000000"/>
              </w:rPr>
              <w:t>Obstetrics &amp;amp; Gynecology</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98</w:t>
            </w:r>
            <w:r w:rsidRPr="00761CE5">
              <w:rPr>
                <w:rFonts w:ascii="Arial" w:hAnsi="Arial" w:cs="Arial"/>
                <w:color w:val="000000"/>
              </w:rPr>
              <w:t>(2), 258–264. https://doi.org/10.1016/s0029-7844(01)01433-8</w:t>
            </w:r>
            <w:r w:rsidRPr="00761CE5">
              <w:rPr>
                <w:rStyle w:val="apple-converted-space"/>
                <w:rFonts w:ascii="Arial" w:hAnsi="Arial" w:cs="Arial"/>
                <w:color w:val="000000"/>
              </w:rPr>
              <w:t> </w:t>
            </w:r>
          </w:p>
          <w:p w14:paraId="1F5B4E31" w14:textId="48CACDFC" w:rsidR="00761CE5" w:rsidRPr="00761CE5" w:rsidRDefault="00761CE5" w:rsidP="00761CE5">
            <w:pPr>
              <w:pStyle w:val="NormalWeb"/>
              <w:spacing w:line="480" w:lineRule="auto"/>
              <w:ind w:left="567" w:hanging="567"/>
              <w:rPr>
                <w:rStyle w:val="apple-converted-space"/>
                <w:rFonts w:ascii="Arial" w:hAnsi="Arial" w:cs="Arial"/>
                <w:color w:val="000000"/>
              </w:rPr>
            </w:pPr>
            <w:r w:rsidRPr="00761CE5">
              <w:rPr>
                <w:rFonts w:ascii="Arial" w:hAnsi="Arial" w:cs="Arial"/>
                <w:color w:val="333333"/>
              </w:rPr>
              <w:t>Leventhal, H., Meyer, D., &amp; Nerenz, D. (1980). The common sense model of illness danger. In S. Rachman (Ed.),</w:t>
            </w:r>
            <w:r w:rsidRPr="00761CE5">
              <w:rPr>
                <w:rStyle w:val="apple-converted-space"/>
                <w:rFonts w:ascii="Arial" w:hAnsi="Arial" w:cs="Arial"/>
                <w:color w:val="333333"/>
              </w:rPr>
              <w:t> </w:t>
            </w:r>
            <w:r w:rsidRPr="00761CE5">
              <w:rPr>
                <w:rStyle w:val="citationsource-book"/>
                <w:rFonts w:ascii="Arial" w:hAnsi="Arial" w:cs="Arial"/>
                <w:i/>
                <w:iCs/>
                <w:color w:val="333333"/>
              </w:rPr>
              <w:t>Medical psychology</w:t>
            </w:r>
            <w:r w:rsidRPr="00761CE5">
              <w:rPr>
                <w:rStyle w:val="apple-converted-space"/>
                <w:rFonts w:ascii="Arial" w:hAnsi="Arial" w:cs="Arial"/>
                <w:color w:val="333333"/>
              </w:rPr>
              <w:t> </w:t>
            </w:r>
            <w:r w:rsidRPr="00761CE5">
              <w:rPr>
                <w:rFonts w:ascii="Arial" w:hAnsi="Arial" w:cs="Arial"/>
                <w:color w:val="333333"/>
              </w:rPr>
              <w:t>(Vol. II, pp. 7–30). Pergamon Press.</w:t>
            </w:r>
            <w:r>
              <w:rPr>
                <w:rFonts w:ascii="Arial" w:hAnsi="Arial" w:cs="Arial"/>
                <w:color w:val="333333"/>
              </w:rPr>
              <w:t xml:space="preserve"> </w:t>
            </w:r>
            <w:r w:rsidRPr="00761CE5">
              <w:rPr>
                <w:rFonts w:ascii="Arial" w:hAnsi="Arial" w:cs="Arial"/>
                <w:color w:val="333333"/>
              </w:rPr>
              <w:t>https://www.researchgate.net/profile/Howard-Leventhal/publication/303283742_The_common_sense_representation_of_illness_dange</w:t>
            </w:r>
            <w:r w:rsidRPr="00761CE5">
              <w:rPr>
                <w:rFonts w:ascii="Arial" w:hAnsi="Arial" w:cs="Arial"/>
                <w:color w:val="333333"/>
              </w:rPr>
              <w:lastRenderedPageBreak/>
              <w:t>r/links/5e407e85a6fdccd965962683/The-common-sense-representation-of-illness-danger.pdf</w:t>
            </w:r>
          </w:p>
          <w:p w14:paraId="417A01C9" w14:textId="2BA87A11"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r w:rsidRPr="00761CE5">
              <w:rPr>
                <w:rFonts w:ascii="Arial" w:hAnsi="Arial" w:cs="Arial"/>
                <w:color w:val="000000"/>
              </w:rPr>
              <w:t>Moyneur, E., Dea, K., Derogatis, L. R., Vekeman, F., Dury, A. Y., &amp; Labrie, F. (2020). Prevalence of depression and anxiety in women newly diagnosed with vulvovaginal atrophy and dyspareunia.</w:t>
            </w:r>
            <w:r w:rsidRPr="00761CE5">
              <w:rPr>
                <w:rStyle w:val="apple-converted-space"/>
                <w:rFonts w:ascii="Arial" w:hAnsi="Arial" w:cs="Arial"/>
                <w:color w:val="000000"/>
              </w:rPr>
              <w:t> </w:t>
            </w:r>
            <w:r w:rsidRPr="00761CE5">
              <w:rPr>
                <w:rFonts w:ascii="Arial" w:hAnsi="Arial" w:cs="Arial"/>
                <w:i/>
                <w:iCs/>
                <w:color w:val="000000"/>
              </w:rPr>
              <w:t>Menopause</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27</w:t>
            </w:r>
            <w:r w:rsidRPr="00761CE5">
              <w:rPr>
                <w:rFonts w:ascii="Arial" w:hAnsi="Arial" w:cs="Arial"/>
                <w:color w:val="000000"/>
              </w:rPr>
              <w:t>(2), 134–142. https://doi.org/10.1097/gme.0000000000001450</w:t>
            </w:r>
          </w:p>
          <w:p w14:paraId="6B315E4A" w14:textId="77777777"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p>
          <w:p w14:paraId="00A3569D" w14:textId="4F6A6894"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r w:rsidRPr="00761CE5">
              <w:rPr>
                <w:rFonts w:ascii="Arial" w:hAnsi="Arial" w:cs="Arial"/>
                <w:color w:val="000000"/>
              </w:rPr>
              <w:t>Sweeny, K. (2018). On the Experience of Awaiting Uncertain News.</w:t>
            </w:r>
            <w:r w:rsidRPr="00761CE5">
              <w:rPr>
                <w:rStyle w:val="apple-converted-space"/>
                <w:rFonts w:ascii="Arial" w:hAnsi="Arial" w:cs="Arial"/>
                <w:color w:val="000000"/>
              </w:rPr>
              <w:t> </w:t>
            </w:r>
            <w:r w:rsidRPr="00761CE5">
              <w:rPr>
                <w:rFonts w:ascii="Arial" w:hAnsi="Arial" w:cs="Arial"/>
                <w:i/>
                <w:iCs/>
                <w:color w:val="000000"/>
              </w:rPr>
              <w:t>Current Directions in Psychological Science</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27</w:t>
            </w:r>
            <w:r w:rsidRPr="00761CE5">
              <w:rPr>
                <w:rFonts w:ascii="Arial" w:hAnsi="Arial" w:cs="Arial"/>
                <w:color w:val="000000"/>
              </w:rPr>
              <w:t>(4), 281–285. https://doi.org/10.1177/0963721417754197</w:t>
            </w:r>
          </w:p>
          <w:p w14:paraId="0D4EADD6" w14:textId="77777777"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p>
          <w:p w14:paraId="5E6737FD" w14:textId="56B0E36B" w:rsidR="00761CE5" w:rsidRPr="00761CE5" w:rsidRDefault="00761CE5" w:rsidP="00761CE5">
            <w:pPr>
              <w:pStyle w:val="NormalWeb"/>
              <w:spacing w:before="0" w:beforeAutospacing="0" w:after="0" w:afterAutospacing="0" w:line="480" w:lineRule="auto"/>
              <w:ind w:left="720" w:hanging="720"/>
              <w:rPr>
                <w:rFonts w:ascii="Arial" w:hAnsi="Arial" w:cs="Arial"/>
                <w:color w:val="000000"/>
              </w:rPr>
            </w:pPr>
            <w:r w:rsidRPr="00761CE5">
              <w:rPr>
                <w:rFonts w:ascii="Arial" w:hAnsi="Arial" w:cs="Arial"/>
                <w:color w:val="000000"/>
              </w:rPr>
              <w:t>Sweeny, K., Kwan, V., &amp; Falkenstein, A. (2019). The Role of Gender in Worry and Efforts to Cope during Stressful Waiting Periods.</w:t>
            </w:r>
            <w:r w:rsidRPr="00761CE5">
              <w:rPr>
                <w:rStyle w:val="apple-converted-space"/>
                <w:rFonts w:ascii="Arial" w:hAnsi="Arial" w:cs="Arial"/>
                <w:color w:val="000000"/>
              </w:rPr>
              <w:t> </w:t>
            </w:r>
            <w:r w:rsidRPr="00761CE5">
              <w:rPr>
                <w:rFonts w:ascii="Arial" w:hAnsi="Arial" w:cs="Arial"/>
                <w:i/>
                <w:iCs/>
                <w:color w:val="000000"/>
              </w:rPr>
              <w:t>Sex Roles</w:t>
            </w:r>
            <w:r w:rsidRPr="00761CE5">
              <w:rPr>
                <w:rFonts w:ascii="Arial" w:hAnsi="Arial" w:cs="Arial"/>
                <w:color w:val="000000"/>
              </w:rPr>
              <w:t>,</w:t>
            </w:r>
            <w:r w:rsidRPr="00761CE5">
              <w:rPr>
                <w:rStyle w:val="apple-converted-space"/>
                <w:rFonts w:ascii="Arial" w:hAnsi="Arial" w:cs="Arial"/>
                <w:color w:val="000000"/>
              </w:rPr>
              <w:t> </w:t>
            </w:r>
            <w:r w:rsidRPr="00761CE5">
              <w:rPr>
                <w:rFonts w:ascii="Arial" w:hAnsi="Arial" w:cs="Arial"/>
                <w:i/>
                <w:iCs/>
                <w:color w:val="000000"/>
              </w:rPr>
              <w:t>81</w:t>
            </w:r>
            <w:r w:rsidRPr="00761CE5">
              <w:rPr>
                <w:rFonts w:ascii="Arial" w:hAnsi="Arial" w:cs="Arial"/>
                <w:color w:val="000000"/>
              </w:rPr>
              <w:t>(11-12), 765–778. https://doi.org/10.1007/s11199-019-01023-1</w:t>
            </w: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Pr="00373E62" w:rsidRDefault="00B24417" w:rsidP="00B24417">
            <w:pPr>
              <w:rPr>
                <w:rFonts w:ascii="Arial" w:hAnsi="Arial" w:cs="Arial"/>
                <w:b/>
              </w:rPr>
            </w:pPr>
          </w:p>
          <w:p w14:paraId="116A6F3D" w14:textId="77777777" w:rsidR="00F67270" w:rsidRPr="00373E62" w:rsidRDefault="00F67270" w:rsidP="00761CE5">
            <w:pPr>
              <w:spacing w:line="360" w:lineRule="auto"/>
              <w:rPr>
                <w:rFonts w:ascii="Arial" w:hAnsi="Arial" w:cs="Arial"/>
                <w:bCs/>
              </w:rPr>
            </w:pPr>
            <w:r w:rsidRPr="00373E62">
              <w:rPr>
                <w:rFonts w:ascii="Arial" w:hAnsi="Arial" w:cs="Arial"/>
                <w:bCs/>
              </w:rPr>
              <w:t xml:space="preserve">A mixed methods approach exploring the impact of diagnostic waiting times on individuals with endometriosis and the support needs and education of those pre-diagnosis. </w:t>
            </w:r>
          </w:p>
          <w:p w14:paraId="3B3A37E6" w14:textId="77777777" w:rsidR="00F67270" w:rsidRPr="00373E62" w:rsidRDefault="00F67270" w:rsidP="00761CE5">
            <w:pPr>
              <w:spacing w:line="360" w:lineRule="auto"/>
              <w:rPr>
                <w:rFonts w:ascii="Arial" w:hAnsi="Arial" w:cs="Arial"/>
                <w:bCs/>
              </w:rPr>
            </w:pPr>
          </w:p>
          <w:p w14:paraId="437F49FF" w14:textId="77777777" w:rsidR="00F67270" w:rsidRPr="00373E62" w:rsidRDefault="00F67270" w:rsidP="00761CE5">
            <w:pPr>
              <w:spacing w:line="360" w:lineRule="auto"/>
              <w:rPr>
                <w:rFonts w:ascii="Arial" w:hAnsi="Arial" w:cs="Arial"/>
                <w:bCs/>
              </w:rPr>
            </w:pPr>
            <w:r w:rsidRPr="00373E62">
              <w:rPr>
                <w:rFonts w:ascii="Arial" w:hAnsi="Arial" w:cs="Arial"/>
                <w:bCs/>
              </w:rPr>
              <w:t>(Quant) HP1; Those with a formal diagnosis will have higher quality of life and psychological wellbeing than those still waiting for a formal diagnosis.</w:t>
            </w:r>
          </w:p>
          <w:p w14:paraId="05469481" w14:textId="77777777" w:rsidR="00F67270" w:rsidRPr="00373E62" w:rsidRDefault="00F67270" w:rsidP="00761CE5">
            <w:pPr>
              <w:spacing w:line="360" w:lineRule="auto"/>
              <w:rPr>
                <w:rFonts w:ascii="Arial" w:hAnsi="Arial" w:cs="Arial"/>
                <w:bCs/>
              </w:rPr>
            </w:pPr>
          </w:p>
          <w:p w14:paraId="2162D533" w14:textId="1DEA0EE2" w:rsidR="00B24417" w:rsidRPr="00761CE5" w:rsidRDefault="00F67270" w:rsidP="00761CE5">
            <w:pPr>
              <w:spacing w:line="360" w:lineRule="auto"/>
              <w:rPr>
                <w:rFonts w:ascii="Arial" w:hAnsi="Arial" w:cs="Arial"/>
                <w:bCs/>
              </w:rPr>
            </w:pPr>
            <w:r w:rsidRPr="00373E62">
              <w:rPr>
                <w:rFonts w:ascii="Arial" w:hAnsi="Arial" w:cs="Arial"/>
                <w:bCs/>
              </w:rPr>
              <w:t>(Qual)</w:t>
            </w:r>
            <w:r w:rsidR="00761CE5">
              <w:rPr>
                <w:rFonts w:ascii="Arial" w:hAnsi="Arial" w:cs="Arial"/>
                <w:bCs/>
              </w:rPr>
              <w:t xml:space="preserve"> What are the support, information and educational needs of those pre-diagnosis in relation to the diagnostic waiting period?</w:t>
            </w: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1D9DDC9" w:rsidR="00E00F78" w:rsidRPr="00A4091F" w:rsidRDefault="00A4091F" w:rsidP="00761CE5">
            <w:pPr>
              <w:spacing w:line="360" w:lineRule="auto"/>
              <w:rPr>
                <w:rFonts w:ascii="Arial" w:hAnsi="Arial" w:cs="Arial"/>
                <w:b/>
              </w:rPr>
            </w:pPr>
            <w:r>
              <w:rPr>
                <w:rFonts w:ascii="Arial" w:hAnsi="Arial" w:cs="Arial"/>
                <w:b/>
              </w:rPr>
              <w:t>Participants</w:t>
            </w:r>
          </w:p>
          <w:p w14:paraId="6C7AF8DB" w14:textId="5B8BD1C0" w:rsidR="00E00F78" w:rsidRDefault="00A548EA" w:rsidP="00761CE5">
            <w:pPr>
              <w:spacing w:line="360" w:lineRule="auto"/>
              <w:rPr>
                <w:rFonts w:ascii="Arial" w:hAnsi="Arial" w:cs="Arial"/>
                <w:bCs/>
              </w:rPr>
            </w:pPr>
            <w:r>
              <w:rPr>
                <w:rFonts w:ascii="Arial" w:hAnsi="Arial" w:cs="Arial"/>
                <w:bCs/>
              </w:rPr>
              <w:lastRenderedPageBreak/>
              <w:t xml:space="preserve">Participants will be </w:t>
            </w:r>
            <w:r w:rsidR="00A77FD9">
              <w:rPr>
                <w:rFonts w:ascii="Arial" w:hAnsi="Arial" w:cs="Arial"/>
                <w:bCs/>
              </w:rPr>
              <w:t xml:space="preserve">AFAB </w:t>
            </w:r>
            <w:r>
              <w:rPr>
                <w:rFonts w:ascii="Arial" w:hAnsi="Arial" w:cs="Arial"/>
                <w:bCs/>
              </w:rPr>
              <w:t>individuals</w:t>
            </w:r>
            <w:r w:rsidR="00A77FD9">
              <w:rPr>
                <w:rFonts w:ascii="Arial" w:hAnsi="Arial" w:cs="Arial"/>
                <w:bCs/>
              </w:rPr>
              <w:t xml:space="preserve"> </w:t>
            </w:r>
            <w:r w:rsidR="00C51740">
              <w:rPr>
                <w:rFonts w:ascii="Arial" w:hAnsi="Arial" w:cs="Arial"/>
                <w:bCs/>
              </w:rPr>
              <w:t>undergoing investigation for endometriosis, have a self-diagnosis and those who have a medically confirmed endometriosis diagnosis</w:t>
            </w:r>
            <w:r w:rsidR="00717AC6">
              <w:rPr>
                <w:rFonts w:ascii="Arial" w:hAnsi="Arial" w:cs="Arial"/>
                <w:bCs/>
              </w:rPr>
              <w:t xml:space="preserve"> as the two participant groups</w:t>
            </w:r>
            <w:r w:rsidR="00C51740">
              <w:rPr>
                <w:rFonts w:ascii="Arial" w:hAnsi="Arial" w:cs="Arial"/>
                <w:bCs/>
              </w:rPr>
              <w:t xml:space="preserve">. </w:t>
            </w:r>
            <w:r w:rsidR="00AF5CDA">
              <w:rPr>
                <w:rFonts w:ascii="Arial" w:hAnsi="Arial" w:cs="Arial"/>
                <w:bCs/>
              </w:rPr>
              <w:t>P</w:t>
            </w:r>
            <w:r w:rsidR="00EB5310">
              <w:rPr>
                <w:rFonts w:ascii="Arial" w:hAnsi="Arial" w:cs="Arial"/>
                <w:bCs/>
              </w:rPr>
              <w:t>articipant</w:t>
            </w:r>
            <w:r w:rsidR="00AF5CDA">
              <w:rPr>
                <w:rFonts w:ascii="Arial" w:hAnsi="Arial" w:cs="Arial"/>
                <w:bCs/>
              </w:rPr>
              <w:t>s will be recruited via opportunity/convenience sampling,</w:t>
            </w:r>
            <w:r w:rsidR="00EB5310">
              <w:rPr>
                <w:rFonts w:ascii="Arial" w:hAnsi="Arial" w:cs="Arial"/>
                <w:bCs/>
              </w:rPr>
              <w:t xml:space="preserve"> </w:t>
            </w:r>
            <w:r w:rsidR="00AF5CDA">
              <w:rPr>
                <w:rFonts w:ascii="Arial" w:hAnsi="Arial" w:cs="Arial"/>
                <w:bCs/>
              </w:rPr>
              <w:t xml:space="preserve">through online social media platforms, forum sites, </w:t>
            </w:r>
            <w:r w:rsidR="00583D84">
              <w:rPr>
                <w:rFonts w:ascii="Arial" w:hAnsi="Arial" w:cs="Arial"/>
                <w:bCs/>
              </w:rPr>
              <w:t xml:space="preserve">UWTSD </w:t>
            </w:r>
            <w:r w:rsidR="00BE49AB">
              <w:rPr>
                <w:rFonts w:ascii="Arial" w:hAnsi="Arial" w:cs="Arial"/>
                <w:bCs/>
              </w:rPr>
              <w:t>EMS</w:t>
            </w:r>
            <w:r w:rsidR="00583D84">
              <w:rPr>
                <w:rFonts w:ascii="Arial" w:hAnsi="Arial" w:cs="Arial"/>
                <w:bCs/>
              </w:rPr>
              <w:t xml:space="preserve"> </w:t>
            </w:r>
            <w:r w:rsidR="00AF5CDA">
              <w:rPr>
                <w:rFonts w:ascii="Arial" w:hAnsi="Arial" w:cs="Arial"/>
                <w:bCs/>
              </w:rPr>
              <w:t xml:space="preserve">as well as approaching </w:t>
            </w:r>
            <w:r w:rsidR="001D2471">
              <w:rPr>
                <w:rFonts w:ascii="Arial" w:hAnsi="Arial" w:cs="Arial"/>
                <w:bCs/>
              </w:rPr>
              <w:t>social support groups</w:t>
            </w:r>
            <w:r w:rsidR="00AF5CDA">
              <w:rPr>
                <w:rFonts w:ascii="Arial" w:hAnsi="Arial" w:cs="Arial"/>
                <w:bCs/>
              </w:rPr>
              <w:t>.</w:t>
            </w:r>
            <w:r w:rsidR="001D2471">
              <w:rPr>
                <w:rFonts w:ascii="Arial" w:hAnsi="Arial" w:cs="Arial"/>
                <w:bCs/>
              </w:rPr>
              <w:t xml:space="preserve"> </w:t>
            </w:r>
            <w:r w:rsidR="00DB2C4C">
              <w:rPr>
                <w:rFonts w:ascii="Arial" w:hAnsi="Arial" w:cs="Arial"/>
                <w:bCs/>
              </w:rPr>
              <w:t xml:space="preserve">Target number of participants for this study will be </w:t>
            </w:r>
            <w:r w:rsidR="00761CE5">
              <w:rPr>
                <w:rFonts w:ascii="Arial" w:hAnsi="Arial" w:cs="Arial"/>
                <w:bCs/>
              </w:rPr>
              <w:t>40.</w:t>
            </w:r>
          </w:p>
          <w:p w14:paraId="5D874034" w14:textId="77777777" w:rsidR="00DC5FF9" w:rsidRDefault="00DC5FF9" w:rsidP="00761CE5">
            <w:pPr>
              <w:spacing w:line="360" w:lineRule="auto"/>
              <w:rPr>
                <w:rFonts w:ascii="Arial" w:hAnsi="Arial" w:cs="Arial"/>
                <w:b/>
              </w:rPr>
            </w:pPr>
          </w:p>
          <w:p w14:paraId="0E7D0B0E" w14:textId="25E501EA" w:rsidR="001A273E" w:rsidRDefault="0003263D" w:rsidP="00761CE5">
            <w:pPr>
              <w:spacing w:line="360" w:lineRule="auto"/>
              <w:rPr>
                <w:rFonts w:ascii="Arial" w:hAnsi="Arial" w:cs="Arial"/>
                <w:b/>
              </w:rPr>
            </w:pPr>
            <w:r>
              <w:rPr>
                <w:rFonts w:ascii="Arial" w:hAnsi="Arial" w:cs="Arial"/>
                <w:b/>
              </w:rPr>
              <w:t xml:space="preserve">Design </w:t>
            </w:r>
          </w:p>
          <w:p w14:paraId="03AA0096" w14:textId="162F72CB" w:rsidR="00B31184" w:rsidRDefault="009E3A15" w:rsidP="00761CE5">
            <w:pPr>
              <w:spacing w:line="360" w:lineRule="auto"/>
              <w:rPr>
                <w:rFonts w:ascii="Arial" w:hAnsi="Arial" w:cs="Arial"/>
                <w:bCs/>
              </w:rPr>
            </w:pPr>
            <w:r>
              <w:rPr>
                <w:rFonts w:ascii="Arial" w:hAnsi="Arial" w:cs="Arial"/>
                <w:bCs/>
              </w:rPr>
              <w:t>An independent-samples</w:t>
            </w:r>
            <w:r w:rsidR="003A6020">
              <w:rPr>
                <w:rFonts w:ascii="Arial" w:hAnsi="Arial" w:cs="Arial"/>
                <w:bCs/>
              </w:rPr>
              <w:t xml:space="preserve"> unrelated</w:t>
            </w:r>
            <w:r w:rsidR="00B31184">
              <w:rPr>
                <w:rFonts w:ascii="Arial" w:hAnsi="Arial" w:cs="Arial"/>
                <w:bCs/>
              </w:rPr>
              <w:t xml:space="preserve"> </w:t>
            </w:r>
            <w:r>
              <w:rPr>
                <w:rFonts w:ascii="Arial" w:hAnsi="Arial" w:cs="Arial"/>
                <w:bCs/>
              </w:rPr>
              <w:t>T</w:t>
            </w:r>
            <w:r w:rsidR="00BA3DE2">
              <w:rPr>
                <w:rFonts w:ascii="Arial" w:hAnsi="Arial" w:cs="Arial"/>
                <w:bCs/>
              </w:rPr>
              <w:t>-</w:t>
            </w:r>
            <w:r w:rsidR="00B31184">
              <w:rPr>
                <w:rFonts w:ascii="Arial" w:hAnsi="Arial" w:cs="Arial"/>
                <w:bCs/>
              </w:rPr>
              <w:t xml:space="preserve">test will be used to compare the </w:t>
            </w:r>
            <w:r w:rsidR="00D026DF">
              <w:rPr>
                <w:rFonts w:ascii="Arial" w:hAnsi="Arial" w:cs="Arial"/>
                <w:bCs/>
              </w:rPr>
              <w:t>QoL</w:t>
            </w:r>
            <w:r w:rsidR="00B31184">
              <w:rPr>
                <w:rFonts w:ascii="Arial" w:hAnsi="Arial" w:cs="Arial"/>
                <w:bCs/>
              </w:rPr>
              <w:t xml:space="preserve"> scores</w:t>
            </w:r>
            <w:r w:rsidR="00FC5094">
              <w:rPr>
                <w:rFonts w:ascii="Arial" w:hAnsi="Arial" w:cs="Arial"/>
                <w:bCs/>
              </w:rPr>
              <w:t xml:space="preserve"> from the EHP-30</w:t>
            </w:r>
            <w:r w:rsidR="00B31184">
              <w:rPr>
                <w:rFonts w:ascii="Arial" w:hAnsi="Arial" w:cs="Arial"/>
                <w:bCs/>
              </w:rPr>
              <w:t xml:space="preserve"> in individuals with a self-diagnosis/pre</w:t>
            </w:r>
            <w:r w:rsidR="005C05B3">
              <w:rPr>
                <w:rFonts w:ascii="Arial" w:hAnsi="Arial" w:cs="Arial"/>
                <w:bCs/>
              </w:rPr>
              <w:t>-</w:t>
            </w:r>
            <w:r w:rsidR="00B31184">
              <w:rPr>
                <w:rFonts w:ascii="Arial" w:hAnsi="Arial" w:cs="Arial"/>
                <w:bCs/>
              </w:rPr>
              <w:t>diagnosis with those who have received a formal medical diagnosis of endometriosis</w:t>
            </w:r>
            <w:r>
              <w:rPr>
                <w:rFonts w:ascii="Arial" w:hAnsi="Arial" w:cs="Arial"/>
                <w:bCs/>
              </w:rPr>
              <w:t>.</w:t>
            </w:r>
            <w:r w:rsidR="002E68AF">
              <w:rPr>
                <w:rFonts w:ascii="Arial" w:hAnsi="Arial" w:cs="Arial"/>
                <w:bCs/>
              </w:rPr>
              <w:t xml:space="preserve"> Thematic analysis will be utilised </w:t>
            </w:r>
            <w:r w:rsidR="00914C57">
              <w:rPr>
                <w:rFonts w:ascii="Arial" w:hAnsi="Arial" w:cs="Arial"/>
                <w:bCs/>
              </w:rPr>
              <w:t>to</w:t>
            </w:r>
            <w:r w:rsidR="002E68AF">
              <w:rPr>
                <w:rFonts w:ascii="Arial" w:hAnsi="Arial" w:cs="Arial"/>
                <w:bCs/>
              </w:rPr>
              <w:t xml:space="preserve"> </w:t>
            </w:r>
            <w:r w:rsidR="00AF4068">
              <w:rPr>
                <w:rFonts w:ascii="Arial" w:hAnsi="Arial" w:cs="Arial"/>
                <w:bCs/>
              </w:rPr>
              <w:t xml:space="preserve">analyse raw data from the </w:t>
            </w:r>
            <w:r w:rsidR="00741E86">
              <w:rPr>
                <w:rFonts w:ascii="Arial" w:hAnsi="Arial" w:cs="Arial"/>
                <w:bCs/>
              </w:rPr>
              <w:t>open-ended</w:t>
            </w:r>
            <w:r w:rsidR="00AF4068">
              <w:rPr>
                <w:rFonts w:ascii="Arial" w:hAnsi="Arial" w:cs="Arial"/>
                <w:bCs/>
              </w:rPr>
              <w:t xml:space="preserve"> questions to identify and establish themes in the pre-diagnosis/self-diagnosis group.</w:t>
            </w:r>
          </w:p>
          <w:p w14:paraId="35E33724" w14:textId="77777777" w:rsidR="0003263D" w:rsidRPr="0003263D" w:rsidRDefault="0003263D" w:rsidP="00761CE5">
            <w:pPr>
              <w:spacing w:line="360" w:lineRule="auto"/>
              <w:rPr>
                <w:rFonts w:ascii="Arial" w:hAnsi="Arial" w:cs="Arial"/>
                <w:bCs/>
              </w:rPr>
            </w:pPr>
          </w:p>
          <w:p w14:paraId="4E145B60" w14:textId="08791325" w:rsidR="001A273E" w:rsidRDefault="001A273E" w:rsidP="00761CE5">
            <w:pPr>
              <w:spacing w:line="360" w:lineRule="auto"/>
              <w:rPr>
                <w:rFonts w:ascii="Arial" w:hAnsi="Arial" w:cs="Arial"/>
                <w:b/>
              </w:rPr>
            </w:pPr>
            <w:r>
              <w:rPr>
                <w:rFonts w:ascii="Arial" w:hAnsi="Arial" w:cs="Arial"/>
                <w:b/>
              </w:rPr>
              <w:t>Materials</w:t>
            </w:r>
          </w:p>
          <w:p w14:paraId="1C684D94" w14:textId="2B6B662F" w:rsidR="00785D4D" w:rsidRDefault="0034645E" w:rsidP="00761CE5">
            <w:pPr>
              <w:spacing w:line="360" w:lineRule="auto"/>
              <w:rPr>
                <w:rFonts w:ascii="Arial" w:hAnsi="Arial" w:cs="Arial"/>
                <w:bCs/>
                <w:color w:val="000000" w:themeColor="text1"/>
              </w:rPr>
            </w:pPr>
            <w:r>
              <w:rPr>
                <w:rFonts w:ascii="Arial" w:hAnsi="Arial" w:cs="Arial"/>
                <w:bCs/>
              </w:rPr>
              <w:t xml:space="preserve">The </w:t>
            </w:r>
            <w:r w:rsidR="00BD27E9">
              <w:rPr>
                <w:rFonts w:ascii="Arial" w:hAnsi="Arial" w:cs="Arial"/>
                <w:bCs/>
              </w:rPr>
              <w:t xml:space="preserve">EHP-30 </w:t>
            </w:r>
            <w:r w:rsidR="00EA3CDA">
              <w:rPr>
                <w:rFonts w:ascii="Arial" w:hAnsi="Arial" w:cs="Arial"/>
                <w:bCs/>
              </w:rPr>
              <w:t>will be used to</w:t>
            </w:r>
            <w:r w:rsidR="007E3147">
              <w:rPr>
                <w:rFonts w:ascii="Arial" w:hAnsi="Arial" w:cs="Arial"/>
                <w:bCs/>
              </w:rPr>
              <w:t xml:space="preserve"> </w:t>
            </w:r>
            <w:r w:rsidR="001B5C3E">
              <w:rPr>
                <w:rFonts w:ascii="Arial" w:hAnsi="Arial" w:cs="Arial"/>
                <w:bCs/>
              </w:rPr>
              <w:t>assess</w:t>
            </w:r>
            <w:r w:rsidR="007E3147">
              <w:rPr>
                <w:rFonts w:ascii="Arial" w:hAnsi="Arial" w:cs="Arial"/>
                <w:bCs/>
              </w:rPr>
              <w:t xml:space="preserve"> </w:t>
            </w:r>
            <w:r w:rsidR="00D743A4">
              <w:rPr>
                <w:rFonts w:ascii="Arial" w:hAnsi="Arial" w:cs="Arial"/>
                <w:bCs/>
              </w:rPr>
              <w:t>quality of life in the two participant groups</w:t>
            </w:r>
            <w:r w:rsidR="00AF7A28">
              <w:rPr>
                <w:rFonts w:ascii="Arial" w:hAnsi="Arial" w:cs="Arial"/>
                <w:bCs/>
              </w:rPr>
              <w:t xml:space="preserve">, based on the last 4 weeks of symptoms </w:t>
            </w:r>
            <w:r w:rsidR="00EB65B7">
              <w:rPr>
                <w:rFonts w:ascii="Arial" w:hAnsi="Arial" w:cs="Arial"/>
                <w:bCs/>
              </w:rPr>
              <w:t>to provide an overview of a</w:t>
            </w:r>
            <w:r w:rsidR="00761CE5">
              <w:rPr>
                <w:rFonts w:ascii="Arial" w:hAnsi="Arial" w:cs="Arial"/>
                <w:bCs/>
              </w:rPr>
              <w:t>n average</w:t>
            </w:r>
            <w:r w:rsidR="00EB65B7">
              <w:rPr>
                <w:rFonts w:ascii="Arial" w:hAnsi="Arial" w:cs="Arial"/>
                <w:bCs/>
              </w:rPr>
              <w:t xml:space="preserve"> menstrual cycle</w:t>
            </w:r>
            <w:r w:rsidR="00D743A4">
              <w:rPr>
                <w:rFonts w:ascii="Arial" w:hAnsi="Arial" w:cs="Arial"/>
                <w:bCs/>
              </w:rPr>
              <w:t xml:space="preserve">. </w:t>
            </w:r>
            <w:r w:rsidR="00E21732">
              <w:rPr>
                <w:rFonts w:ascii="Arial" w:hAnsi="Arial" w:cs="Arial"/>
                <w:bCs/>
              </w:rPr>
              <w:t>A 5-point Likert scale</w:t>
            </w:r>
            <w:r w:rsidR="00E9577B">
              <w:rPr>
                <w:rFonts w:ascii="Arial" w:hAnsi="Arial" w:cs="Arial"/>
                <w:bCs/>
              </w:rPr>
              <w:t>, 0</w:t>
            </w:r>
            <w:r w:rsidR="00211FBC">
              <w:rPr>
                <w:rFonts w:ascii="Arial" w:hAnsi="Arial" w:cs="Arial"/>
                <w:bCs/>
              </w:rPr>
              <w:t xml:space="preserve"> being never, 1 being rarely, 2 being </w:t>
            </w:r>
            <w:r w:rsidR="00BA3A50">
              <w:rPr>
                <w:rFonts w:ascii="Arial" w:hAnsi="Arial" w:cs="Arial"/>
                <w:bCs/>
              </w:rPr>
              <w:t>sometimes, 3 being often and 4 being always,</w:t>
            </w:r>
            <w:r w:rsidR="00E21732">
              <w:rPr>
                <w:rFonts w:ascii="Arial" w:hAnsi="Arial" w:cs="Arial"/>
                <w:bCs/>
              </w:rPr>
              <w:t xml:space="preserve"> will be utilised </w:t>
            </w:r>
            <w:r w:rsidR="009E3A15">
              <w:rPr>
                <w:rFonts w:ascii="Arial" w:hAnsi="Arial" w:cs="Arial"/>
                <w:bCs/>
              </w:rPr>
              <w:t>to</w:t>
            </w:r>
            <w:r w:rsidR="00E9577B">
              <w:rPr>
                <w:rFonts w:ascii="Arial" w:hAnsi="Arial" w:cs="Arial"/>
                <w:bCs/>
              </w:rPr>
              <w:t xml:space="preserve"> scale each sub-category of the questionnaire.</w:t>
            </w:r>
            <w:r w:rsidR="00EA3CDA">
              <w:rPr>
                <w:rFonts w:ascii="Arial" w:hAnsi="Arial" w:cs="Arial"/>
                <w:bCs/>
              </w:rPr>
              <w:t xml:space="preserve"> </w:t>
            </w:r>
            <w:r w:rsidR="00BA3A50">
              <w:rPr>
                <w:rFonts w:ascii="Arial" w:hAnsi="Arial" w:cs="Arial"/>
                <w:bCs/>
              </w:rPr>
              <w:t xml:space="preserve">Participants scores for each sub-scale will be </w:t>
            </w:r>
            <w:r w:rsidR="00A76C3C">
              <w:rPr>
                <w:rFonts w:ascii="Arial" w:hAnsi="Arial" w:cs="Arial"/>
                <w:bCs/>
              </w:rPr>
              <w:t xml:space="preserve">calculated, divided by the maximum total </w:t>
            </w:r>
            <w:r w:rsidR="008A67F2">
              <w:rPr>
                <w:rFonts w:ascii="Arial" w:hAnsi="Arial" w:cs="Arial"/>
                <w:bCs/>
              </w:rPr>
              <w:t>score,</w:t>
            </w:r>
            <w:r w:rsidR="00A76C3C">
              <w:rPr>
                <w:rFonts w:ascii="Arial" w:hAnsi="Arial" w:cs="Arial"/>
                <w:bCs/>
              </w:rPr>
              <w:t xml:space="preserve"> and </w:t>
            </w:r>
            <w:r w:rsidR="00456D47">
              <w:rPr>
                <w:rFonts w:ascii="Arial" w:hAnsi="Arial" w:cs="Arial"/>
                <w:bCs/>
              </w:rPr>
              <w:t>multiplied</w:t>
            </w:r>
            <w:r w:rsidR="00A76C3C">
              <w:rPr>
                <w:rFonts w:ascii="Arial" w:hAnsi="Arial" w:cs="Arial"/>
                <w:bCs/>
              </w:rPr>
              <w:t xml:space="preserve"> by 10</w:t>
            </w:r>
            <w:r w:rsidR="00861F7F">
              <w:rPr>
                <w:rFonts w:ascii="Arial" w:hAnsi="Arial" w:cs="Arial"/>
                <w:bCs/>
              </w:rPr>
              <w:t>0</w:t>
            </w:r>
            <w:r w:rsidR="0076795E">
              <w:rPr>
                <w:rFonts w:ascii="Arial" w:hAnsi="Arial" w:cs="Arial"/>
                <w:bCs/>
              </w:rPr>
              <w:t xml:space="preserve">. </w:t>
            </w:r>
            <w:r w:rsidR="00AF7A28">
              <w:rPr>
                <w:rFonts w:ascii="Arial" w:hAnsi="Arial" w:cs="Arial"/>
                <w:bCs/>
              </w:rPr>
              <w:t>Once the scores have been calculated for each sub-scale, these will then be totalled</w:t>
            </w:r>
            <w:r w:rsidR="00861F7F">
              <w:rPr>
                <w:rFonts w:ascii="Arial" w:hAnsi="Arial" w:cs="Arial"/>
                <w:bCs/>
              </w:rPr>
              <w:t xml:space="preserve"> for an overall QoL Score</w:t>
            </w:r>
            <w:r w:rsidR="00761CE5">
              <w:rPr>
                <w:rFonts w:ascii="Arial" w:hAnsi="Arial" w:cs="Arial"/>
                <w:bCs/>
              </w:rPr>
              <w:t>, with higher scores indicating a lower QoL</w:t>
            </w:r>
            <w:r w:rsidR="00AF7A28">
              <w:rPr>
                <w:rFonts w:ascii="Arial" w:hAnsi="Arial" w:cs="Arial"/>
                <w:bCs/>
              </w:rPr>
              <w:t xml:space="preserve">. </w:t>
            </w:r>
          </w:p>
          <w:p w14:paraId="4CD94F15" w14:textId="77777777" w:rsidR="00FF138C" w:rsidRDefault="00FF138C" w:rsidP="00761CE5">
            <w:pPr>
              <w:spacing w:line="360" w:lineRule="auto"/>
              <w:rPr>
                <w:rFonts w:ascii="Arial" w:hAnsi="Arial" w:cs="Arial"/>
                <w:bCs/>
                <w:color w:val="000000" w:themeColor="text1"/>
              </w:rPr>
            </w:pPr>
          </w:p>
          <w:p w14:paraId="40712B80" w14:textId="091D4388" w:rsidR="00FF138C" w:rsidRDefault="00FF138C" w:rsidP="00761CE5">
            <w:pPr>
              <w:spacing w:line="360" w:lineRule="auto"/>
              <w:rPr>
                <w:rFonts w:ascii="Arial" w:hAnsi="Arial" w:cs="Arial"/>
                <w:bCs/>
              </w:rPr>
            </w:pPr>
            <w:r>
              <w:rPr>
                <w:rFonts w:ascii="Arial" w:hAnsi="Arial" w:cs="Arial"/>
                <w:bCs/>
              </w:rPr>
              <w:t>Thematic analysis will be used to interpret and identify themes within the open-ended questions from the self-diagnosed/</w:t>
            </w:r>
            <w:r w:rsidR="005C05B3">
              <w:rPr>
                <w:rFonts w:ascii="Arial" w:hAnsi="Arial" w:cs="Arial"/>
                <w:bCs/>
              </w:rPr>
              <w:t xml:space="preserve">pre-diagnosis </w:t>
            </w:r>
            <w:r>
              <w:rPr>
                <w:rFonts w:ascii="Arial" w:hAnsi="Arial" w:cs="Arial"/>
                <w:bCs/>
              </w:rPr>
              <w:t>participant group</w:t>
            </w:r>
            <w:r w:rsidR="007A14A3">
              <w:rPr>
                <w:rFonts w:ascii="Arial" w:hAnsi="Arial" w:cs="Arial"/>
                <w:bCs/>
              </w:rPr>
              <w:t xml:space="preserve"> during the second part of the study</w:t>
            </w:r>
            <w:r w:rsidR="00E31877">
              <w:rPr>
                <w:rFonts w:ascii="Arial" w:hAnsi="Arial" w:cs="Arial"/>
                <w:bCs/>
              </w:rPr>
              <w:t>:</w:t>
            </w:r>
          </w:p>
          <w:p w14:paraId="2E97458A" w14:textId="77777777" w:rsidR="00FE5BBE" w:rsidRDefault="00FE5BBE" w:rsidP="00761CE5">
            <w:pPr>
              <w:spacing w:line="360" w:lineRule="auto"/>
              <w:rPr>
                <w:rFonts w:ascii="Arial" w:hAnsi="Arial" w:cs="Arial"/>
                <w:bCs/>
                <w:color w:val="000000" w:themeColor="text1"/>
              </w:rPr>
            </w:pPr>
          </w:p>
          <w:p w14:paraId="7C538C9B" w14:textId="1630E400" w:rsidR="00FE5BBE" w:rsidRDefault="00F177B9"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t>Can you tell me what information</w:t>
            </w:r>
            <w:r w:rsidR="00FE5BBE">
              <w:rPr>
                <w:rFonts w:ascii="Arial" w:hAnsi="Arial" w:cs="Arial"/>
                <w:bCs/>
                <w:color w:val="000000" w:themeColor="text1"/>
              </w:rPr>
              <w:t xml:space="preserve"> you receive</w:t>
            </w:r>
            <w:r>
              <w:rPr>
                <w:rFonts w:ascii="Arial" w:hAnsi="Arial" w:cs="Arial"/>
                <w:bCs/>
                <w:color w:val="000000" w:themeColor="text1"/>
              </w:rPr>
              <w:t>d</w:t>
            </w:r>
            <w:r w:rsidR="00FE5BBE">
              <w:rPr>
                <w:rFonts w:ascii="Arial" w:hAnsi="Arial" w:cs="Arial"/>
                <w:bCs/>
                <w:color w:val="000000" w:themeColor="text1"/>
              </w:rPr>
              <w:t xml:space="preserve"> and additional information, education, or support options regarding endometriosis during medical consultation?</w:t>
            </w:r>
          </w:p>
          <w:p w14:paraId="2C460F78" w14:textId="38B017A5" w:rsidR="00FE5BBE" w:rsidRPr="00525FB1" w:rsidRDefault="00F177B9"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t>Can you tell us about any</w:t>
            </w:r>
            <w:r w:rsidR="00FE5BBE">
              <w:rPr>
                <w:rFonts w:ascii="Arial" w:hAnsi="Arial" w:cs="Arial"/>
                <w:bCs/>
                <w:color w:val="000000" w:themeColor="text1"/>
              </w:rPr>
              <w:t xml:space="preserve"> conducted independent research</w:t>
            </w:r>
            <w:r>
              <w:rPr>
                <w:rFonts w:ascii="Arial" w:hAnsi="Arial" w:cs="Arial"/>
                <w:bCs/>
                <w:color w:val="000000" w:themeColor="text1"/>
              </w:rPr>
              <w:t xml:space="preserve"> conducted</w:t>
            </w:r>
            <w:r w:rsidR="00FE5BBE">
              <w:rPr>
                <w:rFonts w:ascii="Arial" w:hAnsi="Arial" w:cs="Arial"/>
                <w:bCs/>
                <w:color w:val="000000" w:themeColor="text1"/>
              </w:rPr>
              <w:t xml:space="preserve"> regarding endometriosis, or similar conditions?</w:t>
            </w:r>
            <w:r>
              <w:rPr>
                <w:rFonts w:ascii="Arial" w:hAnsi="Arial" w:cs="Arial"/>
                <w:bCs/>
                <w:color w:val="000000" w:themeColor="text1"/>
              </w:rPr>
              <w:t xml:space="preserve"> (For example, social media, charities, articles/journals, videos etc.)</w:t>
            </w:r>
          </w:p>
          <w:p w14:paraId="16CC3D7F" w14:textId="28FE3821" w:rsidR="00FE5BBE" w:rsidRDefault="00FE5BBE"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t>What additional information or resources</w:t>
            </w:r>
            <w:r w:rsidR="00F177B9">
              <w:rPr>
                <w:rFonts w:ascii="Arial" w:hAnsi="Arial" w:cs="Arial"/>
                <w:bCs/>
                <w:color w:val="000000" w:themeColor="text1"/>
              </w:rPr>
              <w:t>, if any,</w:t>
            </w:r>
            <w:r>
              <w:rPr>
                <w:rFonts w:ascii="Arial" w:hAnsi="Arial" w:cs="Arial"/>
                <w:bCs/>
                <w:color w:val="000000" w:themeColor="text1"/>
              </w:rPr>
              <w:t xml:space="preserve"> do you feel like you could have benefited from during healthcare appointments regarding endometriosis or similar conditions?</w:t>
            </w:r>
          </w:p>
          <w:p w14:paraId="345FEEE1" w14:textId="175D707E" w:rsidR="00FE5BBE" w:rsidRDefault="00F177B9"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t>During your endometriosis diagnostic journey, h</w:t>
            </w:r>
            <w:r w:rsidR="00FE5BBE">
              <w:rPr>
                <w:rFonts w:ascii="Arial" w:hAnsi="Arial" w:cs="Arial"/>
                <w:bCs/>
                <w:color w:val="000000" w:themeColor="text1"/>
              </w:rPr>
              <w:t>ave you considered paying for private healthcare/medical consultation?</w:t>
            </w:r>
            <w:r>
              <w:rPr>
                <w:rFonts w:ascii="Arial" w:hAnsi="Arial" w:cs="Arial"/>
                <w:bCs/>
                <w:color w:val="000000" w:themeColor="text1"/>
              </w:rPr>
              <w:t xml:space="preserve"> If so, please tell us why.</w:t>
            </w:r>
          </w:p>
          <w:p w14:paraId="5F5BFAFD" w14:textId="6FCBFEE9" w:rsidR="00FE5BBE" w:rsidRDefault="00FE5BBE"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lastRenderedPageBreak/>
              <w:t>Are there any forms of symptom management you have considered</w:t>
            </w:r>
            <w:r w:rsidR="002F1F37">
              <w:rPr>
                <w:rFonts w:ascii="Arial" w:hAnsi="Arial" w:cs="Arial"/>
                <w:bCs/>
                <w:color w:val="000000" w:themeColor="text1"/>
              </w:rPr>
              <w:t>/</w:t>
            </w:r>
            <w:r>
              <w:rPr>
                <w:rFonts w:ascii="Arial" w:hAnsi="Arial" w:cs="Arial"/>
                <w:bCs/>
                <w:color w:val="000000" w:themeColor="text1"/>
              </w:rPr>
              <w:t>implemented because of suspected endometriosis?</w:t>
            </w:r>
            <w:r w:rsidR="00F177B9">
              <w:rPr>
                <w:rFonts w:ascii="Arial" w:hAnsi="Arial" w:cs="Arial"/>
                <w:bCs/>
                <w:color w:val="000000" w:themeColor="text1"/>
              </w:rPr>
              <w:t xml:space="preserve"> (For example, complimentary treatments, diet changes etc.)</w:t>
            </w:r>
          </w:p>
          <w:p w14:paraId="3298E508" w14:textId="0C84BB9D" w:rsidR="00FE5BBE" w:rsidRPr="00FE5BBE" w:rsidRDefault="00F177B9" w:rsidP="00761CE5">
            <w:pPr>
              <w:pStyle w:val="ListParagraph"/>
              <w:numPr>
                <w:ilvl w:val="0"/>
                <w:numId w:val="6"/>
              </w:numPr>
              <w:spacing w:line="360" w:lineRule="auto"/>
              <w:rPr>
                <w:rFonts w:ascii="Arial" w:hAnsi="Arial" w:cs="Arial"/>
                <w:bCs/>
                <w:color w:val="000000" w:themeColor="text1"/>
              </w:rPr>
            </w:pPr>
            <w:r>
              <w:rPr>
                <w:rFonts w:ascii="Arial" w:hAnsi="Arial" w:cs="Arial"/>
                <w:bCs/>
                <w:color w:val="000000" w:themeColor="text1"/>
              </w:rPr>
              <w:t>Can you tell me about</w:t>
            </w:r>
            <w:r w:rsidR="00FE5BBE">
              <w:rPr>
                <w:rFonts w:ascii="Arial" w:hAnsi="Arial" w:cs="Arial"/>
                <w:bCs/>
                <w:color w:val="000000" w:themeColor="text1"/>
              </w:rPr>
              <w:t xml:space="preserve"> any barriers you </w:t>
            </w:r>
            <w:r>
              <w:rPr>
                <w:rFonts w:ascii="Arial" w:hAnsi="Arial" w:cs="Arial"/>
                <w:bCs/>
                <w:color w:val="000000" w:themeColor="text1"/>
              </w:rPr>
              <w:t xml:space="preserve">may </w:t>
            </w:r>
            <w:r w:rsidR="00FE5BBE">
              <w:rPr>
                <w:rFonts w:ascii="Arial" w:hAnsi="Arial" w:cs="Arial"/>
                <w:bCs/>
                <w:color w:val="000000" w:themeColor="text1"/>
              </w:rPr>
              <w:t xml:space="preserve">have experienced, medically, socially, or emotionally, </w:t>
            </w:r>
            <w:r w:rsidR="002E745D">
              <w:rPr>
                <w:rFonts w:ascii="Arial" w:hAnsi="Arial" w:cs="Arial"/>
                <w:bCs/>
                <w:color w:val="000000" w:themeColor="text1"/>
              </w:rPr>
              <w:t>whilst</w:t>
            </w:r>
            <w:r w:rsidR="00FE5BBE">
              <w:rPr>
                <w:rFonts w:ascii="Arial" w:hAnsi="Arial" w:cs="Arial"/>
                <w:bCs/>
                <w:color w:val="000000" w:themeColor="text1"/>
              </w:rPr>
              <w:t xml:space="preserve"> waiting for a </w:t>
            </w:r>
            <w:r w:rsidR="002F1F37">
              <w:rPr>
                <w:rFonts w:ascii="Arial" w:hAnsi="Arial" w:cs="Arial"/>
                <w:bCs/>
                <w:color w:val="000000" w:themeColor="text1"/>
              </w:rPr>
              <w:t>medical</w:t>
            </w:r>
            <w:r w:rsidR="00FE5BBE">
              <w:rPr>
                <w:rFonts w:ascii="Arial" w:hAnsi="Arial" w:cs="Arial"/>
                <w:bCs/>
                <w:color w:val="000000" w:themeColor="text1"/>
              </w:rPr>
              <w:t xml:space="preserve"> diagnosis? </w:t>
            </w:r>
          </w:p>
          <w:p w14:paraId="29F68E29" w14:textId="77777777" w:rsidR="00FF138C" w:rsidRDefault="00FF138C" w:rsidP="00761CE5">
            <w:pPr>
              <w:spacing w:line="360" w:lineRule="auto"/>
              <w:rPr>
                <w:rFonts w:ascii="Arial" w:hAnsi="Arial" w:cs="Arial"/>
                <w:bCs/>
                <w:color w:val="000000" w:themeColor="text1"/>
              </w:rPr>
            </w:pPr>
          </w:p>
          <w:p w14:paraId="290FFCF1" w14:textId="6EAC064A" w:rsidR="00FF138C" w:rsidRPr="00503F6B" w:rsidRDefault="00503F6B" w:rsidP="00761CE5">
            <w:pPr>
              <w:spacing w:line="360" w:lineRule="auto"/>
              <w:rPr>
                <w:rFonts w:ascii="Arial" w:hAnsi="Arial" w:cs="Arial"/>
                <w:bCs/>
                <w:color w:val="000000" w:themeColor="text1"/>
              </w:rPr>
            </w:pPr>
            <w:r>
              <w:rPr>
                <w:rFonts w:ascii="Arial" w:hAnsi="Arial" w:cs="Arial"/>
                <w:b/>
                <w:color w:val="000000" w:themeColor="text1"/>
              </w:rPr>
              <w:t>Procedure</w:t>
            </w:r>
          </w:p>
          <w:p w14:paraId="788B1AAC" w14:textId="4DD33D09" w:rsidR="00BA756C" w:rsidRPr="007904E6" w:rsidRDefault="004D55AB" w:rsidP="00761CE5">
            <w:pPr>
              <w:spacing w:line="360" w:lineRule="auto"/>
              <w:rPr>
                <w:rFonts w:ascii="Arial" w:hAnsi="Arial" w:cs="Arial"/>
                <w:bCs/>
                <w:color w:val="000000" w:themeColor="text1"/>
              </w:rPr>
            </w:pPr>
            <w:r>
              <w:rPr>
                <w:rFonts w:ascii="Arial" w:hAnsi="Arial" w:cs="Arial"/>
                <w:bCs/>
                <w:color w:val="000000" w:themeColor="text1"/>
              </w:rPr>
              <w:t xml:space="preserve">Participants will take part in the study </w:t>
            </w:r>
            <w:r w:rsidR="001809E5">
              <w:rPr>
                <w:rFonts w:ascii="Arial" w:hAnsi="Arial" w:cs="Arial"/>
                <w:bCs/>
                <w:color w:val="000000" w:themeColor="text1"/>
              </w:rPr>
              <w:t xml:space="preserve">accessed through a </w:t>
            </w:r>
            <w:r w:rsidR="00761CE5">
              <w:rPr>
                <w:rFonts w:ascii="Arial" w:hAnsi="Arial" w:cs="Arial"/>
                <w:bCs/>
                <w:color w:val="000000" w:themeColor="text1"/>
              </w:rPr>
              <w:t>study advert</w:t>
            </w:r>
            <w:r w:rsidR="001809E5">
              <w:rPr>
                <w:rFonts w:ascii="Arial" w:hAnsi="Arial" w:cs="Arial"/>
                <w:bCs/>
                <w:color w:val="000000" w:themeColor="text1"/>
              </w:rPr>
              <w:t>.</w:t>
            </w:r>
            <w:r w:rsidR="007E7CC5">
              <w:rPr>
                <w:rFonts w:ascii="Arial" w:hAnsi="Arial" w:cs="Arial"/>
                <w:bCs/>
                <w:color w:val="000000" w:themeColor="text1"/>
              </w:rPr>
              <w:t xml:space="preserve"> </w:t>
            </w:r>
            <w:r w:rsidR="00E02E7D">
              <w:rPr>
                <w:rFonts w:ascii="Arial" w:hAnsi="Arial" w:cs="Arial"/>
                <w:bCs/>
                <w:color w:val="000000" w:themeColor="text1"/>
              </w:rPr>
              <w:t xml:space="preserve">Participants will then </w:t>
            </w:r>
            <w:r w:rsidR="00C61AAE">
              <w:rPr>
                <w:rFonts w:ascii="Arial" w:hAnsi="Arial" w:cs="Arial"/>
                <w:bCs/>
                <w:color w:val="000000" w:themeColor="text1"/>
              </w:rPr>
              <w:t>view</w:t>
            </w:r>
            <w:r w:rsidR="00E02E7D">
              <w:rPr>
                <w:rFonts w:ascii="Arial" w:hAnsi="Arial" w:cs="Arial"/>
                <w:bCs/>
                <w:color w:val="000000" w:themeColor="text1"/>
              </w:rPr>
              <w:t xml:space="preserve"> an information sheet, </w:t>
            </w:r>
            <w:r w:rsidR="00761CE5">
              <w:rPr>
                <w:rFonts w:ascii="Arial" w:hAnsi="Arial" w:cs="Arial"/>
                <w:bCs/>
                <w:color w:val="000000" w:themeColor="text1"/>
              </w:rPr>
              <w:t>detailing the study</w:t>
            </w:r>
            <w:r w:rsidR="00E02E7D">
              <w:rPr>
                <w:rFonts w:ascii="Arial" w:hAnsi="Arial" w:cs="Arial"/>
                <w:bCs/>
                <w:color w:val="000000" w:themeColor="text1"/>
              </w:rPr>
              <w:t xml:space="preserve">. </w:t>
            </w:r>
            <w:r w:rsidR="00761CE5">
              <w:rPr>
                <w:rFonts w:ascii="Arial" w:hAnsi="Arial" w:cs="Arial"/>
                <w:bCs/>
                <w:color w:val="000000" w:themeColor="text1"/>
              </w:rPr>
              <w:t>Participants will complete a</w:t>
            </w:r>
            <w:r w:rsidR="007E7CC5">
              <w:rPr>
                <w:rFonts w:ascii="Arial" w:hAnsi="Arial" w:cs="Arial"/>
                <w:bCs/>
                <w:color w:val="000000" w:themeColor="text1"/>
              </w:rPr>
              <w:t xml:space="preserve"> consent</w:t>
            </w:r>
            <w:r w:rsidR="00761CE5">
              <w:rPr>
                <w:rFonts w:ascii="Arial" w:hAnsi="Arial" w:cs="Arial"/>
                <w:bCs/>
                <w:color w:val="000000" w:themeColor="text1"/>
              </w:rPr>
              <w:t xml:space="preserve"> form</w:t>
            </w:r>
            <w:r w:rsidR="007E7CC5">
              <w:rPr>
                <w:rFonts w:ascii="Arial" w:hAnsi="Arial" w:cs="Arial"/>
                <w:bCs/>
                <w:color w:val="000000" w:themeColor="text1"/>
              </w:rPr>
              <w:t xml:space="preserve">, </w:t>
            </w:r>
            <w:r w:rsidR="00761CE5">
              <w:rPr>
                <w:rFonts w:ascii="Arial" w:hAnsi="Arial" w:cs="Arial"/>
                <w:bCs/>
                <w:color w:val="000000" w:themeColor="text1"/>
              </w:rPr>
              <w:t>and then will be</w:t>
            </w:r>
            <w:r w:rsidR="00E02E7D">
              <w:rPr>
                <w:rFonts w:ascii="Arial" w:hAnsi="Arial" w:cs="Arial"/>
                <w:bCs/>
                <w:color w:val="000000" w:themeColor="text1"/>
              </w:rPr>
              <w:t xml:space="preserve"> required to state whether they have a self-diagnosis/</w:t>
            </w:r>
            <w:r w:rsidR="00186C83">
              <w:rPr>
                <w:rFonts w:ascii="Arial" w:hAnsi="Arial" w:cs="Arial"/>
                <w:bCs/>
                <w:color w:val="000000" w:themeColor="text1"/>
              </w:rPr>
              <w:t>awaiting a diagnosis</w:t>
            </w:r>
            <w:r w:rsidR="00596112">
              <w:rPr>
                <w:rFonts w:ascii="Arial" w:hAnsi="Arial" w:cs="Arial"/>
                <w:bCs/>
                <w:color w:val="000000" w:themeColor="text1"/>
              </w:rPr>
              <w:t xml:space="preserve"> or whether they have a medical diagnosis of endometriosis </w:t>
            </w:r>
            <w:r w:rsidR="00680F96">
              <w:rPr>
                <w:rFonts w:ascii="Arial" w:hAnsi="Arial" w:cs="Arial"/>
                <w:bCs/>
                <w:color w:val="000000" w:themeColor="text1"/>
              </w:rPr>
              <w:t>to</w:t>
            </w:r>
            <w:r w:rsidR="00596112">
              <w:rPr>
                <w:rFonts w:ascii="Arial" w:hAnsi="Arial" w:cs="Arial"/>
                <w:bCs/>
                <w:color w:val="000000" w:themeColor="text1"/>
              </w:rPr>
              <w:t xml:space="preserve"> place them into two groups. </w:t>
            </w:r>
            <w:r w:rsidR="00680F96">
              <w:rPr>
                <w:rFonts w:ascii="Arial" w:hAnsi="Arial" w:cs="Arial"/>
                <w:bCs/>
                <w:color w:val="000000" w:themeColor="text1"/>
              </w:rPr>
              <w:t xml:space="preserve">Next, they will be </w:t>
            </w:r>
            <w:r w:rsidR="00186C83">
              <w:rPr>
                <w:rFonts w:ascii="Arial" w:hAnsi="Arial" w:cs="Arial"/>
                <w:bCs/>
                <w:color w:val="000000" w:themeColor="text1"/>
              </w:rPr>
              <w:t>asked to</w:t>
            </w:r>
            <w:r w:rsidR="00680F96">
              <w:rPr>
                <w:rFonts w:ascii="Arial" w:hAnsi="Arial" w:cs="Arial"/>
                <w:bCs/>
                <w:color w:val="000000" w:themeColor="text1"/>
              </w:rPr>
              <w:t xml:space="preserve"> complete the EHP-30, based on symptoms and QoL within the last 4 weeks. </w:t>
            </w:r>
            <w:r w:rsidR="00976FB7">
              <w:rPr>
                <w:rFonts w:ascii="Arial" w:hAnsi="Arial" w:cs="Arial"/>
                <w:bCs/>
                <w:color w:val="000000" w:themeColor="text1"/>
              </w:rPr>
              <w:t>For those medically diagnosed, they will receive a debrief form outlining the aims of the study and thanked for their participation. For those with self-diagnosis/pre-diagnosis,</w:t>
            </w:r>
            <w:r w:rsidR="005E31D2">
              <w:rPr>
                <w:rFonts w:ascii="Arial" w:hAnsi="Arial" w:cs="Arial"/>
                <w:bCs/>
                <w:color w:val="000000" w:themeColor="text1"/>
              </w:rPr>
              <w:t xml:space="preserve"> there will be the opportunity to participate in the second half of the study, consisting of 6 open</w:t>
            </w:r>
            <w:r w:rsidR="00BC29A4">
              <w:rPr>
                <w:rFonts w:ascii="Arial" w:hAnsi="Arial" w:cs="Arial"/>
                <w:bCs/>
                <w:color w:val="000000" w:themeColor="text1"/>
              </w:rPr>
              <w:t>-</w:t>
            </w:r>
            <w:r w:rsidR="005E31D2">
              <w:rPr>
                <w:rFonts w:ascii="Arial" w:hAnsi="Arial" w:cs="Arial"/>
                <w:bCs/>
                <w:color w:val="000000" w:themeColor="text1"/>
              </w:rPr>
              <w:t>ended quest</w:t>
            </w:r>
            <w:r w:rsidR="00F87E34">
              <w:rPr>
                <w:rFonts w:ascii="Arial" w:hAnsi="Arial" w:cs="Arial"/>
                <w:bCs/>
                <w:color w:val="000000" w:themeColor="text1"/>
              </w:rPr>
              <w:t>ions to gather further qualitative information on psychosocial wellbeing</w:t>
            </w:r>
            <w:r w:rsidR="00FE5BBE">
              <w:rPr>
                <w:rFonts w:ascii="Arial" w:hAnsi="Arial" w:cs="Arial"/>
                <w:bCs/>
                <w:color w:val="000000" w:themeColor="text1"/>
              </w:rPr>
              <w:t xml:space="preserve">. </w:t>
            </w:r>
            <w:r w:rsidR="00DB7B31">
              <w:rPr>
                <w:rFonts w:ascii="Arial" w:hAnsi="Arial" w:cs="Arial"/>
                <w:bCs/>
                <w:color w:val="000000" w:themeColor="text1"/>
              </w:rPr>
              <w:t>P</w:t>
            </w:r>
            <w:r w:rsidR="008B1C7D">
              <w:rPr>
                <w:rFonts w:ascii="Arial" w:hAnsi="Arial" w:cs="Arial"/>
                <w:bCs/>
                <w:color w:val="000000" w:themeColor="text1"/>
              </w:rPr>
              <w:t xml:space="preserve">articipants will be presented with a debrief </w:t>
            </w:r>
            <w:r w:rsidR="0015200B">
              <w:rPr>
                <w:rFonts w:ascii="Arial" w:hAnsi="Arial" w:cs="Arial"/>
                <w:bCs/>
                <w:color w:val="000000" w:themeColor="text1"/>
              </w:rPr>
              <w:t>form and thanked for their participation.</w:t>
            </w: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761CE5">
            <w:pPr>
              <w:spacing w:line="360" w:lineRule="auto"/>
              <w:rPr>
                <w:rFonts w:ascii="Arial" w:hAnsi="Arial" w:cs="Arial"/>
                <w:b/>
              </w:rPr>
            </w:pPr>
          </w:p>
          <w:p w14:paraId="034C9AB5" w14:textId="112D1B59" w:rsidR="00E24E04" w:rsidRPr="00444B36" w:rsidRDefault="006C3D3F" w:rsidP="00761CE5">
            <w:pPr>
              <w:spacing w:line="360" w:lineRule="auto"/>
              <w:rPr>
                <w:rFonts w:ascii="Arial" w:hAnsi="Arial" w:cs="Arial"/>
                <w:bCs/>
                <w:color w:val="000000" w:themeColor="text1"/>
              </w:rPr>
            </w:pPr>
            <w:r>
              <w:rPr>
                <w:rFonts w:ascii="Arial" w:hAnsi="Arial" w:cs="Arial"/>
                <w:bCs/>
                <w:color w:val="000000" w:themeColor="text1"/>
              </w:rPr>
              <w:t xml:space="preserve">One of the main ethical considerations will be that of anonymity. As discussing sensitive topic areas, namely an individual’s medical history and experience emphasis will need to be made on the anonymisation of data. This is paramount due to </w:t>
            </w:r>
            <w:r w:rsidR="003E3BC3">
              <w:rPr>
                <w:rFonts w:ascii="Arial" w:hAnsi="Arial" w:cs="Arial"/>
                <w:bCs/>
                <w:color w:val="000000" w:themeColor="text1"/>
              </w:rPr>
              <w:t xml:space="preserve">any fear of sharing or </w:t>
            </w:r>
            <w:r w:rsidR="00685CB2">
              <w:rPr>
                <w:rFonts w:ascii="Arial" w:hAnsi="Arial" w:cs="Arial"/>
                <w:bCs/>
                <w:color w:val="000000" w:themeColor="text1"/>
              </w:rPr>
              <w:t xml:space="preserve">impacting participants </w:t>
            </w:r>
            <w:r w:rsidR="0013245C">
              <w:rPr>
                <w:rFonts w:ascii="Arial" w:hAnsi="Arial" w:cs="Arial"/>
                <w:bCs/>
                <w:color w:val="000000" w:themeColor="text1"/>
              </w:rPr>
              <w:t>healthcare.</w:t>
            </w:r>
            <w:r w:rsidR="00761CE5">
              <w:rPr>
                <w:rFonts w:ascii="Arial" w:hAnsi="Arial" w:cs="Arial"/>
                <w:bCs/>
                <w:color w:val="000000" w:themeColor="text1"/>
              </w:rPr>
              <w:t xml:space="preserve"> In accordance with BPS ethical guidelines (British Psychological Society, 2018; 2021), i</w:t>
            </w:r>
            <w:r w:rsidR="00DF0BB4">
              <w:rPr>
                <w:rFonts w:ascii="Arial" w:hAnsi="Arial" w:cs="Arial"/>
                <w:bCs/>
                <w:color w:val="000000" w:themeColor="text1"/>
              </w:rPr>
              <w:t xml:space="preserve">t will be made clear </w:t>
            </w:r>
            <w:r w:rsidR="00036CE4">
              <w:rPr>
                <w:rFonts w:ascii="Arial" w:hAnsi="Arial" w:cs="Arial"/>
                <w:bCs/>
                <w:color w:val="000000" w:themeColor="text1"/>
              </w:rPr>
              <w:t>in the information sheet, consent form and the debrief that participation in this study will not impact</w:t>
            </w:r>
            <w:r w:rsidR="00DE66BF">
              <w:rPr>
                <w:rFonts w:ascii="Arial" w:hAnsi="Arial" w:cs="Arial"/>
                <w:bCs/>
                <w:color w:val="000000" w:themeColor="text1"/>
              </w:rPr>
              <w:t xml:space="preserve"> an individual’s healthcare, nor will it be traceable. </w:t>
            </w:r>
            <w:r w:rsidR="0054417E">
              <w:rPr>
                <w:rFonts w:ascii="Arial" w:hAnsi="Arial" w:cs="Arial"/>
                <w:bCs/>
                <w:color w:val="000000" w:themeColor="text1"/>
              </w:rPr>
              <w:t xml:space="preserve">Demographic information taken will remain basic, to further ensure </w:t>
            </w:r>
            <w:r w:rsidR="00A7263E">
              <w:rPr>
                <w:rFonts w:ascii="Arial" w:hAnsi="Arial" w:cs="Arial"/>
                <w:bCs/>
                <w:color w:val="000000" w:themeColor="text1"/>
              </w:rPr>
              <w:t>responses will not have any implication on medical treatment or be tied to any medical information</w:t>
            </w:r>
            <w:r w:rsidR="00E31AA6">
              <w:rPr>
                <w:rFonts w:ascii="Arial" w:hAnsi="Arial" w:cs="Arial"/>
                <w:bCs/>
                <w:color w:val="000000" w:themeColor="text1"/>
              </w:rPr>
              <w:t xml:space="preserve">. </w:t>
            </w:r>
            <w:r w:rsidR="0013282D">
              <w:rPr>
                <w:rFonts w:ascii="Arial" w:hAnsi="Arial" w:cs="Arial"/>
                <w:bCs/>
                <w:color w:val="000000" w:themeColor="text1"/>
              </w:rPr>
              <w:t xml:space="preserve">To assure further anonymity, pseudonyms will be given to report qualitative responses, and </w:t>
            </w:r>
            <w:r w:rsidR="00A567BD">
              <w:rPr>
                <w:rFonts w:ascii="Arial" w:hAnsi="Arial" w:cs="Arial"/>
                <w:bCs/>
                <w:color w:val="000000" w:themeColor="text1"/>
              </w:rPr>
              <w:t>gender-neutral</w:t>
            </w:r>
            <w:r w:rsidR="0013282D">
              <w:rPr>
                <w:rFonts w:ascii="Arial" w:hAnsi="Arial" w:cs="Arial"/>
                <w:bCs/>
                <w:color w:val="000000" w:themeColor="text1"/>
              </w:rPr>
              <w:t xml:space="preserve"> </w:t>
            </w:r>
            <w:r w:rsidR="00A567BD">
              <w:rPr>
                <w:rFonts w:ascii="Arial" w:hAnsi="Arial" w:cs="Arial"/>
                <w:bCs/>
                <w:color w:val="000000" w:themeColor="text1"/>
              </w:rPr>
              <w:t>pronouns will be used,</w:t>
            </w:r>
            <w:r w:rsidR="0013282D">
              <w:rPr>
                <w:rFonts w:ascii="Arial" w:hAnsi="Arial" w:cs="Arial"/>
                <w:bCs/>
                <w:color w:val="000000" w:themeColor="text1"/>
              </w:rPr>
              <w:t xml:space="preserve"> </w:t>
            </w:r>
            <w:r w:rsidR="00A567BD">
              <w:rPr>
                <w:rFonts w:ascii="Arial" w:hAnsi="Arial" w:cs="Arial"/>
                <w:bCs/>
                <w:color w:val="000000" w:themeColor="text1"/>
              </w:rPr>
              <w:t>s</w:t>
            </w:r>
            <w:r w:rsidR="009A4B33">
              <w:rPr>
                <w:rFonts w:ascii="Arial" w:hAnsi="Arial" w:cs="Arial"/>
                <w:bCs/>
                <w:color w:val="000000" w:themeColor="text1"/>
              </w:rPr>
              <w:t>uch as</w:t>
            </w:r>
            <w:r w:rsidR="00A567BD">
              <w:rPr>
                <w:rFonts w:ascii="Arial" w:hAnsi="Arial" w:cs="Arial"/>
                <w:bCs/>
                <w:color w:val="000000" w:themeColor="text1"/>
              </w:rPr>
              <w:t xml:space="preserve"> in</w:t>
            </w:r>
            <w:r w:rsidR="009A4B33">
              <w:rPr>
                <w:rFonts w:ascii="Arial" w:hAnsi="Arial" w:cs="Arial"/>
                <w:bCs/>
                <w:color w:val="000000" w:themeColor="text1"/>
              </w:rPr>
              <w:t xml:space="preserve"> </w:t>
            </w:r>
            <w:r w:rsidR="00B535B8">
              <w:rPr>
                <w:rFonts w:ascii="Arial" w:hAnsi="Arial" w:cs="Arial"/>
                <w:bCs/>
                <w:color w:val="000000" w:themeColor="text1"/>
              </w:rPr>
              <w:t>Windrim, McGuire and Durand (2024)</w:t>
            </w:r>
            <w:r w:rsidR="00A567BD">
              <w:rPr>
                <w:rFonts w:ascii="Arial" w:hAnsi="Arial" w:cs="Arial"/>
                <w:bCs/>
                <w:color w:val="000000" w:themeColor="text1"/>
              </w:rPr>
              <w:t>.</w:t>
            </w: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6AD27975" w:rsidR="00C50C14" w:rsidRPr="005B6657" w:rsidRDefault="00791D9D" w:rsidP="0067154A">
      <w:pPr>
        <w:pStyle w:val="SMUNORMALARIAL"/>
        <w:rPr>
          <w:sz w:val="4"/>
          <w:szCs w:val="4"/>
        </w:rPr>
      </w:pPr>
      <w:r>
        <w:rPr>
          <w:sz w:val="4"/>
          <w:szCs w:val="4"/>
        </w:rPr>
        <w:t>s</w:t>
      </w: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97998" w14:textId="77777777" w:rsidR="00911E6B" w:rsidRDefault="00911E6B">
      <w:r>
        <w:separator/>
      </w:r>
    </w:p>
  </w:endnote>
  <w:endnote w:type="continuationSeparator" w:id="0">
    <w:p w14:paraId="37D3C2E9" w14:textId="77777777" w:rsidR="00911E6B" w:rsidRDefault="00911E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EDFE8" w14:textId="77777777" w:rsidR="00911E6B" w:rsidRDefault="00911E6B">
      <w:r>
        <w:separator/>
      </w:r>
    </w:p>
  </w:footnote>
  <w:footnote w:type="continuationSeparator" w:id="0">
    <w:p w14:paraId="46949DE4" w14:textId="77777777" w:rsidR="00911E6B" w:rsidRDefault="00911E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D0154D3"/>
    <w:multiLevelType w:val="hybridMultilevel"/>
    <w:tmpl w:val="B6B00D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8333C0D"/>
    <w:multiLevelType w:val="hybridMultilevel"/>
    <w:tmpl w:val="FBBAB0EC"/>
    <w:lvl w:ilvl="0" w:tplc="8418FC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4"/>
  </w:num>
  <w:num w:numId="5" w16cid:durableId="123159961">
    <w:abstractNumId w:val="5"/>
  </w:num>
  <w:num w:numId="6" w16cid:durableId="8355327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263D"/>
    <w:rsid w:val="00034993"/>
    <w:rsid w:val="00036CE4"/>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245C"/>
    <w:rsid w:val="0013282D"/>
    <w:rsid w:val="00136EDF"/>
    <w:rsid w:val="00137D0F"/>
    <w:rsid w:val="001466E6"/>
    <w:rsid w:val="0015200B"/>
    <w:rsid w:val="00161012"/>
    <w:rsid w:val="001704C8"/>
    <w:rsid w:val="00175793"/>
    <w:rsid w:val="001809E5"/>
    <w:rsid w:val="00183928"/>
    <w:rsid w:val="00185FED"/>
    <w:rsid w:val="00186C83"/>
    <w:rsid w:val="00186F40"/>
    <w:rsid w:val="001879DB"/>
    <w:rsid w:val="001A273E"/>
    <w:rsid w:val="001A749D"/>
    <w:rsid w:val="001B4095"/>
    <w:rsid w:val="001B449D"/>
    <w:rsid w:val="001B5C3E"/>
    <w:rsid w:val="001B71B7"/>
    <w:rsid w:val="001C3564"/>
    <w:rsid w:val="001C6D7D"/>
    <w:rsid w:val="001D0B68"/>
    <w:rsid w:val="001D1828"/>
    <w:rsid w:val="001D1F28"/>
    <w:rsid w:val="001D2471"/>
    <w:rsid w:val="001D499B"/>
    <w:rsid w:val="001D4E3B"/>
    <w:rsid w:val="001E5680"/>
    <w:rsid w:val="001E59FF"/>
    <w:rsid w:val="001E5D06"/>
    <w:rsid w:val="001F76EE"/>
    <w:rsid w:val="00202E91"/>
    <w:rsid w:val="00203E33"/>
    <w:rsid w:val="00207F50"/>
    <w:rsid w:val="00211FBC"/>
    <w:rsid w:val="00212B24"/>
    <w:rsid w:val="00221D6F"/>
    <w:rsid w:val="00225F9B"/>
    <w:rsid w:val="00232B86"/>
    <w:rsid w:val="00232FD9"/>
    <w:rsid w:val="00235567"/>
    <w:rsid w:val="00237A84"/>
    <w:rsid w:val="002421F2"/>
    <w:rsid w:val="0024425B"/>
    <w:rsid w:val="002505E0"/>
    <w:rsid w:val="00253DD0"/>
    <w:rsid w:val="002602A3"/>
    <w:rsid w:val="0026421E"/>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E68AF"/>
    <w:rsid w:val="002E745D"/>
    <w:rsid w:val="002F1F37"/>
    <w:rsid w:val="002F3741"/>
    <w:rsid w:val="003060CA"/>
    <w:rsid w:val="00310104"/>
    <w:rsid w:val="0031057E"/>
    <w:rsid w:val="00311A2C"/>
    <w:rsid w:val="0031308C"/>
    <w:rsid w:val="003149C3"/>
    <w:rsid w:val="00314D21"/>
    <w:rsid w:val="00315B36"/>
    <w:rsid w:val="00331897"/>
    <w:rsid w:val="003403C0"/>
    <w:rsid w:val="003449A1"/>
    <w:rsid w:val="00345F13"/>
    <w:rsid w:val="0034645E"/>
    <w:rsid w:val="00347768"/>
    <w:rsid w:val="00360403"/>
    <w:rsid w:val="0036040C"/>
    <w:rsid w:val="00360E4B"/>
    <w:rsid w:val="00373E62"/>
    <w:rsid w:val="00380155"/>
    <w:rsid w:val="003834B7"/>
    <w:rsid w:val="00393019"/>
    <w:rsid w:val="003A52E4"/>
    <w:rsid w:val="003A6020"/>
    <w:rsid w:val="003A71AE"/>
    <w:rsid w:val="003B5845"/>
    <w:rsid w:val="003B5F80"/>
    <w:rsid w:val="003C154B"/>
    <w:rsid w:val="003D0CD4"/>
    <w:rsid w:val="003D1B92"/>
    <w:rsid w:val="003E3BC3"/>
    <w:rsid w:val="003E444F"/>
    <w:rsid w:val="003E4ECD"/>
    <w:rsid w:val="003E5FDA"/>
    <w:rsid w:val="003F158B"/>
    <w:rsid w:val="003F4AFC"/>
    <w:rsid w:val="003F798F"/>
    <w:rsid w:val="004010C2"/>
    <w:rsid w:val="00410411"/>
    <w:rsid w:val="00430197"/>
    <w:rsid w:val="004319CC"/>
    <w:rsid w:val="00441243"/>
    <w:rsid w:val="00442DF8"/>
    <w:rsid w:val="00444AE4"/>
    <w:rsid w:val="00444B36"/>
    <w:rsid w:val="00445302"/>
    <w:rsid w:val="00451E6F"/>
    <w:rsid w:val="00456D47"/>
    <w:rsid w:val="004601EE"/>
    <w:rsid w:val="00463D09"/>
    <w:rsid w:val="004757C1"/>
    <w:rsid w:val="004804FA"/>
    <w:rsid w:val="00481945"/>
    <w:rsid w:val="004830E4"/>
    <w:rsid w:val="00485CDE"/>
    <w:rsid w:val="00487A6A"/>
    <w:rsid w:val="004A2264"/>
    <w:rsid w:val="004A3146"/>
    <w:rsid w:val="004A7CFA"/>
    <w:rsid w:val="004B2991"/>
    <w:rsid w:val="004B358E"/>
    <w:rsid w:val="004B50AF"/>
    <w:rsid w:val="004B653C"/>
    <w:rsid w:val="004B747F"/>
    <w:rsid w:val="004C0B85"/>
    <w:rsid w:val="004D0C4F"/>
    <w:rsid w:val="004D55AB"/>
    <w:rsid w:val="004E1F0A"/>
    <w:rsid w:val="004E2539"/>
    <w:rsid w:val="004E5465"/>
    <w:rsid w:val="004E60DC"/>
    <w:rsid w:val="004E6584"/>
    <w:rsid w:val="004F5195"/>
    <w:rsid w:val="00500534"/>
    <w:rsid w:val="00503F6B"/>
    <w:rsid w:val="00507F85"/>
    <w:rsid w:val="00521B3C"/>
    <w:rsid w:val="00525FB1"/>
    <w:rsid w:val="00531677"/>
    <w:rsid w:val="00532F30"/>
    <w:rsid w:val="0053335D"/>
    <w:rsid w:val="00535993"/>
    <w:rsid w:val="00540376"/>
    <w:rsid w:val="00543D96"/>
    <w:rsid w:val="0054417E"/>
    <w:rsid w:val="00561B52"/>
    <w:rsid w:val="00563CEA"/>
    <w:rsid w:val="00564571"/>
    <w:rsid w:val="00575BFA"/>
    <w:rsid w:val="00583D84"/>
    <w:rsid w:val="00595D29"/>
    <w:rsid w:val="00596112"/>
    <w:rsid w:val="005B6580"/>
    <w:rsid w:val="005B6657"/>
    <w:rsid w:val="005B72AB"/>
    <w:rsid w:val="005B7908"/>
    <w:rsid w:val="005C05B3"/>
    <w:rsid w:val="005C2348"/>
    <w:rsid w:val="005C3249"/>
    <w:rsid w:val="005C3D7B"/>
    <w:rsid w:val="005D16E0"/>
    <w:rsid w:val="005E31D2"/>
    <w:rsid w:val="005E4647"/>
    <w:rsid w:val="005E74F1"/>
    <w:rsid w:val="005F279E"/>
    <w:rsid w:val="0060533C"/>
    <w:rsid w:val="00614C25"/>
    <w:rsid w:val="00622E8A"/>
    <w:rsid w:val="006252E3"/>
    <w:rsid w:val="0063618F"/>
    <w:rsid w:val="00640A44"/>
    <w:rsid w:val="006476EE"/>
    <w:rsid w:val="00655D78"/>
    <w:rsid w:val="0067154A"/>
    <w:rsid w:val="00673604"/>
    <w:rsid w:val="00673DA3"/>
    <w:rsid w:val="00680F96"/>
    <w:rsid w:val="00682F1A"/>
    <w:rsid w:val="006838D7"/>
    <w:rsid w:val="00685815"/>
    <w:rsid w:val="00685CB2"/>
    <w:rsid w:val="0069011B"/>
    <w:rsid w:val="00692968"/>
    <w:rsid w:val="00695B21"/>
    <w:rsid w:val="006A17E5"/>
    <w:rsid w:val="006C2BAF"/>
    <w:rsid w:val="006C2C95"/>
    <w:rsid w:val="006C3D3F"/>
    <w:rsid w:val="006C752F"/>
    <w:rsid w:val="006D10AC"/>
    <w:rsid w:val="006D31CA"/>
    <w:rsid w:val="006E1973"/>
    <w:rsid w:val="006E4763"/>
    <w:rsid w:val="006E670A"/>
    <w:rsid w:val="006E6E6E"/>
    <w:rsid w:val="006F3D33"/>
    <w:rsid w:val="00704616"/>
    <w:rsid w:val="00707654"/>
    <w:rsid w:val="0071671E"/>
    <w:rsid w:val="00717AC6"/>
    <w:rsid w:val="007209B9"/>
    <w:rsid w:val="00720E1E"/>
    <w:rsid w:val="00727EE0"/>
    <w:rsid w:val="00733B4E"/>
    <w:rsid w:val="00736609"/>
    <w:rsid w:val="00741E86"/>
    <w:rsid w:val="00745035"/>
    <w:rsid w:val="0075060E"/>
    <w:rsid w:val="0075107C"/>
    <w:rsid w:val="00753CE4"/>
    <w:rsid w:val="00754BA9"/>
    <w:rsid w:val="007552D9"/>
    <w:rsid w:val="00756104"/>
    <w:rsid w:val="007579F4"/>
    <w:rsid w:val="007615DD"/>
    <w:rsid w:val="00761CE5"/>
    <w:rsid w:val="0076795E"/>
    <w:rsid w:val="00782BB6"/>
    <w:rsid w:val="00785D4D"/>
    <w:rsid w:val="007904E6"/>
    <w:rsid w:val="00791D9D"/>
    <w:rsid w:val="0079269B"/>
    <w:rsid w:val="00794630"/>
    <w:rsid w:val="007A028B"/>
    <w:rsid w:val="007A14A3"/>
    <w:rsid w:val="007A30FE"/>
    <w:rsid w:val="007A643E"/>
    <w:rsid w:val="007B4FA1"/>
    <w:rsid w:val="007B61DD"/>
    <w:rsid w:val="007C24DF"/>
    <w:rsid w:val="007C40BA"/>
    <w:rsid w:val="007C61A6"/>
    <w:rsid w:val="007D1054"/>
    <w:rsid w:val="007D1386"/>
    <w:rsid w:val="007D26F8"/>
    <w:rsid w:val="007D6395"/>
    <w:rsid w:val="007D673A"/>
    <w:rsid w:val="007E1B79"/>
    <w:rsid w:val="007E279A"/>
    <w:rsid w:val="007E3147"/>
    <w:rsid w:val="007E787E"/>
    <w:rsid w:val="007E7CC5"/>
    <w:rsid w:val="007F32A4"/>
    <w:rsid w:val="008066ED"/>
    <w:rsid w:val="00807987"/>
    <w:rsid w:val="00812DC7"/>
    <w:rsid w:val="008164EB"/>
    <w:rsid w:val="008226C0"/>
    <w:rsid w:val="0083364B"/>
    <w:rsid w:val="0085195B"/>
    <w:rsid w:val="00861F7F"/>
    <w:rsid w:val="0086342C"/>
    <w:rsid w:val="008653F3"/>
    <w:rsid w:val="008656B7"/>
    <w:rsid w:val="00865984"/>
    <w:rsid w:val="0086773C"/>
    <w:rsid w:val="0087576C"/>
    <w:rsid w:val="00880183"/>
    <w:rsid w:val="008815E0"/>
    <w:rsid w:val="008832B8"/>
    <w:rsid w:val="00885B67"/>
    <w:rsid w:val="00887014"/>
    <w:rsid w:val="008944B8"/>
    <w:rsid w:val="00895B4A"/>
    <w:rsid w:val="008A67F2"/>
    <w:rsid w:val="008B1C7D"/>
    <w:rsid w:val="008B38DF"/>
    <w:rsid w:val="008C0046"/>
    <w:rsid w:val="008C23D4"/>
    <w:rsid w:val="008C496F"/>
    <w:rsid w:val="008C4B50"/>
    <w:rsid w:val="008C62A5"/>
    <w:rsid w:val="008D428B"/>
    <w:rsid w:val="008F6C40"/>
    <w:rsid w:val="00911E6B"/>
    <w:rsid w:val="0091227C"/>
    <w:rsid w:val="00913CDB"/>
    <w:rsid w:val="00914C57"/>
    <w:rsid w:val="00915A2E"/>
    <w:rsid w:val="00925A3C"/>
    <w:rsid w:val="00933BA5"/>
    <w:rsid w:val="00940155"/>
    <w:rsid w:val="00942AA0"/>
    <w:rsid w:val="0094419B"/>
    <w:rsid w:val="00945CEC"/>
    <w:rsid w:val="009510D3"/>
    <w:rsid w:val="009648D6"/>
    <w:rsid w:val="009665F3"/>
    <w:rsid w:val="0097069B"/>
    <w:rsid w:val="0097158B"/>
    <w:rsid w:val="009760D0"/>
    <w:rsid w:val="00976FB7"/>
    <w:rsid w:val="00980319"/>
    <w:rsid w:val="00985BE8"/>
    <w:rsid w:val="009864FC"/>
    <w:rsid w:val="0098670C"/>
    <w:rsid w:val="00990C19"/>
    <w:rsid w:val="009918A3"/>
    <w:rsid w:val="00992264"/>
    <w:rsid w:val="00992E83"/>
    <w:rsid w:val="00993513"/>
    <w:rsid w:val="009A190D"/>
    <w:rsid w:val="009A1D4A"/>
    <w:rsid w:val="009A4B33"/>
    <w:rsid w:val="009C0B5A"/>
    <w:rsid w:val="009D14AD"/>
    <w:rsid w:val="009E3A15"/>
    <w:rsid w:val="009E43FE"/>
    <w:rsid w:val="009F0537"/>
    <w:rsid w:val="009F4A4D"/>
    <w:rsid w:val="009F6541"/>
    <w:rsid w:val="00A01F77"/>
    <w:rsid w:val="00A05E89"/>
    <w:rsid w:val="00A07CA3"/>
    <w:rsid w:val="00A1196A"/>
    <w:rsid w:val="00A13ED4"/>
    <w:rsid w:val="00A245C0"/>
    <w:rsid w:val="00A34C36"/>
    <w:rsid w:val="00A352E5"/>
    <w:rsid w:val="00A37FE9"/>
    <w:rsid w:val="00A4091F"/>
    <w:rsid w:val="00A40E97"/>
    <w:rsid w:val="00A456C7"/>
    <w:rsid w:val="00A47A7F"/>
    <w:rsid w:val="00A5268F"/>
    <w:rsid w:val="00A548EA"/>
    <w:rsid w:val="00A567BD"/>
    <w:rsid w:val="00A56BB3"/>
    <w:rsid w:val="00A6250E"/>
    <w:rsid w:val="00A62665"/>
    <w:rsid w:val="00A64E67"/>
    <w:rsid w:val="00A656B6"/>
    <w:rsid w:val="00A7263E"/>
    <w:rsid w:val="00A727C7"/>
    <w:rsid w:val="00A76C3C"/>
    <w:rsid w:val="00A77FD9"/>
    <w:rsid w:val="00A949FC"/>
    <w:rsid w:val="00A9677C"/>
    <w:rsid w:val="00AA52E9"/>
    <w:rsid w:val="00AA7F18"/>
    <w:rsid w:val="00AC543E"/>
    <w:rsid w:val="00AD2A3F"/>
    <w:rsid w:val="00AE6E82"/>
    <w:rsid w:val="00AF0884"/>
    <w:rsid w:val="00AF4068"/>
    <w:rsid w:val="00AF4D4E"/>
    <w:rsid w:val="00AF5CDA"/>
    <w:rsid w:val="00AF5D51"/>
    <w:rsid w:val="00AF7A28"/>
    <w:rsid w:val="00B00EEE"/>
    <w:rsid w:val="00B03110"/>
    <w:rsid w:val="00B05B70"/>
    <w:rsid w:val="00B15FD5"/>
    <w:rsid w:val="00B22CEA"/>
    <w:rsid w:val="00B24417"/>
    <w:rsid w:val="00B248BA"/>
    <w:rsid w:val="00B31184"/>
    <w:rsid w:val="00B3144B"/>
    <w:rsid w:val="00B37733"/>
    <w:rsid w:val="00B3794E"/>
    <w:rsid w:val="00B41577"/>
    <w:rsid w:val="00B42D84"/>
    <w:rsid w:val="00B43AE5"/>
    <w:rsid w:val="00B535B8"/>
    <w:rsid w:val="00B6567E"/>
    <w:rsid w:val="00B76769"/>
    <w:rsid w:val="00B861BF"/>
    <w:rsid w:val="00B91B51"/>
    <w:rsid w:val="00B94A46"/>
    <w:rsid w:val="00B9786C"/>
    <w:rsid w:val="00BA3A50"/>
    <w:rsid w:val="00BA3DE2"/>
    <w:rsid w:val="00BA756C"/>
    <w:rsid w:val="00BA7620"/>
    <w:rsid w:val="00BB4BDA"/>
    <w:rsid w:val="00BC0096"/>
    <w:rsid w:val="00BC17A0"/>
    <w:rsid w:val="00BC22BC"/>
    <w:rsid w:val="00BC29A4"/>
    <w:rsid w:val="00BD27E9"/>
    <w:rsid w:val="00BD32A4"/>
    <w:rsid w:val="00BD4768"/>
    <w:rsid w:val="00BE2EF0"/>
    <w:rsid w:val="00BE49AB"/>
    <w:rsid w:val="00BF0A01"/>
    <w:rsid w:val="00C01536"/>
    <w:rsid w:val="00C035B1"/>
    <w:rsid w:val="00C061EC"/>
    <w:rsid w:val="00C11D79"/>
    <w:rsid w:val="00C26700"/>
    <w:rsid w:val="00C46072"/>
    <w:rsid w:val="00C46A0A"/>
    <w:rsid w:val="00C471CE"/>
    <w:rsid w:val="00C50C14"/>
    <w:rsid w:val="00C51740"/>
    <w:rsid w:val="00C51858"/>
    <w:rsid w:val="00C61291"/>
    <w:rsid w:val="00C61AAE"/>
    <w:rsid w:val="00C6636C"/>
    <w:rsid w:val="00C675F1"/>
    <w:rsid w:val="00C752EF"/>
    <w:rsid w:val="00C76FDA"/>
    <w:rsid w:val="00C83B07"/>
    <w:rsid w:val="00C87DBD"/>
    <w:rsid w:val="00C92065"/>
    <w:rsid w:val="00C92A53"/>
    <w:rsid w:val="00CA58B3"/>
    <w:rsid w:val="00CB0805"/>
    <w:rsid w:val="00CB366C"/>
    <w:rsid w:val="00CC030D"/>
    <w:rsid w:val="00CC41BB"/>
    <w:rsid w:val="00CD6F8E"/>
    <w:rsid w:val="00CD79E9"/>
    <w:rsid w:val="00CE66C4"/>
    <w:rsid w:val="00CF5F56"/>
    <w:rsid w:val="00D01C1B"/>
    <w:rsid w:val="00D026DF"/>
    <w:rsid w:val="00D077E1"/>
    <w:rsid w:val="00D128EA"/>
    <w:rsid w:val="00D2461D"/>
    <w:rsid w:val="00D31592"/>
    <w:rsid w:val="00D40D39"/>
    <w:rsid w:val="00D44F84"/>
    <w:rsid w:val="00D7426D"/>
    <w:rsid w:val="00D743A4"/>
    <w:rsid w:val="00D744CC"/>
    <w:rsid w:val="00D83BA6"/>
    <w:rsid w:val="00D83C8B"/>
    <w:rsid w:val="00D9285C"/>
    <w:rsid w:val="00D92BA9"/>
    <w:rsid w:val="00DA2212"/>
    <w:rsid w:val="00DA5A23"/>
    <w:rsid w:val="00DA7F18"/>
    <w:rsid w:val="00DB1B13"/>
    <w:rsid w:val="00DB2C4C"/>
    <w:rsid w:val="00DB4F0B"/>
    <w:rsid w:val="00DB7633"/>
    <w:rsid w:val="00DB7AE5"/>
    <w:rsid w:val="00DB7B31"/>
    <w:rsid w:val="00DC2F51"/>
    <w:rsid w:val="00DC5FF9"/>
    <w:rsid w:val="00DC77E1"/>
    <w:rsid w:val="00DE121A"/>
    <w:rsid w:val="00DE66BF"/>
    <w:rsid w:val="00DF0BB4"/>
    <w:rsid w:val="00DF4D67"/>
    <w:rsid w:val="00DF7A76"/>
    <w:rsid w:val="00E00F78"/>
    <w:rsid w:val="00E0289D"/>
    <w:rsid w:val="00E02E7D"/>
    <w:rsid w:val="00E21732"/>
    <w:rsid w:val="00E24A0F"/>
    <w:rsid w:val="00E24E04"/>
    <w:rsid w:val="00E26247"/>
    <w:rsid w:val="00E271BA"/>
    <w:rsid w:val="00E31518"/>
    <w:rsid w:val="00E31877"/>
    <w:rsid w:val="00E31AA6"/>
    <w:rsid w:val="00E37438"/>
    <w:rsid w:val="00E50BFF"/>
    <w:rsid w:val="00E63A9A"/>
    <w:rsid w:val="00E667C8"/>
    <w:rsid w:val="00E7102A"/>
    <w:rsid w:val="00E77D68"/>
    <w:rsid w:val="00E8267B"/>
    <w:rsid w:val="00E84E80"/>
    <w:rsid w:val="00E9577B"/>
    <w:rsid w:val="00EA230D"/>
    <w:rsid w:val="00EA3CDA"/>
    <w:rsid w:val="00EB351D"/>
    <w:rsid w:val="00EB5310"/>
    <w:rsid w:val="00EB65B7"/>
    <w:rsid w:val="00EC2A13"/>
    <w:rsid w:val="00EC7F37"/>
    <w:rsid w:val="00ED37E5"/>
    <w:rsid w:val="00EE1217"/>
    <w:rsid w:val="00EF25ED"/>
    <w:rsid w:val="00EF4440"/>
    <w:rsid w:val="00EF6B3C"/>
    <w:rsid w:val="00F06B1D"/>
    <w:rsid w:val="00F10CD4"/>
    <w:rsid w:val="00F15CBA"/>
    <w:rsid w:val="00F177B9"/>
    <w:rsid w:val="00F17B14"/>
    <w:rsid w:val="00F200A1"/>
    <w:rsid w:val="00F341B6"/>
    <w:rsid w:val="00F4311E"/>
    <w:rsid w:val="00F4415B"/>
    <w:rsid w:val="00F472B8"/>
    <w:rsid w:val="00F5547A"/>
    <w:rsid w:val="00F62C23"/>
    <w:rsid w:val="00F67270"/>
    <w:rsid w:val="00F73A03"/>
    <w:rsid w:val="00F75934"/>
    <w:rsid w:val="00F80900"/>
    <w:rsid w:val="00F84809"/>
    <w:rsid w:val="00F87E34"/>
    <w:rsid w:val="00F96161"/>
    <w:rsid w:val="00FA21A6"/>
    <w:rsid w:val="00FA21DE"/>
    <w:rsid w:val="00FA650A"/>
    <w:rsid w:val="00FB051F"/>
    <w:rsid w:val="00FB21C2"/>
    <w:rsid w:val="00FB5FF5"/>
    <w:rsid w:val="00FC06E5"/>
    <w:rsid w:val="00FC5094"/>
    <w:rsid w:val="00FD2FD7"/>
    <w:rsid w:val="00FD4AF1"/>
    <w:rsid w:val="00FD5ECB"/>
    <w:rsid w:val="00FE5BBE"/>
    <w:rsid w:val="00FF138C"/>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autoRedefine/>
    <w:uiPriority w:val="9"/>
    <w:qFormat/>
    <w:rsid w:val="00761CE5"/>
    <w:pPr>
      <w:keepNext/>
      <w:spacing w:line="480" w:lineRule="atLeast"/>
      <w:jc w:val="center"/>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E77D68"/>
    <w:pPr>
      <w:spacing w:before="100" w:beforeAutospacing="1" w:after="100" w:afterAutospacing="1"/>
    </w:pPr>
  </w:style>
  <w:style w:type="character" w:customStyle="1" w:styleId="apple-converted-space">
    <w:name w:val="apple-converted-space"/>
    <w:basedOn w:val="DefaultParagraphFont"/>
    <w:rsid w:val="00E77D68"/>
  </w:style>
  <w:style w:type="character" w:customStyle="1" w:styleId="Heading1Char">
    <w:name w:val="Heading 1 Char"/>
    <w:basedOn w:val="DefaultParagraphFont"/>
    <w:link w:val="Heading1"/>
    <w:uiPriority w:val="9"/>
    <w:rsid w:val="00761CE5"/>
    <w:rPr>
      <w:rFonts w:ascii="Arial" w:hAnsi="Arial" w:cs="Arial"/>
      <w:b/>
      <w:bCs/>
      <w:kern w:val="32"/>
      <w:sz w:val="32"/>
      <w:szCs w:val="32"/>
    </w:rPr>
  </w:style>
  <w:style w:type="character" w:styleId="Hyperlink">
    <w:name w:val="Hyperlink"/>
    <w:basedOn w:val="DefaultParagraphFont"/>
    <w:rsid w:val="00761CE5"/>
    <w:rPr>
      <w:color w:val="0563C1" w:themeColor="hyperlink"/>
      <w:u w:val="single"/>
    </w:rPr>
  </w:style>
  <w:style w:type="character" w:styleId="UnresolvedMention">
    <w:name w:val="Unresolved Mention"/>
    <w:basedOn w:val="DefaultParagraphFont"/>
    <w:uiPriority w:val="99"/>
    <w:semiHidden/>
    <w:unhideWhenUsed/>
    <w:rsid w:val="00761CE5"/>
    <w:rPr>
      <w:color w:val="605E5C"/>
      <w:shd w:val="clear" w:color="auto" w:fill="E1DFDD"/>
    </w:rPr>
  </w:style>
  <w:style w:type="character" w:styleId="FollowedHyperlink">
    <w:name w:val="FollowedHyperlink"/>
    <w:basedOn w:val="DefaultParagraphFont"/>
    <w:rsid w:val="00761CE5"/>
    <w:rPr>
      <w:color w:val="954F72" w:themeColor="followedHyperlink"/>
      <w:u w:val="single"/>
    </w:rPr>
  </w:style>
  <w:style w:type="character" w:customStyle="1" w:styleId="citationsource-book">
    <w:name w:val="citation_source-book"/>
    <w:basedOn w:val="DefaultParagraphFont"/>
    <w:rsid w:val="00761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359963">
      <w:bodyDiv w:val="1"/>
      <w:marLeft w:val="0"/>
      <w:marRight w:val="0"/>
      <w:marTop w:val="0"/>
      <w:marBottom w:val="0"/>
      <w:divBdr>
        <w:top w:val="none" w:sz="0" w:space="0" w:color="auto"/>
        <w:left w:val="none" w:sz="0" w:space="0" w:color="auto"/>
        <w:bottom w:val="none" w:sz="0" w:space="0" w:color="auto"/>
        <w:right w:val="none" w:sz="0" w:space="0" w:color="auto"/>
      </w:divBdr>
      <w:divsChild>
        <w:div w:id="700088073">
          <w:marLeft w:val="0"/>
          <w:marRight w:val="0"/>
          <w:marTop w:val="0"/>
          <w:marBottom w:val="0"/>
          <w:divBdr>
            <w:top w:val="single" w:sz="2" w:space="0" w:color="E5E7EB"/>
            <w:left w:val="single" w:sz="2" w:space="0" w:color="E5E7EB"/>
            <w:bottom w:val="single" w:sz="2" w:space="0" w:color="E5E7EB"/>
            <w:right w:val="single" w:sz="2" w:space="0" w:color="E5E7EB"/>
          </w:divBdr>
          <w:divsChild>
            <w:div w:id="1159465022">
              <w:marLeft w:val="0"/>
              <w:marRight w:val="0"/>
              <w:marTop w:val="0"/>
              <w:marBottom w:val="0"/>
              <w:divBdr>
                <w:top w:val="single" w:sz="2" w:space="0" w:color="E5E7EB"/>
                <w:left w:val="single" w:sz="2" w:space="0" w:color="E5E7EB"/>
                <w:bottom w:val="single" w:sz="2" w:space="0" w:color="E5E7EB"/>
                <w:right w:val="single" w:sz="2" w:space="0" w:color="E5E7EB"/>
              </w:divBdr>
              <w:divsChild>
                <w:div w:id="2144543805">
                  <w:marLeft w:val="0"/>
                  <w:marRight w:val="0"/>
                  <w:marTop w:val="0"/>
                  <w:marBottom w:val="0"/>
                  <w:divBdr>
                    <w:top w:val="single" w:sz="2" w:space="0" w:color="E5E7EB"/>
                    <w:left w:val="single" w:sz="2" w:space="0" w:color="E5E7EB"/>
                    <w:bottom w:val="single" w:sz="2" w:space="0" w:color="E5E7EB"/>
                    <w:right w:val="single" w:sz="2" w:space="0" w:color="E5E7EB"/>
                  </w:divBdr>
                  <w:divsChild>
                    <w:div w:id="351229050">
                      <w:marLeft w:val="0"/>
                      <w:marRight w:val="0"/>
                      <w:marTop w:val="0"/>
                      <w:marBottom w:val="0"/>
                      <w:divBdr>
                        <w:top w:val="single" w:sz="2" w:space="8" w:color="E5E7EB"/>
                        <w:left w:val="single" w:sz="2" w:space="0" w:color="E5E7EB"/>
                        <w:bottom w:val="single" w:sz="2" w:space="8" w:color="E5E7EB"/>
                        <w:right w:val="single" w:sz="2" w:space="0" w:color="E5E7EB"/>
                      </w:divBdr>
                      <w:divsChild>
                        <w:div w:id="888733716">
                          <w:marLeft w:val="0"/>
                          <w:marRight w:val="0"/>
                          <w:marTop w:val="0"/>
                          <w:marBottom w:val="0"/>
                          <w:divBdr>
                            <w:top w:val="single" w:sz="2" w:space="0" w:color="E5E7EB"/>
                            <w:left w:val="single" w:sz="2" w:space="0" w:color="E5E7EB"/>
                            <w:bottom w:val="single" w:sz="2" w:space="0" w:color="E5E7EB"/>
                            <w:right w:val="single" w:sz="2" w:space="0" w:color="E5E7EB"/>
                          </w:divBdr>
                          <w:divsChild>
                            <w:div w:id="20793277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302690428">
          <w:marLeft w:val="0"/>
          <w:marRight w:val="0"/>
          <w:marTop w:val="0"/>
          <w:marBottom w:val="0"/>
          <w:divBdr>
            <w:top w:val="single" w:sz="2" w:space="0" w:color="E5E7EB"/>
            <w:left w:val="single" w:sz="2" w:space="0" w:color="E5E7EB"/>
            <w:bottom w:val="single" w:sz="2" w:space="0" w:color="E5E7EB"/>
            <w:right w:val="single" w:sz="2" w:space="0" w:color="E5E7EB"/>
          </w:divBdr>
          <w:divsChild>
            <w:div w:id="978192964">
              <w:marLeft w:val="0"/>
              <w:marRight w:val="0"/>
              <w:marTop w:val="0"/>
              <w:marBottom w:val="0"/>
              <w:divBdr>
                <w:top w:val="single" w:sz="2" w:space="0" w:color="E5E7EB"/>
                <w:left w:val="single" w:sz="2" w:space="0" w:color="E5E7EB"/>
                <w:bottom w:val="single" w:sz="2" w:space="0" w:color="E5E7EB"/>
                <w:right w:val="single" w:sz="2" w:space="0" w:color="E5E7EB"/>
              </w:divBdr>
              <w:divsChild>
                <w:div w:id="11149029">
                  <w:marLeft w:val="0"/>
                  <w:marRight w:val="0"/>
                  <w:marTop w:val="0"/>
                  <w:marBottom w:val="0"/>
                  <w:divBdr>
                    <w:top w:val="single" w:sz="2" w:space="0" w:color="E5E7EB"/>
                    <w:left w:val="single" w:sz="2" w:space="0" w:color="E5E7EB"/>
                    <w:bottom w:val="single" w:sz="2" w:space="0" w:color="E5E7EB"/>
                    <w:right w:val="single" w:sz="2" w:space="0" w:color="E5E7EB"/>
                  </w:divBdr>
                  <w:divsChild>
                    <w:div w:id="2016837167">
                      <w:marLeft w:val="0"/>
                      <w:marRight w:val="0"/>
                      <w:marTop w:val="0"/>
                      <w:marBottom w:val="0"/>
                      <w:divBdr>
                        <w:top w:val="single" w:sz="2" w:space="8" w:color="E5E7EB"/>
                        <w:left w:val="single" w:sz="2" w:space="0" w:color="E5E7EB"/>
                        <w:bottom w:val="single" w:sz="2" w:space="8" w:color="E5E7EB"/>
                        <w:right w:val="single" w:sz="2" w:space="0" w:color="E5E7EB"/>
                      </w:divBdr>
                      <w:divsChild>
                        <w:div w:id="447820123">
                          <w:marLeft w:val="0"/>
                          <w:marRight w:val="0"/>
                          <w:marTop w:val="0"/>
                          <w:marBottom w:val="0"/>
                          <w:divBdr>
                            <w:top w:val="single" w:sz="2" w:space="0" w:color="E5E7EB"/>
                            <w:left w:val="single" w:sz="2" w:space="0" w:color="E5E7EB"/>
                            <w:bottom w:val="single" w:sz="2" w:space="0" w:color="E5E7EB"/>
                            <w:right w:val="single" w:sz="2" w:space="0" w:color="E5E7EB"/>
                          </w:divBdr>
                          <w:divsChild>
                            <w:div w:id="9759090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21460860">
          <w:marLeft w:val="0"/>
          <w:marRight w:val="0"/>
          <w:marTop w:val="0"/>
          <w:marBottom w:val="0"/>
          <w:divBdr>
            <w:top w:val="single" w:sz="2" w:space="0" w:color="E5E7EB"/>
            <w:left w:val="single" w:sz="2" w:space="0" w:color="E5E7EB"/>
            <w:bottom w:val="single" w:sz="2" w:space="0" w:color="E5E7EB"/>
            <w:right w:val="single" w:sz="2" w:space="0" w:color="E5E7EB"/>
          </w:divBdr>
          <w:divsChild>
            <w:div w:id="1439914246">
              <w:marLeft w:val="0"/>
              <w:marRight w:val="0"/>
              <w:marTop w:val="0"/>
              <w:marBottom w:val="0"/>
              <w:divBdr>
                <w:top w:val="single" w:sz="2" w:space="0" w:color="E5E7EB"/>
                <w:left w:val="single" w:sz="2" w:space="0" w:color="E5E7EB"/>
                <w:bottom w:val="single" w:sz="2" w:space="0" w:color="E5E7EB"/>
                <w:right w:val="single" w:sz="2" w:space="0" w:color="E5E7EB"/>
              </w:divBdr>
              <w:divsChild>
                <w:div w:id="1855340764">
                  <w:marLeft w:val="0"/>
                  <w:marRight w:val="0"/>
                  <w:marTop w:val="0"/>
                  <w:marBottom w:val="0"/>
                  <w:divBdr>
                    <w:top w:val="single" w:sz="2" w:space="0" w:color="E5E7EB"/>
                    <w:left w:val="single" w:sz="2" w:space="0" w:color="E5E7EB"/>
                    <w:bottom w:val="single" w:sz="2" w:space="0" w:color="E5E7EB"/>
                    <w:right w:val="single" w:sz="2" w:space="0" w:color="E5E7EB"/>
                  </w:divBdr>
                  <w:divsChild>
                    <w:div w:id="1340885050">
                      <w:marLeft w:val="0"/>
                      <w:marRight w:val="0"/>
                      <w:marTop w:val="0"/>
                      <w:marBottom w:val="0"/>
                      <w:divBdr>
                        <w:top w:val="single" w:sz="2" w:space="8" w:color="E5E7EB"/>
                        <w:left w:val="single" w:sz="2" w:space="0" w:color="E5E7EB"/>
                        <w:bottom w:val="single" w:sz="2" w:space="8" w:color="E5E7EB"/>
                        <w:right w:val="single" w:sz="2" w:space="0" w:color="E5E7EB"/>
                      </w:divBdr>
                      <w:divsChild>
                        <w:div w:id="1795323547">
                          <w:marLeft w:val="0"/>
                          <w:marRight w:val="0"/>
                          <w:marTop w:val="0"/>
                          <w:marBottom w:val="0"/>
                          <w:divBdr>
                            <w:top w:val="single" w:sz="2" w:space="0" w:color="E5E7EB"/>
                            <w:left w:val="single" w:sz="2" w:space="0" w:color="E5E7EB"/>
                            <w:bottom w:val="single" w:sz="2" w:space="0" w:color="E5E7EB"/>
                            <w:right w:val="single" w:sz="2" w:space="0" w:color="E5E7EB"/>
                          </w:divBdr>
                          <w:divsChild>
                            <w:div w:id="1430833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09799092">
          <w:marLeft w:val="0"/>
          <w:marRight w:val="0"/>
          <w:marTop w:val="0"/>
          <w:marBottom w:val="0"/>
          <w:divBdr>
            <w:top w:val="single" w:sz="2" w:space="0" w:color="E5E7EB"/>
            <w:left w:val="single" w:sz="2" w:space="0" w:color="E5E7EB"/>
            <w:bottom w:val="single" w:sz="2" w:space="0" w:color="E5E7EB"/>
            <w:right w:val="single" w:sz="2" w:space="0" w:color="E5E7EB"/>
          </w:divBdr>
          <w:divsChild>
            <w:div w:id="209461329">
              <w:marLeft w:val="0"/>
              <w:marRight w:val="0"/>
              <w:marTop w:val="0"/>
              <w:marBottom w:val="0"/>
              <w:divBdr>
                <w:top w:val="single" w:sz="2" w:space="0" w:color="E5E7EB"/>
                <w:left w:val="single" w:sz="2" w:space="0" w:color="E5E7EB"/>
                <w:bottom w:val="single" w:sz="2" w:space="0" w:color="E5E7EB"/>
                <w:right w:val="single" w:sz="2" w:space="0" w:color="E5E7EB"/>
              </w:divBdr>
              <w:divsChild>
                <w:div w:id="134757911">
                  <w:marLeft w:val="0"/>
                  <w:marRight w:val="0"/>
                  <w:marTop w:val="0"/>
                  <w:marBottom w:val="0"/>
                  <w:divBdr>
                    <w:top w:val="single" w:sz="2" w:space="0" w:color="E5E7EB"/>
                    <w:left w:val="single" w:sz="2" w:space="0" w:color="E5E7EB"/>
                    <w:bottom w:val="single" w:sz="2" w:space="0" w:color="E5E7EB"/>
                    <w:right w:val="single" w:sz="2" w:space="0" w:color="E5E7EB"/>
                  </w:divBdr>
                  <w:divsChild>
                    <w:div w:id="222758472">
                      <w:marLeft w:val="0"/>
                      <w:marRight w:val="0"/>
                      <w:marTop w:val="0"/>
                      <w:marBottom w:val="0"/>
                      <w:divBdr>
                        <w:top w:val="single" w:sz="2" w:space="8" w:color="E5E7EB"/>
                        <w:left w:val="single" w:sz="2" w:space="0" w:color="E5E7EB"/>
                        <w:bottom w:val="single" w:sz="2" w:space="8" w:color="E5E7EB"/>
                        <w:right w:val="single" w:sz="2" w:space="0" w:color="E5E7EB"/>
                      </w:divBdr>
                      <w:divsChild>
                        <w:div w:id="2128238552">
                          <w:marLeft w:val="0"/>
                          <w:marRight w:val="0"/>
                          <w:marTop w:val="0"/>
                          <w:marBottom w:val="0"/>
                          <w:divBdr>
                            <w:top w:val="single" w:sz="2" w:space="0" w:color="E5E7EB"/>
                            <w:left w:val="single" w:sz="2" w:space="0" w:color="E5E7EB"/>
                            <w:bottom w:val="single" w:sz="2" w:space="0" w:color="E5E7EB"/>
                            <w:right w:val="single" w:sz="2" w:space="0" w:color="E5E7EB"/>
                          </w:divBdr>
                          <w:divsChild>
                            <w:div w:id="11244262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07302798">
      <w:bodyDiv w:val="1"/>
      <w:marLeft w:val="0"/>
      <w:marRight w:val="0"/>
      <w:marTop w:val="0"/>
      <w:marBottom w:val="0"/>
      <w:divBdr>
        <w:top w:val="none" w:sz="0" w:space="0" w:color="auto"/>
        <w:left w:val="none" w:sz="0" w:space="0" w:color="auto"/>
        <w:bottom w:val="none" w:sz="0" w:space="0" w:color="auto"/>
        <w:right w:val="none" w:sz="0" w:space="0" w:color="auto"/>
      </w:divBdr>
      <w:divsChild>
        <w:div w:id="184516607">
          <w:marLeft w:val="0"/>
          <w:marRight w:val="0"/>
          <w:marTop w:val="0"/>
          <w:marBottom w:val="0"/>
          <w:divBdr>
            <w:top w:val="single" w:sz="2" w:space="0" w:color="E5E7EB"/>
            <w:left w:val="single" w:sz="2" w:space="0" w:color="E5E7EB"/>
            <w:bottom w:val="single" w:sz="2" w:space="0" w:color="E5E7EB"/>
            <w:right w:val="single" w:sz="2" w:space="0" w:color="E5E7EB"/>
          </w:divBdr>
          <w:divsChild>
            <w:div w:id="262808445">
              <w:marLeft w:val="0"/>
              <w:marRight w:val="0"/>
              <w:marTop w:val="0"/>
              <w:marBottom w:val="0"/>
              <w:divBdr>
                <w:top w:val="single" w:sz="2" w:space="0" w:color="E5E7EB"/>
                <w:left w:val="single" w:sz="2" w:space="0" w:color="E5E7EB"/>
                <w:bottom w:val="single" w:sz="2" w:space="0" w:color="E5E7EB"/>
                <w:right w:val="single" w:sz="2" w:space="0" w:color="E5E7EB"/>
              </w:divBdr>
              <w:divsChild>
                <w:div w:id="756558334">
                  <w:marLeft w:val="0"/>
                  <w:marRight w:val="0"/>
                  <w:marTop w:val="0"/>
                  <w:marBottom w:val="0"/>
                  <w:divBdr>
                    <w:top w:val="single" w:sz="2" w:space="0" w:color="E5E7EB"/>
                    <w:left w:val="single" w:sz="2" w:space="0" w:color="E5E7EB"/>
                    <w:bottom w:val="single" w:sz="2" w:space="0" w:color="E5E7EB"/>
                    <w:right w:val="single" w:sz="2" w:space="0" w:color="E5E7EB"/>
                  </w:divBdr>
                  <w:divsChild>
                    <w:div w:id="1489130516">
                      <w:marLeft w:val="0"/>
                      <w:marRight w:val="0"/>
                      <w:marTop w:val="0"/>
                      <w:marBottom w:val="0"/>
                      <w:divBdr>
                        <w:top w:val="single" w:sz="2" w:space="8" w:color="E5E7EB"/>
                        <w:left w:val="single" w:sz="2" w:space="0" w:color="E5E7EB"/>
                        <w:bottom w:val="single" w:sz="2" w:space="8" w:color="E5E7EB"/>
                        <w:right w:val="single" w:sz="2" w:space="0" w:color="E5E7EB"/>
                      </w:divBdr>
                      <w:divsChild>
                        <w:div w:id="707027040">
                          <w:marLeft w:val="0"/>
                          <w:marRight w:val="0"/>
                          <w:marTop w:val="0"/>
                          <w:marBottom w:val="0"/>
                          <w:divBdr>
                            <w:top w:val="single" w:sz="2" w:space="0" w:color="E5E7EB"/>
                            <w:left w:val="single" w:sz="2" w:space="0" w:color="E5E7EB"/>
                            <w:bottom w:val="single" w:sz="2" w:space="0" w:color="E5E7EB"/>
                            <w:right w:val="single" w:sz="2" w:space="0" w:color="E5E7EB"/>
                          </w:divBdr>
                          <w:divsChild>
                            <w:div w:id="13188007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439107731">
          <w:marLeft w:val="0"/>
          <w:marRight w:val="0"/>
          <w:marTop w:val="0"/>
          <w:marBottom w:val="0"/>
          <w:divBdr>
            <w:top w:val="single" w:sz="2" w:space="0" w:color="E5E7EB"/>
            <w:left w:val="single" w:sz="2" w:space="0" w:color="E5E7EB"/>
            <w:bottom w:val="single" w:sz="2" w:space="0" w:color="E5E7EB"/>
            <w:right w:val="single" w:sz="2" w:space="0" w:color="E5E7EB"/>
          </w:divBdr>
          <w:divsChild>
            <w:div w:id="2094744505">
              <w:marLeft w:val="0"/>
              <w:marRight w:val="0"/>
              <w:marTop w:val="0"/>
              <w:marBottom w:val="0"/>
              <w:divBdr>
                <w:top w:val="single" w:sz="2" w:space="0" w:color="E5E7EB"/>
                <w:left w:val="single" w:sz="2" w:space="0" w:color="E5E7EB"/>
                <w:bottom w:val="single" w:sz="2" w:space="0" w:color="E5E7EB"/>
                <w:right w:val="single" w:sz="2" w:space="0" w:color="E5E7EB"/>
              </w:divBdr>
              <w:divsChild>
                <w:div w:id="830095428">
                  <w:marLeft w:val="0"/>
                  <w:marRight w:val="0"/>
                  <w:marTop w:val="0"/>
                  <w:marBottom w:val="0"/>
                  <w:divBdr>
                    <w:top w:val="single" w:sz="2" w:space="0" w:color="E5E7EB"/>
                    <w:left w:val="single" w:sz="2" w:space="0" w:color="E5E7EB"/>
                    <w:bottom w:val="single" w:sz="2" w:space="0" w:color="E5E7EB"/>
                    <w:right w:val="single" w:sz="2" w:space="0" w:color="E5E7EB"/>
                  </w:divBdr>
                  <w:divsChild>
                    <w:div w:id="878274402">
                      <w:marLeft w:val="0"/>
                      <w:marRight w:val="0"/>
                      <w:marTop w:val="0"/>
                      <w:marBottom w:val="0"/>
                      <w:divBdr>
                        <w:top w:val="single" w:sz="2" w:space="8" w:color="E5E7EB"/>
                        <w:left w:val="single" w:sz="2" w:space="0" w:color="E5E7EB"/>
                        <w:bottom w:val="single" w:sz="2" w:space="8" w:color="E5E7EB"/>
                        <w:right w:val="single" w:sz="2" w:space="0" w:color="E5E7EB"/>
                      </w:divBdr>
                      <w:divsChild>
                        <w:div w:id="250503603">
                          <w:marLeft w:val="0"/>
                          <w:marRight w:val="0"/>
                          <w:marTop w:val="0"/>
                          <w:marBottom w:val="0"/>
                          <w:divBdr>
                            <w:top w:val="single" w:sz="2" w:space="0" w:color="E5E7EB"/>
                            <w:left w:val="single" w:sz="2" w:space="0" w:color="E5E7EB"/>
                            <w:bottom w:val="single" w:sz="2" w:space="0" w:color="E5E7EB"/>
                            <w:right w:val="single" w:sz="2" w:space="0" w:color="E5E7EB"/>
                          </w:divBdr>
                          <w:divsChild>
                            <w:div w:id="3167631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69779718">
          <w:marLeft w:val="0"/>
          <w:marRight w:val="0"/>
          <w:marTop w:val="0"/>
          <w:marBottom w:val="0"/>
          <w:divBdr>
            <w:top w:val="single" w:sz="2" w:space="0" w:color="E5E7EB"/>
            <w:left w:val="single" w:sz="2" w:space="0" w:color="E5E7EB"/>
            <w:bottom w:val="single" w:sz="2" w:space="0" w:color="E5E7EB"/>
            <w:right w:val="single" w:sz="2" w:space="0" w:color="E5E7EB"/>
          </w:divBdr>
          <w:divsChild>
            <w:div w:id="1614510485">
              <w:marLeft w:val="0"/>
              <w:marRight w:val="0"/>
              <w:marTop w:val="0"/>
              <w:marBottom w:val="0"/>
              <w:divBdr>
                <w:top w:val="single" w:sz="2" w:space="0" w:color="E5E7EB"/>
                <w:left w:val="single" w:sz="2" w:space="0" w:color="E5E7EB"/>
                <w:bottom w:val="single" w:sz="2" w:space="0" w:color="E5E7EB"/>
                <w:right w:val="single" w:sz="2" w:space="0" w:color="E5E7EB"/>
              </w:divBdr>
              <w:divsChild>
                <w:div w:id="695623412">
                  <w:marLeft w:val="0"/>
                  <w:marRight w:val="0"/>
                  <w:marTop w:val="0"/>
                  <w:marBottom w:val="0"/>
                  <w:divBdr>
                    <w:top w:val="single" w:sz="2" w:space="0" w:color="E5E7EB"/>
                    <w:left w:val="single" w:sz="2" w:space="0" w:color="E5E7EB"/>
                    <w:bottom w:val="single" w:sz="2" w:space="0" w:color="E5E7EB"/>
                    <w:right w:val="single" w:sz="2" w:space="0" w:color="E5E7EB"/>
                  </w:divBdr>
                  <w:divsChild>
                    <w:div w:id="1368066914">
                      <w:marLeft w:val="0"/>
                      <w:marRight w:val="0"/>
                      <w:marTop w:val="0"/>
                      <w:marBottom w:val="0"/>
                      <w:divBdr>
                        <w:top w:val="single" w:sz="2" w:space="8" w:color="E5E7EB"/>
                        <w:left w:val="single" w:sz="2" w:space="0" w:color="E5E7EB"/>
                        <w:bottom w:val="single" w:sz="2" w:space="8" w:color="E5E7EB"/>
                        <w:right w:val="single" w:sz="2" w:space="0" w:color="E5E7EB"/>
                      </w:divBdr>
                      <w:divsChild>
                        <w:div w:id="1226986814">
                          <w:marLeft w:val="0"/>
                          <w:marRight w:val="0"/>
                          <w:marTop w:val="0"/>
                          <w:marBottom w:val="0"/>
                          <w:divBdr>
                            <w:top w:val="single" w:sz="2" w:space="0" w:color="E5E7EB"/>
                            <w:left w:val="single" w:sz="2" w:space="0" w:color="E5E7EB"/>
                            <w:bottom w:val="single" w:sz="2" w:space="0" w:color="E5E7EB"/>
                            <w:right w:val="single" w:sz="2" w:space="0" w:color="E5E7EB"/>
                          </w:divBdr>
                          <w:divsChild>
                            <w:div w:id="15728109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55202639">
          <w:marLeft w:val="0"/>
          <w:marRight w:val="0"/>
          <w:marTop w:val="0"/>
          <w:marBottom w:val="0"/>
          <w:divBdr>
            <w:top w:val="single" w:sz="2" w:space="0" w:color="E5E7EB"/>
            <w:left w:val="single" w:sz="2" w:space="0" w:color="E5E7EB"/>
            <w:bottom w:val="single" w:sz="2" w:space="0" w:color="E5E7EB"/>
            <w:right w:val="single" w:sz="2" w:space="0" w:color="E5E7EB"/>
          </w:divBdr>
          <w:divsChild>
            <w:div w:id="306279301">
              <w:marLeft w:val="0"/>
              <w:marRight w:val="0"/>
              <w:marTop w:val="0"/>
              <w:marBottom w:val="0"/>
              <w:divBdr>
                <w:top w:val="single" w:sz="2" w:space="0" w:color="E5E7EB"/>
                <w:left w:val="single" w:sz="2" w:space="0" w:color="E5E7EB"/>
                <w:bottom w:val="single" w:sz="2" w:space="0" w:color="E5E7EB"/>
                <w:right w:val="single" w:sz="2" w:space="0" w:color="E5E7EB"/>
              </w:divBdr>
              <w:divsChild>
                <w:div w:id="522941602">
                  <w:marLeft w:val="0"/>
                  <w:marRight w:val="0"/>
                  <w:marTop w:val="0"/>
                  <w:marBottom w:val="0"/>
                  <w:divBdr>
                    <w:top w:val="single" w:sz="2" w:space="0" w:color="E5E7EB"/>
                    <w:left w:val="single" w:sz="2" w:space="0" w:color="E5E7EB"/>
                    <w:bottom w:val="single" w:sz="2" w:space="0" w:color="E5E7EB"/>
                    <w:right w:val="single" w:sz="2" w:space="0" w:color="E5E7EB"/>
                  </w:divBdr>
                  <w:divsChild>
                    <w:div w:id="1254167270">
                      <w:marLeft w:val="0"/>
                      <w:marRight w:val="0"/>
                      <w:marTop w:val="0"/>
                      <w:marBottom w:val="0"/>
                      <w:divBdr>
                        <w:top w:val="single" w:sz="2" w:space="8" w:color="E5E7EB"/>
                        <w:left w:val="single" w:sz="2" w:space="0" w:color="E5E7EB"/>
                        <w:bottom w:val="single" w:sz="2" w:space="8" w:color="E5E7EB"/>
                        <w:right w:val="single" w:sz="2" w:space="0" w:color="E5E7EB"/>
                      </w:divBdr>
                      <w:divsChild>
                        <w:div w:id="869492792">
                          <w:marLeft w:val="0"/>
                          <w:marRight w:val="0"/>
                          <w:marTop w:val="0"/>
                          <w:marBottom w:val="0"/>
                          <w:divBdr>
                            <w:top w:val="single" w:sz="2" w:space="0" w:color="E5E7EB"/>
                            <w:left w:val="single" w:sz="2" w:space="0" w:color="E5E7EB"/>
                            <w:bottom w:val="single" w:sz="2" w:space="0" w:color="E5E7EB"/>
                            <w:right w:val="single" w:sz="2" w:space="0" w:color="E5E7EB"/>
                          </w:divBdr>
                          <w:divsChild>
                            <w:div w:id="9436532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14238497">
      <w:bodyDiv w:val="1"/>
      <w:marLeft w:val="0"/>
      <w:marRight w:val="0"/>
      <w:marTop w:val="0"/>
      <w:marBottom w:val="0"/>
      <w:divBdr>
        <w:top w:val="none" w:sz="0" w:space="0" w:color="auto"/>
        <w:left w:val="none" w:sz="0" w:space="0" w:color="auto"/>
        <w:bottom w:val="none" w:sz="0" w:space="0" w:color="auto"/>
        <w:right w:val="none" w:sz="0" w:space="0" w:color="auto"/>
      </w:divBdr>
      <w:divsChild>
        <w:div w:id="1733892873">
          <w:marLeft w:val="-720"/>
          <w:marRight w:val="0"/>
          <w:marTop w:val="0"/>
          <w:marBottom w:val="0"/>
          <w:divBdr>
            <w:top w:val="none" w:sz="0" w:space="0" w:color="auto"/>
            <w:left w:val="none" w:sz="0" w:space="0" w:color="auto"/>
            <w:bottom w:val="none" w:sz="0" w:space="0" w:color="auto"/>
            <w:right w:val="none" w:sz="0" w:space="0" w:color="auto"/>
          </w:divBdr>
        </w:div>
      </w:divsChild>
    </w:div>
    <w:div w:id="95194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2</TotalTime>
  <Pages>6</Pages>
  <Words>1833</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Kayleigh Phillips (2012754)</cp:lastModifiedBy>
  <cp:revision>3</cp:revision>
  <cp:lastPrinted>2008-04-14T13:39:00Z</cp:lastPrinted>
  <dcterms:created xsi:type="dcterms:W3CDTF">2024-07-16T17:26:00Z</dcterms:created>
  <dcterms:modified xsi:type="dcterms:W3CDTF">2024-07-16T17:28:00Z</dcterms:modified>
</cp:coreProperties>
</file>