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48A4C" w14:textId="77777777" w:rsidR="00D5423C" w:rsidRDefault="00D5423C" w:rsidP="00D5423C">
      <w:pPr>
        <w:spacing w:line="360" w:lineRule="auto"/>
        <w:jc w:val="center"/>
        <w:rPr>
          <w:rFonts w:ascii="Times New Roman" w:hAnsi="Times New Roman" w:cs="Times New Roman"/>
          <w:b/>
          <w:bCs/>
          <w:sz w:val="28"/>
          <w:szCs w:val="28"/>
        </w:rPr>
      </w:pPr>
    </w:p>
    <w:p w14:paraId="4A13E7A4" w14:textId="37993C8C" w:rsidR="00D5423C" w:rsidRPr="00D5423C" w:rsidRDefault="00D5423C" w:rsidP="00D5423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Master of Business Administration</w:t>
      </w:r>
    </w:p>
    <w:p w14:paraId="78AA69A6" w14:textId="77777777" w:rsidR="00D5423C" w:rsidRPr="00D5423C" w:rsidRDefault="00D5423C" w:rsidP="00D5423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LCMB7035 – Dissertation</w:t>
      </w:r>
    </w:p>
    <w:p w14:paraId="5F5F63D1" w14:textId="77777777" w:rsidR="00D5423C" w:rsidRPr="00D5423C" w:rsidRDefault="00D5423C" w:rsidP="00D5423C">
      <w:pPr>
        <w:spacing w:line="360" w:lineRule="auto"/>
        <w:jc w:val="center"/>
        <w:rPr>
          <w:rFonts w:ascii="Times New Roman" w:hAnsi="Times New Roman" w:cs="Times New Roman"/>
          <w:b/>
          <w:bCs/>
          <w:sz w:val="28"/>
          <w:szCs w:val="28"/>
        </w:rPr>
      </w:pPr>
    </w:p>
    <w:p w14:paraId="346E010C" w14:textId="77777777" w:rsidR="00D5423C" w:rsidRPr="00D5423C" w:rsidRDefault="00D5423C" w:rsidP="00D5423C">
      <w:pPr>
        <w:spacing w:line="360" w:lineRule="auto"/>
        <w:jc w:val="center"/>
        <w:rPr>
          <w:rFonts w:ascii="Times New Roman" w:hAnsi="Times New Roman" w:cs="Times New Roman"/>
          <w:b/>
          <w:bCs/>
          <w:sz w:val="28"/>
          <w:szCs w:val="28"/>
        </w:rPr>
      </w:pPr>
    </w:p>
    <w:p w14:paraId="3CA3F4CC" w14:textId="77777777" w:rsidR="00D5423C" w:rsidRPr="00D5423C" w:rsidRDefault="00D5423C" w:rsidP="00D5423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Dissertation Proposal</w:t>
      </w:r>
    </w:p>
    <w:p w14:paraId="3B23D8D7" w14:textId="77777777" w:rsidR="00D5423C" w:rsidRPr="00D5423C" w:rsidRDefault="00D5423C" w:rsidP="00D5423C">
      <w:pPr>
        <w:spacing w:line="360" w:lineRule="auto"/>
        <w:jc w:val="center"/>
        <w:rPr>
          <w:rFonts w:ascii="Times New Roman" w:hAnsi="Times New Roman" w:cs="Times New Roman"/>
          <w:b/>
          <w:bCs/>
          <w:sz w:val="28"/>
          <w:szCs w:val="28"/>
        </w:rPr>
      </w:pPr>
    </w:p>
    <w:p w14:paraId="21559C54" w14:textId="450FB3A0" w:rsidR="00D5423C" w:rsidRPr="00D5423C" w:rsidRDefault="00D5423C" w:rsidP="0086514F">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The Influence of Brand Image, Trust, and E-WOM on Consumer Brand Loyalty:</w:t>
      </w:r>
      <w:r w:rsidR="0086514F">
        <w:rPr>
          <w:rFonts w:ascii="Times New Roman" w:hAnsi="Times New Roman" w:cs="Times New Roman"/>
          <w:b/>
          <w:bCs/>
          <w:sz w:val="28"/>
          <w:szCs w:val="28"/>
        </w:rPr>
        <w:t xml:space="preserve"> </w:t>
      </w:r>
      <w:r>
        <w:rPr>
          <w:rFonts w:ascii="Times New Roman" w:hAnsi="Times New Roman" w:cs="Times New Roman"/>
          <w:b/>
          <w:bCs/>
          <w:sz w:val="28"/>
          <w:szCs w:val="28"/>
        </w:rPr>
        <w:t>A Comparative Study of International vs. Domestic UK Retail Brands</w:t>
      </w:r>
    </w:p>
    <w:p w14:paraId="36B8F159" w14:textId="77777777" w:rsidR="00D5423C" w:rsidRPr="00D5423C" w:rsidRDefault="00D5423C" w:rsidP="00D5423C">
      <w:pPr>
        <w:spacing w:line="360" w:lineRule="auto"/>
        <w:jc w:val="center"/>
        <w:rPr>
          <w:rFonts w:ascii="Times New Roman" w:hAnsi="Times New Roman" w:cs="Times New Roman"/>
          <w:b/>
          <w:bCs/>
          <w:sz w:val="28"/>
          <w:szCs w:val="28"/>
        </w:rPr>
      </w:pPr>
    </w:p>
    <w:p w14:paraId="263DD9A4" w14:textId="77777777" w:rsidR="00D5423C" w:rsidRPr="00D5423C" w:rsidRDefault="00D5423C" w:rsidP="00D5423C">
      <w:pPr>
        <w:spacing w:line="360" w:lineRule="auto"/>
        <w:jc w:val="center"/>
        <w:rPr>
          <w:rFonts w:ascii="Times New Roman" w:hAnsi="Times New Roman" w:cs="Times New Roman"/>
          <w:b/>
          <w:bCs/>
          <w:sz w:val="28"/>
          <w:szCs w:val="28"/>
        </w:rPr>
      </w:pPr>
    </w:p>
    <w:p w14:paraId="1B716283" w14:textId="77777777" w:rsidR="00D5423C" w:rsidRPr="00D5423C" w:rsidRDefault="00D5423C" w:rsidP="00D5423C">
      <w:pPr>
        <w:spacing w:line="360" w:lineRule="auto"/>
        <w:jc w:val="center"/>
        <w:rPr>
          <w:rFonts w:ascii="Times New Roman" w:hAnsi="Times New Roman" w:cs="Times New Roman"/>
          <w:b/>
          <w:bCs/>
          <w:sz w:val="28"/>
          <w:szCs w:val="28"/>
        </w:rPr>
      </w:pPr>
    </w:p>
    <w:p w14:paraId="253049CB" w14:textId="77777777" w:rsidR="00D5423C" w:rsidRPr="00D5423C" w:rsidRDefault="00D5423C" w:rsidP="00D5423C">
      <w:pPr>
        <w:spacing w:line="360" w:lineRule="auto"/>
        <w:jc w:val="center"/>
        <w:rPr>
          <w:rFonts w:ascii="Times New Roman" w:hAnsi="Times New Roman" w:cs="Times New Roman"/>
          <w:b/>
          <w:bCs/>
          <w:sz w:val="28"/>
          <w:szCs w:val="28"/>
        </w:rPr>
      </w:pPr>
    </w:p>
    <w:p w14:paraId="334CCC2B" w14:textId="77777777" w:rsidR="00D5423C" w:rsidRPr="00D5423C" w:rsidRDefault="00D5423C" w:rsidP="00D5423C">
      <w:pPr>
        <w:spacing w:line="360" w:lineRule="auto"/>
        <w:jc w:val="center"/>
        <w:rPr>
          <w:rFonts w:ascii="Times New Roman" w:hAnsi="Times New Roman" w:cs="Times New Roman"/>
          <w:b/>
          <w:bCs/>
          <w:sz w:val="28"/>
          <w:szCs w:val="28"/>
        </w:rPr>
      </w:pPr>
    </w:p>
    <w:p w14:paraId="6C5B0A12" w14:textId="594B90A4" w:rsidR="00D5423C" w:rsidRPr="00D5423C" w:rsidRDefault="00D5423C" w:rsidP="00D5423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Name:</w:t>
      </w:r>
      <w:r w:rsidR="00E94887">
        <w:rPr>
          <w:rFonts w:ascii="Times New Roman" w:hAnsi="Times New Roman" w:cs="Times New Roman"/>
          <w:b/>
          <w:bCs/>
          <w:sz w:val="28"/>
          <w:szCs w:val="28"/>
        </w:rPr>
        <w:t xml:space="preserve"> </w:t>
      </w:r>
      <w:proofErr w:type="spellStart"/>
      <w:r w:rsidR="00E94887">
        <w:rPr>
          <w:rFonts w:ascii="Times New Roman" w:hAnsi="Times New Roman" w:cs="Times New Roman"/>
          <w:b/>
          <w:bCs/>
          <w:sz w:val="28"/>
          <w:szCs w:val="28"/>
        </w:rPr>
        <w:t>Divyeshbhai</w:t>
      </w:r>
      <w:proofErr w:type="spellEnd"/>
      <w:r w:rsidR="00E94887">
        <w:rPr>
          <w:rFonts w:ascii="Times New Roman" w:hAnsi="Times New Roman" w:cs="Times New Roman"/>
          <w:b/>
          <w:bCs/>
          <w:sz w:val="28"/>
          <w:szCs w:val="28"/>
        </w:rPr>
        <w:t xml:space="preserve"> </w:t>
      </w:r>
      <w:proofErr w:type="spellStart"/>
      <w:r w:rsidR="00E94887">
        <w:rPr>
          <w:rFonts w:ascii="Times New Roman" w:hAnsi="Times New Roman" w:cs="Times New Roman"/>
          <w:b/>
          <w:bCs/>
          <w:sz w:val="28"/>
          <w:szCs w:val="28"/>
        </w:rPr>
        <w:t>kaklotar</w:t>
      </w:r>
      <w:proofErr w:type="spellEnd"/>
    </w:p>
    <w:p w14:paraId="7B9E4048" w14:textId="458AA096" w:rsidR="00D5423C" w:rsidRPr="00D5423C" w:rsidRDefault="00D5423C" w:rsidP="00D5423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w:t>
      </w:r>
      <w:r w:rsidR="00E94887">
        <w:rPr>
          <w:rFonts w:ascii="Times New Roman" w:hAnsi="Times New Roman" w:cs="Times New Roman"/>
          <w:b/>
          <w:bCs/>
          <w:sz w:val="28"/>
          <w:szCs w:val="28"/>
        </w:rPr>
        <w:t xml:space="preserve"> 2431295</w:t>
      </w:r>
    </w:p>
    <w:p w14:paraId="01151228" w14:textId="026FFD0E" w:rsidR="00D5423C" w:rsidRPr="00D5423C" w:rsidRDefault="00D5423C" w:rsidP="00D5423C">
      <w:pPr>
        <w:spacing w:line="360" w:lineRule="auto"/>
        <w:jc w:val="center"/>
        <w:rPr>
          <w:rFonts w:ascii="Times New Roman" w:hAnsi="Times New Roman" w:cs="Times New Roman"/>
          <w:b/>
          <w:bCs/>
          <w:sz w:val="28"/>
          <w:szCs w:val="28"/>
        </w:rPr>
      </w:pPr>
    </w:p>
    <w:p w14:paraId="6AEC6EFC" w14:textId="77777777" w:rsidR="00D5423C" w:rsidRDefault="00D5423C" w:rsidP="00D5423C">
      <w:pPr>
        <w:spacing w:line="360" w:lineRule="auto"/>
        <w:jc w:val="center"/>
        <w:rPr>
          <w:rFonts w:ascii="Times New Roman" w:hAnsi="Times New Roman" w:cs="Times New Roman"/>
          <w:sz w:val="28"/>
          <w:szCs w:val="28"/>
        </w:rPr>
      </w:pPr>
    </w:p>
    <w:p w14:paraId="16E67DC6" w14:textId="77777777" w:rsidR="00D5423C" w:rsidRDefault="00D5423C" w:rsidP="00D5423C">
      <w:pPr>
        <w:spacing w:line="360" w:lineRule="auto"/>
        <w:jc w:val="center"/>
        <w:rPr>
          <w:rFonts w:ascii="Times New Roman" w:hAnsi="Times New Roman" w:cs="Times New Roman"/>
          <w:sz w:val="28"/>
          <w:szCs w:val="28"/>
        </w:rPr>
      </w:pPr>
    </w:p>
    <w:p w14:paraId="2F88052A" w14:textId="77777777" w:rsidR="00D5423C" w:rsidRDefault="00D5423C" w:rsidP="00D5423C">
      <w:pPr>
        <w:spacing w:line="360" w:lineRule="auto"/>
        <w:jc w:val="center"/>
        <w:rPr>
          <w:rFonts w:ascii="Times New Roman" w:hAnsi="Times New Roman" w:cs="Times New Roman"/>
          <w:sz w:val="28"/>
          <w:szCs w:val="28"/>
        </w:rPr>
      </w:pPr>
    </w:p>
    <w:p w14:paraId="4033D7F0" w14:textId="77777777" w:rsidR="00D5423C" w:rsidRDefault="00D5423C" w:rsidP="00D5423C">
      <w:pPr>
        <w:spacing w:line="360" w:lineRule="auto"/>
        <w:jc w:val="center"/>
        <w:rPr>
          <w:rFonts w:ascii="Times New Roman" w:hAnsi="Times New Roman" w:cs="Times New Roman"/>
          <w:sz w:val="28"/>
          <w:szCs w:val="28"/>
        </w:rPr>
      </w:pPr>
    </w:p>
    <w:p w14:paraId="500853B1" w14:textId="77777777" w:rsidR="00D5423C" w:rsidRDefault="00D5423C" w:rsidP="00D5423C">
      <w:pPr>
        <w:spacing w:line="360" w:lineRule="auto"/>
        <w:jc w:val="center"/>
        <w:rPr>
          <w:rFonts w:ascii="Times New Roman" w:hAnsi="Times New Roman" w:cs="Times New Roman"/>
          <w:sz w:val="28"/>
          <w:szCs w:val="28"/>
        </w:rPr>
      </w:pPr>
    </w:p>
    <w:p w14:paraId="3A4D97CB" w14:textId="77777777" w:rsidR="00D5423C" w:rsidRDefault="00D5423C" w:rsidP="00D5423C">
      <w:pPr>
        <w:spacing w:line="360" w:lineRule="auto"/>
        <w:jc w:val="center"/>
        <w:rPr>
          <w:rFonts w:ascii="Times New Roman" w:hAnsi="Times New Roman" w:cs="Times New Roman"/>
          <w:sz w:val="28"/>
          <w:szCs w:val="28"/>
        </w:rPr>
      </w:pPr>
    </w:p>
    <w:p w14:paraId="1CDF1EEB" w14:textId="77777777" w:rsidR="00D5423C" w:rsidRDefault="00D5423C" w:rsidP="00D5423C">
      <w:pPr>
        <w:spacing w:line="360" w:lineRule="auto"/>
        <w:jc w:val="center"/>
        <w:rPr>
          <w:rFonts w:ascii="Times New Roman" w:hAnsi="Times New Roman" w:cs="Times New Roman"/>
          <w:sz w:val="28"/>
          <w:szCs w:val="28"/>
        </w:rPr>
      </w:pPr>
    </w:p>
    <w:p w14:paraId="61E4A120" w14:textId="77777777" w:rsidR="00D5423C" w:rsidRDefault="00D5423C" w:rsidP="00D5423C">
      <w:pPr>
        <w:spacing w:line="360" w:lineRule="auto"/>
        <w:jc w:val="center"/>
        <w:rPr>
          <w:rFonts w:ascii="Times New Roman" w:hAnsi="Times New Roman" w:cs="Times New Roman"/>
          <w:sz w:val="28"/>
          <w:szCs w:val="28"/>
        </w:rPr>
      </w:pPr>
    </w:p>
    <w:p w14:paraId="5AD16270" w14:textId="77777777" w:rsidR="00D5423C" w:rsidRDefault="00D5423C" w:rsidP="00D5423C">
      <w:pPr>
        <w:spacing w:line="360" w:lineRule="auto"/>
        <w:jc w:val="center"/>
        <w:rPr>
          <w:rFonts w:ascii="Times New Roman" w:hAnsi="Times New Roman" w:cs="Times New Roman"/>
          <w:sz w:val="28"/>
          <w:szCs w:val="28"/>
        </w:rPr>
      </w:pPr>
    </w:p>
    <w:p w14:paraId="5D4931DC" w14:textId="77777777" w:rsidR="00D5423C" w:rsidRDefault="00D5423C" w:rsidP="00D5423C">
      <w:pPr>
        <w:spacing w:line="360" w:lineRule="auto"/>
        <w:jc w:val="center"/>
        <w:rPr>
          <w:rFonts w:ascii="Times New Roman" w:hAnsi="Times New Roman" w:cs="Times New Roman"/>
          <w:sz w:val="28"/>
          <w:szCs w:val="28"/>
        </w:rPr>
      </w:pPr>
    </w:p>
    <w:p w14:paraId="202B7CFC" w14:textId="77777777" w:rsidR="00D5423C" w:rsidRDefault="00D5423C" w:rsidP="00D5423C">
      <w:pPr>
        <w:spacing w:line="360" w:lineRule="auto"/>
        <w:jc w:val="center"/>
        <w:rPr>
          <w:rFonts w:ascii="Times New Roman" w:hAnsi="Times New Roman" w:cs="Times New Roman"/>
          <w:sz w:val="28"/>
          <w:szCs w:val="28"/>
        </w:rPr>
      </w:pPr>
    </w:p>
    <w:p w14:paraId="5F26FC06" w14:textId="77777777" w:rsidR="00D5423C" w:rsidRDefault="00D5423C" w:rsidP="00D5423C">
      <w:pPr>
        <w:spacing w:line="360" w:lineRule="auto"/>
        <w:jc w:val="center"/>
        <w:rPr>
          <w:rFonts w:ascii="Times New Roman" w:hAnsi="Times New Roman" w:cs="Times New Roman"/>
          <w:sz w:val="28"/>
          <w:szCs w:val="28"/>
        </w:rPr>
      </w:pPr>
    </w:p>
    <w:p w14:paraId="7FA39A67" w14:textId="77777777" w:rsidR="00D5423C" w:rsidRDefault="00D5423C" w:rsidP="00D5423C">
      <w:pPr>
        <w:spacing w:line="360" w:lineRule="auto"/>
        <w:jc w:val="center"/>
        <w:rPr>
          <w:rFonts w:ascii="Times New Roman" w:hAnsi="Times New Roman" w:cs="Times New Roman"/>
          <w:sz w:val="28"/>
          <w:szCs w:val="28"/>
        </w:rPr>
      </w:pPr>
    </w:p>
    <w:p w14:paraId="108F3FBD" w14:textId="77777777" w:rsidR="00D5423C" w:rsidRDefault="00D5423C" w:rsidP="00D5423C">
      <w:pPr>
        <w:spacing w:line="360" w:lineRule="auto"/>
        <w:jc w:val="center"/>
        <w:rPr>
          <w:rFonts w:ascii="Times New Roman" w:hAnsi="Times New Roman" w:cs="Times New Roman"/>
          <w:sz w:val="28"/>
          <w:szCs w:val="28"/>
        </w:rPr>
      </w:pPr>
    </w:p>
    <w:sdt>
      <w:sdtPr>
        <w:rPr>
          <w:rFonts w:ascii="Arial" w:eastAsia="Arial" w:hAnsi="Arial" w:cs="Arial"/>
          <w:color w:val="auto"/>
          <w:sz w:val="21"/>
          <w:szCs w:val="21"/>
        </w:rPr>
        <w:id w:val="1434939772"/>
        <w:docPartObj>
          <w:docPartGallery w:val="Table of Contents"/>
          <w:docPartUnique/>
        </w:docPartObj>
      </w:sdtPr>
      <w:sdtEndPr>
        <w:rPr>
          <w:rFonts w:ascii="Times New Roman" w:hAnsi="Times New Roman" w:cs="Times New Roman"/>
          <w:b/>
          <w:bCs/>
          <w:noProof/>
          <w:sz w:val="24"/>
          <w:szCs w:val="24"/>
        </w:rPr>
      </w:sdtEndPr>
      <w:sdtContent>
        <w:p w14:paraId="6C0A478E" w14:textId="1BA25CD1" w:rsidR="00D5423C" w:rsidRPr="00D5423C" w:rsidRDefault="00D5423C" w:rsidP="00D5423C">
          <w:pPr>
            <w:pStyle w:val="TOCHeading"/>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30C06FC" w14:textId="1FF0BE5D"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24683476" w:history="1">
            <w:r>
              <w:rPr>
                <w:rStyle w:val="Hyperlink"/>
                <w:rFonts w:ascii="Times New Roman" w:hAnsi="Times New Roman" w:cs="Times New Roman"/>
                <w:noProof/>
                <w:sz w:val="24"/>
                <w:szCs w:val="24"/>
              </w:rPr>
              <w:t>1</w:t>
            </w:r>
            <w:r>
              <w:rPr>
                <w:rFonts w:ascii="Times New Roman" w:hAnsi="Times New Roman" w:cs="Times New Roman"/>
                <w:noProof/>
                <w:sz w:val="24"/>
                <w:szCs w:val="24"/>
              </w:rPr>
              <w:tab/>
            </w:r>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_Toc224683476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1F74BE6D" w14:textId="7B6393F2"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77" w:history="1">
            <w:r>
              <w:rPr>
                <w:rStyle w:val="Hyperlink"/>
                <w:rFonts w:ascii="Times New Roman" w:hAnsi="Times New Roman" w:cs="Times New Roman"/>
                <w:noProof/>
                <w:sz w:val="24"/>
                <w:szCs w:val="24"/>
              </w:rPr>
              <w:t>2</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Aim</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_Toc224683477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5CBA1D02" w14:textId="5E936655"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78" w:history="1">
            <w:r>
              <w:rPr>
                <w:rStyle w:val="Hyperlink"/>
                <w:rFonts w:ascii="Times New Roman" w:hAnsi="Times New Roman" w:cs="Times New Roman"/>
                <w:noProof/>
                <w:sz w:val="24"/>
                <w:szCs w:val="24"/>
              </w:rPr>
              <w:t>3</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Objectives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_Toc224683478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6AF7C584" w14:textId="7041FBAC"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79" w:history="1">
            <w:r>
              <w:rPr>
                <w:rStyle w:val="Hyperlink"/>
                <w:rFonts w:ascii="Times New Roman" w:hAnsi="Times New Roman" w:cs="Times New Roman"/>
                <w:noProof/>
                <w:sz w:val="24"/>
                <w:szCs w:val="24"/>
              </w:rPr>
              <w:t>4</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Questions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_Toc224683479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3E615975" w14:textId="58EF1069"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80" w:history="1">
            <w:r>
              <w:rPr>
                <w:rStyle w:val="Hyperlink"/>
                <w:rFonts w:ascii="Times New Roman" w:hAnsi="Times New Roman" w:cs="Times New Roman"/>
                <w:noProof/>
                <w:sz w:val="24"/>
                <w:szCs w:val="24"/>
              </w:rPr>
              <w:t>5</w:t>
            </w:r>
            <w:r>
              <w:rPr>
                <w:rFonts w:ascii="Times New Roman" w:hAnsi="Times New Roman" w:cs="Times New Roman"/>
                <w:noProof/>
                <w:sz w:val="24"/>
                <w:szCs w:val="24"/>
              </w:rPr>
              <w:tab/>
            </w:r>
            <w:r>
              <w:rPr>
                <w:rStyle w:val="Hyperlink"/>
                <w:rFonts w:ascii="Times New Roman" w:hAnsi="Times New Roman" w:cs="Times New Roman"/>
                <w:noProof/>
                <w:sz w:val="24"/>
                <w:szCs w:val="24"/>
              </w:rPr>
              <w:t>Literature Review</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37B1A4C3" w14:textId="7624DB7B"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1" w:history="1">
            <w:r>
              <w:rPr>
                <w:rStyle w:val="Hyperlink"/>
                <w:rFonts w:ascii="Times New Roman" w:hAnsi="Times New Roman" w:cs="Times New Roman"/>
                <w:noProof/>
                <w:sz w:val="24"/>
                <w:szCs w:val="24"/>
              </w:rPr>
              <w:t>5.1</w:t>
            </w:r>
            <w:r>
              <w:rPr>
                <w:rFonts w:ascii="Times New Roman" w:hAnsi="Times New Roman" w:cs="Times New Roman"/>
                <w:noProof/>
                <w:sz w:val="24"/>
                <w:szCs w:val="24"/>
              </w:rPr>
              <w:tab/>
            </w:r>
            <w:r>
              <w:rPr>
                <w:rStyle w:val="Hyperlink"/>
                <w:rFonts w:ascii="Times New Roman" w:hAnsi="Times New Roman" w:cs="Times New Roman"/>
                <w:noProof/>
                <w:sz w:val="24"/>
                <w:szCs w:val="24"/>
              </w:rPr>
              <w:t>Brand Image and Consumer Behaviour</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350A9CB7" w14:textId="7DF71A59"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2" w:history="1">
            <w:r>
              <w:rPr>
                <w:rStyle w:val="Hyperlink"/>
                <w:rFonts w:ascii="Times New Roman" w:hAnsi="Times New Roman" w:cs="Times New Roman"/>
                <w:noProof/>
                <w:sz w:val="24"/>
                <w:szCs w:val="24"/>
              </w:rPr>
              <w:t>5.2</w:t>
            </w:r>
            <w:r>
              <w:rPr>
                <w:rFonts w:ascii="Times New Roman" w:hAnsi="Times New Roman" w:cs="Times New Roman"/>
                <w:noProof/>
                <w:sz w:val="24"/>
                <w:szCs w:val="24"/>
              </w:rPr>
              <w:tab/>
            </w:r>
            <w:r>
              <w:rPr>
                <w:rStyle w:val="Hyperlink"/>
                <w:rFonts w:ascii="Times New Roman" w:hAnsi="Times New Roman" w:cs="Times New Roman"/>
                <w:noProof/>
                <w:sz w:val="24"/>
                <w:szCs w:val="24"/>
              </w:rPr>
              <w:t>Brand Trust and E-WOM in Consumer Decision-Making</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732AE415" w14:textId="17C3007C"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3" w:history="1">
            <w:r>
              <w:rPr>
                <w:rStyle w:val="Hyperlink"/>
                <w:rFonts w:ascii="Times New Roman" w:hAnsi="Times New Roman" w:cs="Times New Roman"/>
                <w:noProof/>
                <w:sz w:val="24"/>
                <w:szCs w:val="24"/>
              </w:rPr>
              <w:t>5.3</w:t>
            </w:r>
            <w:r>
              <w:rPr>
                <w:rFonts w:ascii="Times New Roman" w:hAnsi="Times New Roman" w:cs="Times New Roman"/>
                <w:noProof/>
                <w:sz w:val="24"/>
                <w:szCs w:val="24"/>
              </w:rPr>
              <w:tab/>
            </w:r>
            <w:r>
              <w:rPr>
                <w:rStyle w:val="Hyperlink"/>
                <w:rFonts w:ascii="Times New Roman" w:hAnsi="Times New Roman" w:cs="Times New Roman"/>
                <w:noProof/>
                <w:sz w:val="24"/>
                <w:szCs w:val="24"/>
              </w:rPr>
              <w:t>Brand Image, Trust, E-WOM, and Loyalty: International vs. Domestic Brands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4F7CDE08" w14:textId="3B1219CA"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84" w:history="1">
            <w:r>
              <w:rPr>
                <w:rStyle w:val="Hyperlink"/>
                <w:rFonts w:ascii="Times New Roman" w:hAnsi="Times New Roman" w:cs="Times New Roman"/>
                <w:noProof/>
                <w:sz w:val="24"/>
                <w:szCs w:val="24"/>
              </w:rPr>
              <w:t>6</w:t>
            </w:r>
            <w:r>
              <w:rPr>
                <w:rFonts w:ascii="Times New Roman" w:hAnsi="Times New Roman" w:cs="Times New Roman"/>
                <w:noProof/>
                <w:sz w:val="24"/>
                <w:szCs w:val="24"/>
              </w:rPr>
              <w:tab/>
            </w:r>
            <w:r>
              <w:rPr>
                <w:rStyle w:val="Hyperlink"/>
                <w:rFonts w:ascii="Times New Roman" w:hAnsi="Times New Roman" w:cs="Times New Roman"/>
                <w:noProof/>
                <w:sz w:val="24"/>
                <w:szCs w:val="24"/>
              </w:rPr>
              <w:t>Methodology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045EC209" w14:textId="447D2675"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5" w:history="1">
            <w:r>
              <w:rPr>
                <w:rStyle w:val="Hyperlink"/>
                <w:rFonts w:ascii="Times New Roman" w:hAnsi="Times New Roman" w:cs="Times New Roman"/>
                <w:noProof/>
                <w:sz w:val="24"/>
                <w:szCs w:val="24"/>
              </w:rPr>
              <w:t>6.1</w:t>
            </w:r>
            <w:r>
              <w:rPr>
                <w:rFonts w:ascii="Times New Roman" w:hAnsi="Times New Roman" w:cs="Times New Roman"/>
                <w:noProof/>
                <w:sz w:val="24"/>
                <w:szCs w:val="24"/>
              </w:rPr>
              <w:tab/>
            </w:r>
            <w:r>
              <w:rPr>
                <w:rStyle w:val="Hyperlink"/>
                <w:rFonts w:ascii="Times New Roman" w:hAnsi="Times New Roman" w:cs="Times New Roman"/>
                <w:noProof/>
                <w:sz w:val="24"/>
                <w:szCs w:val="24"/>
              </w:rPr>
              <w:t>Research Design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424680AD" w14:textId="7D370F2E"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6" w:history="1">
            <w:r>
              <w:rPr>
                <w:rStyle w:val="Hyperlink"/>
                <w:rFonts w:ascii="Times New Roman" w:hAnsi="Times New Roman" w:cs="Times New Roman"/>
                <w:noProof/>
                <w:sz w:val="24"/>
                <w:szCs w:val="24"/>
              </w:rPr>
              <w:t>6.2</w:t>
            </w:r>
            <w:r>
              <w:rPr>
                <w:rFonts w:ascii="Times New Roman" w:hAnsi="Times New Roman" w:cs="Times New Roman"/>
                <w:noProof/>
                <w:sz w:val="24"/>
                <w:szCs w:val="24"/>
              </w:rPr>
              <w:tab/>
            </w:r>
            <w:r>
              <w:rPr>
                <w:rStyle w:val="Hyperlink"/>
                <w:rFonts w:ascii="Times New Roman" w:hAnsi="Times New Roman" w:cs="Times New Roman"/>
                <w:noProof/>
                <w:sz w:val="24"/>
                <w:szCs w:val="24"/>
              </w:rPr>
              <w:t>Sample and Survey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25C34989" w14:textId="0C41E12D"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7" w:history="1">
            <w:r>
              <w:rPr>
                <w:rStyle w:val="Hyperlink"/>
                <w:rFonts w:ascii="Times New Roman" w:hAnsi="Times New Roman" w:cs="Times New Roman"/>
                <w:noProof/>
                <w:sz w:val="24"/>
                <w:szCs w:val="24"/>
              </w:rPr>
              <w:t>6.3</w:t>
            </w:r>
            <w:r>
              <w:rPr>
                <w:rFonts w:ascii="Times New Roman" w:hAnsi="Times New Roman" w:cs="Times New Roman"/>
                <w:noProof/>
                <w:sz w:val="24"/>
                <w:szCs w:val="24"/>
              </w:rPr>
              <w:tab/>
            </w:r>
            <w:r>
              <w:rPr>
                <w:rStyle w:val="Hyperlink"/>
                <w:rFonts w:ascii="Times New Roman" w:hAnsi="Times New Roman" w:cs="Times New Roman"/>
                <w:noProof/>
                <w:sz w:val="24"/>
                <w:szCs w:val="24"/>
              </w:rPr>
              <w:t>Data Analysis and Ethics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4FE8DAB2" w14:textId="75354DB1"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88" w:history="1">
            <w:r>
              <w:rPr>
                <w:rStyle w:val="Hyperlink"/>
                <w:rFonts w:ascii="Times New Roman" w:hAnsi="Times New Roman" w:cs="Times New Roman"/>
                <w:noProof/>
                <w:sz w:val="24"/>
                <w:szCs w:val="24"/>
              </w:rPr>
              <w:t>7</w:t>
            </w:r>
            <w:r>
              <w:rPr>
                <w:rFonts w:ascii="Times New Roman" w:hAnsi="Times New Roman" w:cs="Times New Roman"/>
                <w:noProof/>
                <w:sz w:val="24"/>
                <w:szCs w:val="24"/>
              </w:rPr>
              <w:tab/>
            </w:r>
            <w:r>
              <w:rPr>
                <w:rStyle w:val="Hyperlink"/>
                <w:rFonts w:ascii="Times New Roman" w:hAnsi="Times New Roman" w:cs="Times New Roman"/>
                <w:noProof/>
                <w:sz w:val="24"/>
                <w:szCs w:val="24"/>
              </w:rPr>
              <w:t>Expected Findings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331AB4E8" w14:textId="2AB6222A"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89" w:history="1">
            <w:r>
              <w:rPr>
                <w:rStyle w:val="Hyperlink"/>
                <w:rFonts w:ascii="Times New Roman" w:hAnsi="Times New Roman" w:cs="Times New Roman"/>
                <w:noProof/>
                <w:sz w:val="24"/>
                <w:szCs w:val="24"/>
              </w:rPr>
              <w:t>7.1</w:t>
            </w:r>
            <w:r>
              <w:rPr>
                <w:rFonts w:ascii="Times New Roman" w:hAnsi="Times New Roman" w:cs="Times New Roman"/>
                <w:noProof/>
                <w:sz w:val="24"/>
                <w:szCs w:val="24"/>
              </w:rPr>
              <w:tab/>
            </w:r>
            <w:r>
              <w:rPr>
                <w:rStyle w:val="Hyperlink"/>
                <w:rFonts w:ascii="Times New Roman" w:hAnsi="Times New Roman" w:cs="Times New Roman"/>
                <w:noProof/>
                <w:sz w:val="24"/>
                <w:szCs w:val="24"/>
              </w:rPr>
              <w:t>Brand Image, Trust, and E-WOM Influence on Brand Loyalty.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_Toc224683489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229B04BF" w14:textId="25D75CAE"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90" w:history="1">
            <w:r>
              <w:rPr>
                <w:rStyle w:val="Hyperlink"/>
                <w:rFonts w:ascii="Times New Roman" w:hAnsi="Times New Roman" w:cs="Times New Roman"/>
                <w:noProof/>
                <w:sz w:val="24"/>
                <w:szCs w:val="24"/>
              </w:rPr>
              <w:t>7.2</w:t>
            </w:r>
            <w:r>
              <w:rPr>
                <w:rFonts w:ascii="Times New Roman" w:hAnsi="Times New Roman" w:cs="Times New Roman"/>
                <w:noProof/>
                <w:sz w:val="24"/>
                <w:szCs w:val="24"/>
              </w:rPr>
              <w:tab/>
            </w:r>
            <w:r>
              <w:rPr>
                <w:rStyle w:val="Hyperlink"/>
                <w:rFonts w:ascii="Times New Roman" w:hAnsi="Times New Roman" w:cs="Times New Roman"/>
                <w:noProof/>
                <w:sz w:val="24"/>
                <w:szCs w:val="24"/>
              </w:rPr>
              <w:t>Expected Survey Agreement Rates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3011CC69" w14:textId="14F1A11A" w:rsidR="00D5423C" w:rsidRPr="00D5423C" w:rsidRDefault="00D5423C" w:rsidP="00D5423C">
          <w:pPr>
            <w:pStyle w:val="TOC2"/>
            <w:tabs>
              <w:tab w:val="left" w:pos="960"/>
              <w:tab w:val="right" w:leader="dot" w:pos="9549"/>
            </w:tabs>
            <w:spacing w:line="360" w:lineRule="auto"/>
            <w:rPr>
              <w:rFonts w:ascii="Times New Roman" w:hAnsi="Times New Roman" w:cs="Times New Roman"/>
              <w:noProof/>
              <w:sz w:val="24"/>
              <w:szCs w:val="24"/>
            </w:rPr>
          </w:pPr>
          <w:hyperlink w:anchor="_Toc224683491" w:history="1">
            <w:r>
              <w:rPr>
                <w:rStyle w:val="Hyperlink"/>
                <w:rFonts w:ascii="Times New Roman" w:hAnsi="Times New Roman" w:cs="Times New Roman"/>
                <w:noProof/>
                <w:sz w:val="24"/>
                <w:szCs w:val="24"/>
              </w:rPr>
              <w:t>7.3</w:t>
            </w:r>
            <w:r>
              <w:rPr>
                <w:rFonts w:ascii="Times New Roman" w:hAnsi="Times New Roman" w:cs="Times New Roman"/>
                <w:noProof/>
                <w:sz w:val="24"/>
                <w:szCs w:val="24"/>
              </w:rPr>
              <w:tab/>
            </w:r>
            <w:r>
              <w:rPr>
                <w:rStyle w:val="Hyperlink"/>
                <w:rFonts w:ascii="Times New Roman" w:hAnsi="Times New Roman" w:cs="Times New Roman"/>
                <w:noProof/>
                <w:sz w:val="24"/>
                <w:szCs w:val="24"/>
              </w:rPr>
              <w:t>Loyalty Dimensions: International vs. Domestic</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35DB9463" w14:textId="5B2AF29A"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92" w:history="1">
            <w:r>
              <w:rPr>
                <w:rStyle w:val="Hyperlink"/>
                <w:rFonts w:ascii="Times New Roman" w:hAnsi="Times New Roman" w:cs="Times New Roman"/>
                <w:noProof/>
                <w:sz w:val="24"/>
                <w:szCs w:val="24"/>
              </w:rPr>
              <w:t>8</w:t>
            </w:r>
            <w:r>
              <w:rPr>
                <w:rFonts w:ascii="Times New Roman" w:hAnsi="Times New Roman" w:cs="Times New Roman"/>
                <w:noProof/>
                <w:sz w:val="24"/>
                <w:szCs w:val="24"/>
              </w:rPr>
              <w:tab/>
            </w:r>
            <w:r>
              <w:rPr>
                <w:rStyle w:val="Hyperlink"/>
                <w:rFonts w:ascii="Times New Roman" w:hAnsi="Times New Roman" w:cs="Times New Roman"/>
                <w:noProof/>
                <w:sz w:val="24"/>
                <w:szCs w:val="24"/>
              </w:rPr>
              <w:t>Limitations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43D8754D" w14:textId="2876B5C4" w:rsidR="00D5423C" w:rsidRPr="00D5423C" w:rsidRDefault="00D5423C" w:rsidP="00D5423C">
          <w:pPr>
            <w:pStyle w:val="TOC1"/>
            <w:tabs>
              <w:tab w:val="left" w:pos="480"/>
              <w:tab w:val="right" w:leader="dot" w:pos="9549"/>
            </w:tabs>
            <w:spacing w:line="360" w:lineRule="auto"/>
            <w:rPr>
              <w:rFonts w:ascii="Times New Roman" w:hAnsi="Times New Roman" w:cs="Times New Roman"/>
              <w:noProof/>
              <w:sz w:val="24"/>
              <w:szCs w:val="24"/>
            </w:rPr>
          </w:pPr>
          <w:hyperlink w:anchor="_Toc224683493" w:history="1">
            <w:r>
              <w:rPr>
                <w:rStyle w:val="Hyperlink"/>
                <w:rFonts w:ascii="Times New Roman" w:hAnsi="Times New Roman" w:cs="Times New Roman"/>
                <w:noProof/>
                <w:sz w:val="24"/>
                <w:szCs w:val="24"/>
              </w:rPr>
              <w:t>9</w:t>
            </w:r>
            <w:r>
              <w:rPr>
                <w:rFonts w:ascii="Times New Roman" w:hAnsi="Times New Roman" w:cs="Times New Roman"/>
                <w:noProof/>
                <w:sz w:val="24"/>
                <w:szCs w:val="24"/>
              </w:rPr>
              <w:tab/>
            </w:r>
            <w:r>
              <w:rPr>
                <w:rStyle w:val="Hyperlink"/>
                <w:rFonts w:ascii="Times New Roman" w:hAnsi="Times New Roman" w:cs="Times New Roman"/>
                <w:noProof/>
                <w:sz w:val="24"/>
                <w:szCs w:val="24"/>
              </w:rPr>
              <w:t>Timeframe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14:paraId="6218F4EB" w14:textId="2D0D1F15" w:rsidR="00D5423C" w:rsidRPr="00D5423C" w:rsidRDefault="00D5423C" w:rsidP="00D5423C">
          <w:pPr>
            <w:pStyle w:val="TOC1"/>
            <w:tabs>
              <w:tab w:val="left" w:pos="720"/>
              <w:tab w:val="right" w:leader="dot" w:pos="9549"/>
            </w:tabs>
            <w:spacing w:line="360" w:lineRule="auto"/>
            <w:rPr>
              <w:rFonts w:ascii="Times New Roman" w:hAnsi="Times New Roman" w:cs="Times New Roman"/>
              <w:noProof/>
              <w:sz w:val="24"/>
              <w:szCs w:val="24"/>
            </w:rPr>
          </w:pPr>
          <w:hyperlink w:anchor="_Toc224683494" w:history="1">
            <w:r>
              <w:rPr>
                <w:rStyle w:val="Hyperlink"/>
                <w:rFonts w:ascii="Times New Roman" w:hAnsi="Times New Roman" w:cs="Times New Roman"/>
                <w:noProof/>
                <w:sz w:val="24"/>
                <w:szCs w:val="24"/>
              </w:rPr>
              <w:t>10</w:t>
            </w:r>
            <w:r>
              <w:rPr>
                <w:rFonts w:ascii="Times New Roman" w:hAnsi="Times New Roman" w:cs="Times New Roman"/>
                <w:noProof/>
                <w:sz w:val="24"/>
                <w:szCs w:val="24"/>
              </w:rPr>
              <w:tab/>
            </w:r>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14:paraId="7278D56D" w14:textId="7C4431F1" w:rsidR="00D5423C" w:rsidRPr="00D5423C" w:rsidRDefault="00D5423C" w:rsidP="00D5423C">
          <w:pPr>
            <w:pStyle w:val="TOC1"/>
            <w:tabs>
              <w:tab w:val="left" w:pos="720"/>
              <w:tab w:val="right" w:leader="dot" w:pos="9549"/>
            </w:tabs>
            <w:spacing w:line="360" w:lineRule="auto"/>
            <w:rPr>
              <w:rFonts w:ascii="Times New Roman" w:hAnsi="Times New Roman" w:cs="Times New Roman"/>
              <w:noProof/>
              <w:sz w:val="24"/>
              <w:szCs w:val="24"/>
            </w:rPr>
          </w:pPr>
          <w:hyperlink w:anchor="_Toc224683495" w:history="1">
            <w:r>
              <w:rPr>
                <w:rStyle w:val="Hyperlink"/>
                <w:rFonts w:ascii="Times New Roman" w:hAnsi="Times New Roman" w:cs="Times New Roman"/>
                <w:noProof/>
                <w:sz w:val="24"/>
                <w:szCs w:val="24"/>
              </w:rPr>
              <w:t>11</w:t>
            </w:r>
            <w:r>
              <w:rPr>
                <w:rFonts w:ascii="Times New Roman" w:hAnsi="Times New Roman" w:cs="Times New Roman"/>
                <w:noProof/>
                <w:sz w:val="24"/>
                <w:szCs w:val="24"/>
              </w:rPr>
              <w:tab/>
            </w:r>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_Toc224683495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Pr>
                <w:rFonts w:ascii="Times New Roman" w:hAnsi="Times New Roman" w:cs="Times New Roman"/>
                <w:noProof/>
                <w:webHidden/>
                <w:sz w:val="24"/>
                <w:szCs w:val="24"/>
              </w:rPr>
              <w:fldChar w:fldCharType="end"/>
            </w:r>
          </w:hyperlink>
        </w:p>
        <w:p w14:paraId="6167FD35" w14:textId="5F3CD52C" w:rsidR="00D5423C" w:rsidRPr="00D5423C" w:rsidRDefault="00D5423C" w:rsidP="00D5423C">
          <w:pPr>
            <w:spacing w:line="360" w:lineRule="auto"/>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20662FB9" w14:textId="426750B0" w:rsidR="00D5423C" w:rsidRPr="00D5423C" w:rsidRDefault="00D5423C" w:rsidP="00D5423C">
      <w:pPr>
        <w:spacing w:line="360" w:lineRule="auto"/>
        <w:jc w:val="center"/>
        <w:rPr>
          <w:rFonts w:ascii="Times New Roman" w:hAnsi="Times New Roman" w:cs="Times New Roman"/>
          <w:sz w:val="28"/>
          <w:szCs w:val="28"/>
        </w:rPr>
      </w:pPr>
      <w:r>
        <w:rPr>
          <w:rFonts w:ascii="Times New Roman" w:hAnsi="Times New Roman" w:cs="Times New Roman"/>
          <w:sz w:val="28"/>
          <w:szCs w:val="28"/>
        </w:rPr>
        <w:br w:type="page"/>
      </w:r>
    </w:p>
    <w:p w14:paraId="0B417F9D" w14:textId="2D54258A" w:rsidR="00D5423C" w:rsidRPr="00453DFB" w:rsidRDefault="00D5423C" w:rsidP="00D5423C">
      <w:pPr>
        <w:pStyle w:val="Heading1"/>
      </w:pPr>
      <w:bookmarkStart w:id="0" w:name="_Toc224683476"/>
      <w:r>
        <w:lastRenderedPageBreak/>
        <w:t>Introduction</w:t>
      </w:r>
      <w:bookmarkEnd w:id="0"/>
    </w:p>
    <w:p w14:paraId="6AC959E0" w14:textId="179C2028"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Brand loyalty has emerged as a central concern for both consumers and retailers in an increasingly competitive marketplace. Scholars have recognised that brand image, consumer trust, and electronic word-of-mouth (e-WOM) are critical drivers of loyalty (Keller, 1993; Morgan and Hunt, 1994). According to Chaudhuri and Holbrook (2001), brand trust directly mediates the relationship between brand perceptions and loyal purchasing behaviour. Meanwhile, the rapid growth of social media has amplified e-WOM as a powerful influence on consumer attitudes and brand evaluations (Cheung and Thadani, 2012). A further dimension involves comparing international brands, such as IKEA or Zara, against domestic UK retailers, where localised brand image and community trust may operate differently (Balabanis and Diamantopoulos, 2004). This comparative dynamic has been insufficiently explored in the literature, which motivates the present study.</w:t>
      </w:r>
    </w:p>
    <w:p w14:paraId="475EA012" w14:textId="77777777" w:rsidR="00D5423C" w:rsidRPr="00453DFB" w:rsidRDefault="00D5423C" w:rsidP="00D5423C">
      <w:pPr>
        <w:pStyle w:val="Heading1"/>
      </w:pPr>
      <w:bookmarkStart w:id="1" w:name="_Toc224683477"/>
      <w:r>
        <w:t>Research Aim</w:t>
      </w:r>
      <w:bookmarkEnd w:id="1"/>
    </w:p>
    <w:p w14:paraId="142FA543"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To examine the influence of brand image, trust, and e-WOM on consumer brand loyalty in the UK retail sector, comparing responses to international versus domestic retail brands.</w:t>
      </w:r>
    </w:p>
    <w:p w14:paraId="76C4366B" w14:textId="77777777" w:rsidR="00D5423C" w:rsidRPr="00453DFB" w:rsidRDefault="00D5423C" w:rsidP="00D5423C">
      <w:pPr>
        <w:pStyle w:val="Heading1"/>
      </w:pPr>
      <w:bookmarkStart w:id="2" w:name="_Toc224683478"/>
      <w:r>
        <w:t>Research Objectives</w:t>
      </w:r>
      <w:bookmarkEnd w:id="2"/>
    </w:p>
    <w:p w14:paraId="60689E3C" w14:textId="77777777" w:rsidR="00D5423C" w:rsidRPr="00D5423C" w:rsidRDefault="00D5423C" w:rsidP="00D5423C">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To evaluate literature on brand image, brand trust, e-WOM, and consumer brand loyalty.</w:t>
      </w:r>
    </w:p>
    <w:p w14:paraId="288B3BD7" w14:textId="77777777" w:rsidR="00D5423C" w:rsidRPr="00D5423C" w:rsidRDefault="00D5423C" w:rsidP="00D5423C">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To compare UK consumer perceptions of brand image, trust, and e-WOM across international vs. domestic brands.</w:t>
      </w:r>
    </w:p>
    <w:p w14:paraId="00836AFF" w14:textId="77777777" w:rsidR="00D5423C" w:rsidRPr="00D5423C" w:rsidRDefault="00D5423C" w:rsidP="00D5423C">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To assess e-WOM as a mediator of the brand image–loyalty and brand trust–loyalty relationships.</w:t>
      </w:r>
    </w:p>
    <w:p w14:paraId="4CAC5B7A" w14:textId="77777777" w:rsidR="00D5423C" w:rsidRPr="00D5423C" w:rsidRDefault="00D5423C" w:rsidP="00D5423C">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To identify which brand image dimensions most effectively drive consumer loyalty.</w:t>
      </w:r>
    </w:p>
    <w:p w14:paraId="6E9A1061" w14:textId="33A44083" w:rsidR="00D5423C" w:rsidRPr="00D5423C" w:rsidRDefault="00D5423C" w:rsidP="00D5423C">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To provide strategic recommendations for enhancing brand image, trust, and e-WOM to build consumer loyalty.</w:t>
      </w:r>
    </w:p>
    <w:p w14:paraId="27733F5E" w14:textId="77777777" w:rsidR="00D5423C" w:rsidRPr="00453DFB" w:rsidRDefault="00D5423C" w:rsidP="00D5423C">
      <w:pPr>
        <w:pStyle w:val="Heading1"/>
      </w:pPr>
      <w:bookmarkStart w:id="3" w:name="_Toc224683479"/>
      <w:r>
        <w:t>Research Questions</w:t>
      </w:r>
      <w:bookmarkEnd w:id="3"/>
    </w:p>
    <w:p w14:paraId="0B52C2CE" w14:textId="77777777" w:rsidR="00D5423C" w:rsidRPr="00D5423C" w:rsidRDefault="00D5423C" w:rsidP="00D54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RQ1: How do brand image, trust, and e-WOM influence consumer brand loyalty in the UK retail sector?</w:t>
      </w:r>
    </w:p>
    <w:p w14:paraId="01082185" w14:textId="77777777" w:rsidR="00D5423C" w:rsidRPr="00D5423C" w:rsidRDefault="00D5423C" w:rsidP="00D54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RQ2: Do UK consumers perceive the brand image and trustworthiness of international and domestic brands differently?</w:t>
      </w:r>
    </w:p>
    <w:p w14:paraId="2FFAA623" w14:textId="77777777" w:rsidR="00D5423C" w:rsidRPr="00D5423C" w:rsidRDefault="00D5423C" w:rsidP="00D54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RQ3: To what extent does e-WOM mediate the relationships between brand image, brand trust, and consumer loyalty?</w:t>
      </w:r>
    </w:p>
    <w:p w14:paraId="3DC456BF" w14:textId="77777777" w:rsidR="00D5423C" w:rsidRPr="00453DFB" w:rsidRDefault="00D5423C" w:rsidP="00D5423C">
      <w:pPr>
        <w:spacing w:line="360" w:lineRule="auto"/>
        <w:jc w:val="both"/>
        <w:rPr>
          <w:rFonts w:ascii="Times New Roman" w:hAnsi="Times New Roman" w:cs="Times New Roman"/>
          <w:sz w:val="24"/>
          <w:szCs w:val="24"/>
        </w:rPr>
      </w:pPr>
    </w:p>
    <w:p w14:paraId="3040AE0C"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C61DD9F" w14:textId="5F48EFB6" w:rsidR="00D5423C" w:rsidRPr="00453DFB" w:rsidRDefault="00D5423C" w:rsidP="00D5423C">
      <w:pPr>
        <w:pStyle w:val="Heading1"/>
      </w:pPr>
      <w:bookmarkStart w:id="4" w:name="_Toc224683480"/>
      <w:r>
        <w:lastRenderedPageBreak/>
        <w:t>Literature Review</w:t>
      </w:r>
      <w:bookmarkEnd w:id="4"/>
    </w:p>
    <w:p w14:paraId="117FFFBF" w14:textId="596FB845" w:rsidR="00D5423C" w:rsidRPr="00453DFB" w:rsidRDefault="00D5423C" w:rsidP="00D5423C">
      <w:pPr>
        <w:pStyle w:val="Heading2"/>
      </w:pPr>
      <w:bookmarkStart w:id="5" w:name="_Toc224683481"/>
      <w:r>
        <w:t>Brand Image and Consumer Behaviour</w:t>
      </w:r>
      <w:bookmarkEnd w:id="5"/>
    </w:p>
    <w:p w14:paraId="7682F3D6" w14:textId="3F956935"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Brand image is defined as the set of perceptions and associations that consumers hold about a brand (Keller, 1993). Strong brand image differentiates products, builds emotional connections, and drives repeat purchase behaviour. As illustrated in Figure 1, scholarly interest in brand image and loyalty has grown substantially over the past two decades. Research indicates that a positive brand image significantly enhances consumer satisfaction and fosters long-term loyalty (Foroudi, 2019). In the UK retail context, both international and domestic brands invest heavily in building distinctive brand images, though the drivers of image perception may vary across brand origins.</w:t>
      </w:r>
    </w:p>
    <w:p w14:paraId="18D15474" w14:textId="77777777" w:rsidR="00D5423C" w:rsidRPr="00453DFB" w:rsidRDefault="00D5423C" w:rsidP="00D5423C">
      <w:pPr>
        <w:spacing w:line="360" w:lineRule="auto"/>
        <w:jc w:val="both"/>
        <w:rPr>
          <w:rFonts w:ascii="Times New Roman" w:hAnsi="Times New Roman" w:cs="Times New Roman"/>
          <w:sz w:val="24"/>
          <w:szCs w:val="24"/>
        </w:rPr>
      </w:pPr>
    </w:p>
    <w:p w14:paraId="31A1956C"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7672B8" wp14:editId="210BAA3E">
            <wp:extent cx="5048250" cy="22783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8"/>
                    <a:srcRect t="12059"/>
                    <a:stretch>
                      <a:fillRect/>
                    </a:stretch>
                  </pic:blipFill>
                  <pic:spPr bwMode="auto">
                    <a:xfrm>
                      <a:off x="0" y="0"/>
                      <a:ext cx="5048250" cy="2278380"/>
                    </a:xfrm>
                    <a:prstGeom prst="rect">
                      <a:avLst/>
                    </a:prstGeom>
                    <a:ln>
                      <a:noFill/>
                    </a:ln>
                    <a:extLst>
                      <a:ext uri="{53640926-AAD7-44D8-BBD7-CCE9431645EC}">
                        <a14:shadowObscured xmlns:a14="http://schemas.microsoft.com/office/drawing/2010/main"/>
                      </a:ext>
                    </a:extLst>
                  </pic:spPr>
                </pic:pic>
              </a:graphicData>
            </a:graphic>
          </wp:inline>
        </w:drawing>
      </w:r>
    </w:p>
    <w:p w14:paraId="1EEE1B51"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1: Growth in Brand Image, Trust &amp; E-WOM Research Publications (2005–2022)</w:t>
      </w:r>
    </w:p>
    <w:p w14:paraId="5AE12054" w14:textId="5477DB3B" w:rsidR="00D5423C" w:rsidRPr="00453DFB" w:rsidRDefault="00D5423C" w:rsidP="00D5423C">
      <w:pPr>
        <w:pStyle w:val="Heading2"/>
      </w:pPr>
      <w:bookmarkStart w:id="6" w:name="_Toc224683482"/>
      <w:r>
        <w:t>Brand Trust and E-WOM in Consumer Decision-Making</w:t>
      </w:r>
      <w:bookmarkEnd w:id="6"/>
    </w:p>
    <w:p w14:paraId="09A22E08" w14:textId="1FF99DE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Brand trust is the consumer’s willingness to rely on a brand based on positive expectations of its performance and intentions (Morgan and Hunt, 1994). Chaudhuri and Holbrook (2001) demonstrate that brand trust and brand affect together determine brand loyalty. E-WOM, defined as any positive or negative consumer-generated content shared online about a brand (Cheung and Thadani, 2012), has emerged as a powerful amplifier of brand perceptions. Figure 2 illustrates that UK consumers respond differently to brand communications depending on the perceived credibility of e-WOM sources, with peer reviews generating higher trust than brand-owned content. Together, brand trust and e-WOM create a reinforcing cycle that significantly impacts loyalty intentions.</w:t>
      </w:r>
    </w:p>
    <w:p w14:paraId="2DCC9185" w14:textId="77777777" w:rsidR="00D5423C" w:rsidRPr="00453DFB" w:rsidRDefault="00D5423C" w:rsidP="00D5423C">
      <w:pPr>
        <w:spacing w:line="360" w:lineRule="auto"/>
        <w:jc w:val="both"/>
        <w:rPr>
          <w:rFonts w:ascii="Times New Roman" w:hAnsi="Times New Roman" w:cs="Times New Roman"/>
          <w:sz w:val="24"/>
          <w:szCs w:val="24"/>
        </w:rPr>
      </w:pPr>
    </w:p>
    <w:p w14:paraId="1BF76007"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D8D33DE" wp14:editId="06D028E2">
            <wp:extent cx="5048250" cy="2430780"/>
            <wp:effectExtent l="0" t="0" r="0" b="7620"/>
            <wp:docPr id="2054181560" name="Picture 2054181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81560" name="Picture 2054181560"/>
                    <pic:cNvPicPr>
                      <a:picLocks noChangeAspect="1" noChangeArrowheads="1"/>
                    </pic:cNvPicPr>
                  </pic:nvPicPr>
                  <pic:blipFill rotWithShape="1">
                    <a:blip r:embed="rId9"/>
                    <a:srcRect t="11389"/>
                    <a:stretch>
                      <a:fillRect/>
                    </a:stretch>
                  </pic:blipFill>
                  <pic:spPr bwMode="auto">
                    <a:xfrm>
                      <a:off x="0" y="0"/>
                      <a:ext cx="5048250" cy="2430780"/>
                    </a:xfrm>
                    <a:prstGeom prst="rect">
                      <a:avLst/>
                    </a:prstGeom>
                    <a:ln>
                      <a:noFill/>
                    </a:ln>
                    <a:extLst>
                      <a:ext uri="{53640926-AAD7-44D8-BBD7-CCE9431645EC}">
                        <a14:shadowObscured xmlns:a14="http://schemas.microsoft.com/office/drawing/2010/main"/>
                      </a:ext>
                    </a:extLst>
                  </pic:spPr>
                </pic:pic>
              </a:graphicData>
            </a:graphic>
          </wp:inline>
        </w:drawing>
      </w:r>
    </w:p>
    <w:p w14:paraId="7C2BB5AB"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2: Consumer Trust vs. E-WOM Credibility by Source Type (UK Consumers)</w:t>
      </w:r>
    </w:p>
    <w:p w14:paraId="03716C48" w14:textId="4C291905" w:rsidR="00D5423C" w:rsidRPr="00453DFB" w:rsidRDefault="00D5423C" w:rsidP="00D5423C">
      <w:pPr>
        <w:pStyle w:val="Heading2"/>
      </w:pPr>
      <w:bookmarkStart w:id="7" w:name="_Toc224683483"/>
      <w:r>
        <w:t>Brand Image, Trust, E-WOM, and Loyalty: International vs. Domestic Brands</w:t>
      </w:r>
      <w:bookmarkEnd w:id="7"/>
    </w:p>
    <w:p w14:paraId="3153AE2B" w14:textId="793A8729"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Tan et al. (2022) confirm that brand image and brand trust are key mediators linking marketing stimuli to purchase intention and loyalty. Foroudi (2019) demonstrates that brand image positively influences both brand loyalty and e-WOM behaviour. Figure 3 illustrates that brand image credibility and trust jointly predict loyalty for both international and domestic brands, though the mechanisms differ: international brands leverage global reputation and scale, while domestic brands rely on localised authenticity and community-level trust (Balabanis and Diamantopoulos, 2004). This comparative dynamic, particularly in the UK retail context, represents a notable gap in the existing literature that this study addresses.</w:t>
      </w:r>
    </w:p>
    <w:p w14:paraId="724D814F" w14:textId="77777777" w:rsidR="00D5423C" w:rsidRPr="00453DFB" w:rsidRDefault="00D5423C" w:rsidP="00D5423C">
      <w:pPr>
        <w:spacing w:line="360" w:lineRule="auto"/>
        <w:jc w:val="both"/>
        <w:rPr>
          <w:rFonts w:ascii="Times New Roman" w:hAnsi="Times New Roman" w:cs="Times New Roman"/>
          <w:sz w:val="24"/>
          <w:szCs w:val="24"/>
        </w:rPr>
      </w:pPr>
    </w:p>
    <w:p w14:paraId="22669DCD"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B03FE6" wp14:editId="63DA7B01">
            <wp:extent cx="5048250" cy="2270760"/>
            <wp:effectExtent l="0" t="0" r="0" b="0"/>
            <wp:docPr id="1827460477" name="Picture 1827460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60477" name="Picture 1827460477"/>
                    <pic:cNvPicPr>
                      <a:picLocks noChangeAspect="1" noChangeArrowheads="1"/>
                    </pic:cNvPicPr>
                  </pic:nvPicPr>
                  <pic:blipFill rotWithShape="1">
                    <a:blip r:embed="rId10"/>
                    <a:srcRect t="12353"/>
                    <a:stretch>
                      <a:fillRect/>
                    </a:stretch>
                  </pic:blipFill>
                  <pic:spPr bwMode="auto">
                    <a:xfrm>
                      <a:off x="0" y="0"/>
                      <a:ext cx="5048250" cy="2270760"/>
                    </a:xfrm>
                    <a:prstGeom prst="rect">
                      <a:avLst/>
                    </a:prstGeom>
                    <a:ln>
                      <a:noFill/>
                    </a:ln>
                    <a:extLst>
                      <a:ext uri="{53640926-AAD7-44D8-BBD7-CCE9431645EC}">
                        <a14:shadowObscured xmlns:a14="http://schemas.microsoft.com/office/drawing/2010/main"/>
                      </a:ext>
                    </a:extLst>
                  </pic:spPr>
                </pic:pic>
              </a:graphicData>
            </a:graphic>
          </wp:inline>
        </w:drawing>
      </w:r>
    </w:p>
    <w:p w14:paraId="55C07CBD"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3: Relationship Between Brand Image/Trust and Brand Loyalty — International vs. Domestic Brands</w:t>
      </w:r>
    </w:p>
    <w:p w14:paraId="547E5280" w14:textId="77777777" w:rsidR="00D5423C" w:rsidRPr="00453DFB" w:rsidRDefault="00D5423C" w:rsidP="00D5423C">
      <w:pPr>
        <w:spacing w:line="360" w:lineRule="auto"/>
        <w:jc w:val="both"/>
        <w:rPr>
          <w:rFonts w:ascii="Times New Roman" w:hAnsi="Times New Roman" w:cs="Times New Roman"/>
          <w:sz w:val="24"/>
          <w:szCs w:val="24"/>
        </w:rPr>
      </w:pPr>
    </w:p>
    <w:p w14:paraId="0D2FCB4D"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D96F16E" w14:textId="2D4ADA34" w:rsidR="00D5423C" w:rsidRPr="00453DFB" w:rsidRDefault="00D5423C" w:rsidP="00D5423C">
      <w:pPr>
        <w:pStyle w:val="Heading1"/>
      </w:pPr>
      <w:bookmarkStart w:id="8" w:name="_Toc224683484"/>
      <w:r>
        <w:lastRenderedPageBreak/>
        <w:t>Methodology</w:t>
      </w:r>
      <w:bookmarkEnd w:id="8"/>
    </w:p>
    <w:p w14:paraId="22B90C76" w14:textId="0A291A1A" w:rsidR="00D5423C" w:rsidRPr="00453DFB" w:rsidRDefault="00D5423C" w:rsidP="00D5423C">
      <w:pPr>
        <w:pStyle w:val="Heading2"/>
      </w:pPr>
      <w:bookmarkStart w:id="9" w:name="_Toc224683485"/>
      <w:r>
        <w:t>Research Design</w:t>
      </w:r>
      <w:bookmarkEnd w:id="9"/>
    </w:p>
    <w:p w14:paraId="301FDC51" w14:textId="0321266B"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is based on a positivist philosophy and a primary quantitative research design. The only data collection tool is a structured, self-administered online survey that will allow statistical analysis of the relationships between brand image, brand trust, e-WOM, and brand loyalty among a representative sample of consumers in the UK (Saunders et al., 2009; Bryman, 2016).</w:t>
      </w:r>
    </w:p>
    <w:p w14:paraId="17F56C3C" w14:textId="256BDC2C" w:rsidR="00D5423C" w:rsidRPr="00453DFB" w:rsidRDefault="00D5423C" w:rsidP="00D5423C">
      <w:pPr>
        <w:pStyle w:val="Heading2"/>
      </w:pPr>
      <w:bookmarkStart w:id="10" w:name="_Toc224683486"/>
      <w:r>
        <w:t>Sample and Survey</w:t>
      </w:r>
      <w:bookmarkEnd w:id="10"/>
    </w:p>
    <w:p w14:paraId="3D46046D" w14:textId="03BC2950"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The survey targets UK adult consumers who have purchased from an international or domestic retail brand within the last 12 months. The sample size will consist of 100-150 participants recruited through social media (LinkedIn, Facebook, Instagram) and academic networks, with convenience sampling ensuring diversity across age, geographic area, and income. This sample size is appropriate for the proposed statistical tests (Bryman, 2016). The questionnaire will include four parts: (A) demographics; (B) brand image and e-WOM perceptions (1 international and 1 domestic brand), measured using 5-point Likert scales adapted from Keller (1993) and Cheung and Thadani (2012); (C) brand trust measured using scales from Morgan and Hunt (1994); (D) brand loyalty (cognitive, affective, and conative dimensions) based on Tan et al. (2022). Reliability will be ensured through a pilot study with a minimum of 15 respondents (Cronbach’s alpha ≥ 0.7).</w:t>
      </w:r>
    </w:p>
    <w:p w14:paraId="1220570E" w14:textId="0F13A739" w:rsidR="00D5423C" w:rsidRPr="00453DFB" w:rsidRDefault="00D5423C" w:rsidP="00D5423C">
      <w:pPr>
        <w:pStyle w:val="Heading2"/>
      </w:pPr>
      <w:bookmarkStart w:id="11" w:name="_Toc224683487"/>
      <w:r>
        <w:t>Data Analysis and Ethics</w:t>
      </w:r>
      <w:bookmarkEnd w:id="11"/>
    </w:p>
    <w:p w14:paraId="7DB85C9E" w14:textId="0C3C904A"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will be analysed using IBM SPSS: descriptive statistics, independent samples t-tests (comparing international and domestic brands on brand image, trust, and e-WOM perceptions), and multiple regression (brand image, brand trust, and e-WOM as predictors of loyalty). Before distribution, UWTSD ethics committee approval will be obtained. Informed digital consent governs all participation, which is anonymous and voluntary.</w:t>
      </w:r>
    </w:p>
    <w:p w14:paraId="15DA03D0" w14:textId="7BD8BE25" w:rsidR="00D5423C" w:rsidRPr="00453DFB" w:rsidRDefault="00D5423C" w:rsidP="00D5423C">
      <w:pPr>
        <w:pStyle w:val="Heading1"/>
      </w:pPr>
      <w:bookmarkStart w:id="12" w:name="_Toc224683488"/>
      <w:r>
        <w:t>Expected Findings</w:t>
      </w:r>
      <w:bookmarkEnd w:id="12"/>
    </w:p>
    <w:p w14:paraId="67D0F763"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literature, the following results are expected in the survey (n = 100-150). These predictions will be empirically validated.</w:t>
      </w:r>
    </w:p>
    <w:p w14:paraId="22F48EC2" w14:textId="1365676F" w:rsidR="00D5423C" w:rsidRPr="00453DFB" w:rsidRDefault="00D5423C" w:rsidP="00D5423C">
      <w:pPr>
        <w:pStyle w:val="Heading2"/>
      </w:pPr>
      <w:bookmarkStart w:id="13" w:name="_Toc224683489"/>
      <w:r>
        <w:t>Brand Image, Trust, and E-WOM Influence on Brand Loyalty.</w:t>
      </w:r>
      <w:bookmarkEnd w:id="13"/>
    </w:p>
    <w:p w14:paraId="1B157D73" w14:textId="4ED8DF8B"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It is anticipated that brands with strong, positive brand images will generate significantly higher loyalty scores compared to brands with weaker or unclear brand identities, consistent with Foroudi (2019) and Tan et al. (2022). Additionally, high brand trust is expected to independently predict loyalty, while positive e-WOM is anticipated to mediate these relationships. Figure 4 shows the expected loyalty scores by brand image strength and brand type.</w:t>
      </w:r>
    </w:p>
    <w:p w14:paraId="227A5782" w14:textId="77777777" w:rsidR="00D5423C" w:rsidRPr="00453DFB" w:rsidRDefault="00D5423C" w:rsidP="00D5423C">
      <w:pPr>
        <w:spacing w:line="360" w:lineRule="auto"/>
        <w:jc w:val="both"/>
        <w:rPr>
          <w:rFonts w:ascii="Times New Roman" w:hAnsi="Times New Roman" w:cs="Times New Roman"/>
          <w:sz w:val="24"/>
          <w:szCs w:val="24"/>
        </w:rPr>
      </w:pPr>
    </w:p>
    <w:p w14:paraId="4A7BC894"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48BBC35" wp14:editId="5CEB9837">
            <wp:extent cx="5048250" cy="2514600"/>
            <wp:effectExtent l="0" t="0" r="0" b="0"/>
            <wp:docPr id="1726953399" name="Picture 1726953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53399" name="Picture 1726953399"/>
                    <pic:cNvPicPr>
                      <a:picLocks noChangeAspect="1" noChangeArrowheads="1"/>
                    </pic:cNvPicPr>
                  </pic:nvPicPr>
                  <pic:blipFill rotWithShape="1">
                    <a:blip r:embed="rId11"/>
                    <a:srcRect t="12000"/>
                    <a:stretch>
                      <a:fillRect/>
                    </a:stretch>
                  </pic:blipFill>
                  <pic:spPr bwMode="auto">
                    <a:xfrm>
                      <a:off x="0" y="0"/>
                      <a:ext cx="5048250" cy="2514600"/>
                    </a:xfrm>
                    <a:prstGeom prst="rect">
                      <a:avLst/>
                    </a:prstGeom>
                    <a:ln>
                      <a:noFill/>
                    </a:ln>
                    <a:extLst>
                      <a:ext uri="{53640926-AAD7-44D8-BBD7-CCE9431645EC}">
                        <a14:shadowObscured xmlns:a14="http://schemas.microsoft.com/office/drawing/2010/main"/>
                      </a:ext>
                    </a:extLst>
                  </pic:spPr>
                </pic:pic>
              </a:graphicData>
            </a:graphic>
          </wp:inline>
        </w:drawing>
      </w:r>
    </w:p>
    <w:p w14:paraId="09CAB202" w14:textId="44C15C99"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4: Expected Brand Loyalty Scores by Brand Image Strength, International vs. Domestic Brands</w:t>
      </w:r>
    </w:p>
    <w:p w14:paraId="7E101912" w14:textId="055CA25F" w:rsidR="00D5423C" w:rsidRPr="00453DFB" w:rsidRDefault="00D5423C" w:rsidP="00D5423C">
      <w:pPr>
        <w:pStyle w:val="Heading2"/>
      </w:pPr>
      <w:bookmarkStart w:id="14" w:name="_Toc224683490"/>
      <w:r>
        <w:t>Expected Survey Agreement Rates</w:t>
      </w:r>
      <w:bookmarkEnd w:id="14"/>
    </w:p>
    <w:p w14:paraId="4A9EC81E"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It is predicted that a great majority of respondents will agree that brand trust and positive e-WOM increase brand loyalty, and that peer-generated e-WOM is more persuasive than brand-owned communications. Domestic brands are expected to score higher on perceived authenticity and community trust. Figure 5 indicates the projected agreement rates for the major propositions of the survey (n = 125), based on trends found in Morgan and Hunt (1994), Cheung and Thadani (2012), and Tan et al. (2022).</w:t>
      </w:r>
    </w:p>
    <w:p w14:paraId="486FF50C" w14:textId="77777777" w:rsidR="00D5423C" w:rsidRPr="00453DFB" w:rsidRDefault="00D5423C" w:rsidP="00D5423C">
      <w:pPr>
        <w:spacing w:line="360" w:lineRule="auto"/>
        <w:jc w:val="both"/>
        <w:rPr>
          <w:rFonts w:ascii="Times New Roman" w:hAnsi="Times New Roman" w:cs="Times New Roman"/>
          <w:sz w:val="24"/>
          <w:szCs w:val="24"/>
        </w:rPr>
      </w:pPr>
    </w:p>
    <w:p w14:paraId="0A18B883"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7CC556" wp14:editId="2A64966F">
            <wp:extent cx="5048250" cy="2567940"/>
            <wp:effectExtent l="0" t="0" r="0" b="3810"/>
            <wp:docPr id="921392417" name="Picture 92139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92417" name="Picture 921392417"/>
                    <pic:cNvPicPr>
                      <a:picLocks noChangeAspect="1" noChangeArrowheads="1"/>
                    </pic:cNvPicPr>
                  </pic:nvPicPr>
                  <pic:blipFill rotWithShape="1">
                    <a:blip r:embed="rId12"/>
                    <a:srcRect t="10133"/>
                    <a:stretch>
                      <a:fillRect/>
                    </a:stretch>
                  </pic:blipFill>
                  <pic:spPr bwMode="auto">
                    <a:xfrm>
                      <a:off x="0" y="0"/>
                      <a:ext cx="5048250" cy="2567940"/>
                    </a:xfrm>
                    <a:prstGeom prst="rect">
                      <a:avLst/>
                    </a:prstGeom>
                    <a:ln>
                      <a:noFill/>
                    </a:ln>
                    <a:extLst>
                      <a:ext uri="{53640926-AAD7-44D8-BBD7-CCE9431645EC}">
                        <a14:shadowObscured xmlns:a14="http://schemas.microsoft.com/office/drawing/2010/main"/>
                      </a:ext>
                    </a:extLst>
                  </pic:spPr>
                </pic:pic>
              </a:graphicData>
            </a:graphic>
          </wp:inline>
        </w:drawing>
      </w:r>
    </w:p>
    <w:p w14:paraId="716B2352"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5: Expected Survey Agreement Rates on Key Proposition Statements (n = 125)</w:t>
      </w:r>
    </w:p>
    <w:p w14:paraId="363707A9" w14:textId="77777777" w:rsidR="00D5423C" w:rsidRPr="00453DFB" w:rsidRDefault="00D5423C" w:rsidP="00D5423C">
      <w:pPr>
        <w:spacing w:line="360" w:lineRule="auto"/>
        <w:jc w:val="both"/>
        <w:rPr>
          <w:rFonts w:ascii="Times New Roman" w:hAnsi="Times New Roman" w:cs="Times New Roman"/>
          <w:sz w:val="24"/>
          <w:szCs w:val="24"/>
        </w:rPr>
      </w:pPr>
    </w:p>
    <w:p w14:paraId="782DB66F" w14:textId="417A025D" w:rsidR="00D5423C" w:rsidRPr="00453DFB" w:rsidRDefault="00D5423C" w:rsidP="00D5423C">
      <w:pPr>
        <w:pStyle w:val="Heading2"/>
      </w:pPr>
      <w:bookmarkStart w:id="15" w:name="_Toc224683491"/>
      <w:r>
        <w:t>Loyalty Dimensions: International vs. Domestic</w:t>
      </w:r>
      <w:bookmarkEnd w:id="15"/>
    </w:p>
    <w:p w14:paraId="0CBCAA93"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brands are expected to score higher on cognitive loyalty (rational brand evaluation driven by global brand image and reputation), whereas domestic brands are anticipated to score higher on affective and conative loyalty, reflecting their perceived local authenticity and relational </w:t>
      </w:r>
      <w:r>
        <w:rPr>
          <w:rFonts w:ascii="Times New Roman" w:hAnsi="Times New Roman" w:cs="Times New Roman"/>
          <w:sz w:val="24"/>
          <w:szCs w:val="24"/>
        </w:rPr>
        <w:lastRenderedPageBreak/>
        <w:t>trust (Balabanis and Diamantopoulos, 2004; Tan et al., 2022). E-WOM is expected to play a stronger mediating role for domestic brands, where consumer communities are more tightly knit. These anticipated differences at the dimension level are depicted in Figure 6.</w:t>
      </w:r>
    </w:p>
    <w:p w14:paraId="3CE892C2" w14:textId="77777777" w:rsidR="00D5423C" w:rsidRPr="00453DFB" w:rsidRDefault="00D5423C" w:rsidP="00D5423C">
      <w:pPr>
        <w:spacing w:line="360" w:lineRule="auto"/>
        <w:jc w:val="both"/>
        <w:rPr>
          <w:rFonts w:ascii="Times New Roman" w:hAnsi="Times New Roman" w:cs="Times New Roman"/>
          <w:sz w:val="24"/>
          <w:szCs w:val="24"/>
        </w:rPr>
      </w:pPr>
    </w:p>
    <w:p w14:paraId="4152EFA6" w14:textId="77777777"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21ECDC" wp14:editId="40937949">
            <wp:extent cx="5048250" cy="2545080"/>
            <wp:effectExtent l="0" t="0" r="0" b="7620"/>
            <wp:docPr id="68155742" name="Picture 68155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5742" name="Picture 68155742"/>
                    <pic:cNvPicPr>
                      <a:picLocks noChangeAspect="1" noChangeArrowheads="1"/>
                    </pic:cNvPicPr>
                  </pic:nvPicPr>
                  <pic:blipFill rotWithShape="1">
                    <a:blip r:embed="rId13"/>
                    <a:srcRect t="10933"/>
                    <a:stretch>
                      <a:fillRect/>
                    </a:stretch>
                  </pic:blipFill>
                  <pic:spPr bwMode="auto">
                    <a:xfrm>
                      <a:off x="0" y="0"/>
                      <a:ext cx="5048250" cy="2545080"/>
                    </a:xfrm>
                    <a:prstGeom prst="rect">
                      <a:avLst/>
                    </a:prstGeom>
                    <a:ln>
                      <a:noFill/>
                    </a:ln>
                    <a:extLst>
                      <a:ext uri="{53640926-AAD7-44D8-BBD7-CCE9431645EC}">
                        <a14:shadowObscured xmlns:a14="http://schemas.microsoft.com/office/drawing/2010/main"/>
                      </a:ext>
                    </a:extLst>
                  </pic:spPr>
                </pic:pic>
              </a:graphicData>
            </a:graphic>
          </wp:inline>
        </w:drawing>
      </w:r>
    </w:p>
    <w:p w14:paraId="25C07E9C" w14:textId="66408070" w:rsidR="00D5423C" w:rsidRPr="00453DFB" w:rsidRDefault="00D5423C" w:rsidP="00D5423C">
      <w:pPr>
        <w:spacing w:line="360" w:lineRule="auto"/>
        <w:jc w:val="center"/>
        <w:rPr>
          <w:rFonts w:ascii="Times New Roman" w:hAnsi="Times New Roman" w:cs="Times New Roman"/>
          <w:sz w:val="24"/>
          <w:szCs w:val="24"/>
        </w:rPr>
      </w:pPr>
      <w:r>
        <w:rPr>
          <w:rFonts w:ascii="Times New Roman" w:hAnsi="Times New Roman" w:cs="Times New Roman"/>
          <w:i/>
          <w:iCs/>
          <w:color w:val="555555"/>
          <w:sz w:val="24"/>
          <w:szCs w:val="24"/>
        </w:rPr>
        <w:t>Figure 6: Expected Brand Loyalty Dimension Scores, International vs. Domestic Brands</w:t>
      </w:r>
    </w:p>
    <w:p w14:paraId="12DF1DFD" w14:textId="1BE9D139" w:rsidR="00D5423C" w:rsidRPr="00453DFB" w:rsidRDefault="00D5423C" w:rsidP="00D5423C">
      <w:pPr>
        <w:pStyle w:val="Heading1"/>
      </w:pPr>
      <w:bookmarkStart w:id="16" w:name="_Toc224683492"/>
      <w:r>
        <w:t>Limitations</w:t>
      </w:r>
      <w:bookmarkEnd w:id="16"/>
    </w:p>
    <w:p w14:paraId="148E3753" w14:textId="02C19F4D"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The online convenience sample (100-150) may overrepresent younger, digitally active consumers, which could restrict generalisability of e-WOM findings. Self-reported data on brand perceptions and loyalty are prone to social desirability bias. The cross-sectional design cannot track changes in loyalty over time or capture dynamic e-WOM effects. These limitations will be mitigated through careful questionnaire design, transparent reporting of sample characteristics, and acknowledgement of boundary conditions in the discussion.</w:t>
      </w:r>
    </w:p>
    <w:p w14:paraId="58CE42E5" w14:textId="3DBC22B1" w:rsidR="00D5423C" w:rsidRPr="00453DFB" w:rsidRDefault="00D5423C" w:rsidP="00D5423C">
      <w:pPr>
        <w:pStyle w:val="Heading1"/>
      </w:pPr>
      <w:bookmarkStart w:id="17" w:name="_Toc224683493"/>
      <w:r>
        <w:t>Timeframe</w:t>
      </w:r>
      <w:bookmarkEnd w:id="17"/>
    </w:p>
    <w:p w14:paraId="7BE9215B"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The table below is the 20-week plan, which involves the review by the supervisor after Phases 2, 4, and 6.</w:t>
      </w:r>
    </w:p>
    <w:p w14:paraId="39B19BEA" w14:textId="77777777" w:rsidR="00D5423C" w:rsidRPr="00453DFB" w:rsidRDefault="00D5423C" w:rsidP="00D5423C">
      <w:pPr>
        <w:spacing w:line="360" w:lineRule="auto"/>
        <w:jc w:val="both"/>
        <w:rPr>
          <w:rFonts w:ascii="Times New Roman" w:hAnsi="Times New Roman" w:cs="Times New Roman"/>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5760"/>
        <w:gridCol w:w="2200"/>
      </w:tblGrid>
      <w:tr w:rsidR="00D5423C" w:rsidRPr="00453DFB" w14:paraId="268E9F33" w14:textId="77777777" w:rsidTr="00F06961">
        <w:trPr>
          <w:tblHeader/>
        </w:trPr>
        <w:tc>
          <w:tcPr>
            <w:tcW w:w="1400" w:type="dxa"/>
            <w:tcBorders>
              <w:top w:val="single" w:sz="0" w:space="0" w:color="CCCCCC"/>
              <w:left w:val="single" w:sz="0" w:space="0" w:color="CCCCCC"/>
              <w:bottom w:val="single" w:sz="0" w:space="0" w:color="CCCCCC"/>
              <w:right w:val="single" w:sz="0" w:space="0" w:color="CCCCCC"/>
            </w:tcBorders>
            <w:shd w:val="clear" w:color="auto" w:fill="1F3864"/>
            <w:tcMar>
              <w:top w:w="65" w:type="dxa"/>
              <w:left w:w="100" w:type="dxa"/>
              <w:bottom w:w="65" w:type="dxa"/>
              <w:right w:w="100" w:type="dxa"/>
            </w:tcMar>
          </w:tcPr>
          <w:p w14:paraId="6DB74396"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color w:val="FFFFFF"/>
                <w:sz w:val="24"/>
                <w:szCs w:val="24"/>
              </w:rPr>
              <w:t>Phase</w:t>
            </w:r>
          </w:p>
        </w:tc>
        <w:tc>
          <w:tcPr>
            <w:tcW w:w="5760" w:type="dxa"/>
            <w:tcBorders>
              <w:top w:val="single" w:sz="0" w:space="0" w:color="CCCCCC"/>
              <w:left w:val="single" w:sz="0" w:space="0" w:color="CCCCCC"/>
              <w:bottom w:val="single" w:sz="0" w:space="0" w:color="CCCCCC"/>
              <w:right w:val="single" w:sz="0" w:space="0" w:color="CCCCCC"/>
            </w:tcBorders>
            <w:shd w:val="clear" w:color="auto" w:fill="1F3864"/>
            <w:tcMar>
              <w:top w:w="65" w:type="dxa"/>
              <w:left w:w="100" w:type="dxa"/>
              <w:bottom w:w="65" w:type="dxa"/>
              <w:right w:w="100" w:type="dxa"/>
            </w:tcMar>
          </w:tcPr>
          <w:p w14:paraId="2AA8BAB1"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color w:val="FFFFFF"/>
                <w:sz w:val="24"/>
                <w:szCs w:val="24"/>
              </w:rPr>
              <w:t>Activity</w:t>
            </w:r>
          </w:p>
        </w:tc>
        <w:tc>
          <w:tcPr>
            <w:tcW w:w="2200" w:type="dxa"/>
            <w:tcBorders>
              <w:top w:val="single" w:sz="0" w:space="0" w:color="CCCCCC"/>
              <w:left w:val="single" w:sz="0" w:space="0" w:color="CCCCCC"/>
              <w:bottom w:val="single" w:sz="0" w:space="0" w:color="CCCCCC"/>
              <w:right w:val="single" w:sz="0" w:space="0" w:color="CCCCCC"/>
            </w:tcBorders>
            <w:shd w:val="clear" w:color="auto" w:fill="1F3864"/>
            <w:tcMar>
              <w:top w:w="65" w:type="dxa"/>
              <w:left w:w="100" w:type="dxa"/>
              <w:bottom w:w="65" w:type="dxa"/>
              <w:right w:w="100" w:type="dxa"/>
            </w:tcMar>
          </w:tcPr>
          <w:p w14:paraId="260EF30A"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color w:val="FFFFFF"/>
                <w:sz w:val="24"/>
                <w:szCs w:val="24"/>
              </w:rPr>
              <w:t>Timeline</w:t>
            </w:r>
          </w:p>
        </w:tc>
      </w:tr>
      <w:tr w:rsidR="00D5423C" w:rsidRPr="00453DFB" w14:paraId="3047B336"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487E35D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1</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2CE3D8BD"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Topic Finalisation &amp; Proposal</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3BFE928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1–2</w:t>
            </w:r>
          </w:p>
        </w:tc>
      </w:tr>
      <w:tr w:rsidR="00D5423C" w:rsidRPr="00453DFB" w14:paraId="58098608"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49B2EF9D"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2</w:t>
            </w:r>
          </w:p>
        </w:tc>
        <w:tc>
          <w:tcPr>
            <w:tcW w:w="576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709F416F"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w:t>
            </w:r>
          </w:p>
        </w:tc>
        <w:tc>
          <w:tcPr>
            <w:tcW w:w="22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289E32A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3–5</w:t>
            </w:r>
          </w:p>
        </w:tc>
      </w:tr>
      <w:tr w:rsidR="00D5423C" w:rsidRPr="00453DFB" w14:paraId="0531DAD6"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0067D38D"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3</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2A2B7841"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Questionnaire Design &amp; Ethics</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60B119A6"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6–7</w:t>
            </w:r>
          </w:p>
        </w:tc>
      </w:tr>
      <w:tr w:rsidR="00D5423C" w:rsidRPr="00453DFB" w14:paraId="61798C77"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64A4FBF0"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4</w:t>
            </w:r>
          </w:p>
        </w:tc>
        <w:tc>
          <w:tcPr>
            <w:tcW w:w="576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286208DF"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Survey Distribution &amp; Data Collection</w:t>
            </w:r>
          </w:p>
        </w:tc>
        <w:tc>
          <w:tcPr>
            <w:tcW w:w="22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53FB0EF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8–10</w:t>
            </w:r>
          </w:p>
        </w:tc>
      </w:tr>
      <w:tr w:rsidR="00D5423C" w:rsidRPr="00453DFB" w14:paraId="109E4B29"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0F0EABAB"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Phase 5</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40DC6AF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Statistical Analysis (SPSS)</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62FFF671"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11–13</w:t>
            </w:r>
          </w:p>
        </w:tc>
      </w:tr>
      <w:tr w:rsidR="00D5423C" w:rsidRPr="00453DFB" w14:paraId="09AEF970"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23B60BE9"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6</w:t>
            </w:r>
          </w:p>
        </w:tc>
        <w:tc>
          <w:tcPr>
            <w:tcW w:w="576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19F39CF9"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Writing &amp; Drafting Chapters</w:t>
            </w:r>
          </w:p>
        </w:tc>
        <w:tc>
          <w:tcPr>
            <w:tcW w:w="2200" w:type="dxa"/>
            <w:tcBorders>
              <w:top w:val="single" w:sz="0" w:space="0" w:color="CCCCCC"/>
              <w:left w:val="single" w:sz="0" w:space="0" w:color="CCCCCC"/>
              <w:bottom w:val="single" w:sz="0" w:space="0" w:color="CCCCCC"/>
              <w:right w:val="single" w:sz="0" w:space="0" w:color="CCCCCC"/>
            </w:tcBorders>
            <w:shd w:val="clear" w:color="auto" w:fill="EBF3FB"/>
            <w:tcMar>
              <w:top w:w="65" w:type="dxa"/>
              <w:left w:w="100" w:type="dxa"/>
              <w:bottom w:w="65" w:type="dxa"/>
              <w:right w:w="100" w:type="dxa"/>
            </w:tcMar>
          </w:tcPr>
          <w:p w14:paraId="31D9C032"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14–17</w:t>
            </w:r>
          </w:p>
        </w:tc>
      </w:tr>
      <w:tr w:rsidR="00D5423C" w:rsidRPr="00453DFB" w14:paraId="03380FF8" w14:textId="77777777" w:rsidTr="00F06961">
        <w:tc>
          <w:tcPr>
            <w:tcW w:w="14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18A3E4CE"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Phase 7</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628D5F4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Revisions &amp; Final Submission</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65" w:type="dxa"/>
              <w:left w:w="100" w:type="dxa"/>
              <w:bottom w:w="65" w:type="dxa"/>
              <w:right w:w="100" w:type="dxa"/>
            </w:tcMar>
          </w:tcPr>
          <w:p w14:paraId="648CA8E4" w14:textId="77777777" w:rsidR="00D5423C" w:rsidRPr="00453DFB" w:rsidRDefault="00D5423C" w:rsidP="00F06961">
            <w:pPr>
              <w:spacing w:line="360" w:lineRule="auto"/>
              <w:jc w:val="both"/>
              <w:rPr>
                <w:rFonts w:ascii="Times New Roman" w:hAnsi="Times New Roman" w:cs="Times New Roman"/>
                <w:sz w:val="24"/>
                <w:szCs w:val="24"/>
              </w:rPr>
            </w:pPr>
            <w:r>
              <w:rPr>
                <w:rFonts w:ascii="Times New Roman" w:hAnsi="Times New Roman" w:cs="Times New Roman"/>
                <w:sz w:val="24"/>
                <w:szCs w:val="24"/>
              </w:rPr>
              <w:t>Weeks 18–20</w:t>
            </w:r>
          </w:p>
        </w:tc>
      </w:tr>
    </w:tbl>
    <w:p w14:paraId="18C9481B" w14:textId="77777777" w:rsidR="00D5423C" w:rsidRPr="00453DFB" w:rsidRDefault="00D5423C" w:rsidP="00D5423C">
      <w:pPr>
        <w:spacing w:line="360" w:lineRule="auto"/>
        <w:jc w:val="both"/>
        <w:rPr>
          <w:rFonts w:ascii="Times New Roman" w:hAnsi="Times New Roman" w:cs="Times New Roman"/>
          <w:sz w:val="24"/>
          <w:szCs w:val="24"/>
        </w:rPr>
      </w:pPr>
    </w:p>
    <w:p w14:paraId="3639F2DE" w14:textId="07585AB0" w:rsidR="00D5423C" w:rsidRPr="00453DFB" w:rsidRDefault="00D5423C" w:rsidP="00D5423C">
      <w:pPr>
        <w:pStyle w:val="Heading1"/>
      </w:pPr>
      <w:bookmarkStart w:id="18" w:name="_Toc224683494"/>
      <w:r>
        <w:t>Conclusion</w:t>
      </w:r>
      <w:bookmarkEnd w:id="18"/>
    </w:p>
    <w:p w14:paraId="6826EFE9" w14:textId="1DBC2BAD"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t>This proposal presents a focused quantitative study examining the influence of brand image, trust, and e-WOM on consumer brand loyalty within the UK retail market. The web-based survey (n = 100-150) provides a rigorous and viable structure to answer all three research questions. The comparative emphasis between international and domestic brands, alongside the mediating role of e-WOM, addresses a significant research gap in the literature, with clear practical implications for retail brand management and marketing strategy.</w:t>
      </w:r>
    </w:p>
    <w:p w14:paraId="38CE9F80" w14:textId="77777777" w:rsidR="00D5423C" w:rsidRPr="00453DFB" w:rsidRDefault="00D5423C" w:rsidP="00D5423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69C9D3E1" w14:textId="79591D77" w:rsidR="00D5423C" w:rsidRPr="00453DFB" w:rsidRDefault="00D5423C" w:rsidP="00D5423C">
      <w:pPr>
        <w:pStyle w:val="Heading1"/>
      </w:pPr>
      <w:bookmarkStart w:id="19" w:name="_Toc224683495"/>
      <w:r>
        <w:lastRenderedPageBreak/>
        <w:t>References</w:t>
      </w:r>
      <w:bookmarkEnd w:id="19"/>
    </w:p>
    <w:p w14:paraId="2B077BA6"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Alevizou, P.J., Oates, C.J. and McDonald, S., 2015. The well (s) of knowledge: The decoding of sustainability claims in the UK and in Greece. </w:t>
      </w:r>
      <w:r>
        <w:rPr>
          <w:rFonts w:ascii="Times New Roman" w:eastAsia="SimSun" w:hAnsi="Times New Roman" w:cs="Times New Roman"/>
          <w:i/>
          <w:iCs/>
          <w:color w:val="222222"/>
          <w:sz w:val="24"/>
          <w:szCs w:val="24"/>
          <w:shd w:val="clear" w:color="auto" w:fill="FFFFFF"/>
        </w:rPr>
        <w:t>Sustainability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7</w:t>
      </w:r>
      <w:r>
        <w:rPr>
          <w:rFonts w:ascii="Times New Roman" w:eastAsia="SimSun" w:hAnsi="Times New Roman" w:cs="Times New Roman"/>
          <w:color w:val="222222"/>
          <w:sz w:val="24"/>
          <w:szCs w:val="24"/>
          <w:shd w:val="clear" w:color="auto" w:fill="FFFFFF"/>
        </w:rPr>
        <w:t>(7), pp.8729-8747.</w:t>
      </w:r>
    </w:p>
    <w:p w14:paraId="591F48EC"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Balabanis, G. and Diamantopoulos, A., 2004. Domestic country bias, country-of-origin effects, and consumer ethnocentrism: a multidimensional unfolding approach. </w:t>
      </w:r>
      <w:r>
        <w:rPr>
          <w:rFonts w:ascii="Times New Roman" w:eastAsia="SimSun" w:hAnsi="Times New Roman" w:cs="Times New Roman"/>
          <w:i/>
          <w:iCs/>
          <w:color w:val="222222"/>
          <w:sz w:val="24"/>
          <w:szCs w:val="24"/>
          <w:shd w:val="clear" w:color="auto" w:fill="FFFFFF"/>
        </w:rPr>
        <w:t>Journal of the Academy of Marketing Science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32</w:t>
      </w:r>
      <w:r>
        <w:rPr>
          <w:rFonts w:ascii="Times New Roman" w:eastAsia="SimSun" w:hAnsi="Times New Roman" w:cs="Times New Roman"/>
          <w:color w:val="222222"/>
          <w:sz w:val="24"/>
          <w:szCs w:val="24"/>
          <w:shd w:val="clear" w:color="auto" w:fill="FFFFFF"/>
        </w:rPr>
        <w:t>(1), pp.80-95.</w:t>
      </w:r>
    </w:p>
    <w:p w14:paraId="203D79BA"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Bryman, A., 2016. </w:t>
      </w:r>
      <w:r>
        <w:rPr>
          <w:rFonts w:ascii="Times New Roman" w:eastAsia="SimSun" w:hAnsi="Times New Roman" w:cs="Times New Roman"/>
          <w:i/>
          <w:iCs/>
          <w:color w:val="222222"/>
          <w:sz w:val="24"/>
          <w:szCs w:val="24"/>
          <w:shd w:val="clear" w:color="auto" w:fill="FFFFFF"/>
        </w:rPr>
        <w:t>Social research methods</w:t>
      </w:r>
      <w:r>
        <w:rPr>
          <w:rFonts w:ascii="Times New Roman" w:eastAsia="SimSun" w:hAnsi="Times New Roman" w:cs="Times New Roman"/>
          <w:color w:val="222222"/>
          <w:sz w:val="24"/>
          <w:szCs w:val="24"/>
          <w:shd w:val="clear" w:color="auto" w:fill="FFFFFF"/>
        </w:rPr>
        <w:t>. Oxford University Press.</w:t>
      </w:r>
    </w:p>
    <w:p w14:paraId="71738EF0"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Chen, Y.S. and Chang, C.H., 2013. Greenwash and green trust: The mediation effects of green consumer confusion and green perceived risk. </w:t>
      </w:r>
      <w:r>
        <w:rPr>
          <w:rFonts w:ascii="Times New Roman" w:eastAsia="SimSun" w:hAnsi="Times New Roman" w:cs="Times New Roman"/>
          <w:i/>
          <w:iCs/>
          <w:color w:val="222222"/>
          <w:sz w:val="24"/>
          <w:szCs w:val="24"/>
          <w:shd w:val="clear" w:color="auto" w:fill="FFFFFF"/>
        </w:rPr>
        <w:t>Journal of Business Ethics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114</w:t>
      </w:r>
      <w:r>
        <w:rPr>
          <w:rFonts w:ascii="Times New Roman" w:eastAsia="SimSun" w:hAnsi="Times New Roman" w:cs="Times New Roman"/>
          <w:color w:val="222222"/>
          <w:sz w:val="24"/>
          <w:szCs w:val="24"/>
          <w:shd w:val="clear" w:color="auto" w:fill="FFFFFF"/>
        </w:rPr>
        <w:t>(3), pp.489-500.</w:t>
      </w:r>
    </w:p>
    <w:p w14:paraId="793F7A21"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Delmas, M.A. and Burbano, V.C., 2011. The drivers of greenwashing. </w:t>
      </w:r>
      <w:r>
        <w:rPr>
          <w:rFonts w:ascii="Times New Roman" w:eastAsia="SimSun" w:hAnsi="Times New Roman" w:cs="Times New Roman"/>
          <w:i/>
          <w:iCs/>
          <w:color w:val="222222"/>
          <w:sz w:val="24"/>
          <w:szCs w:val="24"/>
          <w:shd w:val="clear" w:color="auto" w:fill="FFFFFF"/>
        </w:rPr>
        <w:t>California management review</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54</w:t>
      </w:r>
      <w:r>
        <w:rPr>
          <w:rFonts w:ascii="Times New Roman" w:eastAsia="SimSun" w:hAnsi="Times New Roman" w:cs="Times New Roman"/>
          <w:color w:val="222222"/>
          <w:sz w:val="24"/>
          <w:szCs w:val="24"/>
          <w:shd w:val="clear" w:color="auto" w:fill="FFFFFF"/>
        </w:rPr>
        <w:t>(1), pp.64-87.</w:t>
      </w:r>
    </w:p>
    <w:p w14:paraId="133D4864" w14:textId="77777777" w:rsidR="00D5423C" w:rsidRPr="00453DFB" w:rsidRDefault="00D5423C" w:rsidP="00D5423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Hartmann, P. and Apaolaza-Ibáñez, V. (2012) 'Consumer attitude and purchase intention toward green energy brands', Journal of Business Research, 65(9), pp. 1254–1263.</w:t>
      </w:r>
    </w:p>
    <w:p w14:paraId="310ED64E"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Lyon, T.P. and Montgomery, A.W., 2015. The means and end of greenwash. </w:t>
      </w:r>
      <w:r>
        <w:rPr>
          <w:rFonts w:ascii="Times New Roman" w:eastAsia="SimSun" w:hAnsi="Times New Roman" w:cs="Times New Roman"/>
          <w:i/>
          <w:iCs/>
          <w:color w:val="222222"/>
          <w:sz w:val="24"/>
          <w:szCs w:val="24"/>
          <w:shd w:val="clear" w:color="auto" w:fill="FFFFFF"/>
        </w:rPr>
        <w:t>Organization &amp; environment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28</w:t>
      </w:r>
      <w:r>
        <w:rPr>
          <w:rFonts w:ascii="Times New Roman" w:eastAsia="SimSun" w:hAnsi="Times New Roman" w:cs="Times New Roman"/>
          <w:color w:val="222222"/>
          <w:sz w:val="24"/>
          <w:szCs w:val="24"/>
          <w:shd w:val="clear" w:color="auto" w:fill="FFFFFF"/>
        </w:rPr>
        <w:t>(2), pp.223-249.</w:t>
      </w:r>
    </w:p>
    <w:p w14:paraId="21404E19" w14:textId="77777777" w:rsidR="00D5423C" w:rsidRPr="00453DFB" w:rsidRDefault="00D5423C" w:rsidP="00D5423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Nielsen (2015). The sustainability imperative: New insights on consumer expectations. New York: The Nielsen Company.</w:t>
      </w:r>
    </w:p>
    <w:p w14:paraId="3B00CDCE"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Peattie, K. and Crane, A., 2005. Green marketing: legend, myth, farce or prophecy?. </w:t>
      </w:r>
      <w:r>
        <w:rPr>
          <w:rFonts w:ascii="Times New Roman" w:eastAsia="SimSun" w:hAnsi="Times New Roman" w:cs="Times New Roman"/>
          <w:i/>
          <w:iCs/>
          <w:color w:val="222222"/>
          <w:sz w:val="24"/>
          <w:szCs w:val="24"/>
          <w:shd w:val="clear" w:color="auto" w:fill="FFFFFF"/>
        </w:rPr>
        <w:t>Qualitative market research: an international journal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8</w:t>
      </w:r>
      <w:r>
        <w:rPr>
          <w:rFonts w:ascii="Times New Roman" w:eastAsia="SimSun" w:hAnsi="Times New Roman" w:cs="Times New Roman"/>
          <w:color w:val="222222"/>
          <w:sz w:val="24"/>
          <w:szCs w:val="24"/>
          <w:shd w:val="clear" w:color="auto" w:fill="FFFFFF"/>
        </w:rPr>
        <w:t>(4), pp.357-370.</w:t>
      </w:r>
    </w:p>
    <w:p w14:paraId="28E41E92"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Prothero, A., Dobscha, S., Freund, J., Kilbourne, W.E., Luchs, M.G., Ozanne, L.K. and Thøgersen, J., 2011. Sustainable consumption: Opportunities for consumer research and public policy. </w:t>
      </w:r>
      <w:r>
        <w:rPr>
          <w:rFonts w:ascii="Times New Roman" w:eastAsia="SimSun" w:hAnsi="Times New Roman" w:cs="Times New Roman"/>
          <w:i/>
          <w:iCs/>
          <w:color w:val="222222"/>
          <w:sz w:val="24"/>
          <w:szCs w:val="24"/>
          <w:shd w:val="clear" w:color="auto" w:fill="FFFFFF"/>
        </w:rPr>
        <w:t>Journal of Public Policy &amp; Marketing</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30</w:t>
      </w:r>
      <w:r>
        <w:rPr>
          <w:rFonts w:ascii="Times New Roman" w:eastAsia="SimSun" w:hAnsi="Times New Roman" w:cs="Times New Roman"/>
          <w:color w:val="222222"/>
          <w:sz w:val="24"/>
          <w:szCs w:val="24"/>
          <w:shd w:val="clear" w:color="auto" w:fill="FFFFFF"/>
        </w:rPr>
        <w:t>(1), pp.31-38.</w:t>
      </w:r>
    </w:p>
    <w:p w14:paraId="52758C7F"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Saunders, M., 2009. Research methods for business students. </w:t>
      </w:r>
      <w:r>
        <w:rPr>
          <w:rFonts w:ascii="Times New Roman" w:eastAsia="SimSun" w:hAnsi="Times New Roman" w:cs="Times New Roman"/>
          <w:i/>
          <w:iCs/>
          <w:color w:val="222222"/>
          <w:sz w:val="24"/>
          <w:szCs w:val="24"/>
          <w:shd w:val="clear" w:color="auto" w:fill="FFFFFF"/>
        </w:rPr>
        <w:t>Person Education Limited</w:t>
      </w:r>
      <w:r>
        <w:rPr>
          <w:rFonts w:ascii="Times New Roman" w:eastAsia="SimSun" w:hAnsi="Times New Roman" w:cs="Times New Roman"/>
          <w:color w:val="222222"/>
          <w:sz w:val="24"/>
          <w:szCs w:val="24"/>
          <w:shd w:val="clear" w:color="auto" w:fill="FFFFFF"/>
        </w:rPr>
        <w:t>.</w:t>
      </w:r>
    </w:p>
    <w:p w14:paraId="029BCC97" w14:textId="77777777" w:rsidR="00D5423C" w:rsidRPr="00453DFB" w:rsidRDefault="00D5423C" w:rsidP="00D5423C">
      <w:pPr>
        <w:spacing w:line="360" w:lineRule="auto"/>
        <w:ind w:left="720" w:hanging="720"/>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Tan, Z., Sadiq, B., Bashir, T., Mahmood, H. and Rasool, Y., 2022. Investigating the impact of green marketing components on purchase intention: The mediating role of brand image and brand trust. </w:t>
      </w:r>
      <w:r>
        <w:rPr>
          <w:rFonts w:ascii="Times New Roman" w:eastAsia="SimSun" w:hAnsi="Times New Roman" w:cs="Times New Roman"/>
          <w:i/>
          <w:iCs/>
          <w:color w:val="222222"/>
          <w:sz w:val="24"/>
          <w:szCs w:val="24"/>
          <w:shd w:val="clear" w:color="auto" w:fill="FFFFFF"/>
        </w:rPr>
        <w:t>Sustainability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14</w:t>
      </w:r>
      <w:r>
        <w:rPr>
          <w:rFonts w:ascii="Times New Roman" w:eastAsia="SimSun" w:hAnsi="Times New Roman" w:cs="Times New Roman"/>
          <w:color w:val="222222"/>
          <w:sz w:val="24"/>
          <w:szCs w:val="24"/>
          <w:shd w:val="clear" w:color="auto" w:fill="FFFFFF"/>
        </w:rPr>
        <w:t>(10), p.5939.</w:t>
      </w:r>
    </w:p>
    <w:p w14:paraId="251E1774" w14:textId="77777777" w:rsidR="00D5423C" w:rsidRPr="00453DFB" w:rsidRDefault="00D5423C" w:rsidP="00D5423C">
      <w:pPr>
        <w:spacing w:line="360" w:lineRule="auto"/>
        <w:jc w:val="both"/>
        <w:rPr>
          <w:rFonts w:ascii="Times New Roman" w:eastAsia="SimSun" w:hAnsi="Times New Roman" w:cs="Times New Roman"/>
          <w:color w:val="222222"/>
          <w:sz w:val="24"/>
          <w:szCs w:val="24"/>
          <w:shd w:val="clear" w:color="auto" w:fill="FFFFFF"/>
        </w:rPr>
      </w:pPr>
    </w:p>
    <w:p w14:paraId="54DA1D2C" w14:textId="77777777" w:rsidR="00FE0BE8" w:rsidRDefault="00FE0BE8"/>
    <w:sectPr w:rsidR="00FE0BE8" w:rsidSect="00D5423C">
      <w:headerReference w:type="default" r:id="rId14"/>
      <w:pgSz w:w="11906" w:h="16838"/>
      <w:pgMar w:top="1080" w:right="1080" w:bottom="1080" w:left="1267" w:header="706" w:footer="706"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D60DB" w14:textId="77777777" w:rsidR="00D16C7A" w:rsidRDefault="00D16C7A" w:rsidP="00D5423C">
      <w:r>
        <w:separator/>
      </w:r>
    </w:p>
  </w:endnote>
  <w:endnote w:type="continuationSeparator" w:id="0">
    <w:p w14:paraId="5F3EAD83" w14:textId="77777777" w:rsidR="00D16C7A" w:rsidRDefault="00D16C7A" w:rsidP="00D542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BAE09" w14:textId="77777777" w:rsidR="00D16C7A" w:rsidRDefault="00D16C7A" w:rsidP="00D5423C">
      <w:r>
        <w:separator/>
      </w:r>
    </w:p>
  </w:footnote>
  <w:footnote w:type="continuationSeparator" w:id="0">
    <w:p w14:paraId="25568527" w14:textId="77777777" w:rsidR="00D16C7A" w:rsidRDefault="00D16C7A" w:rsidP="00D542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8B889" w14:textId="77777777" w:rsidR="00D5423C" w:rsidRDefault="00D5423C" w:rsidP="00D5423C">
    <w:pPr>
      <w:pBdr>
        <w:bottom w:val="single" w:sz="4" w:space="0" w:color="CCCCCC"/>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36013F"/>
    <w:multiLevelType w:val="hybridMultilevel"/>
    <w:tmpl w:val="57F6D354"/>
    <w:lvl w:ilvl="0" w:tplc="CABE90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37038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7AD3691"/>
    <w:multiLevelType w:val="hybridMultilevel"/>
    <w:tmpl w:val="45D8D584"/>
    <w:lvl w:ilvl="0" w:tplc="DA4647E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8525556">
    <w:abstractNumId w:val="1"/>
  </w:num>
  <w:num w:numId="2" w16cid:durableId="1677804457">
    <w:abstractNumId w:val="2"/>
  </w:num>
  <w:num w:numId="3" w16cid:durableId="729308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23C"/>
    <w:rsid w:val="000C187F"/>
    <w:rsid w:val="00130383"/>
    <w:rsid w:val="00212A4A"/>
    <w:rsid w:val="00281111"/>
    <w:rsid w:val="004941A5"/>
    <w:rsid w:val="005007CA"/>
    <w:rsid w:val="006D78BE"/>
    <w:rsid w:val="0086514F"/>
    <w:rsid w:val="00AF6230"/>
    <w:rsid w:val="00D16C7A"/>
    <w:rsid w:val="00D5423C"/>
    <w:rsid w:val="00E94887"/>
    <w:rsid w:val="00FE0BE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CA0A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23C"/>
    <w:pPr>
      <w:spacing w:after="0" w:line="240" w:lineRule="auto"/>
    </w:pPr>
    <w:rPr>
      <w:rFonts w:ascii="Arial" w:eastAsia="Arial" w:hAnsi="Arial" w:cs="Arial"/>
      <w:kern w:val="0"/>
      <w:sz w:val="21"/>
      <w:szCs w:val="21"/>
      <w14:ligatures w14:val="none"/>
    </w:rPr>
  </w:style>
  <w:style w:type="paragraph" w:styleId="Heading1">
    <w:name w:val="heading 1"/>
    <w:basedOn w:val="Normal"/>
    <w:next w:val="Normal"/>
    <w:link w:val="Heading1Char"/>
    <w:uiPriority w:val="9"/>
    <w:qFormat/>
    <w:rsid w:val="00D5423C"/>
    <w:pPr>
      <w:keepNext/>
      <w:keepLines/>
      <w:numPr>
        <w:numId w:val="1"/>
      </w:numPr>
      <w:spacing w:before="360" w:after="80"/>
      <w:outlineLvl w:val="0"/>
    </w:pPr>
    <w:rPr>
      <w:rFonts w:ascii="Times New Roman" w:eastAsiaTheme="majorEastAsia" w:hAnsi="Times New Roman" w:cstheme="majorBidi"/>
      <w:b/>
      <w:kern w:val="2"/>
      <w:sz w:val="28"/>
      <w:szCs w:val="40"/>
      <w14:ligatures w14:val="standardContextual"/>
    </w:rPr>
  </w:style>
  <w:style w:type="paragraph" w:styleId="Heading2">
    <w:name w:val="heading 2"/>
    <w:basedOn w:val="Normal"/>
    <w:next w:val="Normal"/>
    <w:link w:val="Heading2Char"/>
    <w:uiPriority w:val="9"/>
    <w:unhideWhenUsed/>
    <w:qFormat/>
    <w:rsid w:val="00D5423C"/>
    <w:pPr>
      <w:keepNext/>
      <w:keepLines/>
      <w:numPr>
        <w:ilvl w:val="1"/>
        <w:numId w:val="1"/>
      </w:numPr>
      <w:spacing w:before="40" w:line="278" w:lineRule="auto"/>
      <w:outlineLvl w:val="1"/>
    </w:pPr>
    <w:rPr>
      <w:rFonts w:ascii="Times New Roman" w:eastAsiaTheme="majorEastAsia" w:hAnsi="Times New Roman" w:cstheme="majorBidi"/>
      <w:b/>
      <w:kern w:val="2"/>
      <w:sz w:val="24"/>
      <w:szCs w:val="32"/>
      <w14:ligatures w14:val="standardContextual"/>
    </w:rPr>
  </w:style>
  <w:style w:type="paragraph" w:styleId="Heading3">
    <w:name w:val="heading 3"/>
    <w:basedOn w:val="Normal"/>
    <w:next w:val="Normal"/>
    <w:link w:val="Heading3Char"/>
    <w:uiPriority w:val="9"/>
    <w:semiHidden/>
    <w:unhideWhenUsed/>
    <w:qFormat/>
    <w:rsid w:val="00D5423C"/>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423C"/>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423C"/>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423C"/>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23C"/>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23C"/>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23C"/>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23C"/>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423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D542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42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42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4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23C"/>
    <w:rPr>
      <w:rFonts w:eastAsiaTheme="majorEastAsia" w:cstheme="majorBidi"/>
      <w:color w:val="272727" w:themeColor="text1" w:themeTint="D8"/>
    </w:rPr>
  </w:style>
  <w:style w:type="paragraph" w:styleId="Title">
    <w:name w:val="Title"/>
    <w:basedOn w:val="Normal"/>
    <w:next w:val="Normal"/>
    <w:link w:val="TitleChar"/>
    <w:uiPriority w:val="10"/>
    <w:qFormat/>
    <w:rsid w:val="00D5423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54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23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54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23C"/>
    <w:pPr>
      <w:spacing w:before="160" w:after="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D5423C"/>
    <w:rPr>
      <w:i/>
      <w:iCs/>
      <w:color w:val="404040" w:themeColor="text1" w:themeTint="BF"/>
    </w:rPr>
  </w:style>
  <w:style w:type="paragraph" w:styleId="ListParagraph">
    <w:name w:val="List Paragraph"/>
    <w:basedOn w:val="Normal"/>
    <w:uiPriority w:val="34"/>
    <w:qFormat/>
    <w:rsid w:val="00D5423C"/>
    <w:pPr>
      <w:spacing w:after="160"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D5423C"/>
    <w:rPr>
      <w:i/>
      <w:iCs/>
      <w:color w:val="2F5496" w:themeColor="accent1" w:themeShade="BF"/>
    </w:rPr>
  </w:style>
  <w:style w:type="paragraph" w:styleId="IntenseQuote">
    <w:name w:val="Intense Quote"/>
    <w:basedOn w:val="Normal"/>
    <w:next w:val="Normal"/>
    <w:link w:val="IntenseQuoteChar"/>
    <w:uiPriority w:val="30"/>
    <w:qFormat/>
    <w:rsid w:val="00D5423C"/>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D5423C"/>
    <w:rPr>
      <w:i/>
      <w:iCs/>
      <w:color w:val="2F5496" w:themeColor="accent1" w:themeShade="BF"/>
    </w:rPr>
  </w:style>
  <w:style w:type="character" w:styleId="IntenseReference">
    <w:name w:val="Intense Reference"/>
    <w:basedOn w:val="DefaultParagraphFont"/>
    <w:uiPriority w:val="32"/>
    <w:qFormat/>
    <w:rsid w:val="00D5423C"/>
    <w:rPr>
      <w:b/>
      <w:bCs/>
      <w:smallCaps/>
      <w:color w:val="2F5496" w:themeColor="accent1" w:themeShade="BF"/>
      <w:spacing w:val="5"/>
    </w:rPr>
  </w:style>
  <w:style w:type="paragraph" w:styleId="Header">
    <w:name w:val="header"/>
    <w:basedOn w:val="Normal"/>
    <w:link w:val="HeaderChar"/>
    <w:uiPriority w:val="99"/>
    <w:unhideWhenUsed/>
    <w:rsid w:val="00D5423C"/>
    <w:pPr>
      <w:tabs>
        <w:tab w:val="center" w:pos="4680"/>
        <w:tab w:val="right" w:pos="9360"/>
      </w:tabs>
    </w:pPr>
  </w:style>
  <w:style w:type="character" w:customStyle="1" w:styleId="HeaderChar">
    <w:name w:val="Header Char"/>
    <w:basedOn w:val="DefaultParagraphFont"/>
    <w:link w:val="Header"/>
    <w:uiPriority w:val="99"/>
    <w:rsid w:val="00D5423C"/>
    <w:rPr>
      <w:rFonts w:ascii="Arial" w:eastAsia="Arial" w:hAnsi="Arial" w:cs="Arial"/>
      <w:kern w:val="0"/>
      <w:sz w:val="21"/>
      <w:szCs w:val="21"/>
      <w14:ligatures w14:val="none"/>
    </w:rPr>
  </w:style>
  <w:style w:type="paragraph" w:styleId="Footer">
    <w:name w:val="footer"/>
    <w:basedOn w:val="Normal"/>
    <w:link w:val="FooterChar"/>
    <w:uiPriority w:val="99"/>
    <w:unhideWhenUsed/>
    <w:rsid w:val="00D5423C"/>
    <w:pPr>
      <w:tabs>
        <w:tab w:val="center" w:pos="4680"/>
        <w:tab w:val="right" w:pos="9360"/>
      </w:tabs>
    </w:pPr>
  </w:style>
  <w:style w:type="character" w:customStyle="1" w:styleId="FooterChar">
    <w:name w:val="Footer Char"/>
    <w:basedOn w:val="DefaultParagraphFont"/>
    <w:link w:val="Footer"/>
    <w:uiPriority w:val="99"/>
    <w:rsid w:val="00D5423C"/>
    <w:rPr>
      <w:rFonts w:ascii="Arial" w:eastAsia="Arial" w:hAnsi="Arial" w:cs="Arial"/>
      <w:kern w:val="0"/>
      <w:sz w:val="21"/>
      <w:szCs w:val="21"/>
      <w14:ligatures w14:val="none"/>
    </w:rPr>
  </w:style>
  <w:style w:type="paragraph" w:styleId="TOCHeading">
    <w:name w:val="TOC Heading"/>
    <w:basedOn w:val="Heading1"/>
    <w:next w:val="Normal"/>
    <w:uiPriority w:val="39"/>
    <w:unhideWhenUsed/>
    <w:qFormat/>
    <w:rsid w:val="00D5423C"/>
    <w:pPr>
      <w:numPr>
        <w:numId w:val="0"/>
      </w:num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5423C"/>
    <w:pPr>
      <w:spacing w:after="100"/>
    </w:pPr>
  </w:style>
  <w:style w:type="paragraph" w:styleId="TOC2">
    <w:name w:val="toc 2"/>
    <w:basedOn w:val="Normal"/>
    <w:next w:val="Normal"/>
    <w:autoRedefine/>
    <w:uiPriority w:val="39"/>
    <w:unhideWhenUsed/>
    <w:rsid w:val="00D5423C"/>
    <w:pPr>
      <w:spacing w:after="100"/>
      <w:ind w:left="210"/>
    </w:pPr>
  </w:style>
  <w:style w:type="character" w:styleId="Hyperlink">
    <w:name w:val="Hyperlink"/>
    <w:basedOn w:val="DefaultParagraphFont"/>
    <w:uiPriority w:val="99"/>
    <w:unhideWhenUsed/>
    <w:rsid w:val="00D542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5D63C-46EA-4647-B1DD-147FD12CB5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2116</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2026-03-18T11:39:00Z</dcterms:created>
  <dcterms:modified xsi:type="dcterms:W3CDTF">2026-03-18T11:39:00Z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e2bc99ed-4bc2-4340-8569-4f246bbeb1ce</vt:lpwstr>
  </property>
</Properties>
</file>