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E433DF" w:rsidRPr="00FA23EA" w:rsidRDefault="00E433DF" w:rsidP="00E433DF">
      <w:pPr>
        <w:pStyle w:val="fixed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MODULE CODE: </w:t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  <w:t>TRTR5008</w:t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</w:p>
    <w:p w:rsidR="00E433DF" w:rsidRPr="00FA23EA" w:rsidRDefault="00E433DF" w:rsidP="00E433DF">
      <w:pPr>
        <w:pStyle w:val="fixed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TITLE:</w:t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  <w:t>Jews and Christians in Conflict and Dialogue</w:t>
      </w:r>
    </w:p>
    <w:p w:rsidR="00E433DF" w:rsidRPr="00FA23EA" w:rsidRDefault="00E433DF" w:rsidP="00E433DF">
      <w:pPr>
        <w:pStyle w:val="fixed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DATED:</w:t>
      </w:r>
      <w:r w:rsidRPr="00FA23EA">
        <w:rPr>
          <w:rFonts w:ascii="Arial" w:hAnsi="Arial" w:cs="Arial"/>
          <w:sz w:val="22"/>
          <w:szCs w:val="22"/>
        </w:rPr>
        <w:tab/>
        <w:t xml:space="preserve"> </w:t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  <w:t>30/05/2013</w:t>
      </w:r>
    </w:p>
    <w:p w:rsidR="00E433DF" w:rsidRPr="00FA23EA" w:rsidRDefault="00E433DF" w:rsidP="00E433DF">
      <w:pPr>
        <w:pStyle w:val="fixed"/>
        <w:rPr>
          <w:rFonts w:ascii="Arial" w:hAnsi="Arial" w:cs="Arial"/>
          <w:sz w:val="22"/>
          <w:szCs w:val="22"/>
        </w:rPr>
      </w:pPr>
    </w:p>
    <w:p w:rsidR="00E433DF" w:rsidRPr="00FA23EA" w:rsidRDefault="00E433DF" w:rsidP="00E433DF">
      <w:pPr>
        <w:pStyle w:val="fixed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MODULE AUTHOR:</w:t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  <w:t>Dr Catrin H Williams</w:t>
      </w:r>
      <w:r w:rsidRPr="00FA23EA">
        <w:rPr>
          <w:rFonts w:ascii="Arial" w:hAnsi="Arial" w:cs="Arial"/>
          <w:sz w:val="22"/>
          <w:szCs w:val="22"/>
        </w:rPr>
        <w:tab/>
      </w:r>
    </w:p>
    <w:p w:rsidR="00E433DF" w:rsidRPr="00FA23EA" w:rsidRDefault="00E433DF" w:rsidP="00E433DF">
      <w:pPr>
        <w:pStyle w:val="fixed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LEVEL: </w:t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  <w:t>5</w:t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</w:p>
    <w:p w:rsidR="00E433DF" w:rsidRPr="00FA23EA" w:rsidRDefault="00E433DF" w:rsidP="00E433DF">
      <w:pPr>
        <w:pStyle w:val="fixed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CREDITS: </w:t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  <w:t xml:space="preserve">20 </w:t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</w:p>
    <w:p w:rsidR="00E433DF" w:rsidRPr="00FA23EA" w:rsidRDefault="00E433DF" w:rsidP="00E433DF">
      <w:pPr>
        <w:pStyle w:val="fixed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TEACHING METHODS: </w:t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  <w:t>Lectures and Seminars: 30 hours (15%)</w:t>
      </w:r>
      <w:r w:rsidRPr="00FA23EA">
        <w:rPr>
          <w:rFonts w:ascii="Arial" w:hAnsi="Arial" w:cs="Arial"/>
          <w:sz w:val="22"/>
          <w:szCs w:val="22"/>
        </w:rPr>
        <w:tab/>
      </w:r>
    </w:p>
    <w:p w:rsidR="00E433DF" w:rsidRPr="00FA23EA" w:rsidRDefault="00E433DF" w:rsidP="00E433DF">
      <w:pPr>
        <w:pStyle w:val="fixed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  <w:t>Directed Learning:</w:t>
      </w:r>
      <w:r w:rsidRPr="00FA23EA">
        <w:rPr>
          <w:rFonts w:ascii="Arial" w:hAnsi="Arial" w:cs="Arial"/>
          <w:sz w:val="22"/>
          <w:szCs w:val="22"/>
        </w:rPr>
        <w:tab/>
        <w:t>170 hours (85%)</w:t>
      </w:r>
    </w:p>
    <w:p w:rsidR="00E433DF" w:rsidRPr="00FA23EA" w:rsidRDefault="00E433DF" w:rsidP="00E433DF">
      <w:pPr>
        <w:pStyle w:val="fixed"/>
        <w:rPr>
          <w:rFonts w:ascii="Arial" w:hAnsi="Arial" w:cs="Arial"/>
          <w:i/>
          <w:sz w:val="22"/>
          <w:szCs w:val="22"/>
        </w:rPr>
      </w:pPr>
    </w:p>
    <w:p w:rsidR="00E433DF" w:rsidRPr="00FA23EA" w:rsidRDefault="00E433DF" w:rsidP="00E433DF">
      <w:pPr>
        <w:pStyle w:val="fixed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JACS CODE:  </w:t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</w:r>
      <w:r w:rsidRPr="00FA23EA">
        <w:rPr>
          <w:rFonts w:ascii="Arial" w:hAnsi="Arial" w:cs="Arial"/>
          <w:sz w:val="22"/>
          <w:szCs w:val="22"/>
        </w:rPr>
        <w:tab/>
        <w:t>V600</w:t>
      </w:r>
    </w:p>
    <w:p w:rsidR="00E433DF" w:rsidRPr="00FA23EA" w:rsidRDefault="00E433DF" w:rsidP="00E433DF">
      <w:pPr>
        <w:pBdr>
          <w:bottom w:val="single" w:sz="4" w:space="1" w:color="auto"/>
        </w:pBdr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ab/>
      </w:r>
    </w:p>
    <w:p w:rsidR="00E433DF" w:rsidRPr="00FA23EA" w:rsidRDefault="00E433DF" w:rsidP="00E433DF">
      <w:pPr>
        <w:pStyle w:val="heading"/>
        <w:spacing w:before="120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AIMS</w:t>
      </w:r>
    </w:p>
    <w:p w:rsidR="00E433DF" w:rsidRPr="00FA23EA" w:rsidRDefault="00E433DF" w:rsidP="00E433DF">
      <w:pPr>
        <w:pStyle w:val="bullet"/>
        <w:numPr>
          <w:ilvl w:val="0"/>
          <w:numId w:val="1"/>
        </w:numPr>
        <w:ind w:left="714" w:hanging="357"/>
        <w:rPr>
          <w:rFonts w:ascii="Arial" w:hAnsi="Arial" w:cs="Arial"/>
          <w:b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To examine the relationship between Jews and Christians in various historical, political and social contexts.</w:t>
      </w:r>
    </w:p>
    <w:p w:rsidR="00E433DF" w:rsidRPr="00FA23EA" w:rsidRDefault="00E433DF" w:rsidP="00E433DF">
      <w:pPr>
        <w:pStyle w:val="bullet"/>
        <w:numPr>
          <w:ilvl w:val="0"/>
          <w:numId w:val="1"/>
        </w:numPr>
        <w:overflowPunct w:val="0"/>
        <w:autoSpaceDE w:val="0"/>
        <w:autoSpaceDN w:val="0"/>
        <w:adjustRightInd w:val="0"/>
        <w:ind w:left="714" w:hanging="357"/>
        <w:textAlignment w:val="baseline"/>
        <w:rPr>
          <w:rFonts w:ascii="Arial" w:hAnsi="Arial" w:cs="Arial"/>
          <w:sz w:val="22"/>
          <w:szCs w:val="22"/>
          <w:lang w:eastAsia="zh-CN"/>
        </w:rPr>
      </w:pPr>
      <w:r w:rsidRPr="00FA23EA">
        <w:rPr>
          <w:rFonts w:ascii="Arial" w:hAnsi="Arial" w:cs="Arial"/>
          <w:sz w:val="22"/>
          <w:szCs w:val="22"/>
          <w:lang w:eastAsia="zh-CN"/>
        </w:rPr>
        <w:t>To enable students to understand how Jews have been treated and portrayed in different historical periods.</w:t>
      </w:r>
    </w:p>
    <w:p w:rsidR="00E433DF" w:rsidRDefault="00E433DF" w:rsidP="00E433DF">
      <w:pPr>
        <w:pStyle w:val="bullet"/>
        <w:numPr>
          <w:ilvl w:val="0"/>
          <w:numId w:val="1"/>
        </w:numPr>
        <w:overflowPunct w:val="0"/>
        <w:autoSpaceDE w:val="0"/>
        <w:autoSpaceDN w:val="0"/>
        <w:adjustRightInd w:val="0"/>
        <w:ind w:left="714" w:hanging="357"/>
        <w:textAlignment w:val="baseline"/>
        <w:rPr>
          <w:rFonts w:ascii="Arial" w:hAnsi="Arial" w:cs="Arial"/>
          <w:sz w:val="22"/>
          <w:szCs w:val="22"/>
          <w:lang w:eastAsia="zh-CN"/>
        </w:rPr>
      </w:pPr>
      <w:r w:rsidRPr="00FA23EA">
        <w:rPr>
          <w:rFonts w:ascii="Arial" w:hAnsi="Arial" w:cs="Arial"/>
          <w:sz w:val="22"/>
          <w:szCs w:val="22"/>
        </w:rPr>
        <w:t>To evaluate Jewish-Christian relations from a variety of ethical and theological perspectives</w:t>
      </w:r>
      <w:r w:rsidRPr="00FA23EA">
        <w:rPr>
          <w:rFonts w:ascii="Arial" w:hAnsi="Arial" w:cs="Arial"/>
          <w:sz w:val="22"/>
          <w:szCs w:val="22"/>
          <w:lang w:eastAsia="zh-CN"/>
        </w:rPr>
        <w:t>.</w:t>
      </w:r>
    </w:p>
    <w:p w:rsidR="00E433DF" w:rsidRPr="00FA23EA" w:rsidRDefault="00E433DF" w:rsidP="00E433DF">
      <w:pPr>
        <w:pStyle w:val="bullet"/>
        <w:overflowPunct w:val="0"/>
        <w:autoSpaceDE w:val="0"/>
        <w:autoSpaceDN w:val="0"/>
        <w:adjustRightInd w:val="0"/>
        <w:ind w:left="714" w:firstLine="0"/>
        <w:textAlignment w:val="baseline"/>
        <w:rPr>
          <w:rFonts w:ascii="Arial" w:hAnsi="Arial" w:cs="Arial"/>
          <w:sz w:val="22"/>
          <w:szCs w:val="22"/>
          <w:lang w:eastAsia="zh-CN"/>
        </w:rPr>
      </w:pPr>
    </w:p>
    <w:p w:rsidR="00E433DF" w:rsidRPr="00FA23EA" w:rsidRDefault="00E433DF" w:rsidP="00E433DF">
      <w:pPr>
        <w:pStyle w:val="bullet"/>
        <w:overflowPunct w:val="0"/>
        <w:autoSpaceDE w:val="0"/>
        <w:autoSpaceDN w:val="0"/>
        <w:adjustRightInd w:val="0"/>
        <w:spacing w:before="0"/>
        <w:ind w:left="720" w:firstLine="0"/>
        <w:textAlignment w:val="baseline"/>
        <w:rPr>
          <w:rFonts w:ascii="Arial" w:hAnsi="Arial" w:cs="Arial"/>
          <w:sz w:val="22"/>
          <w:szCs w:val="22"/>
          <w:lang w:eastAsia="zh-CN"/>
        </w:rPr>
      </w:pPr>
    </w:p>
    <w:p w:rsidR="00E433DF" w:rsidRPr="00FA23EA" w:rsidRDefault="00E433DF" w:rsidP="00E433DF">
      <w:pPr>
        <w:pStyle w:val="heading"/>
        <w:spacing w:before="0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LEARNING OUTCOMES</w:t>
      </w:r>
    </w:p>
    <w:p w:rsidR="00E433DF" w:rsidRPr="00FA23EA" w:rsidRDefault="00E433DF" w:rsidP="00E433DF">
      <w:pPr>
        <w:spacing w:before="120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By the end of this module students should be able to:  </w:t>
      </w:r>
    </w:p>
    <w:p w:rsidR="00E433DF" w:rsidRPr="00FA23EA" w:rsidRDefault="00E433DF" w:rsidP="00E433DF">
      <w:pPr>
        <w:pStyle w:val="bullet"/>
        <w:numPr>
          <w:ilvl w:val="0"/>
          <w:numId w:val="3"/>
        </w:numPr>
        <w:ind w:left="714" w:hanging="357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Evaluate the relevant biblical, Christian and Jewish sources;</w:t>
      </w:r>
    </w:p>
    <w:p w:rsidR="00E433DF" w:rsidRPr="00FA23EA" w:rsidRDefault="00E433DF" w:rsidP="00E433DF">
      <w:pPr>
        <w:pStyle w:val="bullet"/>
        <w:numPr>
          <w:ilvl w:val="0"/>
          <w:numId w:val="3"/>
        </w:numPr>
        <w:ind w:left="714" w:hanging="357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Demonstrate good knowledge of the historical landmarks and figures in Jewish-Christian relations;</w:t>
      </w:r>
    </w:p>
    <w:p w:rsidR="00E433DF" w:rsidRPr="00FA23EA" w:rsidRDefault="00E433DF" w:rsidP="00E433DF">
      <w:pPr>
        <w:pStyle w:val="bullet"/>
        <w:numPr>
          <w:ilvl w:val="0"/>
          <w:numId w:val="3"/>
        </w:numPr>
        <w:ind w:left="714" w:hanging="357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Analyse Jewish theological responses to Christianity and Christian understandings of Judaism;</w:t>
      </w:r>
    </w:p>
    <w:p w:rsidR="00E433DF" w:rsidRPr="00E433DF" w:rsidRDefault="00E433DF" w:rsidP="00E433DF">
      <w:pPr>
        <w:pStyle w:val="bullet"/>
        <w:numPr>
          <w:ilvl w:val="0"/>
          <w:numId w:val="3"/>
        </w:numPr>
        <w:ind w:left="714" w:hanging="357"/>
        <w:rPr>
          <w:rFonts w:ascii="Arial" w:hAnsi="Arial" w:cs="Arial"/>
          <w:b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Assess a range of approaches to Jewish-Christian relations in the aftermath of the Shoah (Holocaust).</w:t>
      </w:r>
    </w:p>
    <w:p w:rsidR="00E433DF" w:rsidRPr="00FA23EA" w:rsidRDefault="00E433DF" w:rsidP="00E433DF">
      <w:pPr>
        <w:pStyle w:val="bullet"/>
        <w:ind w:left="714" w:firstLine="0"/>
        <w:rPr>
          <w:rFonts w:ascii="Arial" w:hAnsi="Arial" w:cs="Arial"/>
          <w:b/>
          <w:sz w:val="22"/>
          <w:szCs w:val="22"/>
        </w:rPr>
      </w:pPr>
    </w:p>
    <w:p w:rsidR="00E433DF" w:rsidRPr="00FA23EA" w:rsidRDefault="00E433DF" w:rsidP="00E433DF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E433DF" w:rsidRPr="00FA23EA" w:rsidRDefault="00E433DF" w:rsidP="00E433DF">
      <w:pPr>
        <w:pStyle w:val="heading"/>
        <w:spacing w:before="0"/>
        <w:ind w:left="0" w:firstLine="0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CONTENT</w:t>
      </w:r>
    </w:p>
    <w:p w:rsidR="00E433DF" w:rsidRPr="00FA23EA" w:rsidRDefault="00E433DF" w:rsidP="00E433DF">
      <w:pPr>
        <w:pStyle w:val="bullet"/>
        <w:numPr>
          <w:ilvl w:val="0"/>
          <w:numId w:val="2"/>
        </w:numPr>
        <w:ind w:left="720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The origins of anti-Judaism and anti-Semitism.</w:t>
      </w:r>
    </w:p>
    <w:p w:rsidR="00E433DF" w:rsidRPr="00FA23EA" w:rsidRDefault="00E433DF" w:rsidP="00E433DF">
      <w:pPr>
        <w:pStyle w:val="bullet"/>
        <w:numPr>
          <w:ilvl w:val="0"/>
          <w:numId w:val="2"/>
        </w:numPr>
        <w:overflowPunct w:val="0"/>
        <w:autoSpaceDE w:val="0"/>
        <w:autoSpaceDN w:val="0"/>
        <w:adjustRightInd w:val="0"/>
        <w:ind w:left="720"/>
        <w:textAlignment w:val="baseline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Jews, Christians and ‘the partings of the ways’ in the first centuries CE.</w:t>
      </w:r>
    </w:p>
    <w:p w:rsidR="00E433DF" w:rsidRPr="00FA23EA" w:rsidRDefault="00E433DF" w:rsidP="00E433DF">
      <w:pPr>
        <w:pStyle w:val="bullet"/>
        <w:numPr>
          <w:ilvl w:val="0"/>
          <w:numId w:val="2"/>
        </w:numPr>
        <w:overflowPunct w:val="0"/>
        <w:autoSpaceDE w:val="0"/>
        <w:autoSpaceDN w:val="0"/>
        <w:adjustRightInd w:val="0"/>
        <w:ind w:left="720"/>
        <w:textAlignment w:val="baseline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Early Christian approaches to Jews and Judaism: Melito of Sardis, John Chrysostom, and Augustine.</w:t>
      </w:r>
    </w:p>
    <w:p w:rsidR="00E433DF" w:rsidRPr="00FA23EA" w:rsidRDefault="00E433DF" w:rsidP="00E433DF">
      <w:pPr>
        <w:pStyle w:val="bullet"/>
        <w:numPr>
          <w:ilvl w:val="0"/>
          <w:numId w:val="2"/>
        </w:numPr>
        <w:overflowPunct w:val="0"/>
        <w:autoSpaceDE w:val="0"/>
        <w:autoSpaceDN w:val="0"/>
        <w:adjustRightInd w:val="0"/>
        <w:ind w:left="720"/>
        <w:textAlignment w:val="baseline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Medieval Jewish-Christian relations: anti-Jewish polemic, and the impact of the Crusades and the Inquisition.</w:t>
      </w:r>
    </w:p>
    <w:p w:rsidR="00E433DF" w:rsidRPr="00FA23EA" w:rsidRDefault="00E433DF" w:rsidP="00E433DF">
      <w:pPr>
        <w:pStyle w:val="bullet"/>
        <w:numPr>
          <w:ilvl w:val="0"/>
          <w:numId w:val="2"/>
        </w:numPr>
        <w:overflowPunct w:val="0"/>
        <w:autoSpaceDE w:val="0"/>
        <w:autoSpaceDN w:val="0"/>
        <w:adjustRightInd w:val="0"/>
        <w:ind w:left="720"/>
        <w:textAlignment w:val="baseline"/>
        <w:rPr>
          <w:rFonts w:ascii="Arial" w:hAnsi="Arial" w:cs="Arial"/>
          <w:spacing w:val="-4"/>
          <w:sz w:val="22"/>
          <w:szCs w:val="22"/>
        </w:rPr>
      </w:pPr>
      <w:r w:rsidRPr="00FA23EA">
        <w:rPr>
          <w:rFonts w:ascii="Arial" w:hAnsi="Arial" w:cs="Arial"/>
          <w:spacing w:val="-4"/>
          <w:sz w:val="22"/>
          <w:szCs w:val="22"/>
        </w:rPr>
        <w:t>The Reformation: the attitude of Martin Luther and John Calvin towards the Jews.</w:t>
      </w:r>
    </w:p>
    <w:p w:rsidR="00E433DF" w:rsidRPr="00FA23EA" w:rsidRDefault="00E433DF" w:rsidP="00E433DF">
      <w:pPr>
        <w:pStyle w:val="bullet"/>
        <w:numPr>
          <w:ilvl w:val="0"/>
          <w:numId w:val="2"/>
        </w:numPr>
        <w:overflowPunct w:val="0"/>
        <w:autoSpaceDE w:val="0"/>
        <w:autoSpaceDN w:val="0"/>
        <w:adjustRightInd w:val="0"/>
        <w:ind w:left="720"/>
        <w:textAlignment w:val="baseline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The origins of Zionism and the establishment of the state of Israel. </w:t>
      </w:r>
    </w:p>
    <w:p w:rsidR="00E433DF" w:rsidRPr="00FA23EA" w:rsidRDefault="00E433DF" w:rsidP="00E433DF">
      <w:pPr>
        <w:pStyle w:val="bullet"/>
        <w:numPr>
          <w:ilvl w:val="0"/>
          <w:numId w:val="2"/>
        </w:numPr>
        <w:overflowPunct w:val="0"/>
        <w:autoSpaceDE w:val="0"/>
        <w:autoSpaceDN w:val="0"/>
        <w:adjustRightInd w:val="0"/>
        <w:spacing w:before="60"/>
        <w:ind w:left="720"/>
        <w:textAlignment w:val="baseline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Twentieth-century anti-Semitism in Europe.</w:t>
      </w:r>
    </w:p>
    <w:p w:rsidR="00E433DF" w:rsidRPr="00FA23EA" w:rsidRDefault="00E433DF" w:rsidP="00E433DF">
      <w:pPr>
        <w:pStyle w:val="bullet"/>
        <w:numPr>
          <w:ilvl w:val="0"/>
          <w:numId w:val="2"/>
        </w:numPr>
        <w:overflowPunct w:val="0"/>
        <w:autoSpaceDE w:val="0"/>
        <w:autoSpaceDN w:val="0"/>
        <w:adjustRightInd w:val="0"/>
        <w:spacing w:before="60"/>
        <w:ind w:left="720"/>
        <w:textAlignment w:val="baseline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Jewish and Christian theological responses to the Shoah (Holocaust).</w:t>
      </w:r>
    </w:p>
    <w:p w:rsidR="00E433DF" w:rsidRPr="00FA23EA" w:rsidRDefault="00E433DF" w:rsidP="00E433DF">
      <w:pPr>
        <w:pStyle w:val="bullet"/>
        <w:numPr>
          <w:ilvl w:val="0"/>
          <w:numId w:val="2"/>
        </w:numPr>
        <w:overflowPunct w:val="0"/>
        <w:autoSpaceDE w:val="0"/>
        <w:autoSpaceDN w:val="0"/>
        <w:adjustRightInd w:val="0"/>
        <w:spacing w:before="60"/>
        <w:ind w:left="720"/>
        <w:textAlignment w:val="baseline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Jewish-Christian relations and wider interfaith issues.</w:t>
      </w:r>
    </w:p>
    <w:p w:rsidR="00E433DF" w:rsidRPr="00FA23EA" w:rsidRDefault="00E433DF" w:rsidP="00E433DF">
      <w:pPr>
        <w:pStyle w:val="heading"/>
        <w:spacing w:before="120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ASSESSMENT</w:t>
      </w:r>
    </w:p>
    <w:p w:rsidR="00E433DF" w:rsidRPr="00FA23EA" w:rsidRDefault="00E433DF" w:rsidP="00E433DF">
      <w:pPr>
        <w:pStyle w:val="heading"/>
        <w:spacing w:before="120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Coursework (50%)</w:t>
      </w:r>
    </w:p>
    <w:p w:rsidR="00E433DF" w:rsidRPr="00FA23EA" w:rsidRDefault="00E433DF" w:rsidP="00E433DF">
      <w:pPr>
        <w:pStyle w:val="heading"/>
        <w:spacing w:before="120"/>
        <w:rPr>
          <w:rFonts w:ascii="Arial" w:hAnsi="Arial" w:cs="Arial"/>
          <w:b w:val="0"/>
          <w:sz w:val="22"/>
          <w:szCs w:val="22"/>
        </w:rPr>
      </w:pPr>
      <w:r w:rsidRPr="00FA23EA">
        <w:rPr>
          <w:rFonts w:ascii="Arial" w:hAnsi="Arial" w:cs="Arial"/>
          <w:b w:val="0"/>
          <w:sz w:val="22"/>
          <w:szCs w:val="22"/>
        </w:rPr>
        <w:t>One 2,500-word essay.</w:t>
      </w:r>
    </w:p>
    <w:p w:rsidR="00E433DF" w:rsidRPr="00FA23EA" w:rsidRDefault="00E433DF" w:rsidP="00E433DF">
      <w:pPr>
        <w:pStyle w:val="heading"/>
        <w:spacing w:before="120"/>
        <w:rPr>
          <w:rFonts w:ascii="Arial" w:hAnsi="Arial" w:cs="Arial"/>
          <w:b w:val="0"/>
          <w:sz w:val="22"/>
          <w:szCs w:val="22"/>
        </w:rPr>
      </w:pPr>
      <w:r w:rsidRPr="00FA23EA">
        <w:rPr>
          <w:rFonts w:ascii="Arial" w:hAnsi="Arial" w:cs="Arial"/>
          <w:b w:val="0"/>
          <w:sz w:val="22"/>
          <w:szCs w:val="22"/>
        </w:rPr>
        <w:t>Example:</w:t>
      </w:r>
    </w:p>
    <w:p w:rsidR="00E433DF" w:rsidRPr="00FA23EA" w:rsidRDefault="00E433DF" w:rsidP="00E433DF">
      <w:pPr>
        <w:pStyle w:val="ListParagraph"/>
        <w:spacing w:before="120"/>
        <w:rPr>
          <w:rFonts w:cs="Arial"/>
          <w:sz w:val="22"/>
        </w:rPr>
      </w:pPr>
      <w:r w:rsidRPr="00FA23EA">
        <w:rPr>
          <w:rFonts w:cs="Arial"/>
          <w:sz w:val="22"/>
        </w:rPr>
        <w:t>‘Jewish strategy during the second and third centuries CE was to overlook the emergence of Christianity’. Discuss.</w:t>
      </w:r>
    </w:p>
    <w:p w:rsidR="00E433DF" w:rsidRPr="00FA23EA" w:rsidRDefault="00E433DF" w:rsidP="00E433DF">
      <w:pPr>
        <w:spacing w:before="120"/>
        <w:rPr>
          <w:rFonts w:ascii="Arial" w:hAnsi="Arial" w:cs="Arial"/>
          <w:b/>
          <w:sz w:val="22"/>
          <w:szCs w:val="22"/>
        </w:rPr>
      </w:pPr>
      <w:r w:rsidRPr="00FA23EA">
        <w:rPr>
          <w:rFonts w:ascii="Arial" w:hAnsi="Arial" w:cs="Arial"/>
          <w:b/>
          <w:sz w:val="22"/>
          <w:szCs w:val="22"/>
        </w:rPr>
        <w:t>Examination (50%)</w:t>
      </w:r>
    </w:p>
    <w:p w:rsidR="00E433DF" w:rsidRPr="00FA23EA" w:rsidRDefault="00E433DF" w:rsidP="00E433DF">
      <w:pPr>
        <w:spacing w:before="120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One 2-hour examination.</w:t>
      </w:r>
    </w:p>
    <w:p w:rsidR="00E433DF" w:rsidRPr="00FA23EA" w:rsidRDefault="00E433DF" w:rsidP="00E433DF">
      <w:pPr>
        <w:pStyle w:val="heading"/>
        <w:spacing w:before="120"/>
        <w:rPr>
          <w:rFonts w:ascii="Arial" w:hAnsi="Arial" w:cs="Arial"/>
          <w:b w:val="0"/>
          <w:sz w:val="22"/>
          <w:szCs w:val="22"/>
        </w:rPr>
      </w:pPr>
    </w:p>
    <w:p w:rsidR="00E433DF" w:rsidRPr="00FA23EA" w:rsidRDefault="00E433DF" w:rsidP="00E433DF">
      <w:pPr>
        <w:pStyle w:val="heading"/>
        <w:spacing w:before="120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BIBLIOGRAPHY</w:t>
      </w:r>
    </w:p>
    <w:p w:rsidR="00E433DF" w:rsidRPr="00FA23EA" w:rsidRDefault="00E433DF" w:rsidP="00E433DF">
      <w:pPr>
        <w:pStyle w:val="heading"/>
        <w:spacing w:before="120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Essential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i/>
          <w:iCs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Dunn, J.D.G.,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The Partings of the Ways: Between Christianity and Judaism and their Significance for the Character of Christianity </w:t>
      </w:r>
      <w:r w:rsidRPr="00FA23EA">
        <w:rPr>
          <w:rFonts w:ascii="Arial" w:hAnsi="Arial" w:cs="Arial"/>
          <w:sz w:val="22"/>
          <w:szCs w:val="22"/>
        </w:rPr>
        <w:t xml:space="preserve">(London: SCM, 2006).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Fry, H. (ed.),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Christian-Jewish Dialogue: A Reader </w:t>
      </w:r>
      <w:r w:rsidRPr="00FA23EA">
        <w:rPr>
          <w:rFonts w:ascii="Arial" w:hAnsi="Arial" w:cs="Arial"/>
          <w:sz w:val="22"/>
          <w:szCs w:val="22"/>
        </w:rPr>
        <w:t xml:space="preserve">(Exeter: University of Exeter, 1996).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Kessler, E.,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An Introduction to Jewish-Christian Relations </w:t>
      </w:r>
      <w:r w:rsidRPr="00FA23EA">
        <w:rPr>
          <w:rFonts w:ascii="Arial" w:hAnsi="Arial" w:cs="Arial"/>
          <w:sz w:val="22"/>
          <w:szCs w:val="22"/>
        </w:rPr>
        <w:t xml:space="preserve">(Cambridge: CUP, 2010).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Saperstein, M., </w:t>
      </w:r>
      <w:r w:rsidRPr="00FA23EA">
        <w:rPr>
          <w:rFonts w:ascii="Arial" w:hAnsi="Arial" w:cs="Arial"/>
          <w:i/>
          <w:iCs/>
          <w:sz w:val="22"/>
          <w:szCs w:val="22"/>
        </w:rPr>
        <w:t>Moments of Crisis in Jewish-Christian Relations</w:t>
      </w:r>
      <w:r w:rsidRPr="00FA23EA">
        <w:rPr>
          <w:rFonts w:ascii="Arial" w:hAnsi="Arial" w:cs="Arial"/>
          <w:sz w:val="22"/>
          <w:szCs w:val="22"/>
        </w:rPr>
        <w:t xml:space="preserve"> (London: SCM, 1989). </w:t>
      </w:r>
    </w:p>
    <w:p w:rsidR="00E433DF" w:rsidRPr="00FA23EA" w:rsidRDefault="00E433DF" w:rsidP="00E433DF">
      <w:pPr>
        <w:pStyle w:val="heading"/>
        <w:spacing w:before="120"/>
        <w:jc w:val="both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Recommended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i/>
          <w:iCs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Braybrooke, M., </w:t>
      </w:r>
      <w:r w:rsidRPr="00FA23EA">
        <w:rPr>
          <w:rFonts w:ascii="Arial" w:hAnsi="Arial" w:cs="Arial"/>
          <w:i/>
          <w:iCs/>
          <w:sz w:val="22"/>
          <w:szCs w:val="22"/>
        </w:rPr>
        <w:t>Time to Meet: Towards a Deeper Relationship between Jews and Christians</w:t>
      </w:r>
      <w:r w:rsidRPr="00FA23EA">
        <w:rPr>
          <w:rFonts w:ascii="Arial" w:hAnsi="Arial" w:cs="Arial"/>
          <w:sz w:val="22"/>
          <w:szCs w:val="22"/>
        </w:rPr>
        <w:t xml:space="preserve"> (London: SCM, 1990).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>Cargas, H.J.,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 Shadows of Auschwitz</w:t>
      </w:r>
      <w:r w:rsidRPr="00FA23EA">
        <w:rPr>
          <w:rFonts w:ascii="Arial" w:hAnsi="Arial" w:cs="Arial"/>
          <w:sz w:val="22"/>
          <w:szCs w:val="22"/>
        </w:rPr>
        <w:t xml:space="preserve"> (New York: Crossroads, 1990).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i/>
          <w:iCs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Cohen, J. (ed.), </w:t>
      </w:r>
      <w:r w:rsidRPr="00FA23EA">
        <w:rPr>
          <w:rFonts w:ascii="Arial" w:hAnsi="Arial" w:cs="Arial"/>
          <w:i/>
          <w:iCs/>
          <w:sz w:val="22"/>
          <w:szCs w:val="22"/>
        </w:rPr>
        <w:t>Essential Papers on Judaism and Christianity in Conflict: From Late Antiquity to the Reformation</w:t>
      </w:r>
      <w:r w:rsidRPr="00FA23EA">
        <w:rPr>
          <w:rFonts w:ascii="Arial" w:hAnsi="Arial" w:cs="Arial"/>
          <w:sz w:val="22"/>
          <w:szCs w:val="22"/>
        </w:rPr>
        <w:t xml:space="preserve"> (New York: New York University Press, 1991).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Cohen, J.,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Living Letters of the Law: Ideas of the Jew in Medieval Christianity </w:t>
      </w:r>
      <w:r w:rsidRPr="00FA23EA">
        <w:rPr>
          <w:rFonts w:ascii="Arial" w:hAnsi="Arial" w:cs="Arial"/>
          <w:sz w:val="22"/>
          <w:szCs w:val="22"/>
        </w:rPr>
        <w:t xml:space="preserve">(Berkeley: University of California Press, 1999).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Cohn-Sherbok, D. (ed.),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Holocaust Theology: A Reader </w:t>
      </w:r>
      <w:r w:rsidRPr="00FA23EA">
        <w:rPr>
          <w:rFonts w:ascii="Arial" w:hAnsi="Arial" w:cs="Arial"/>
          <w:sz w:val="22"/>
          <w:szCs w:val="22"/>
        </w:rPr>
        <w:t xml:space="preserve">(Exeter: University of Exeter Press, 2001).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i/>
          <w:iCs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Cohn-Sherbok, D.,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The Crucified Jew: Twenty Centuries of Christian Anti-Semitism </w:t>
      </w:r>
      <w:r w:rsidRPr="00FA23EA">
        <w:rPr>
          <w:rFonts w:ascii="Arial" w:hAnsi="Arial" w:cs="Arial"/>
          <w:sz w:val="22"/>
          <w:szCs w:val="22"/>
        </w:rPr>
        <w:t xml:space="preserve">(Grand Rapids: Eerdmans, 1997).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i/>
          <w:iCs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Elukin, K.,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Living Together, Living Apart: Rethinking Medieval Jewish-Christian Relations </w:t>
      </w:r>
      <w:r w:rsidRPr="00FA23EA">
        <w:rPr>
          <w:rFonts w:ascii="Arial" w:hAnsi="Arial" w:cs="Arial"/>
          <w:sz w:val="22"/>
          <w:szCs w:val="22"/>
        </w:rPr>
        <w:t xml:space="preserve">(Princeton: Princeton University Press, 2007).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Fymer-Kensky, T. et al,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Christianity in Jewish Terms </w:t>
      </w:r>
      <w:r w:rsidRPr="00FA23EA">
        <w:rPr>
          <w:rFonts w:ascii="Arial" w:hAnsi="Arial" w:cs="Arial"/>
          <w:sz w:val="22"/>
          <w:szCs w:val="22"/>
        </w:rPr>
        <w:t xml:space="preserve">(Oxford: Westview Press, 2002).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Harries, R.,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After the Evil: Christianity and Judaism in the Shadow of the Holocaust </w:t>
      </w:r>
      <w:r w:rsidRPr="00FA23EA">
        <w:rPr>
          <w:rFonts w:ascii="Arial" w:hAnsi="Arial" w:cs="Arial"/>
          <w:sz w:val="22"/>
          <w:szCs w:val="22"/>
        </w:rPr>
        <w:t xml:space="preserve">(Oxford: Oxford University Press, 2003).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i/>
          <w:iCs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Hasan-Rozen, G. and Dundes, A. (ed.),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The Wandering Jew: Essays in the Interpretation of a Christian Legend </w:t>
      </w:r>
      <w:r w:rsidRPr="00FA23EA">
        <w:rPr>
          <w:rFonts w:ascii="Arial" w:hAnsi="Arial" w:cs="Arial"/>
          <w:sz w:val="22"/>
          <w:szCs w:val="22"/>
        </w:rPr>
        <w:t xml:space="preserve">(Bloomington: Indiana University Press, 1986).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i/>
          <w:iCs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Kessler, E. (ed.),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Jews and Christians in Conversation: Crossing Cultures and Generations </w:t>
      </w:r>
      <w:r w:rsidRPr="00FA23EA">
        <w:rPr>
          <w:rFonts w:ascii="Arial" w:hAnsi="Arial" w:cs="Arial"/>
          <w:sz w:val="22"/>
          <w:szCs w:val="22"/>
        </w:rPr>
        <w:t>(Cambridge: Orchard Academic, 2002).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Kessler, E. and Wenborn, N.,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A Dictionary of Jewish-Christian Relations </w:t>
      </w:r>
      <w:r w:rsidRPr="00FA23EA">
        <w:rPr>
          <w:rFonts w:ascii="Arial" w:hAnsi="Arial" w:cs="Arial"/>
          <w:sz w:val="22"/>
          <w:szCs w:val="22"/>
        </w:rPr>
        <w:t xml:space="preserve">(Cambridge: CUP, 2005).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Kessler, E. and Aitken, J. (eds.),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Challenges in Jewish-Christian Relations </w:t>
      </w:r>
      <w:r w:rsidRPr="00FA23EA">
        <w:rPr>
          <w:rFonts w:ascii="Arial" w:hAnsi="Arial" w:cs="Arial"/>
          <w:sz w:val="22"/>
          <w:szCs w:val="22"/>
        </w:rPr>
        <w:t xml:space="preserve">(Atlanta: Paulist Press, 2006).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Laqueur, W.,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The History of Zionism </w:t>
      </w:r>
      <w:r w:rsidRPr="00FA23EA">
        <w:rPr>
          <w:rFonts w:ascii="Arial" w:hAnsi="Arial" w:cs="Arial"/>
          <w:sz w:val="22"/>
          <w:szCs w:val="22"/>
        </w:rPr>
        <w:t xml:space="preserve">(London: Weidenfeld and Nicolson, 1972).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Nicholls, W.,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Christian Antisemitism: A History of Hate </w:t>
      </w:r>
      <w:r w:rsidRPr="00FA23EA">
        <w:rPr>
          <w:rFonts w:ascii="Arial" w:hAnsi="Arial" w:cs="Arial"/>
          <w:sz w:val="22"/>
          <w:szCs w:val="22"/>
        </w:rPr>
        <w:t xml:space="preserve">(London: J. Aronson, 1993).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Novak, D.,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Talking with Christians: Musings of a Jewish Theologian </w:t>
      </w:r>
      <w:r w:rsidRPr="00FA23EA">
        <w:rPr>
          <w:rFonts w:ascii="Arial" w:hAnsi="Arial" w:cs="Arial"/>
          <w:sz w:val="22"/>
          <w:szCs w:val="22"/>
        </w:rPr>
        <w:t xml:space="preserve">(London: SCM, 2006).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i/>
          <w:iCs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Oberman, H.,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The Roots of Anti-Semitism in the Age of Renaissance and Reformation </w:t>
      </w:r>
      <w:r w:rsidRPr="00FA23EA">
        <w:rPr>
          <w:rFonts w:ascii="Arial" w:hAnsi="Arial" w:cs="Arial"/>
          <w:sz w:val="22"/>
          <w:szCs w:val="22"/>
        </w:rPr>
        <w:t xml:space="preserve">(Philadelphia: Fortress, 1984).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i/>
          <w:iCs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Rubenstein, R.L.,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After Auschwitz: History, Theology and Contemporary Judaism </w:t>
      </w:r>
      <w:r w:rsidRPr="00FA23EA">
        <w:rPr>
          <w:rFonts w:ascii="Arial" w:hAnsi="Arial" w:cs="Arial"/>
          <w:sz w:val="22"/>
          <w:szCs w:val="22"/>
        </w:rPr>
        <w:t xml:space="preserve">(Baltimore: John Hopkins University Press, 1992).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Wigoder, G.,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Jewish-Christian Relations Since the Second World War </w:t>
      </w:r>
      <w:r w:rsidRPr="00FA23EA">
        <w:rPr>
          <w:rFonts w:ascii="Arial" w:hAnsi="Arial" w:cs="Arial"/>
          <w:sz w:val="22"/>
          <w:szCs w:val="22"/>
        </w:rPr>
        <w:t xml:space="preserve">(Manchester: Manchester University Press, 1988). </w:t>
      </w:r>
    </w:p>
    <w:p w:rsidR="00E433DF" w:rsidRPr="00FA23EA" w:rsidRDefault="00E433DF" w:rsidP="00E433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i/>
          <w:iCs/>
          <w:sz w:val="22"/>
          <w:szCs w:val="22"/>
        </w:rPr>
      </w:pPr>
      <w:r w:rsidRPr="00FA23EA">
        <w:rPr>
          <w:rFonts w:ascii="Arial" w:hAnsi="Arial" w:cs="Arial"/>
          <w:sz w:val="22"/>
          <w:szCs w:val="22"/>
        </w:rPr>
        <w:t xml:space="preserve">Yuval, I.J., </w:t>
      </w:r>
      <w:r w:rsidRPr="00FA23EA">
        <w:rPr>
          <w:rFonts w:ascii="Arial" w:hAnsi="Arial" w:cs="Arial"/>
          <w:i/>
          <w:iCs/>
          <w:sz w:val="22"/>
          <w:szCs w:val="22"/>
        </w:rPr>
        <w:t xml:space="preserve">Two Nations in your Womb: Perceptions of Jews and Christians in Late Antiquity and the Middle Ages </w:t>
      </w:r>
      <w:r w:rsidRPr="00FA23EA">
        <w:rPr>
          <w:rFonts w:ascii="Arial" w:hAnsi="Arial" w:cs="Arial"/>
          <w:sz w:val="22"/>
          <w:szCs w:val="22"/>
        </w:rPr>
        <w:t xml:space="preserve">(Berkeley: University of California Press, 2006). </w:t>
      </w:r>
    </w:p>
    <w:p w:rsidR="00E433DF" w:rsidRPr="00FA23EA" w:rsidRDefault="00E433DF" w:rsidP="00E433DF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6217E2" w:rsidRDefault="00E433DF"/>
    <w:sectPr w:rsidR="006217E2" w:rsidSect="00122990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B8E6CCD"/>
    <w:multiLevelType w:val="hybridMultilevel"/>
    <w:tmpl w:val="6548FEFC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7D624D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">
    <w:nsid w:val="61360D86"/>
    <w:multiLevelType w:val="hybridMultilevel"/>
    <w:tmpl w:val="0DDE7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E433DF"/>
    <w:rsid w:val="00E433DF"/>
  </w:rsids>
  <m:mathPr>
    <m:mathFont m:val="@ＭＳ 明朝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33D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fixed">
    <w:name w:val="fixed"/>
    <w:link w:val="fixedChar"/>
    <w:rsid w:val="00E433DF"/>
    <w:pPr>
      <w:tabs>
        <w:tab w:val="left" w:pos="720"/>
        <w:tab w:val="left" w:pos="1440"/>
        <w:tab w:val="left" w:pos="2160"/>
        <w:tab w:val="left" w:pos="2880"/>
      </w:tabs>
      <w:spacing w:after="0"/>
      <w:ind w:left="3600" w:hanging="3600"/>
    </w:pPr>
    <w:rPr>
      <w:rFonts w:ascii="Times New Roman" w:eastAsia="Times New Roman" w:hAnsi="Times New Roman" w:cs="Times New Roman"/>
      <w:b/>
      <w:szCs w:val="20"/>
      <w:lang w:val="en-GB" w:eastAsia="en-GB"/>
    </w:rPr>
  </w:style>
  <w:style w:type="character" w:customStyle="1" w:styleId="fixedChar">
    <w:name w:val="fixed Char"/>
    <w:basedOn w:val="DefaultParagraphFont"/>
    <w:link w:val="fixed"/>
    <w:rsid w:val="00E433DF"/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E433DF"/>
    <w:pPr>
      <w:spacing w:after="0" w:line="252" w:lineRule="auto"/>
      <w:ind w:left="720"/>
    </w:pPr>
    <w:rPr>
      <w:rFonts w:ascii="Arial" w:eastAsia="Calibri" w:hAnsi="Arial" w:cs="Times New Roman"/>
      <w:sz w:val="20"/>
      <w:szCs w:val="22"/>
    </w:rPr>
  </w:style>
  <w:style w:type="paragraph" w:customStyle="1" w:styleId="heading">
    <w:name w:val="heading"/>
    <w:basedOn w:val="fixed"/>
    <w:link w:val="headingChar"/>
    <w:rsid w:val="00E433DF"/>
    <w:pPr>
      <w:spacing w:before="240" w:after="120"/>
    </w:pPr>
  </w:style>
  <w:style w:type="character" w:customStyle="1" w:styleId="headingChar">
    <w:name w:val="heading Char"/>
    <w:basedOn w:val="DefaultParagraphFont"/>
    <w:link w:val="heading"/>
    <w:locked/>
    <w:rsid w:val="00E433DF"/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customStyle="1" w:styleId="bullet">
    <w:name w:val="bullet"/>
    <w:link w:val="bulletChar"/>
    <w:rsid w:val="00E433DF"/>
    <w:pPr>
      <w:spacing w:before="120" w:after="0"/>
      <w:ind w:left="1004" w:hanging="284"/>
      <w:jc w:val="both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bulletChar">
    <w:name w:val="bullet Char"/>
    <w:basedOn w:val="DefaultParagraphFont"/>
    <w:link w:val="bullet"/>
    <w:locked/>
    <w:rsid w:val="00E433DF"/>
    <w:rPr>
      <w:rFonts w:ascii="Times New Roman" w:eastAsia="Times New Roman" w:hAnsi="Times New Roman" w:cs="Times New Roman"/>
      <w:szCs w:val="20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676</Words>
  <Characters>3855</Characters>
  <Application>Microsoft Word 12.0.0</Application>
  <DocSecurity>0</DocSecurity>
  <Lines>32</Lines>
  <Paragraphs>7</Paragraphs>
  <ScaleCrop>false</ScaleCrop>
  <LinksUpToDate>false</LinksUpToDate>
  <CharactersWithSpaces>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Williams</dc:creator>
  <cp:keywords/>
  <cp:lastModifiedBy>Catrin Williams</cp:lastModifiedBy>
  <cp:revision>1</cp:revision>
  <dcterms:created xsi:type="dcterms:W3CDTF">2015-02-06T20:47:00Z</dcterms:created>
  <dcterms:modified xsi:type="dcterms:W3CDTF">2015-02-06T20:48:00Z</dcterms:modified>
</cp:coreProperties>
</file>