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65854" w14:textId="65CA1FDA" w:rsidR="00731D84" w:rsidRDefault="00731D84" w:rsidP="00BF4E6E">
      <w:pPr>
        <w:rPr>
          <w:b/>
          <w:bCs/>
        </w:rPr>
      </w:pPr>
      <w:r>
        <w:rPr>
          <w:b/>
          <w:bCs/>
        </w:rPr>
        <w:t>Programme: MSc Public Health and Social Care in Practice</w:t>
      </w:r>
    </w:p>
    <w:p w14:paraId="5114F462" w14:textId="60461F53" w:rsidR="00731D84" w:rsidRDefault="00731D84" w:rsidP="00BF4E6E">
      <w:pPr>
        <w:rPr>
          <w:b/>
          <w:bCs/>
        </w:rPr>
      </w:pPr>
      <w:r>
        <w:rPr>
          <w:b/>
          <w:bCs/>
        </w:rPr>
        <w:t xml:space="preserve">Module: </w:t>
      </w:r>
      <w:r w:rsidR="00ED1F1A">
        <w:rPr>
          <w:b/>
          <w:bCs/>
        </w:rPr>
        <w:t>Health Care System, Organisation and Leadership</w:t>
      </w:r>
    </w:p>
    <w:p w14:paraId="2BF02DF7" w14:textId="763512BC" w:rsidR="00731D84" w:rsidRDefault="00731D84" w:rsidP="00BF4E6E">
      <w:pPr>
        <w:rPr>
          <w:b/>
          <w:bCs/>
        </w:rPr>
      </w:pPr>
      <w:r>
        <w:rPr>
          <w:b/>
          <w:bCs/>
        </w:rPr>
        <w:t>Module code: LCHS700</w:t>
      </w:r>
      <w:r w:rsidR="00FA173B">
        <w:rPr>
          <w:b/>
          <w:bCs/>
        </w:rPr>
        <w:t>2</w:t>
      </w:r>
    </w:p>
    <w:p w14:paraId="2C97983A" w14:textId="000AC1DA" w:rsidR="00731D84" w:rsidRDefault="00731D84" w:rsidP="00BF4E6E">
      <w:pPr>
        <w:rPr>
          <w:b/>
          <w:bCs/>
        </w:rPr>
      </w:pPr>
      <w:r>
        <w:rPr>
          <w:b/>
          <w:bCs/>
        </w:rPr>
        <w:t xml:space="preserve"> </w:t>
      </w:r>
      <w:r w:rsidR="00E703B6">
        <w:rPr>
          <w:b/>
          <w:bCs/>
        </w:rPr>
        <w:t>Assignment Title:</w:t>
      </w:r>
      <w:r w:rsidR="00E703B6">
        <w:rPr>
          <w:b/>
          <w:bCs/>
        </w:rPr>
        <w:tab/>
        <w:t xml:space="preserve">Case Study Analysis Report: Comparative report on COVID19 leadership responses     </w:t>
      </w:r>
      <w:r w:rsidR="00E703B6">
        <w:rPr>
          <w:b/>
          <w:bCs/>
        </w:rPr>
        <w:tab/>
      </w:r>
    </w:p>
    <w:p w14:paraId="7AAED6F6" w14:textId="0C63A221" w:rsidR="00731D84" w:rsidRDefault="00731D84" w:rsidP="00BF4E6E">
      <w:pPr>
        <w:rPr>
          <w:b/>
          <w:bCs/>
        </w:rPr>
      </w:pPr>
      <w:r>
        <w:rPr>
          <w:b/>
          <w:bCs/>
        </w:rPr>
        <w:t>Student ID:2</w:t>
      </w:r>
      <w:r w:rsidR="00A65A70">
        <w:rPr>
          <w:b/>
          <w:bCs/>
        </w:rPr>
        <w:t>437156</w:t>
      </w:r>
    </w:p>
    <w:p w14:paraId="71978122" w14:textId="3611C5B0" w:rsidR="00731D84" w:rsidRDefault="00731D84" w:rsidP="00BF4E6E">
      <w:pPr>
        <w:rPr>
          <w:b/>
          <w:bCs/>
        </w:rPr>
      </w:pPr>
      <w:r>
        <w:rPr>
          <w:b/>
          <w:bCs/>
        </w:rPr>
        <w:t>Student Name:</w:t>
      </w:r>
      <w:r w:rsidR="00A65A70">
        <w:rPr>
          <w:b/>
          <w:bCs/>
        </w:rPr>
        <w:t xml:space="preserve"> JAIMIN JADAV </w:t>
      </w:r>
    </w:p>
    <w:p w14:paraId="5C41F913" w14:textId="6C077189" w:rsidR="00731D84" w:rsidRDefault="00731D84" w:rsidP="00BF4E6E">
      <w:pPr>
        <w:rPr>
          <w:b/>
          <w:bCs/>
        </w:rPr>
      </w:pPr>
      <w:r>
        <w:rPr>
          <w:b/>
          <w:bCs/>
        </w:rPr>
        <w:t xml:space="preserve">Lecturer’s Name: </w:t>
      </w:r>
      <w:proofErr w:type="spellStart"/>
      <w:r>
        <w:rPr>
          <w:b/>
          <w:bCs/>
        </w:rPr>
        <w:t>Dr.</w:t>
      </w:r>
      <w:proofErr w:type="spellEnd"/>
      <w:r>
        <w:rPr>
          <w:b/>
          <w:bCs/>
        </w:rPr>
        <w:t xml:space="preserve"> </w:t>
      </w:r>
      <w:r w:rsidR="00231FF2">
        <w:rPr>
          <w:b/>
          <w:bCs/>
        </w:rPr>
        <w:t>Fahad Khan.</w:t>
      </w:r>
    </w:p>
    <w:p w14:paraId="545F92D7" w14:textId="77777777" w:rsidR="00231FF2" w:rsidRDefault="00231FF2" w:rsidP="00BF4E6E">
      <w:pPr>
        <w:rPr>
          <w:b/>
          <w:bCs/>
        </w:rPr>
      </w:pPr>
    </w:p>
    <w:p w14:paraId="7C8AAA3B" w14:textId="096F2AF2" w:rsidR="00241EB7" w:rsidRPr="00241EB7" w:rsidRDefault="00FE0B21" w:rsidP="00241EB7">
      <w:pPr>
        <w:rPr>
          <w:b/>
          <w:bCs/>
        </w:rPr>
      </w:pPr>
      <w:r>
        <w:rPr>
          <w:b/>
          <w:bCs/>
        </w:rPr>
        <w:t>*</w:t>
      </w:r>
      <w:r w:rsidR="00241EB7" w:rsidRPr="00241EB7">
        <w:rPr>
          <w:b/>
          <w:bCs/>
        </w:rPr>
        <w:t>Comparative Analysis of Health System Organisation and Leadership Approaches in Spain, South Korea, and Canada During the COVID-19 Pandemic</w:t>
      </w:r>
      <w:r>
        <w:rPr>
          <w:b/>
          <w:bCs/>
        </w:rPr>
        <w:t>*</w:t>
      </w:r>
    </w:p>
    <w:p w14:paraId="6EB1A04D" w14:textId="77777777" w:rsidR="00241EB7" w:rsidRPr="00241EB7" w:rsidRDefault="00241EB7" w:rsidP="00241EB7">
      <w:pPr>
        <w:rPr>
          <w:b/>
          <w:bCs/>
        </w:rPr>
      </w:pPr>
    </w:p>
    <w:p w14:paraId="03CB5534" w14:textId="102282E4" w:rsidR="00241EB7" w:rsidRPr="00241EB7" w:rsidRDefault="00241EB7" w:rsidP="00241EB7">
      <w:pPr>
        <w:rPr>
          <w:b/>
          <w:bCs/>
        </w:rPr>
      </w:pPr>
      <w:r w:rsidRPr="00241EB7">
        <w:rPr>
          <w:b/>
          <w:bCs/>
        </w:rPr>
        <w:t>Table of Contents</w:t>
      </w:r>
    </w:p>
    <w:p w14:paraId="433E77C8" w14:textId="55FF6330" w:rsidR="00241EB7" w:rsidRPr="00241EB7" w:rsidRDefault="00241EB7" w:rsidP="00241EB7">
      <w:pPr>
        <w:rPr>
          <w:b/>
          <w:bCs/>
        </w:rPr>
      </w:pPr>
      <w:r w:rsidRPr="00241EB7">
        <w:rPr>
          <w:b/>
          <w:bCs/>
        </w:rPr>
        <w:t>1. Introduction</w:t>
      </w:r>
    </w:p>
    <w:p w14:paraId="7F699018" w14:textId="40CEDD81" w:rsidR="00241EB7" w:rsidRPr="00241EB7" w:rsidRDefault="00241EB7" w:rsidP="00241EB7">
      <w:pPr>
        <w:rPr>
          <w:b/>
          <w:bCs/>
        </w:rPr>
      </w:pPr>
      <w:r w:rsidRPr="00241EB7">
        <w:rPr>
          <w:b/>
          <w:bCs/>
        </w:rPr>
        <w:t>2. Rich Picture Methodology</w:t>
      </w:r>
    </w:p>
    <w:p w14:paraId="462C429F" w14:textId="3610992C" w:rsidR="00241EB7" w:rsidRPr="00241EB7" w:rsidRDefault="00241EB7" w:rsidP="00241EB7">
      <w:pPr>
        <w:rPr>
          <w:b/>
          <w:bCs/>
        </w:rPr>
      </w:pPr>
      <w:r w:rsidRPr="00241EB7">
        <w:rPr>
          <w:b/>
          <w:bCs/>
        </w:rPr>
        <w:t>3. Spain’s Rich Picture</w:t>
      </w:r>
    </w:p>
    <w:p w14:paraId="4F2C7C02" w14:textId="57C553E7" w:rsidR="00241EB7" w:rsidRPr="00241EB7" w:rsidRDefault="00241EB7" w:rsidP="00241EB7">
      <w:pPr>
        <w:rPr>
          <w:b/>
          <w:bCs/>
        </w:rPr>
      </w:pPr>
      <w:r w:rsidRPr="00241EB7">
        <w:rPr>
          <w:b/>
          <w:bCs/>
        </w:rPr>
        <w:t>4. South Korea’s Rich Picture</w:t>
      </w:r>
    </w:p>
    <w:p w14:paraId="1776D4AB" w14:textId="11C75F99" w:rsidR="00241EB7" w:rsidRPr="00241EB7" w:rsidRDefault="00241EB7" w:rsidP="00241EB7">
      <w:pPr>
        <w:rPr>
          <w:b/>
          <w:bCs/>
        </w:rPr>
      </w:pPr>
      <w:r w:rsidRPr="00241EB7">
        <w:rPr>
          <w:b/>
          <w:bCs/>
        </w:rPr>
        <w:t>5. Canada’s Rich Picture</w:t>
      </w:r>
    </w:p>
    <w:p w14:paraId="02D206A7" w14:textId="576F5ED6" w:rsidR="00241EB7" w:rsidRPr="00241EB7" w:rsidRDefault="00241EB7" w:rsidP="00241EB7">
      <w:pPr>
        <w:rPr>
          <w:b/>
          <w:bCs/>
        </w:rPr>
      </w:pPr>
      <w:r w:rsidRPr="00241EB7">
        <w:rPr>
          <w:b/>
          <w:bCs/>
        </w:rPr>
        <w:t>6. Key for Rich Picture</w:t>
      </w:r>
    </w:p>
    <w:p w14:paraId="40380915" w14:textId="222A8AEE" w:rsidR="00241EB7" w:rsidRPr="00241EB7" w:rsidRDefault="00241EB7" w:rsidP="00241EB7">
      <w:pPr>
        <w:rPr>
          <w:b/>
          <w:bCs/>
        </w:rPr>
      </w:pPr>
      <w:r w:rsidRPr="00241EB7">
        <w:rPr>
          <w:b/>
          <w:bCs/>
        </w:rPr>
        <w:t>7. Centralised and Decentralised Systems</w:t>
      </w:r>
    </w:p>
    <w:p w14:paraId="434A910D" w14:textId="3286305F" w:rsidR="00241EB7" w:rsidRPr="00241EB7" w:rsidRDefault="00241EB7" w:rsidP="00241EB7">
      <w:pPr>
        <w:rPr>
          <w:b/>
          <w:bCs/>
        </w:rPr>
      </w:pPr>
      <w:r w:rsidRPr="00241EB7">
        <w:rPr>
          <w:b/>
          <w:bCs/>
        </w:rPr>
        <w:t>8. Spain: Centralisation vs. Decentralisation</w:t>
      </w:r>
    </w:p>
    <w:p w14:paraId="42ACDBBC" w14:textId="73051674" w:rsidR="00241EB7" w:rsidRPr="00241EB7" w:rsidRDefault="00241EB7" w:rsidP="00241EB7">
      <w:pPr>
        <w:rPr>
          <w:b/>
          <w:bCs/>
        </w:rPr>
      </w:pPr>
      <w:r w:rsidRPr="00241EB7">
        <w:rPr>
          <w:b/>
          <w:bCs/>
        </w:rPr>
        <w:t>9. South Korea: Centralisation vs. Decentralisation</w:t>
      </w:r>
    </w:p>
    <w:p w14:paraId="7BA61F49" w14:textId="6DC81C7C" w:rsidR="00241EB7" w:rsidRPr="00241EB7" w:rsidRDefault="00241EB7" w:rsidP="00241EB7">
      <w:pPr>
        <w:rPr>
          <w:b/>
          <w:bCs/>
        </w:rPr>
      </w:pPr>
      <w:r w:rsidRPr="00241EB7">
        <w:rPr>
          <w:b/>
          <w:bCs/>
        </w:rPr>
        <w:t>10. Canada: Centralisation vs. Decentralisation</w:t>
      </w:r>
    </w:p>
    <w:p w14:paraId="13CAE187" w14:textId="2AEFF616" w:rsidR="00241EB7" w:rsidRPr="00241EB7" w:rsidRDefault="00241EB7" w:rsidP="00241EB7">
      <w:pPr>
        <w:rPr>
          <w:b/>
          <w:bCs/>
        </w:rPr>
      </w:pPr>
      <w:r w:rsidRPr="00241EB7">
        <w:rPr>
          <w:b/>
          <w:bCs/>
        </w:rPr>
        <w:t>11. Leadership Theory Overview</w:t>
      </w:r>
    </w:p>
    <w:p w14:paraId="0BFDD18B" w14:textId="1903DD1E" w:rsidR="00241EB7" w:rsidRPr="00241EB7" w:rsidRDefault="00241EB7" w:rsidP="00241EB7">
      <w:pPr>
        <w:rPr>
          <w:b/>
          <w:bCs/>
        </w:rPr>
      </w:pPr>
      <w:r w:rsidRPr="00241EB7">
        <w:rPr>
          <w:b/>
          <w:bCs/>
        </w:rPr>
        <w:t>12. Leadership in Spain</w:t>
      </w:r>
    </w:p>
    <w:p w14:paraId="21939968" w14:textId="6E9D76AA" w:rsidR="00241EB7" w:rsidRPr="00241EB7" w:rsidRDefault="00241EB7" w:rsidP="00241EB7">
      <w:pPr>
        <w:rPr>
          <w:b/>
          <w:bCs/>
        </w:rPr>
      </w:pPr>
      <w:r w:rsidRPr="00241EB7">
        <w:rPr>
          <w:b/>
          <w:bCs/>
        </w:rPr>
        <w:t>13. Leadership in South Korea</w:t>
      </w:r>
    </w:p>
    <w:p w14:paraId="405C723B" w14:textId="11E7C13B" w:rsidR="00241EB7" w:rsidRPr="00241EB7" w:rsidRDefault="00241EB7" w:rsidP="00241EB7">
      <w:pPr>
        <w:rPr>
          <w:b/>
          <w:bCs/>
        </w:rPr>
      </w:pPr>
      <w:r w:rsidRPr="00241EB7">
        <w:rPr>
          <w:b/>
          <w:bCs/>
        </w:rPr>
        <w:t>14. Leadership in Canada</w:t>
      </w:r>
    </w:p>
    <w:p w14:paraId="1A8C80D0" w14:textId="757B8E28" w:rsidR="00241EB7" w:rsidRPr="00241EB7" w:rsidRDefault="00241EB7" w:rsidP="00241EB7">
      <w:pPr>
        <w:rPr>
          <w:b/>
          <w:bCs/>
        </w:rPr>
      </w:pPr>
      <w:r w:rsidRPr="00241EB7">
        <w:rPr>
          <w:b/>
          <w:bCs/>
        </w:rPr>
        <w:t>15. Conclusion</w:t>
      </w:r>
    </w:p>
    <w:p w14:paraId="67A4800F" w14:textId="1B367B37" w:rsidR="00E567E0" w:rsidRDefault="00241EB7" w:rsidP="00BF4E6E">
      <w:pPr>
        <w:rPr>
          <w:b/>
          <w:bCs/>
        </w:rPr>
      </w:pPr>
      <w:r w:rsidRPr="00241EB7">
        <w:rPr>
          <w:b/>
          <w:bCs/>
        </w:rPr>
        <w:t>16. References</w:t>
      </w:r>
    </w:p>
    <w:p w14:paraId="133A2B0D" w14:textId="77777777" w:rsidR="00116F2D" w:rsidRDefault="00116F2D" w:rsidP="00BF4E6E">
      <w:pPr>
        <w:rPr>
          <w:b/>
          <w:bCs/>
        </w:rPr>
      </w:pPr>
    </w:p>
    <w:p w14:paraId="6B74DF46" w14:textId="383267E1" w:rsidR="00FC4AF7" w:rsidRDefault="00FC4AF7" w:rsidP="00BF4E6E">
      <w:pPr>
        <w:rPr>
          <w:b/>
          <w:bCs/>
        </w:rPr>
      </w:pPr>
      <w:r>
        <w:rPr>
          <w:b/>
          <w:bCs/>
        </w:rPr>
        <w:t xml:space="preserve">Introduction </w:t>
      </w:r>
      <w:r>
        <w:rPr>
          <mc:AlternateContent>
            <mc:Choice Requires="w16se"/>
            <mc:Fallback>
              <w:rFonts w:ascii="Segoe UI Emoji" w:eastAsia="Segoe UI Emoji" w:hAnsi="Segoe UI Emoji" w:cs="Segoe UI Emoji"/>
            </mc:Fallback>
          </mc:AlternateContent>
          <w:b/>
          <w:bCs/>
        </w:rPr>
        <mc:AlternateContent>
          <mc:Choice Requires="w16se">
            <w16se:symEx w16se:font="Segoe UI Emoji" w16se:char="1F30D"/>
          </mc:Choice>
          <mc:Fallback>
            <w:t>🌍</w:t>
          </mc:Fallback>
        </mc:AlternateContent>
      </w:r>
    </w:p>
    <w:p w14:paraId="74827C8C" w14:textId="1418310D" w:rsidR="00FC4AF7" w:rsidRPr="001E7E4A" w:rsidRDefault="00FC4AF7" w:rsidP="00BF4E6E">
      <w:r w:rsidRPr="001E7E4A">
        <w:t>The COVID‑19 pandemic emerged as the most significant global health crisis of the 21</w:t>
      </w:r>
      <w:r w:rsidRPr="001E7E4A">
        <w:rPr>
          <w:vertAlign w:val="superscript"/>
        </w:rPr>
        <w:t>st</w:t>
      </w:r>
      <w:r w:rsidRPr="001E7E4A">
        <w:t xml:space="preserve"> century, with an estimated 14.9 million excess deaths globally between January 2020 and December 2021</w:t>
      </w:r>
      <w:r w:rsidR="00647C0B">
        <w:t>(</w:t>
      </w:r>
      <w:r w:rsidR="006244BB">
        <w:t>WHO, 2022).</w:t>
      </w:r>
      <w:r w:rsidRPr="001E7E4A">
        <w:t xml:space="preserve">  Across high‑income countries, this translated into around 979,000 excess deaths in 2020 alone.  The shock tested healthcare systems, political leadership, and emergency preparedness in fundamentally different ways across jurisdictions.</w:t>
      </w:r>
    </w:p>
    <w:p w14:paraId="55DC803B" w14:textId="607832B9" w:rsidR="00FC4AF7" w:rsidRPr="001E7E4A" w:rsidRDefault="00FC4AF7" w:rsidP="00BF4E6E">
      <w:r w:rsidRPr="001E7E4A">
        <w:t>Understanding how different countries navigated these pressures requires examining both structural and behavioural components — specifically, healthcare system organisation and leadership styles. Spain, South Korea, and Canada each represent contrasting models of health governance, ranging from centralised to decentralised arrangements, shaped by their political cultures and institutional histories.</w:t>
      </w:r>
    </w:p>
    <w:p w14:paraId="603AEC74" w14:textId="5EBCBBDB" w:rsidR="00FC4AF7" w:rsidRPr="001E7E4A" w:rsidRDefault="00FC4AF7" w:rsidP="00BF4E6E">
      <w:r w:rsidRPr="001E7E4A">
        <w:t>One critical lens for comparison is centralisation. During a rapidly unfolding crisis, the degree of centralisation within a healthcare system often determines how quickly a country can coordinate testing, deploy resources, and implement uniform policy measures. In highly centralised models, national institutions can issue swift, nationwide directives, while more decentralised systems may permit regional autonomy but face slower coordination (Greer et al., 2020).</w:t>
      </w:r>
    </w:p>
    <w:p w14:paraId="1460CA81" w14:textId="4C676113" w:rsidR="00FC4AF7" w:rsidRPr="001E7E4A" w:rsidRDefault="00FC4AF7" w:rsidP="00BF4E6E">
      <w:r w:rsidRPr="001E7E4A">
        <w:t>For example, in 2020, Spain reported an age‑adjusted excess mortality of +108 per 100,000, equivalent to a 12.9% increase over expected deaths.  Meanwhile, Canada’s excess mortality rate was +42 per 100,000, about a 6% increase above the norm</w:t>
      </w:r>
      <w:r w:rsidR="00037B20">
        <w:t xml:space="preserve"> (Centre for Evidence-Based Medicine, 2021).</w:t>
      </w:r>
      <w:r w:rsidR="00CB1A6A">
        <w:t xml:space="preserve"> </w:t>
      </w:r>
      <w:r w:rsidRPr="001E7E4A">
        <w:t xml:space="preserve"> By contrast, South Korea showed a small negative excess mortality of –22 per 100,000 in the same period, suggesting its healthcare response successfully mitigated much of the mortality burden</w:t>
      </w:r>
      <w:r w:rsidR="00A76463">
        <w:t xml:space="preserve"> </w:t>
      </w:r>
      <w:r w:rsidR="00A871AF">
        <w:t>(Centre for Evidence-Based Medicine, 2021).</w:t>
      </w:r>
    </w:p>
    <w:p w14:paraId="4AEA3AD5" w14:textId="5632DFD8" w:rsidR="00693ADC" w:rsidRDefault="00FC4AF7" w:rsidP="00BF4E6E">
      <w:r w:rsidRPr="001E7E4A">
        <w:t xml:space="preserve">Leadership style also played a defining role. In a health emergency, citizens demand decisive action, credible communication, and reassurance. Leadership theories — including transformational, transactional, situational, democratic, and autocratic models — provide robust frameworks to analyse how leaders responded. In Spain, for instance, Prime Minister Pedro Sánchez (and earlier, Health Minister Salvador </w:t>
      </w:r>
      <w:proofErr w:type="spellStart"/>
      <w:r w:rsidRPr="001E7E4A">
        <w:t>Illa</w:t>
      </w:r>
      <w:proofErr w:type="spellEnd"/>
      <w:r w:rsidRPr="001E7E4A">
        <w:t xml:space="preserve">) oscillated between centralized control and regional consultation. In South Korea, the government under President Moon Jae-in deployed highly coordinated, nationally driven </w:t>
      </w:r>
      <w:r w:rsidR="00DF0238" w:rsidRPr="001E7E4A">
        <w:t>strategies,</w:t>
      </w:r>
      <w:r w:rsidR="00DF0238">
        <w:t xml:space="preserve"> Provinces</w:t>
      </w:r>
      <w:r w:rsidR="00693ADC">
        <w:t>, and public trust.</w:t>
      </w:r>
      <w:r w:rsidR="00857EC9">
        <w:t xml:space="preserve"> While in Canada, Prime Minister Justin Trudeau emphasised empathy, collaboratio</w:t>
      </w:r>
      <w:r w:rsidR="00DF0238">
        <w:t>n.</w:t>
      </w:r>
    </w:p>
    <w:p w14:paraId="3156C4EA" w14:textId="1455D6DD" w:rsidR="00BA74D6" w:rsidRPr="000405C7" w:rsidRDefault="00CE2D06" w:rsidP="00BF4E6E">
      <w:r>
        <w:rPr>
          <w:b/>
          <w:bCs/>
          <w:noProof/>
        </w:rPr>
        <w:drawing>
          <wp:anchor distT="0" distB="0" distL="114300" distR="114300" simplePos="0" relativeHeight="251659264" behindDoc="0" locked="0" layoutInCell="1" allowOverlap="1" wp14:anchorId="1CF61EB9" wp14:editId="60EFDD88">
            <wp:simplePos x="0" y="0"/>
            <wp:positionH relativeFrom="column">
              <wp:posOffset>-499110</wp:posOffset>
            </wp:positionH>
            <wp:positionV relativeFrom="paragraph">
              <wp:posOffset>1434465</wp:posOffset>
            </wp:positionV>
            <wp:extent cx="6972300" cy="6043930"/>
            <wp:effectExtent l="0" t="0" r="0" b="0"/>
            <wp:wrapTopAndBottom/>
            <wp:docPr id="111090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0826" name="Picture 111090826"/>
                    <pic:cNvPicPr/>
                  </pic:nvPicPr>
                  <pic:blipFill>
                    <a:blip r:embed="rId5" cstate="print">
                      <a:extLst>
                        <a:ext uri="{28A0092B-C50C-407E-A947-70E740481C1C}">
                          <a14:useLocalDpi xmlns:a14="http://schemas.microsoft.com/office/drawing/2010/main" val="0"/>
                        </a:ext>
                      </a:extLst>
                    </a:blip>
                    <a:stretch>
                      <a:fillRect/>
                    </a:stretch>
                  </pic:blipFill>
                  <pic:spPr>
                    <a:xfrm>
                      <a:off x="0" y="0"/>
                      <a:ext cx="6972300" cy="6043930"/>
                    </a:xfrm>
                    <a:prstGeom prst="rect">
                      <a:avLst/>
                    </a:prstGeom>
                  </pic:spPr>
                </pic:pic>
              </a:graphicData>
            </a:graphic>
            <wp14:sizeRelH relativeFrom="margin">
              <wp14:pctWidth>0</wp14:pctWidth>
            </wp14:sizeRelH>
            <wp14:sizeRelV relativeFrom="margin">
              <wp14:pctHeight>0</wp14:pctHeight>
            </wp14:sizeRelV>
          </wp:anchor>
        </w:drawing>
      </w:r>
      <w:r w:rsidR="00693ADC">
        <w:t>This report delivers a comparative analysis of the three jurisdictions, integrating organisational structure, leadership theory, and contextual pandemic responses. We also use the Rich Picture methodology to visually map out each country’s system of stakeholders, actions, and pressures. By synthesising these elements, the report reveals key lessons about health system resilience, leadership effectiveness, and what future pandemic preparedness should prioritise — insights that extend far beyond COVID‑19.</w:t>
      </w:r>
    </w:p>
    <w:p w14:paraId="1DA1597A" w14:textId="000E6BE3" w:rsidR="00BA74D6" w:rsidRDefault="00572FF6" w:rsidP="00BF4E6E">
      <w:pPr>
        <w:rPr>
          <w:b/>
          <w:bCs/>
        </w:rPr>
      </w:pPr>
      <w:hyperlink r:id="rId6" w:history="1">
        <w:r w:rsidRPr="00C855C9">
          <w:rPr>
            <w:rStyle w:val="Hyperlink"/>
            <w:b/>
            <w:bCs/>
          </w:rPr>
          <w:t>https://www.who.int/data/stories/global-excess-deaths-associated-with-covid-19-january-</w:t>
        </w:r>
      </w:hyperlink>
      <w:r>
        <w:rPr>
          <w:b/>
          <w:bCs/>
        </w:rPr>
        <w:t xml:space="preserve"> </w:t>
      </w:r>
    </w:p>
    <w:p w14:paraId="6E1D68BD" w14:textId="5355392B" w:rsidR="00316A21" w:rsidRPr="00123BBC" w:rsidRDefault="00316A21" w:rsidP="00BF4E6E">
      <w:pPr>
        <w:rPr>
          <w:b/>
          <w:bCs/>
        </w:rPr>
      </w:pPr>
      <w:r>
        <w:rPr>
          <w:b/>
          <w:bCs/>
        </w:rPr>
        <w:t xml:space="preserve">Rich Picture Methodology </w:t>
      </w:r>
    </w:p>
    <w:p w14:paraId="5C69C25F" w14:textId="3BBF51E2" w:rsidR="00316A21" w:rsidRPr="009E12E2" w:rsidRDefault="00316A21" w:rsidP="00BF4E6E">
      <w:r w:rsidRPr="009E12E2">
        <w:t>A Rich Picture is a visual problem-structuring method rooted in Soft Systems Methodology (</w:t>
      </w:r>
      <w:proofErr w:type="spellStart"/>
      <w:r w:rsidRPr="009E12E2">
        <w:t>Checkland</w:t>
      </w:r>
      <w:proofErr w:type="spellEnd"/>
      <w:r w:rsidRPr="009E12E2">
        <w:t>, 1981). Instead of reducing complexity into linear elements, a Rich Picture embraces it—incorporating images, symbols, arrows, emotions, and stakeholder relationships into a single holistic diagram.</w:t>
      </w:r>
    </w:p>
    <w:p w14:paraId="5B86D236" w14:textId="070FD9AA" w:rsidR="00316A21" w:rsidRPr="009E12E2" w:rsidRDefault="00316A21" w:rsidP="00BF4E6E">
      <w:r w:rsidRPr="009E12E2">
        <w:t>Using Rich Pictures in the context of COVID-19 is valuable for several reasons:</w:t>
      </w:r>
    </w:p>
    <w:p w14:paraId="20C3D06C" w14:textId="1FDFD352" w:rsidR="00316A21" w:rsidRPr="009E12E2" w:rsidRDefault="00316A21" w:rsidP="00BF4E6E">
      <w:r w:rsidRPr="009E12E2">
        <w:t>It visually captures interconnected processes such as policy decisions, public behaviours, supply chains, and health system pressures.</w:t>
      </w:r>
    </w:p>
    <w:p w14:paraId="38864188" w14:textId="7F0D628A" w:rsidR="00316A21" w:rsidRPr="009E12E2" w:rsidRDefault="00316A21" w:rsidP="00BF4E6E">
      <w:r w:rsidRPr="009E12E2">
        <w:t>It highlights tensions and bottlenecks that textual descriptions alone might obscure.</w:t>
      </w:r>
    </w:p>
    <w:p w14:paraId="00E12887" w14:textId="427B9733" w:rsidR="00123BBC" w:rsidRDefault="00316A21" w:rsidP="00BF4E6E">
      <w:r w:rsidRPr="009E12E2">
        <w:t>It allows a comparative understanding of each country’s pandemic landscape, illustrating differences in institutional capacity, leadership communication, and societal participation.</w:t>
      </w:r>
    </w:p>
    <w:p w14:paraId="5BA81E90" w14:textId="77777777" w:rsidR="0008532F" w:rsidRDefault="0008532F" w:rsidP="00BF4E6E"/>
    <w:p w14:paraId="7E04DE79" w14:textId="314936CA" w:rsidR="004F438C" w:rsidRPr="00B05398" w:rsidRDefault="003D62CA" w:rsidP="00BF4E6E">
      <w:pPr>
        <w:rPr>
          <w:b/>
          <w:bCs/>
        </w:rPr>
      </w:pPr>
      <w:r>
        <w:rPr>
          <w:noProof/>
        </w:rPr>
        <w:drawing>
          <wp:anchor distT="0" distB="0" distL="114300" distR="114300" simplePos="0" relativeHeight="251661312" behindDoc="0" locked="0" layoutInCell="1" allowOverlap="1" wp14:anchorId="6496CB96" wp14:editId="69850772">
            <wp:simplePos x="0" y="0"/>
            <wp:positionH relativeFrom="column">
              <wp:posOffset>-253365</wp:posOffset>
            </wp:positionH>
            <wp:positionV relativeFrom="paragraph">
              <wp:posOffset>251460</wp:posOffset>
            </wp:positionV>
            <wp:extent cx="6772910" cy="3656965"/>
            <wp:effectExtent l="0" t="0" r="8890" b="635"/>
            <wp:wrapTopAndBottom/>
            <wp:docPr id="599873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873799" name="Picture 599873799"/>
                    <pic:cNvPicPr/>
                  </pic:nvPicPr>
                  <pic:blipFill>
                    <a:blip r:embed="rId7">
                      <a:extLst>
                        <a:ext uri="{28A0092B-C50C-407E-A947-70E740481C1C}">
                          <a14:useLocalDpi xmlns:a14="http://schemas.microsoft.com/office/drawing/2010/main" val="0"/>
                        </a:ext>
                      </a:extLst>
                    </a:blip>
                    <a:stretch>
                      <a:fillRect/>
                    </a:stretch>
                  </pic:blipFill>
                  <pic:spPr>
                    <a:xfrm>
                      <a:off x="0" y="0"/>
                      <a:ext cx="6772910" cy="3656965"/>
                    </a:xfrm>
                    <a:prstGeom prst="rect">
                      <a:avLst/>
                    </a:prstGeom>
                  </pic:spPr>
                </pic:pic>
              </a:graphicData>
            </a:graphic>
            <wp14:sizeRelH relativeFrom="margin">
              <wp14:pctWidth>0</wp14:pctWidth>
            </wp14:sizeRelH>
            <wp14:sizeRelV relativeFrom="margin">
              <wp14:pctHeight>0</wp14:pctHeight>
            </wp14:sizeRelV>
          </wp:anchor>
        </w:drawing>
      </w:r>
      <w:r w:rsidR="0006427D">
        <w:t>*</w:t>
      </w:r>
      <w:r w:rsidR="00AA0E8D" w:rsidRPr="00B05398">
        <w:rPr>
          <w:b/>
          <w:bCs/>
        </w:rPr>
        <w:t xml:space="preserve"> Spain’s Rich Picture </w:t>
      </w:r>
      <w:r w:rsidR="0006427D" w:rsidRPr="00B05398">
        <w:rPr>
          <w:b/>
          <w:bCs/>
        </w:rPr>
        <w:t>*</w:t>
      </w:r>
    </w:p>
    <w:p w14:paraId="50C29C89" w14:textId="4E6FC056" w:rsidR="0008532F" w:rsidRDefault="0008532F" w:rsidP="00BF4E6E"/>
    <w:p w14:paraId="65552353" w14:textId="0F00AC3B" w:rsidR="0008532F" w:rsidRDefault="0008532F" w:rsidP="00BF4E6E">
      <w:r>
        <w:t>Early Surge: Virus explosion over Madrid and Catalonia shows uncontrolled spread in Feb–Mar 2020.</w:t>
      </w:r>
    </w:p>
    <w:p w14:paraId="3DCACC38" w14:textId="17A5990D" w:rsidR="0008532F" w:rsidRDefault="0008532F" w:rsidP="00BF4E6E">
      <w:r>
        <w:t>Healthcare Strain: Overcrowded hospitals and emergency tents indicate system overload.</w:t>
      </w:r>
    </w:p>
    <w:p w14:paraId="097F52A1" w14:textId="4ACCBF40" w:rsidR="0008532F" w:rsidRDefault="0008532F" w:rsidP="00BF4E6E">
      <w:r>
        <w:t>Governance Complexity: Regional autonomy (Andalusia, Catalonia, Madrid) and arrows to central government highlight fragmented coordination.</w:t>
      </w:r>
    </w:p>
    <w:p w14:paraId="129C5070" w14:textId="1E14B0C6" w:rsidR="0008532F" w:rsidRDefault="0008532F" w:rsidP="00BF4E6E">
      <w:r>
        <w:t xml:space="preserve">Delayed Response: Minister Salvador </w:t>
      </w:r>
      <w:proofErr w:type="spellStart"/>
      <w:r>
        <w:t>Illa</w:t>
      </w:r>
      <w:proofErr w:type="spellEnd"/>
      <w:r>
        <w:t xml:space="preserve"> with a clock symbolizes late action despite early reassurances.</w:t>
      </w:r>
    </w:p>
    <w:p w14:paraId="0B351F54" w14:textId="13C13A34" w:rsidR="0008532F" w:rsidRDefault="0008532F" w:rsidP="00BF4E6E">
      <w:r>
        <w:t>Lockdown: Padlock icon marks the sudden March 14 state of alarm.</w:t>
      </w:r>
    </w:p>
    <w:p w14:paraId="3078360D" w14:textId="6D58A131" w:rsidR="0008532F" w:rsidRDefault="0008532F" w:rsidP="00BF4E6E">
      <w:r>
        <w:t>Recovery Phase: Vaccine syringes and green tones represent Spain’s strong vaccination rollout in 2021.</w:t>
      </w:r>
    </w:p>
    <w:p w14:paraId="473EF63A" w14:textId="77777777" w:rsidR="0060140E" w:rsidRDefault="0060140E" w:rsidP="00BF4E6E"/>
    <w:p w14:paraId="184D1E2F" w14:textId="2119E2F4" w:rsidR="0060140E" w:rsidRDefault="0073651A" w:rsidP="00BF4E6E">
      <w:pPr>
        <w:rPr>
          <w:b/>
          <w:bCs/>
        </w:rPr>
      </w:pPr>
      <w:r>
        <w:rPr>
          <w:b/>
          <w:bCs/>
        </w:rPr>
        <w:t>*</w:t>
      </w:r>
      <w:r w:rsidR="00FE732B" w:rsidRPr="0073651A">
        <w:rPr>
          <w:b/>
          <w:bCs/>
        </w:rPr>
        <w:t xml:space="preserve">South Korea’s Rich Picture </w:t>
      </w:r>
      <w:r>
        <w:rPr>
          <w:b/>
          <w:bCs/>
        </w:rPr>
        <w:t>*</w:t>
      </w:r>
    </w:p>
    <w:p w14:paraId="6F5A41F2" w14:textId="4D49C5FD" w:rsidR="0062251F" w:rsidRDefault="00465C6A" w:rsidP="00BF4E6E">
      <w:pPr>
        <w:rPr>
          <w:b/>
          <w:bCs/>
        </w:rPr>
      </w:pPr>
      <w:r>
        <w:rPr>
          <w:b/>
          <w:bCs/>
          <w:noProof/>
        </w:rPr>
        <w:drawing>
          <wp:anchor distT="0" distB="0" distL="114300" distR="114300" simplePos="0" relativeHeight="251664384" behindDoc="0" locked="0" layoutInCell="1" allowOverlap="1" wp14:anchorId="66027D7F" wp14:editId="408A751A">
            <wp:simplePos x="0" y="0"/>
            <wp:positionH relativeFrom="column">
              <wp:posOffset>-914400</wp:posOffset>
            </wp:positionH>
            <wp:positionV relativeFrom="paragraph">
              <wp:posOffset>389255</wp:posOffset>
            </wp:positionV>
            <wp:extent cx="7439660" cy="4438650"/>
            <wp:effectExtent l="0" t="0" r="8890" b="0"/>
            <wp:wrapTopAndBottom/>
            <wp:docPr id="10622505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250564" name="Picture 1062250564"/>
                    <pic:cNvPicPr/>
                  </pic:nvPicPr>
                  <pic:blipFill>
                    <a:blip r:embed="rId8">
                      <a:extLst>
                        <a:ext uri="{28A0092B-C50C-407E-A947-70E740481C1C}">
                          <a14:useLocalDpi xmlns:a14="http://schemas.microsoft.com/office/drawing/2010/main" val="0"/>
                        </a:ext>
                      </a:extLst>
                    </a:blip>
                    <a:stretch>
                      <a:fillRect/>
                    </a:stretch>
                  </pic:blipFill>
                  <pic:spPr>
                    <a:xfrm>
                      <a:off x="0" y="0"/>
                      <a:ext cx="7439660" cy="4438650"/>
                    </a:xfrm>
                    <a:prstGeom prst="rect">
                      <a:avLst/>
                    </a:prstGeom>
                  </pic:spPr>
                </pic:pic>
              </a:graphicData>
            </a:graphic>
            <wp14:sizeRelH relativeFrom="margin">
              <wp14:pctWidth>0</wp14:pctWidth>
            </wp14:sizeRelH>
            <wp14:sizeRelV relativeFrom="margin">
              <wp14:pctHeight>0</wp14:pctHeight>
            </wp14:sizeRelV>
          </wp:anchor>
        </w:drawing>
      </w:r>
    </w:p>
    <w:p w14:paraId="24DAE795" w14:textId="77777777" w:rsidR="00465C6A" w:rsidRDefault="00465C6A" w:rsidP="00BF4E6E">
      <w:pPr>
        <w:rPr>
          <w:b/>
          <w:bCs/>
        </w:rPr>
      </w:pPr>
    </w:p>
    <w:p w14:paraId="07CBD12E" w14:textId="77777777" w:rsidR="0062251F" w:rsidRDefault="0062251F" w:rsidP="00BF4E6E">
      <w:pPr>
        <w:rPr>
          <w:b/>
          <w:bCs/>
        </w:rPr>
      </w:pPr>
    </w:p>
    <w:p w14:paraId="0B027A6C" w14:textId="4A469BCA" w:rsidR="00754CD1" w:rsidRPr="00AB09BB" w:rsidRDefault="00754CD1" w:rsidP="00BF4E6E">
      <w:r w:rsidRPr="00AB09BB">
        <w:t>The conceptual Rich Picture for South Korea presents a contrasting scenario of proactive, coordinated, and technology-driven pandemic management.</w:t>
      </w:r>
    </w:p>
    <w:p w14:paraId="3DBD15B6" w14:textId="775BAE16" w:rsidR="00754CD1" w:rsidRPr="00AB09BB" w:rsidRDefault="00754CD1" w:rsidP="00BF4E6E">
      <w:r w:rsidRPr="00AB09BB">
        <w:t>Early alert symbol (exclamation mark) showing rapid activation of disease surveillance after the first confirmed case.</w:t>
      </w:r>
    </w:p>
    <w:p w14:paraId="29FF0C8F" w14:textId="5724E10D" w:rsidR="00754CD1" w:rsidRPr="00AB09BB" w:rsidRDefault="00754CD1" w:rsidP="00BF4E6E">
      <w:r w:rsidRPr="00AB09BB">
        <w:t>Drive-through testing sites represented by cars and medical tents.</w:t>
      </w:r>
    </w:p>
    <w:p w14:paraId="41BC024D" w14:textId="052D9526" w:rsidR="00754CD1" w:rsidRPr="00AB09BB" w:rsidRDefault="00754CD1" w:rsidP="00BF4E6E">
      <w:r w:rsidRPr="00AB09BB">
        <w:t>Mobile phone icons indicating digital contact tracing infrastructure.</w:t>
      </w:r>
    </w:p>
    <w:p w14:paraId="7C0AACA0" w14:textId="021EB32E" w:rsidR="00754CD1" w:rsidRPr="00AB09BB" w:rsidRDefault="00754CD1" w:rsidP="00BF4E6E">
      <w:r w:rsidRPr="00AB09BB">
        <w:t>Figures wearing masks, highlighting high cultural compliance.</w:t>
      </w:r>
    </w:p>
    <w:p w14:paraId="0C6358E4" w14:textId="4787ADAC" w:rsidR="00754CD1" w:rsidRPr="00AB09BB" w:rsidRDefault="00754CD1" w:rsidP="00BF4E6E">
      <w:r w:rsidRPr="00AB09BB">
        <w:t xml:space="preserve">Chung </w:t>
      </w:r>
      <w:proofErr w:type="spellStart"/>
      <w:r w:rsidRPr="00AB09BB">
        <w:t>Sye-kyun</w:t>
      </w:r>
      <w:proofErr w:type="spellEnd"/>
      <w:r w:rsidRPr="00AB09BB">
        <w:t xml:space="preserve"> and President Moon Jae-in depicted in central command roles with arrows connecting them to ministries and local governments.</w:t>
      </w:r>
    </w:p>
    <w:p w14:paraId="27F777EF" w14:textId="7638EFBF" w:rsidR="00754CD1" w:rsidRPr="00AB09BB" w:rsidRDefault="00754CD1" w:rsidP="00BF4E6E">
      <w:r w:rsidRPr="00AB09BB">
        <w:t>KDCA (Korea Disease Control and Prevention Agency) represented as the central decision-making hub.</w:t>
      </w:r>
    </w:p>
    <w:p w14:paraId="6026031D" w14:textId="0983C9F0" w:rsidR="00754CD1" w:rsidRPr="00AB09BB" w:rsidRDefault="00754CD1" w:rsidP="00BF4E6E">
      <w:r w:rsidRPr="00AB09BB">
        <w:t>Airplane icons showing South Korea’s unusual choice to keep borders relatively open compared to other jurisdictions.</w:t>
      </w:r>
    </w:p>
    <w:p w14:paraId="2D524987" w14:textId="77777777" w:rsidR="00754CD1" w:rsidRPr="00AB09BB" w:rsidRDefault="00754CD1" w:rsidP="00BF4E6E">
      <w:r w:rsidRPr="00AB09BB">
        <w:t>The Rich Picture reveals a tightly integrated system, swift policy mobilization, and a cultural context of collective responsibility—elements essential to South Korea’s internationally recognised success.</w:t>
      </w:r>
    </w:p>
    <w:p w14:paraId="3F7A3E54" w14:textId="296A4B56" w:rsidR="00BB3F8E" w:rsidRDefault="00AC7006" w:rsidP="00BF4E6E">
      <w:pPr>
        <w:rPr>
          <w:b/>
          <w:bCs/>
        </w:rPr>
      </w:pPr>
      <w:r>
        <w:rPr>
          <w:b/>
          <w:bCs/>
          <w:noProof/>
        </w:rPr>
        <w:drawing>
          <wp:anchor distT="0" distB="0" distL="114300" distR="114300" simplePos="0" relativeHeight="251662336" behindDoc="0" locked="0" layoutInCell="1" allowOverlap="1" wp14:anchorId="2962155F" wp14:editId="36519A10">
            <wp:simplePos x="0" y="0"/>
            <wp:positionH relativeFrom="column">
              <wp:posOffset>-254635</wp:posOffset>
            </wp:positionH>
            <wp:positionV relativeFrom="paragraph">
              <wp:posOffset>330835</wp:posOffset>
            </wp:positionV>
            <wp:extent cx="5943600" cy="5029200"/>
            <wp:effectExtent l="0" t="0" r="0" b="0"/>
            <wp:wrapTopAndBottom/>
            <wp:docPr id="52007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78979" name="Picture 520078979"/>
                    <pic:cNvPicPr/>
                  </pic:nvPicPr>
                  <pic:blipFill>
                    <a:blip r:embed="rId9">
                      <a:extLst>
                        <a:ext uri="{28A0092B-C50C-407E-A947-70E740481C1C}">
                          <a14:useLocalDpi xmlns:a14="http://schemas.microsoft.com/office/drawing/2010/main" val="0"/>
                        </a:ext>
                      </a:extLst>
                    </a:blip>
                    <a:stretch>
                      <a:fillRect/>
                    </a:stretch>
                  </pic:blipFill>
                  <pic:spPr>
                    <a:xfrm>
                      <a:off x="0" y="0"/>
                      <a:ext cx="5943600" cy="5029200"/>
                    </a:xfrm>
                    <a:prstGeom prst="rect">
                      <a:avLst/>
                    </a:prstGeom>
                  </pic:spPr>
                </pic:pic>
              </a:graphicData>
            </a:graphic>
            <wp14:sizeRelV relativeFrom="margin">
              <wp14:pctHeight>0</wp14:pctHeight>
            </wp14:sizeRelV>
          </wp:anchor>
        </w:drawing>
      </w:r>
      <w:r w:rsidR="00C21A73">
        <w:rPr>
          <w:b/>
          <w:bCs/>
        </w:rPr>
        <w:t>*</w:t>
      </w:r>
      <w:r w:rsidR="00BB3F8E">
        <w:rPr>
          <w:b/>
          <w:bCs/>
        </w:rPr>
        <w:t xml:space="preserve">Canada’s Rich Picture </w:t>
      </w:r>
      <w:r w:rsidR="00C21A73">
        <w:rPr>
          <w:b/>
          <w:bCs/>
        </w:rPr>
        <w:t>*</w:t>
      </w:r>
    </w:p>
    <w:p w14:paraId="5CB301DD" w14:textId="240D3300" w:rsidR="00C21A73" w:rsidRDefault="00C21A73" w:rsidP="00BF4E6E">
      <w:pPr>
        <w:rPr>
          <w:b/>
          <w:bCs/>
        </w:rPr>
      </w:pPr>
    </w:p>
    <w:p w14:paraId="4FB5FCF3" w14:textId="3C004049" w:rsidR="00BB3F8E" w:rsidRDefault="00BB3F8E" w:rsidP="00BF4E6E">
      <w:pPr>
        <w:rPr>
          <w:b/>
          <w:bCs/>
        </w:rPr>
      </w:pPr>
    </w:p>
    <w:p w14:paraId="6D48345B" w14:textId="1A7A564F" w:rsidR="00BB3F8E" w:rsidRDefault="00BB3F8E" w:rsidP="00BF4E6E">
      <w:r w:rsidRPr="00877547">
        <w:t xml:space="preserve">Canada’s Rich Picture emphasises complexity arising from federal–provincial dynamics and uneven impacts across </w:t>
      </w:r>
      <w:r w:rsidR="00AB09BB" w:rsidRPr="00877547">
        <w:t>regions. Map</w:t>
      </w:r>
      <w:r w:rsidRPr="00877547">
        <w:t xml:space="preserve"> of Canada with provinces </w:t>
      </w:r>
      <w:proofErr w:type="spellStart"/>
      <w:r w:rsidRPr="00877547">
        <w:t>labeled</w:t>
      </w:r>
      <w:proofErr w:type="spellEnd"/>
      <w:r w:rsidRPr="00877547">
        <w:t xml:space="preserve"> to show decentralised authority over </w:t>
      </w:r>
      <w:r w:rsidR="00AB09BB" w:rsidRPr="00877547">
        <w:t>healthcare. Multiple</w:t>
      </w:r>
      <w:r w:rsidRPr="00877547">
        <w:t xml:space="preserve"> provincial public health officers symbolising distributed decision-</w:t>
      </w:r>
      <w:r w:rsidR="00AB09BB" w:rsidRPr="00877547">
        <w:t>making. Prime</w:t>
      </w:r>
      <w:r w:rsidRPr="00877547">
        <w:t xml:space="preserve"> Minister Justin Trudeau delivering daily briefings outside Rideau </w:t>
      </w:r>
      <w:r w:rsidR="00AB09BB" w:rsidRPr="00877547">
        <w:t>Cottage. Lockdown</w:t>
      </w:r>
      <w:r w:rsidRPr="00877547">
        <w:t xml:space="preserve"> symbols, but implemented at different times across </w:t>
      </w:r>
      <w:r w:rsidR="00AB09BB" w:rsidRPr="00877547">
        <w:t>provinces. Hospital</w:t>
      </w:r>
      <w:r w:rsidRPr="00877547">
        <w:t xml:space="preserve"> icons reflecting ICU strain, particularly in Ontario and </w:t>
      </w:r>
      <w:r w:rsidR="00AB09BB" w:rsidRPr="00877547">
        <w:t>Quebec. Economic</w:t>
      </w:r>
      <w:r w:rsidRPr="00877547">
        <w:t xml:space="preserve"> symbols (e.g., broken briefcase) for job losses and CERB income </w:t>
      </w:r>
      <w:r w:rsidR="00AB09BB" w:rsidRPr="00877547">
        <w:t>support. Vaccination</w:t>
      </w:r>
      <w:r w:rsidRPr="00877547">
        <w:t xml:space="preserve"> icons with slow initial progress but eventual high </w:t>
      </w:r>
      <w:proofErr w:type="spellStart"/>
      <w:r w:rsidRPr="00877547">
        <w:t>uptake.The</w:t>
      </w:r>
      <w:proofErr w:type="spellEnd"/>
      <w:r w:rsidRPr="00877547">
        <w:t xml:space="preserve"> visual representation conveys the challenge of coordinating 14 separate public health jurisdictions and balancing national unity with regional autonomy.</w:t>
      </w:r>
    </w:p>
    <w:p w14:paraId="6E11654D" w14:textId="77BB7AED" w:rsidR="00B91E89" w:rsidRDefault="005E3E85" w:rsidP="00B91E89">
      <w:r>
        <w:t>*</w:t>
      </w:r>
      <w:r w:rsidR="00B91E89">
        <w:t xml:space="preserve">Key for Rich Picture </w:t>
      </w:r>
      <w:r w:rsidR="00B91E89">
        <w:rPr>
          <w:rFonts w:ascii="Segoe UI Emoji" w:hAnsi="Segoe UI Emoji" w:cs="Segoe UI Emoji"/>
        </w:rPr>
        <w:t>🔑</w:t>
      </w:r>
    </w:p>
    <w:p w14:paraId="33D014D2" w14:textId="4DF8D94C" w:rsidR="00B91E89" w:rsidRDefault="00B91E89" w:rsidP="00B91E89">
      <w:r>
        <w:t>A consistent key applies across all diagrams:</w:t>
      </w:r>
    </w:p>
    <w:p w14:paraId="48BA534E" w14:textId="3D3ADDC3" w:rsidR="00B91E89" w:rsidRDefault="00B91E89" w:rsidP="00B91E89">
      <w:r>
        <w:t>Viruses = infection sprea</w:t>
      </w:r>
      <w:r w:rsidR="005E3E85">
        <w:t>d</w:t>
      </w:r>
    </w:p>
    <w:p w14:paraId="2E6AB8C1" w14:textId="2EBADDB8" w:rsidR="00B91E89" w:rsidRDefault="00B91E89" w:rsidP="00B91E89">
      <w:r>
        <w:t>Buildings = institutions (hospitals, ministries, government offices)</w:t>
      </w:r>
    </w:p>
    <w:p w14:paraId="2D0B302C" w14:textId="5D7498E5" w:rsidR="00B91E89" w:rsidRDefault="00B91E89" w:rsidP="00B91E89">
      <w:r>
        <w:t>Arrows = communication, coordination, or conflict</w:t>
      </w:r>
    </w:p>
    <w:p w14:paraId="41F3A794" w14:textId="6B0CD9EC" w:rsidR="00B91E89" w:rsidRDefault="00B91E89" w:rsidP="00B91E89">
      <w:r>
        <w:t>Exclamation marks = crises or critical decision points</w:t>
      </w:r>
    </w:p>
    <w:p w14:paraId="6C52E38F" w14:textId="3D8BAB75" w:rsidR="00B91E89" w:rsidRDefault="00B91E89" w:rsidP="00B91E89">
      <w:r>
        <w:t>People icons = leaders, populations, medical staff</w:t>
      </w:r>
    </w:p>
    <w:p w14:paraId="2A5DEB57" w14:textId="58B15DF4" w:rsidR="00B91E89" w:rsidRDefault="00B91E89" w:rsidP="00B91E89">
      <w:r>
        <w:t>Padlocks = lockdowns</w:t>
      </w:r>
    </w:p>
    <w:p w14:paraId="3643B153" w14:textId="27F772BC" w:rsidR="00B91E89" w:rsidRDefault="00B91E89" w:rsidP="00B91E89">
      <w:r>
        <w:t>Airplanes = border and travel policies</w:t>
      </w:r>
    </w:p>
    <w:p w14:paraId="58619C10" w14:textId="555B6D81" w:rsidR="00B91E89" w:rsidRDefault="00B91E89" w:rsidP="00B91E89">
      <w:r>
        <w:t>Syringes = vaccination activities</w:t>
      </w:r>
    </w:p>
    <w:p w14:paraId="02FF0324" w14:textId="01838842" w:rsidR="00B91E89" w:rsidRDefault="00B91E89" w:rsidP="00B91E89">
      <w:r>
        <w:t>Smartphones = digital surveillance or communication systems</w:t>
      </w:r>
    </w:p>
    <w:p w14:paraId="162EC20D" w14:textId="0C281D5A" w:rsidR="00A93E82" w:rsidRDefault="00B91E89" w:rsidP="00BF4E6E">
      <w:r>
        <w:t>This key ensures clear interpretation of relationships and decision impacts across the three jurisdictions.</w:t>
      </w:r>
    </w:p>
    <w:p w14:paraId="112B6E27" w14:textId="77777777" w:rsidR="003E3164" w:rsidRPr="009E12E2" w:rsidRDefault="003E3164" w:rsidP="00BF4E6E"/>
    <w:p w14:paraId="4ABE5B5B" w14:textId="68CD0E10" w:rsidR="00BF4E6E" w:rsidRPr="00C830FB" w:rsidRDefault="00BF4E6E" w:rsidP="00BF4E6E">
      <w:pPr>
        <w:rPr>
          <w:b/>
          <w:bCs/>
        </w:rPr>
      </w:pPr>
      <w:r w:rsidRPr="00C830FB">
        <w:rPr>
          <w:b/>
          <w:bCs/>
        </w:rPr>
        <w:t>Centralised and Decentralised Systems</w:t>
      </w:r>
    </w:p>
    <w:p w14:paraId="73E5E818" w14:textId="77777777" w:rsidR="00A118CF" w:rsidRDefault="00BF4E6E" w:rsidP="00BF4E6E">
      <w:r>
        <w:t>A centralised healthcare system is one in which decision-making authority and policy control are concentrated in national institutions (</w:t>
      </w:r>
      <w:proofErr w:type="spellStart"/>
      <w:r>
        <w:t>Saltman</w:t>
      </w:r>
      <w:proofErr w:type="spellEnd"/>
      <w:r>
        <w:t>, 2004). In contrast,</w:t>
      </w:r>
    </w:p>
    <w:p w14:paraId="69C4513B" w14:textId="0ACB6F4A" w:rsidR="00BF4E6E" w:rsidRDefault="00BF4E6E" w:rsidP="00BF4E6E">
      <w:r>
        <w:t>decentralised system distributes authority across regional or local governments, enabling more autonomous decision-making (</w:t>
      </w:r>
      <w:proofErr w:type="spellStart"/>
      <w:r>
        <w:t>Bossert</w:t>
      </w:r>
      <w:proofErr w:type="spellEnd"/>
      <w:r>
        <w:t xml:space="preserve"> &amp; Mitchell, 2011). During crises, centralisation may create rapid, uniform responses, while decentralisation may foster flexibility and regionally tailored actions. Crises such as COVID-19 highlight how these structural differences influence coordination, communication, and resource allocation.</w:t>
      </w:r>
    </w:p>
    <w:p w14:paraId="2B6D2B6D" w14:textId="77777777" w:rsidR="00BF4E6E" w:rsidRDefault="00BF4E6E" w:rsidP="00BF4E6E"/>
    <w:p w14:paraId="0B5C0796" w14:textId="07F6EA88" w:rsidR="00BF4E6E" w:rsidRPr="00BC7AF5" w:rsidRDefault="00BF4E6E" w:rsidP="00BF4E6E">
      <w:pPr>
        <w:rPr>
          <w:b/>
          <w:bCs/>
        </w:rPr>
      </w:pPr>
      <w:r w:rsidRPr="00BC7AF5">
        <w:rPr>
          <w:b/>
          <w:bCs/>
        </w:rPr>
        <w:t>Spain (Centralised vs. Decentralised)</w:t>
      </w:r>
    </w:p>
    <w:p w14:paraId="195EB9A5" w14:textId="552EEC2D" w:rsidR="00BF4E6E" w:rsidRDefault="00BF4E6E" w:rsidP="00BF4E6E">
      <w:r>
        <w:t>Spain’s healthcare system is highly decentralised, with its 17 autonomous communities controlling most health-related decisions. During COVID-19, this structure created both capabilities and challenges. While regions could tailor responses, early fragmentation led to inconsistent policies and difficulties coordinating testing, ICU allocation, and protective equipment distribution (Greer et al., 2020). The national government later enacted a temporary centralisation through the “state of alarm,” demonstrating that decentralised systems may require emergency recentralisation during major crises (Ruiz &amp; Hernández, 2021).</w:t>
      </w:r>
    </w:p>
    <w:p w14:paraId="6204AF3A" w14:textId="77777777" w:rsidR="00BF4E6E" w:rsidRDefault="00BF4E6E" w:rsidP="00BF4E6E"/>
    <w:p w14:paraId="253ECD31" w14:textId="002F7C36" w:rsidR="00BF4E6E" w:rsidRPr="00C830FB" w:rsidRDefault="00BF4E6E" w:rsidP="00BF4E6E">
      <w:pPr>
        <w:rPr>
          <w:b/>
          <w:bCs/>
        </w:rPr>
      </w:pPr>
      <w:r w:rsidRPr="00C830FB">
        <w:rPr>
          <w:b/>
          <w:bCs/>
        </w:rPr>
        <w:t>South Korea (Centralised vs. Decentralised)</w:t>
      </w:r>
    </w:p>
    <w:p w14:paraId="4E6BE6FB" w14:textId="78C1D71D" w:rsidR="00BF4E6E" w:rsidRDefault="00BF4E6E" w:rsidP="00BF4E6E">
      <w:r>
        <w:t>South Korea’s response operated under a largely centralised, “whole-of-government” model characterised by strong national command, rapid decision-making, and integrated digital surveillance infrastructure. The Korea Disease Control and Prevention Agency (KDCA) held clear authority, enabling rapid testing, tracing, and public communication (Kim, 2020). The country’s centralised, legally empowered pandemic governance structure allowed coordinated nationwide responses with minimal regional variation.</w:t>
      </w:r>
    </w:p>
    <w:p w14:paraId="57817645" w14:textId="77777777" w:rsidR="00D0078F" w:rsidRDefault="00D0078F" w:rsidP="00BF4E6E"/>
    <w:p w14:paraId="4E0E7A4F" w14:textId="0D52F4AE" w:rsidR="00BF4E6E" w:rsidRPr="00D0078F" w:rsidRDefault="00BF4E6E" w:rsidP="00BF4E6E">
      <w:pPr>
        <w:rPr>
          <w:b/>
          <w:bCs/>
        </w:rPr>
      </w:pPr>
      <w:r w:rsidRPr="00D0078F">
        <w:rPr>
          <w:b/>
          <w:bCs/>
        </w:rPr>
        <w:t>Canada (Centralised vs. Decentralised)</w:t>
      </w:r>
    </w:p>
    <w:p w14:paraId="2A0CBB31" w14:textId="3CA813F0" w:rsidR="00BF4E6E" w:rsidRDefault="00BF4E6E" w:rsidP="00BF4E6E">
      <w:r>
        <w:t>Canada’s healthcare governance is strongly decentralised, with provinces responsible for delivering healthcare and public health services. During COVID-19, this created variation in testing policies, restrictions, and vaccination rollout across provinces (</w:t>
      </w:r>
      <w:proofErr w:type="spellStart"/>
      <w:r>
        <w:t>Marchildon</w:t>
      </w:r>
      <w:proofErr w:type="spellEnd"/>
      <w:r>
        <w:t>, 2020). Although the federal government coordinated border control, vaccine procurement, and economic support, the shared responsibilities often slowed decision-making and complicated crisis communication. The pandemic highlighted long-standing challenges in federal–provincial coordination in Canada’s health system.</w:t>
      </w:r>
    </w:p>
    <w:p w14:paraId="457610FB" w14:textId="77777777" w:rsidR="00BF4E6E" w:rsidRDefault="00BF4E6E" w:rsidP="00BF4E6E"/>
    <w:p w14:paraId="5D764047" w14:textId="77777777" w:rsidR="00BF4E6E" w:rsidRPr="00BC7AF5" w:rsidRDefault="00BF4E6E" w:rsidP="00BF4E6E">
      <w:pPr>
        <w:rPr>
          <w:b/>
          <w:bCs/>
        </w:rPr>
      </w:pPr>
      <w:r w:rsidRPr="00BC7AF5">
        <w:rPr>
          <w:b/>
          <w:bCs/>
        </w:rPr>
        <w:t>Leadership Styles — Theoretical Overview</w:t>
      </w:r>
    </w:p>
    <w:p w14:paraId="1C8CCE7E" w14:textId="77777777" w:rsidR="00BF4E6E" w:rsidRPr="00BC7AF5" w:rsidRDefault="00BF4E6E" w:rsidP="00BF4E6E">
      <w:pPr>
        <w:rPr>
          <w:b/>
          <w:bCs/>
        </w:rPr>
      </w:pPr>
    </w:p>
    <w:p w14:paraId="3A171C78" w14:textId="2A424B6F" w:rsidR="00BF4E6E" w:rsidRPr="00BC7AF5" w:rsidRDefault="00BF4E6E" w:rsidP="00BF4E6E">
      <w:pPr>
        <w:rPr>
          <w:b/>
          <w:bCs/>
        </w:rPr>
      </w:pPr>
      <w:r w:rsidRPr="00BC7AF5">
        <w:rPr>
          <w:b/>
          <w:bCs/>
        </w:rPr>
        <w:t>Autocratic Leadership</w:t>
      </w:r>
    </w:p>
    <w:p w14:paraId="23ABFD64" w14:textId="77777777" w:rsidR="00BF4E6E" w:rsidRDefault="00BF4E6E" w:rsidP="00BF4E6E">
      <w:r>
        <w:t xml:space="preserve">An autocratic leader makes unilateral decisions and centralises control (Lewin, </w:t>
      </w:r>
      <w:proofErr w:type="spellStart"/>
      <w:r>
        <w:t>Lippitt</w:t>
      </w:r>
      <w:proofErr w:type="spellEnd"/>
      <w:r>
        <w:t xml:space="preserve"> &amp; White, 1939). This style can produce rapid action during emergencies but risks reduced morale and limited stakeholder engagement.</w:t>
      </w:r>
    </w:p>
    <w:p w14:paraId="182497FB" w14:textId="77777777" w:rsidR="00BF4E6E" w:rsidRDefault="00BF4E6E" w:rsidP="00BF4E6E"/>
    <w:p w14:paraId="1A0C0FD2" w14:textId="28CFECC6" w:rsidR="00BF4E6E" w:rsidRPr="00E40607" w:rsidRDefault="00BF4E6E" w:rsidP="00BF4E6E">
      <w:pPr>
        <w:rPr>
          <w:b/>
          <w:bCs/>
        </w:rPr>
      </w:pPr>
      <w:r w:rsidRPr="00BC7AF5">
        <w:rPr>
          <w:b/>
          <w:bCs/>
        </w:rPr>
        <w:t>Democratic Leadership</w:t>
      </w:r>
    </w:p>
    <w:p w14:paraId="5BC7B564" w14:textId="77777777" w:rsidR="00BF4E6E" w:rsidRDefault="00BF4E6E" w:rsidP="00BF4E6E">
      <w:r>
        <w:t>Democratic leadership emphasises participation and consultation, improving commitment but sometimes slowing decision-making (Lewin et al., 1939).</w:t>
      </w:r>
    </w:p>
    <w:p w14:paraId="1786AFD2" w14:textId="77777777" w:rsidR="00BF4E6E" w:rsidRDefault="00BF4E6E" w:rsidP="00BF4E6E"/>
    <w:p w14:paraId="04AF12AB" w14:textId="573BB1E3" w:rsidR="00BF4E6E" w:rsidRPr="00E40607" w:rsidRDefault="00BF4E6E" w:rsidP="00BF4E6E">
      <w:pPr>
        <w:rPr>
          <w:b/>
          <w:bCs/>
        </w:rPr>
      </w:pPr>
      <w:r w:rsidRPr="00E40607">
        <w:rPr>
          <w:b/>
          <w:bCs/>
        </w:rPr>
        <w:t>Laissez-faire Leadership</w:t>
      </w:r>
    </w:p>
    <w:p w14:paraId="4B6BDA26" w14:textId="77777777" w:rsidR="00BF4E6E" w:rsidRDefault="00BF4E6E" w:rsidP="00BF4E6E">
      <w:r>
        <w:t>Leaders provide minimal direction, allowing teams autonomy. Effective only when followers are highly skilled and self-motivated (</w:t>
      </w:r>
      <w:proofErr w:type="spellStart"/>
      <w:r>
        <w:t>Northouse</w:t>
      </w:r>
      <w:proofErr w:type="spellEnd"/>
      <w:r>
        <w:t>, 2019).</w:t>
      </w:r>
    </w:p>
    <w:p w14:paraId="404614A2" w14:textId="351A16CB" w:rsidR="00BF4E6E" w:rsidRDefault="00BF4E6E" w:rsidP="00BF4E6E"/>
    <w:p w14:paraId="1C2A7516" w14:textId="1C9DE7CA" w:rsidR="00BF4E6E" w:rsidRPr="00E40607" w:rsidRDefault="00BF4E6E" w:rsidP="00BF4E6E">
      <w:pPr>
        <w:rPr>
          <w:b/>
          <w:bCs/>
        </w:rPr>
      </w:pPr>
      <w:r w:rsidRPr="00E40607">
        <w:rPr>
          <w:b/>
          <w:bCs/>
        </w:rPr>
        <w:t>Theory X and Theory Y (McGregor, 1960)</w:t>
      </w:r>
    </w:p>
    <w:p w14:paraId="1059EEF3" w14:textId="134B62ED" w:rsidR="00BF4E6E" w:rsidRDefault="00BF4E6E" w:rsidP="00BF4E6E">
      <w:r>
        <w:t>Theory X assumes people dislike work and need strict supervision.</w:t>
      </w:r>
    </w:p>
    <w:p w14:paraId="6530A283" w14:textId="77777777" w:rsidR="00BF4E6E" w:rsidRDefault="00BF4E6E" w:rsidP="00BF4E6E">
      <w:r>
        <w:t>Theory Y assumes people are self-motivated and thrive with empowerment.</w:t>
      </w:r>
    </w:p>
    <w:p w14:paraId="15D76B50" w14:textId="77777777" w:rsidR="00BF4E6E" w:rsidRDefault="00BF4E6E" w:rsidP="00BF4E6E">
      <w:r>
        <w:t>These assumptions shape leaders’ behaviours, influencing control vs. collaboration in crisis response.</w:t>
      </w:r>
    </w:p>
    <w:p w14:paraId="7919BB58" w14:textId="3775DAA5" w:rsidR="00B54C69" w:rsidRPr="00A748A6" w:rsidRDefault="00B54C69" w:rsidP="00B54C69">
      <w:pPr>
        <w:rPr>
          <w:b/>
          <w:bCs/>
        </w:rPr>
      </w:pPr>
      <w:r w:rsidRPr="00A748A6">
        <w:rPr>
          <w:b/>
          <w:bCs/>
        </w:rPr>
        <w:t>Trait Theory</w:t>
      </w:r>
    </w:p>
    <w:p w14:paraId="6B3525C3" w14:textId="77777777" w:rsidR="00B54C69" w:rsidRDefault="00B54C69" w:rsidP="00B54C69">
      <w:r>
        <w:t>Trait Theory identifies consistent personality traits—such as confidence, integrity, and intelligence—that differentiate leaders (</w:t>
      </w:r>
      <w:proofErr w:type="spellStart"/>
      <w:r>
        <w:t>Stogdill</w:t>
      </w:r>
      <w:proofErr w:type="spellEnd"/>
      <w:r>
        <w:t>, 1948).</w:t>
      </w:r>
    </w:p>
    <w:p w14:paraId="4098C8BF" w14:textId="77777777" w:rsidR="00B54C69" w:rsidRDefault="00B54C69" w:rsidP="00B54C69"/>
    <w:p w14:paraId="538D5276" w14:textId="72606342" w:rsidR="00621986" w:rsidRPr="00A748A6" w:rsidRDefault="00621986" w:rsidP="00B54C69">
      <w:pPr>
        <w:rPr>
          <w:b/>
          <w:bCs/>
        </w:rPr>
      </w:pPr>
      <w:proofErr w:type="spellStart"/>
      <w:r w:rsidRPr="00A748A6">
        <w:rPr>
          <w:b/>
          <w:bCs/>
        </w:rPr>
        <w:t>Tannenbaum</w:t>
      </w:r>
      <w:proofErr w:type="spellEnd"/>
      <w:r w:rsidRPr="00A748A6">
        <w:rPr>
          <w:b/>
          <w:bCs/>
        </w:rPr>
        <w:t>–Schmidt Continuum (1958)</w:t>
      </w:r>
    </w:p>
    <w:p w14:paraId="6FA15926" w14:textId="77777777" w:rsidR="00621986" w:rsidRDefault="00621986" w:rsidP="00B54C69">
      <w:r>
        <w:t>This model positions leadership on a spectrum from authoritarian to democratic, suggesting that leaders shift styles depending on situation, follower readiness, and organisational constraints (</w:t>
      </w:r>
      <w:proofErr w:type="spellStart"/>
      <w:r>
        <w:t>Tannenbaum</w:t>
      </w:r>
      <w:proofErr w:type="spellEnd"/>
      <w:r>
        <w:t xml:space="preserve"> &amp; Schmidt, 1958).</w:t>
      </w:r>
    </w:p>
    <w:p w14:paraId="5A9D180E" w14:textId="5F40B095" w:rsidR="00B54C69" w:rsidRDefault="00B54C69" w:rsidP="00B54C69"/>
    <w:p w14:paraId="30A84B9D" w14:textId="01B1A68B" w:rsidR="00B54C69" w:rsidRPr="00A748A6" w:rsidRDefault="00B54C69" w:rsidP="00B54C69">
      <w:pPr>
        <w:rPr>
          <w:b/>
          <w:bCs/>
        </w:rPr>
      </w:pPr>
      <w:r w:rsidRPr="00A748A6">
        <w:rPr>
          <w:b/>
          <w:bCs/>
        </w:rPr>
        <w:t>Behavioural Theory</w:t>
      </w:r>
    </w:p>
    <w:p w14:paraId="3912CF9F" w14:textId="78D7EBD7" w:rsidR="00B54C69" w:rsidRDefault="00B54C69" w:rsidP="00B54C69">
      <w:r>
        <w:t>Behavioural leadership approaches focus on what leaders do rather than who they are, highlighting task-oriented vs. relationship-oriented behaviours (Blake &amp; Mouton, 1964).</w:t>
      </w:r>
    </w:p>
    <w:p w14:paraId="21B3D7E9" w14:textId="77777777" w:rsidR="00B54C69" w:rsidRDefault="00B54C69" w:rsidP="00B54C69"/>
    <w:p w14:paraId="35DF9C79" w14:textId="03AA5110" w:rsidR="00B54C69" w:rsidRPr="00A748A6" w:rsidRDefault="00B54C69" w:rsidP="00B54C69">
      <w:pPr>
        <w:rPr>
          <w:b/>
          <w:bCs/>
        </w:rPr>
      </w:pPr>
      <w:r w:rsidRPr="00A748A6">
        <w:rPr>
          <w:b/>
          <w:bCs/>
        </w:rPr>
        <w:t>Situational Leadership</w:t>
      </w:r>
    </w:p>
    <w:p w14:paraId="3F7C055E" w14:textId="1E62D01D" w:rsidR="00B54C69" w:rsidRDefault="00B54C69" w:rsidP="00B54C69">
      <w:r>
        <w:t>Hersey and Blanchard (1969) argue that effective leaders adapt their style depending on follower readiness and situational needs—critical during unpredictable crises like COVID-19.</w:t>
      </w:r>
    </w:p>
    <w:p w14:paraId="13E6C4F6" w14:textId="77777777" w:rsidR="00B54C69" w:rsidRDefault="00B54C69" w:rsidP="00B54C69"/>
    <w:p w14:paraId="14D3C8BA" w14:textId="0292F300" w:rsidR="00B54C69" w:rsidRPr="003928C4" w:rsidRDefault="00B54C69" w:rsidP="00B54C69">
      <w:pPr>
        <w:rPr>
          <w:b/>
          <w:bCs/>
        </w:rPr>
      </w:pPr>
      <w:r w:rsidRPr="003928C4">
        <w:rPr>
          <w:b/>
          <w:bCs/>
        </w:rPr>
        <w:t>Functional Leadership</w:t>
      </w:r>
    </w:p>
    <w:p w14:paraId="74E63936" w14:textId="1030C712" w:rsidR="00B54C69" w:rsidRDefault="00B54C69" w:rsidP="00B54C69">
      <w:r>
        <w:t>This approach (Adair, 1973) emphasises that leadership is defined by functions such as coordinating tasks, maintaining team relationships, and ensuring shared goals—important in emergency response coordination.</w:t>
      </w:r>
    </w:p>
    <w:p w14:paraId="3F2DC1F5" w14:textId="77777777" w:rsidR="00B54C69" w:rsidRDefault="00B54C69" w:rsidP="00B54C69"/>
    <w:p w14:paraId="35CD6D9D" w14:textId="5085EB89" w:rsidR="00B54C69" w:rsidRPr="003928C4" w:rsidRDefault="00B54C69" w:rsidP="00B54C69">
      <w:pPr>
        <w:rPr>
          <w:b/>
          <w:bCs/>
        </w:rPr>
      </w:pPr>
      <w:r w:rsidRPr="003928C4">
        <w:rPr>
          <w:b/>
          <w:bCs/>
        </w:rPr>
        <w:t>Relationship Theory (Transformational Leadership)</w:t>
      </w:r>
    </w:p>
    <w:p w14:paraId="180FD25C" w14:textId="2B269557" w:rsidR="00B54C69" w:rsidRDefault="00B54C69" w:rsidP="00B54C69">
      <w:r>
        <w:t>Relationship-based leadership focuses on trust, motivation, and shared purpose. Transformational leaders inspire followers through vision, empathy, and collaboration (Burns, 1978).</w:t>
      </w:r>
    </w:p>
    <w:p w14:paraId="3205D6C9" w14:textId="77777777" w:rsidR="00B54C69" w:rsidRDefault="00B54C69" w:rsidP="00B54C69"/>
    <w:p w14:paraId="161F3649" w14:textId="0F420EAF" w:rsidR="00B54C69" w:rsidRPr="001D4024" w:rsidRDefault="00B54C69" w:rsidP="00B54C69">
      <w:pPr>
        <w:rPr>
          <w:b/>
          <w:bCs/>
        </w:rPr>
      </w:pPr>
      <w:r w:rsidRPr="001D4024">
        <w:rPr>
          <w:b/>
          <w:bCs/>
        </w:rPr>
        <w:t>Five-Level Leadership Model</w:t>
      </w:r>
    </w:p>
    <w:p w14:paraId="46723914" w14:textId="77777777" w:rsidR="00B54C69" w:rsidRDefault="00B54C69" w:rsidP="00B54C69">
      <w:r>
        <w:t>Collins’ (2001) model describes leadership across five levels—from highly capable individual (Level 1) to executive leader who combines humility with professional will (Level 5). Level 5 leadership is often linked with effective crisis management.</w:t>
      </w:r>
    </w:p>
    <w:p w14:paraId="594DC9EB" w14:textId="77777777" w:rsidR="001D4024" w:rsidRDefault="001D4024" w:rsidP="00B54C69"/>
    <w:p w14:paraId="17B6C1A9" w14:textId="4510C1AD" w:rsidR="00B54C69" w:rsidRPr="001D4024" w:rsidRDefault="00B54C69" w:rsidP="00B54C69">
      <w:pPr>
        <w:rPr>
          <w:b/>
          <w:bCs/>
        </w:rPr>
      </w:pPr>
      <w:r w:rsidRPr="001D4024">
        <w:rPr>
          <w:b/>
          <w:bCs/>
        </w:rPr>
        <w:t>Leadership Styles in Spain</w:t>
      </w:r>
    </w:p>
    <w:p w14:paraId="74101A0D" w14:textId="79180126" w:rsidR="00B54C69" w:rsidRDefault="00B54C69" w:rsidP="00B54C69">
      <w:r>
        <w:t>Prime Minister Pedro Sánchez displayed a blended leadership style. Initially, his approach reflected Theory X assumptions—strong central control during the state of alarm. His communication style aligned with democratic leadership as he engaged regional leaders and scientific advisors (</w:t>
      </w:r>
      <w:proofErr w:type="spellStart"/>
      <w:r>
        <w:t>Martínez-García</w:t>
      </w:r>
      <w:proofErr w:type="spellEnd"/>
      <w:r>
        <w:t>, 2021). Sánchez’s shifting between autocratic and participative behaviours reflects Situational Leadership, adapting to Spain’s evolving crisis</w:t>
      </w:r>
      <w:r w:rsidR="001D4024">
        <w:t>.</w:t>
      </w:r>
    </w:p>
    <w:p w14:paraId="28C451BF" w14:textId="77777777" w:rsidR="00B54C69" w:rsidRDefault="00B54C69" w:rsidP="00B54C69"/>
    <w:p w14:paraId="7DF6BFD0" w14:textId="021A9D60" w:rsidR="00B54C69" w:rsidRPr="001D4024" w:rsidRDefault="00B54C69" w:rsidP="00B54C69">
      <w:pPr>
        <w:rPr>
          <w:b/>
          <w:bCs/>
        </w:rPr>
      </w:pPr>
      <w:r w:rsidRPr="001D4024">
        <w:rPr>
          <w:b/>
          <w:bCs/>
        </w:rPr>
        <w:t>Leadership Styles in South Korea</w:t>
      </w:r>
    </w:p>
    <w:p w14:paraId="2611D885" w14:textId="69745C3F" w:rsidR="00B54C69" w:rsidRDefault="00B54C69" w:rsidP="00B54C69">
      <w:r>
        <w:t>President Moon Jae-in demonstrated transformational and functional leadership. Moon emphasised collective responsibility, transparency, and trust-building—hallmarks of relationship theory (Park, 2020). Decision-making was centralised but framed around national unity and shared purpose. His approach aligns with Level 5 leadership, balancing humility with determination, particularly in empowering the KDCA to act rapidly.</w:t>
      </w:r>
    </w:p>
    <w:p w14:paraId="15AC25C9" w14:textId="77777777" w:rsidR="00B54C69" w:rsidRDefault="00B54C69" w:rsidP="00B54C69"/>
    <w:p w14:paraId="0A76DAC5" w14:textId="1F8EB9C8" w:rsidR="00B54C69" w:rsidRPr="001D4024" w:rsidRDefault="00B54C69" w:rsidP="00B54C69">
      <w:pPr>
        <w:rPr>
          <w:b/>
          <w:bCs/>
        </w:rPr>
      </w:pPr>
      <w:r w:rsidRPr="001D4024">
        <w:rPr>
          <w:b/>
          <w:bCs/>
        </w:rPr>
        <w:t>Leadership Styles in Canada</w:t>
      </w:r>
    </w:p>
    <w:p w14:paraId="4686B891" w14:textId="54734903" w:rsidR="00B54C69" w:rsidRDefault="00B54C69" w:rsidP="00BF4E6E">
      <w:r>
        <w:t xml:space="preserve">Prime Minister Justin Trudeau exhibited a democratic and relationship-oriented leadership style, emphasising empathy, communication, and public reassurance (Hale, 2021). Trudeau’s messaging focused on unity and support, consistent with transformational leadership principles. However, federal–provincial complexities required collaborative rather than autocratic decision-making, reflecting the </w:t>
      </w:r>
      <w:proofErr w:type="spellStart"/>
      <w:r>
        <w:t>Tannenbaum</w:t>
      </w:r>
      <w:proofErr w:type="spellEnd"/>
      <w:r>
        <w:t>–Schmidt continuum’s participative end..</w:t>
      </w:r>
    </w:p>
    <w:p w14:paraId="4BDB2485" w14:textId="6501FFC8" w:rsidR="00BF4E6E" w:rsidRDefault="00BF4E6E" w:rsidP="00BF4E6E"/>
    <w:p w14:paraId="4EF43089" w14:textId="5F6A0F8B" w:rsidR="003111FE" w:rsidRPr="00EB1D5B" w:rsidRDefault="003111FE" w:rsidP="003111FE">
      <w:pPr>
        <w:rPr>
          <w:b/>
          <w:bCs/>
        </w:rPr>
      </w:pPr>
      <w:r w:rsidRPr="00EB1D5B">
        <w:rPr>
          <w:b/>
          <w:bCs/>
        </w:rPr>
        <w:t>Recommendations for Improving Future Outbreak Responses</w:t>
      </w:r>
    </w:p>
    <w:p w14:paraId="023863CD" w14:textId="447BF2A6" w:rsidR="003111FE" w:rsidRPr="00EB1D5B" w:rsidRDefault="003111FE" w:rsidP="003111FE">
      <w:pPr>
        <w:rPr>
          <w:b/>
          <w:bCs/>
        </w:rPr>
      </w:pPr>
      <w:r w:rsidRPr="00EB1D5B">
        <w:rPr>
          <w:b/>
          <w:bCs/>
        </w:rPr>
        <w:t>1. Adaptive Governance Models</w:t>
      </w:r>
    </w:p>
    <w:p w14:paraId="405AB5CC" w14:textId="669A68F8" w:rsidR="003111FE" w:rsidRDefault="003111FE" w:rsidP="003111FE">
      <w:r>
        <w:t>Blend centralised coordination with decentralised flexibility. National authorities can provide a clear framework while allowing regions to implement context-specific measures.</w:t>
      </w:r>
    </w:p>
    <w:p w14:paraId="736D9212" w14:textId="5F9B92CA" w:rsidR="003111FE" w:rsidRPr="00EB37E8" w:rsidRDefault="003111FE" w:rsidP="003111FE">
      <w:pPr>
        <w:rPr>
          <w:b/>
          <w:bCs/>
        </w:rPr>
      </w:pPr>
      <w:r w:rsidRPr="00EB37E8">
        <w:rPr>
          <w:b/>
          <w:bCs/>
        </w:rPr>
        <w:t>2. Predefined Leadership Protocols</w:t>
      </w:r>
    </w:p>
    <w:p w14:paraId="4C80A4C2" w14:textId="718225E8" w:rsidR="003111FE" w:rsidRDefault="003111FE" w:rsidP="003111FE">
      <w:r>
        <w:t xml:space="preserve">Establish criteria for when to adopt autocratic versus democratic decision-making (e.g., early containment vs. long-term management). Use </w:t>
      </w:r>
      <w:proofErr w:type="spellStart"/>
      <w:r>
        <w:t>Tannenbaum</w:t>
      </w:r>
      <w:proofErr w:type="spellEnd"/>
      <w:r>
        <w:t>–Schmidt as a guideline for rapid style adjustments.</w:t>
      </w:r>
    </w:p>
    <w:p w14:paraId="1A56563F" w14:textId="25ABC956" w:rsidR="003111FE" w:rsidRPr="00EB37E8" w:rsidRDefault="003111FE" w:rsidP="003111FE">
      <w:pPr>
        <w:rPr>
          <w:b/>
          <w:bCs/>
        </w:rPr>
      </w:pPr>
      <w:r w:rsidRPr="00EB37E8">
        <w:rPr>
          <w:b/>
          <w:bCs/>
        </w:rPr>
        <w:t>3. Integrated Leadership Training</w:t>
      </w:r>
    </w:p>
    <w:p w14:paraId="6CF9AD76" w14:textId="076ED628" w:rsidR="003111FE" w:rsidRDefault="003111FE" w:rsidP="003111FE">
      <w:r>
        <w:t>Train leaders in multiple leadership models (Situational, Transformational, Functional, Theory X/Y) to prepare for dynamic crises. Simulated outbreak exercises can enhance real-time adaptability</w:t>
      </w:r>
      <w:r w:rsidR="00EB1D5B">
        <w:t>.</w:t>
      </w:r>
    </w:p>
    <w:p w14:paraId="78504A8C" w14:textId="57919171" w:rsidR="003111FE" w:rsidRPr="00EB37E8" w:rsidRDefault="003111FE" w:rsidP="003111FE">
      <w:pPr>
        <w:rPr>
          <w:b/>
          <w:bCs/>
        </w:rPr>
      </w:pPr>
      <w:r w:rsidRPr="00EB37E8">
        <w:rPr>
          <w:b/>
          <w:bCs/>
        </w:rPr>
        <w:t>4. Enhanced Communication and Trust-Building</w:t>
      </w:r>
    </w:p>
    <w:p w14:paraId="4CAAD4EE" w14:textId="6DA50009" w:rsidR="003111FE" w:rsidRDefault="003111FE" w:rsidP="003111FE">
      <w:r>
        <w:t>Transparent and consistent messaging builds public compliance. Relationship-oriented leadership and participative consultation improve trust and adherence to health measures.</w:t>
      </w:r>
    </w:p>
    <w:p w14:paraId="2D39A07F" w14:textId="37BF4C60" w:rsidR="003111FE" w:rsidRPr="00EB37E8" w:rsidRDefault="003111FE" w:rsidP="003111FE">
      <w:pPr>
        <w:rPr>
          <w:b/>
          <w:bCs/>
        </w:rPr>
      </w:pPr>
      <w:r w:rsidRPr="00EB37E8">
        <w:rPr>
          <w:b/>
          <w:bCs/>
        </w:rPr>
        <w:t>5. Real-Time Data for Decision-Making</w:t>
      </w:r>
    </w:p>
    <w:p w14:paraId="7BF7F02C" w14:textId="0010C968" w:rsidR="003111FE" w:rsidRDefault="003111FE" w:rsidP="003111FE">
      <w:r>
        <w:t>Use metrics such as ICU occupancy, case trends, and compliance data to dynamically inform leadership style and policy decisions.</w:t>
      </w:r>
    </w:p>
    <w:p w14:paraId="48E04ABD" w14:textId="2574AEFC" w:rsidR="003111FE" w:rsidRPr="00EB37E8" w:rsidRDefault="003111FE" w:rsidP="003111FE">
      <w:pPr>
        <w:rPr>
          <w:b/>
          <w:bCs/>
        </w:rPr>
      </w:pPr>
      <w:r w:rsidRPr="00EB37E8">
        <w:rPr>
          <w:b/>
          <w:bCs/>
        </w:rPr>
        <w:t>6. Hybrid Crisis Teams</w:t>
      </w:r>
    </w:p>
    <w:p w14:paraId="4B712958" w14:textId="5FA01D2F" w:rsidR="00614607" w:rsidRDefault="003111FE">
      <w:r>
        <w:t>Establish cross-functional national and regional task forces that integrate public health, logistics, technology, and local governance expertise to ensure coordination.</w:t>
      </w:r>
    </w:p>
    <w:p w14:paraId="7AFF3BFC" w14:textId="77777777" w:rsidR="005C7107" w:rsidRDefault="005C7107"/>
    <w:p w14:paraId="086D0CC4" w14:textId="4DB057DD" w:rsidR="005C7107" w:rsidRPr="00EB37E8" w:rsidRDefault="005C7107">
      <w:pPr>
        <w:rPr>
          <w:b/>
          <w:bCs/>
        </w:rPr>
      </w:pPr>
      <w:r w:rsidRPr="00EB37E8">
        <w:rPr>
          <w:b/>
          <w:bCs/>
        </w:rPr>
        <w:t>Conclusion</w:t>
      </w:r>
    </w:p>
    <w:p w14:paraId="5A8F5E6B" w14:textId="77777777" w:rsidR="005C7107" w:rsidRDefault="005C7107">
      <w:r>
        <w:t>This comparative analysis shows that health system structure and leadership style significantly shaped Spain’s, South Korea’s, and Canada’s COVID-19 responses. Centralised systems like South Korea benefited from coordinated, rapid responses, while decentralised systems like Spain and Canada faced coordination challenges but exercised flexibility. Leadership approaches—from Sánchez’s adaptive style, to Moon’s transformational governance, to Trudeau’s collaborative communication—further influenced public trust, policy consistency, and pandemic outcomes. Collectively, the evidence suggests that effective crisis management requires aligned governance structures, adaptive leadership, and strong communication grounded in trust and cooperation</w:t>
      </w:r>
    </w:p>
    <w:p w14:paraId="3F8915E8" w14:textId="77777777" w:rsidR="00102205" w:rsidRDefault="00102205"/>
    <w:p w14:paraId="46B70D73" w14:textId="12BFC33E" w:rsidR="00102205" w:rsidRDefault="00102205">
      <w:r w:rsidRPr="00D83E4C">
        <w:rPr>
          <w:b/>
          <w:bCs/>
        </w:rPr>
        <w:t>References</w:t>
      </w:r>
      <w:r w:rsidR="00DF0421">
        <w:t>.</w:t>
      </w:r>
    </w:p>
    <w:p w14:paraId="778BC5EC" w14:textId="77777777" w:rsidR="00102205" w:rsidRDefault="00102205"/>
    <w:p w14:paraId="1AF95D2B" w14:textId="6C0A7D71" w:rsidR="00102205" w:rsidRDefault="00102205" w:rsidP="00DF0421">
      <w:pPr>
        <w:pStyle w:val="ListParagraph"/>
        <w:numPr>
          <w:ilvl w:val="0"/>
          <w:numId w:val="1"/>
        </w:numPr>
      </w:pPr>
      <w:r>
        <w:t xml:space="preserve">Bass, B. M. (1985). Leadership and performance beyond expectations. </w:t>
      </w:r>
      <w:hyperlink r:id="rId10" w:history="1">
        <w:r w:rsidRPr="00C855C9">
          <w:rPr>
            <w:rStyle w:val="Hyperlink"/>
          </w:rPr>
          <w:t>https://psycnet.apa.org/record/1985-97408-000</w:t>
        </w:r>
      </w:hyperlink>
    </w:p>
    <w:p w14:paraId="6B0983C2" w14:textId="5844832A" w:rsidR="00102205" w:rsidRDefault="00102205" w:rsidP="00DF0421">
      <w:pPr>
        <w:pStyle w:val="ListParagraph"/>
        <w:numPr>
          <w:ilvl w:val="0"/>
          <w:numId w:val="1"/>
        </w:numPr>
      </w:pPr>
      <w:proofErr w:type="spellStart"/>
      <w:r>
        <w:t>Capano</w:t>
      </w:r>
      <w:proofErr w:type="spellEnd"/>
      <w:r>
        <w:t xml:space="preserve">, G., et al. (2020). Policy design and crisis management. </w:t>
      </w:r>
      <w:hyperlink r:id="rId11" w:history="1">
        <w:r w:rsidRPr="00C855C9">
          <w:rPr>
            <w:rStyle w:val="Hyperlink"/>
          </w:rPr>
          <w:t>https://doi.org/10.1016/j.polsoc.2020.06.005</w:t>
        </w:r>
      </w:hyperlink>
    </w:p>
    <w:p w14:paraId="440AAA70" w14:textId="6CCCC962" w:rsidR="00102205" w:rsidRDefault="00102205" w:rsidP="00DF0421">
      <w:pPr>
        <w:pStyle w:val="ListParagraph"/>
        <w:numPr>
          <w:ilvl w:val="0"/>
          <w:numId w:val="1"/>
        </w:numPr>
      </w:pPr>
      <w:proofErr w:type="spellStart"/>
      <w:r>
        <w:t>Checkland</w:t>
      </w:r>
      <w:proofErr w:type="spellEnd"/>
      <w:r>
        <w:t xml:space="preserve">, P. (1981). Systems Thinking, Systems Practice. </w:t>
      </w:r>
      <w:hyperlink r:id="rId12" w:history="1">
        <w:r w:rsidRPr="00C855C9">
          <w:rPr>
            <w:rStyle w:val="Hyperlink"/>
          </w:rPr>
          <w:t>https://doi.org/10.1007/978-1-4899-0024-9</w:t>
        </w:r>
      </w:hyperlink>
    </w:p>
    <w:p w14:paraId="087DDE7C" w14:textId="4E680A6B" w:rsidR="00102205" w:rsidRDefault="00102205" w:rsidP="00DF0421">
      <w:pPr>
        <w:pStyle w:val="ListParagraph"/>
        <w:numPr>
          <w:ilvl w:val="0"/>
          <w:numId w:val="1"/>
        </w:numPr>
      </w:pPr>
      <w:r>
        <w:t xml:space="preserve">Greer, S. L., et al. (2020). Centralizing and decentralizing pandemic response. </w:t>
      </w:r>
      <w:hyperlink r:id="rId13" w:history="1">
        <w:r w:rsidRPr="00C855C9">
          <w:rPr>
            <w:rStyle w:val="Hyperlink"/>
          </w:rPr>
          <w:t>https://doi.org/10.1016/j.healthpol.2020.09.003</w:t>
        </w:r>
      </w:hyperlink>
    </w:p>
    <w:p w14:paraId="79F2C91B" w14:textId="6882E3FB" w:rsidR="00102205" w:rsidRDefault="00102205" w:rsidP="00DF0421">
      <w:pPr>
        <w:pStyle w:val="ListParagraph"/>
        <w:numPr>
          <w:ilvl w:val="0"/>
          <w:numId w:val="1"/>
        </w:numPr>
      </w:pPr>
      <w:r>
        <w:t xml:space="preserve">Kim, S. (2020). South Korea’s COVID-19 response. </w:t>
      </w:r>
      <w:hyperlink r:id="rId14" w:history="1">
        <w:r w:rsidRPr="00C855C9">
          <w:rPr>
            <w:rStyle w:val="Hyperlink"/>
          </w:rPr>
          <w:t>https://www.ncbi.nlm.nih.gov/pmc/articles/PMC7364465/</w:t>
        </w:r>
      </w:hyperlink>
    </w:p>
    <w:p w14:paraId="7CD1B569" w14:textId="7A8A1259" w:rsidR="00102205" w:rsidRDefault="00102205" w:rsidP="00DF0421">
      <w:pPr>
        <w:pStyle w:val="ListParagraph"/>
        <w:numPr>
          <w:ilvl w:val="0"/>
          <w:numId w:val="1"/>
        </w:numPr>
      </w:pPr>
      <w:proofErr w:type="spellStart"/>
      <w:r>
        <w:t>Lapuente</w:t>
      </w:r>
      <w:proofErr w:type="spellEnd"/>
      <w:r>
        <w:t xml:space="preserve">, V., &amp; Van de </w:t>
      </w:r>
      <w:proofErr w:type="spellStart"/>
      <w:r>
        <w:t>Walle</w:t>
      </w:r>
      <w:proofErr w:type="spellEnd"/>
      <w:r>
        <w:t xml:space="preserve">, S. (2020). COVID-19 and public administration. </w:t>
      </w:r>
      <w:hyperlink r:id="rId15" w:history="1">
        <w:r w:rsidRPr="00C855C9">
          <w:rPr>
            <w:rStyle w:val="Hyperlink"/>
          </w:rPr>
          <w:t>https://doi.org/10.1111/puar.13241</w:t>
        </w:r>
      </w:hyperlink>
    </w:p>
    <w:p w14:paraId="20353FD8" w14:textId="4DD7A04F" w:rsidR="00102205" w:rsidRDefault="00102205" w:rsidP="00DF0421">
      <w:pPr>
        <w:pStyle w:val="ListParagraph"/>
        <w:numPr>
          <w:ilvl w:val="0"/>
          <w:numId w:val="1"/>
        </w:numPr>
      </w:pPr>
      <w:r>
        <w:t xml:space="preserve">Wilson, K., et al. (2020). Public health federalism in Canada. </w:t>
      </w:r>
      <w:hyperlink r:id="rId16" w:history="1">
        <w:r w:rsidRPr="00C855C9">
          <w:rPr>
            <w:rStyle w:val="Hyperlink"/>
          </w:rPr>
          <w:t>https://www.cmaj.ca/content/192/22/E617</w:t>
        </w:r>
      </w:hyperlink>
    </w:p>
    <w:p w14:paraId="2793F3F2" w14:textId="626586FF" w:rsidR="00102205" w:rsidRDefault="00102205" w:rsidP="00DF0421">
      <w:pPr>
        <w:pStyle w:val="ListParagraph"/>
        <w:numPr>
          <w:ilvl w:val="0"/>
          <w:numId w:val="1"/>
        </w:numPr>
      </w:pPr>
      <w:r>
        <w:t xml:space="preserve">WHO. (2020). COVID-19 situation reports. </w:t>
      </w:r>
      <w:hyperlink r:id="rId17" w:history="1">
        <w:r w:rsidRPr="00C855C9">
          <w:rPr>
            <w:rStyle w:val="Hyperlink"/>
          </w:rPr>
          <w:t>https://www.who.int</w:t>
        </w:r>
      </w:hyperlink>
    </w:p>
    <w:p w14:paraId="7BF31FBC" w14:textId="5B79F3EA" w:rsidR="00102205" w:rsidRDefault="00102205" w:rsidP="00DF0421">
      <w:pPr>
        <w:pStyle w:val="ListParagraph"/>
        <w:numPr>
          <w:ilvl w:val="0"/>
          <w:numId w:val="1"/>
        </w:numPr>
      </w:pPr>
      <w:r>
        <w:t xml:space="preserve">OECD. (2021). Health system resilience. </w:t>
      </w:r>
      <w:hyperlink r:id="rId18" w:history="1">
        <w:r w:rsidRPr="00C855C9">
          <w:rPr>
            <w:rStyle w:val="Hyperlink"/>
          </w:rPr>
          <w:t>https://www.oecd.org</w:t>
        </w:r>
      </w:hyperlink>
    </w:p>
    <w:p w14:paraId="3D342E7C" w14:textId="24C139A6" w:rsidR="00102205" w:rsidRDefault="00102205" w:rsidP="00DF0421">
      <w:pPr>
        <w:pStyle w:val="ListParagraph"/>
        <w:numPr>
          <w:ilvl w:val="0"/>
          <w:numId w:val="1"/>
        </w:numPr>
      </w:pPr>
      <w:r>
        <w:t xml:space="preserve">European Centre for Disease Prevention. (2020). Spain epidemiological update. </w:t>
      </w:r>
      <w:hyperlink r:id="rId19" w:history="1">
        <w:r w:rsidRPr="00C855C9">
          <w:rPr>
            <w:rStyle w:val="Hyperlink"/>
          </w:rPr>
          <w:t>https://www.ecdc.europa.eu</w:t>
        </w:r>
      </w:hyperlink>
    </w:p>
    <w:p w14:paraId="74AFEB98" w14:textId="15EBC698" w:rsidR="00102205" w:rsidRDefault="00102205" w:rsidP="00DF0421">
      <w:pPr>
        <w:pStyle w:val="ListParagraph"/>
        <w:numPr>
          <w:ilvl w:val="0"/>
          <w:numId w:val="1"/>
        </w:numPr>
      </w:pPr>
      <w:r>
        <w:t xml:space="preserve">Spanish Ministry of Health. (2021). Vaccination strategy. </w:t>
      </w:r>
      <w:hyperlink r:id="rId20" w:history="1">
        <w:r w:rsidRPr="00C855C9">
          <w:rPr>
            <w:rStyle w:val="Hyperlink"/>
          </w:rPr>
          <w:t>https://www.mscbs.gob.es</w:t>
        </w:r>
      </w:hyperlink>
    </w:p>
    <w:p w14:paraId="15BCFE21" w14:textId="39BAFC28" w:rsidR="00102205" w:rsidRDefault="00102205" w:rsidP="00DF0421">
      <w:pPr>
        <w:pStyle w:val="ListParagraph"/>
        <w:numPr>
          <w:ilvl w:val="0"/>
          <w:numId w:val="1"/>
        </w:numPr>
      </w:pPr>
      <w:r>
        <w:t xml:space="preserve">Korea Disease Control &amp; Prevention Agency. (2020). Emergency response. </w:t>
      </w:r>
      <w:hyperlink r:id="rId21" w:history="1">
        <w:r w:rsidRPr="00C855C9">
          <w:rPr>
            <w:rStyle w:val="Hyperlink"/>
          </w:rPr>
          <w:t>https://www.kdca.go.kr</w:t>
        </w:r>
      </w:hyperlink>
    </w:p>
    <w:p w14:paraId="2A04DF89" w14:textId="587D4B93" w:rsidR="00102205" w:rsidRDefault="00102205" w:rsidP="00DF0421">
      <w:pPr>
        <w:pStyle w:val="ListParagraph"/>
        <w:numPr>
          <w:ilvl w:val="0"/>
          <w:numId w:val="1"/>
        </w:numPr>
      </w:pPr>
      <w:r>
        <w:t xml:space="preserve">Government of Canada. (2020). COVID-19 response timeline. </w:t>
      </w:r>
      <w:hyperlink r:id="rId22" w:history="1">
        <w:r w:rsidRPr="00C855C9">
          <w:rPr>
            <w:rStyle w:val="Hyperlink"/>
          </w:rPr>
          <w:t>https://www.canada.ca</w:t>
        </w:r>
      </w:hyperlink>
    </w:p>
    <w:p w14:paraId="6FD1FE65" w14:textId="0812C474" w:rsidR="00102205" w:rsidRDefault="00102205" w:rsidP="00DF0421">
      <w:pPr>
        <w:pStyle w:val="ListParagraph"/>
        <w:numPr>
          <w:ilvl w:val="0"/>
          <w:numId w:val="1"/>
        </w:numPr>
      </w:pPr>
      <w:r>
        <w:t xml:space="preserve">Trudeau, J. (2020). Daily briefings archive. </w:t>
      </w:r>
      <w:hyperlink r:id="rId23" w:history="1">
        <w:r w:rsidRPr="00C855C9">
          <w:rPr>
            <w:rStyle w:val="Hyperlink"/>
          </w:rPr>
          <w:t>https://pm.gc.ca</w:t>
        </w:r>
      </w:hyperlink>
    </w:p>
    <w:p w14:paraId="1A2CAFBA" w14:textId="1662AFBF" w:rsidR="00102205" w:rsidRDefault="00102205" w:rsidP="00DF0421">
      <w:pPr>
        <w:pStyle w:val="ListParagraph"/>
        <w:numPr>
          <w:ilvl w:val="0"/>
          <w:numId w:val="1"/>
        </w:numPr>
      </w:pPr>
      <w:proofErr w:type="spellStart"/>
      <w:r>
        <w:t>Illa</w:t>
      </w:r>
      <w:proofErr w:type="spellEnd"/>
      <w:r>
        <w:t xml:space="preserve">, S. (2020). Ministry of Health press releases. </w:t>
      </w:r>
      <w:hyperlink r:id="rId24" w:history="1">
        <w:r w:rsidRPr="00C855C9">
          <w:rPr>
            <w:rStyle w:val="Hyperlink"/>
          </w:rPr>
          <w:t>https://www.mscbs.gob.es</w:t>
        </w:r>
      </w:hyperlink>
    </w:p>
    <w:p w14:paraId="74F0F232" w14:textId="768E0FAA" w:rsidR="00102205" w:rsidRDefault="00102205" w:rsidP="00DF0421">
      <w:pPr>
        <w:pStyle w:val="ListParagraph"/>
        <w:numPr>
          <w:ilvl w:val="0"/>
          <w:numId w:val="1"/>
        </w:numPr>
      </w:pPr>
      <w:r>
        <w:t xml:space="preserve">Moon, J. (2020). Presidential speeches on COVID-19. </w:t>
      </w:r>
      <w:hyperlink r:id="rId25" w:history="1">
        <w:r w:rsidRPr="00C855C9">
          <w:rPr>
            <w:rStyle w:val="Hyperlink"/>
          </w:rPr>
          <w:t>https://english1.president.go.kr</w:t>
        </w:r>
      </w:hyperlink>
    </w:p>
    <w:p w14:paraId="4E0BE12A" w14:textId="68F26908" w:rsidR="00102205" w:rsidRDefault="00102205" w:rsidP="00DF0421">
      <w:pPr>
        <w:pStyle w:val="ListParagraph"/>
        <w:numPr>
          <w:ilvl w:val="0"/>
          <w:numId w:val="1"/>
        </w:numPr>
      </w:pPr>
      <w:r>
        <w:t xml:space="preserve">Toronto Public Health. (2021). COVID-19 data. </w:t>
      </w:r>
      <w:hyperlink r:id="rId26" w:history="1">
        <w:r w:rsidRPr="00C855C9">
          <w:rPr>
            <w:rStyle w:val="Hyperlink"/>
          </w:rPr>
          <w:t>https://www.toronto.ca</w:t>
        </w:r>
      </w:hyperlink>
    </w:p>
    <w:p w14:paraId="42EE58E3" w14:textId="06435477" w:rsidR="00102205" w:rsidRDefault="00102205" w:rsidP="00DF0421">
      <w:pPr>
        <w:pStyle w:val="ListParagraph"/>
        <w:numPr>
          <w:ilvl w:val="0"/>
          <w:numId w:val="1"/>
        </w:numPr>
      </w:pPr>
      <w:r>
        <w:t xml:space="preserve">Madrid Regional Government. (2020). COVID-19 actions. </w:t>
      </w:r>
      <w:hyperlink r:id="rId27" w:history="1">
        <w:r w:rsidRPr="00C855C9">
          <w:rPr>
            <w:rStyle w:val="Hyperlink"/>
          </w:rPr>
          <w:t>https://www.comunidad.madrid</w:t>
        </w:r>
      </w:hyperlink>
    </w:p>
    <w:p w14:paraId="6823CFF3" w14:textId="77429DA4" w:rsidR="00102205" w:rsidRDefault="00102205" w:rsidP="00DF0421">
      <w:pPr>
        <w:pStyle w:val="ListParagraph"/>
        <w:numPr>
          <w:ilvl w:val="0"/>
          <w:numId w:val="1"/>
        </w:numPr>
      </w:pPr>
      <w:r>
        <w:t xml:space="preserve">Jung, J. (2021). Korea’s contact tracing strategy. </w:t>
      </w:r>
      <w:hyperlink r:id="rId28" w:history="1">
        <w:r w:rsidRPr="00C855C9">
          <w:rPr>
            <w:rStyle w:val="Hyperlink"/>
          </w:rPr>
          <w:t>https://doi.org/10.3346/jkms.2021.36.e70</w:t>
        </w:r>
      </w:hyperlink>
    </w:p>
    <w:p w14:paraId="4313658A" w14:textId="621F083B" w:rsidR="00102205" w:rsidRDefault="00102205" w:rsidP="00DF0421">
      <w:pPr>
        <w:pStyle w:val="ListParagraph"/>
        <w:numPr>
          <w:ilvl w:val="0"/>
          <w:numId w:val="1"/>
        </w:numPr>
      </w:pPr>
      <w:r>
        <w:t xml:space="preserve">Martín, J. (2020). Spanish decentralisation challenges. </w:t>
      </w:r>
      <w:hyperlink r:id="rId29" w:history="1">
        <w:r w:rsidRPr="00C855C9">
          <w:rPr>
            <w:rStyle w:val="Hyperlink"/>
          </w:rPr>
          <w:t>https://doi.org/10.1080/14719037.2020.1788336</w:t>
        </w:r>
      </w:hyperlink>
    </w:p>
    <w:p w14:paraId="3E4E26B1" w14:textId="554164F0" w:rsidR="00102205" w:rsidRDefault="00102205" w:rsidP="00DF0421">
      <w:pPr>
        <w:pStyle w:val="ListParagraph"/>
        <w:numPr>
          <w:ilvl w:val="0"/>
          <w:numId w:val="1"/>
        </w:numPr>
      </w:pPr>
      <w:r>
        <w:t xml:space="preserve">Lim, D. (2020). South Korea’s testing revolution. </w:t>
      </w:r>
      <w:hyperlink r:id="rId30" w:history="1">
        <w:r w:rsidRPr="00C855C9">
          <w:rPr>
            <w:rStyle w:val="Hyperlink"/>
          </w:rPr>
          <w:t>https://time.com</w:t>
        </w:r>
      </w:hyperlink>
    </w:p>
    <w:p w14:paraId="22A96CA6" w14:textId="4E5AD85A" w:rsidR="00102205" w:rsidRDefault="00102205" w:rsidP="00DF0421">
      <w:pPr>
        <w:pStyle w:val="ListParagraph"/>
        <w:numPr>
          <w:ilvl w:val="0"/>
          <w:numId w:val="1"/>
        </w:numPr>
      </w:pPr>
      <w:r>
        <w:t xml:space="preserve">CBC News. (2021). Canada vaccine rollout analysis. </w:t>
      </w:r>
      <w:hyperlink r:id="rId31" w:history="1">
        <w:r w:rsidRPr="00C855C9">
          <w:rPr>
            <w:rStyle w:val="Hyperlink"/>
          </w:rPr>
          <w:t>https://www.cbc.ca</w:t>
        </w:r>
      </w:hyperlink>
    </w:p>
    <w:p w14:paraId="6C81EB72" w14:textId="38BCE632" w:rsidR="00102205" w:rsidRDefault="00102205" w:rsidP="00DF0421">
      <w:pPr>
        <w:pStyle w:val="ListParagraph"/>
        <w:numPr>
          <w:ilvl w:val="0"/>
          <w:numId w:val="1"/>
        </w:numPr>
      </w:pPr>
      <w:proofErr w:type="spellStart"/>
      <w:r>
        <w:t>Statista</w:t>
      </w:r>
      <w:proofErr w:type="spellEnd"/>
      <w:r>
        <w:t xml:space="preserve">. (2021). Vaccination rates comparison. </w:t>
      </w:r>
      <w:hyperlink r:id="rId32" w:history="1">
        <w:r w:rsidRPr="00C855C9">
          <w:rPr>
            <w:rStyle w:val="Hyperlink"/>
          </w:rPr>
          <w:t>https://www.statista.com</w:t>
        </w:r>
      </w:hyperlink>
    </w:p>
    <w:p w14:paraId="706D744A" w14:textId="09E4C5A9" w:rsidR="00102205" w:rsidRDefault="00102205" w:rsidP="00DF0421">
      <w:pPr>
        <w:pStyle w:val="ListParagraph"/>
        <w:numPr>
          <w:ilvl w:val="0"/>
          <w:numId w:val="1"/>
        </w:numPr>
      </w:pPr>
      <w:r>
        <w:t xml:space="preserve">Reuters. (2020). Spain’s early pandemic timeline. </w:t>
      </w:r>
      <w:hyperlink r:id="rId33" w:history="1">
        <w:r w:rsidRPr="00C855C9">
          <w:rPr>
            <w:rStyle w:val="Hyperlink"/>
          </w:rPr>
          <w:t>https://www.reuters.com</w:t>
        </w:r>
      </w:hyperlink>
    </w:p>
    <w:p w14:paraId="64D3D97C" w14:textId="425CD991" w:rsidR="00102205" w:rsidRDefault="00102205" w:rsidP="00DF0421">
      <w:pPr>
        <w:pStyle w:val="ListParagraph"/>
        <w:numPr>
          <w:ilvl w:val="0"/>
          <w:numId w:val="1"/>
        </w:numPr>
      </w:pPr>
      <w:r>
        <w:t xml:space="preserve">The Guardian. (2020). South Korea’s response profile. </w:t>
      </w:r>
      <w:hyperlink r:id="rId34" w:history="1">
        <w:r w:rsidRPr="00C855C9">
          <w:rPr>
            <w:rStyle w:val="Hyperlink"/>
          </w:rPr>
          <w:t>https://www.theguardian.com</w:t>
        </w:r>
      </w:hyperlink>
    </w:p>
    <w:p w14:paraId="13BA506F" w14:textId="75ABF01C" w:rsidR="00102205" w:rsidRDefault="00102205" w:rsidP="00DF0421">
      <w:pPr>
        <w:pStyle w:val="ListParagraph"/>
        <w:numPr>
          <w:ilvl w:val="0"/>
          <w:numId w:val="1"/>
        </w:numPr>
      </w:pPr>
      <w:r>
        <w:t xml:space="preserve">BBC. (2021). Canada’s COVID-19 experience. </w:t>
      </w:r>
      <w:hyperlink r:id="rId35" w:history="1">
        <w:r w:rsidRPr="00C855C9">
          <w:rPr>
            <w:rStyle w:val="Hyperlink"/>
          </w:rPr>
          <w:t>https://www.bbc.com</w:t>
        </w:r>
      </w:hyperlink>
    </w:p>
    <w:p w14:paraId="7AC7BB6D" w14:textId="77189877" w:rsidR="00102205" w:rsidRDefault="00102205" w:rsidP="00581496">
      <w:pPr>
        <w:pStyle w:val="ListParagraph"/>
        <w:numPr>
          <w:ilvl w:val="0"/>
          <w:numId w:val="1"/>
        </w:numPr>
      </w:pPr>
      <w:r>
        <w:t xml:space="preserve">Nature. (2020). Pandemic governance differences. </w:t>
      </w:r>
      <w:hyperlink r:id="rId36" w:history="1">
        <w:r w:rsidRPr="00C855C9">
          <w:rPr>
            <w:rStyle w:val="Hyperlink"/>
          </w:rPr>
          <w:t>https://www.nature.com</w:t>
        </w:r>
      </w:hyperlink>
    </w:p>
    <w:p w14:paraId="0DDD3B2F" w14:textId="66A44298" w:rsidR="00102205" w:rsidRDefault="00102205" w:rsidP="00581496">
      <w:pPr>
        <w:pStyle w:val="ListParagraph"/>
        <w:numPr>
          <w:ilvl w:val="0"/>
          <w:numId w:val="1"/>
        </w:numPr>
      </w:pPr>
      <w:r>
        <w:t xml:space="preserve">Lancet. (2021). Comparative global COVID-19 performance. </w:t>
      </w:r>
      <w:hyperlink r:id="rId37" w:history="1">
        <w:r w:rsidRPr="00C855C9">
          <w:rPr>
            <w:rStyle w:val="Hyperlink"/>
          </w:rPr>
          <w:t>https://www.thelancet.com</w:t>
        </w:r>
      </w:hyperlink>
    </w:p>
    <w:p w14:paraId="25093657" w14:textId="7BFD65FF" w:rsidR="00102205" w:rsidRDefault="00102205" w:rsidP="00581496">
      <w:pPr>
        <w:pStyle w:val="ListParagraph"/>
        <w:numPr>
          <w:ilvl w:val="0"/>
          <w:numId w:val="1"/>
        </w:numPr>
      </w:pPr>
      <w:r>
        <w:t xml:space="preserve">CNN. (2020). Spain’s lockdown measures. </w:t>
      </w:r>
      <w:hyperlink r:id="rId38" w:history="1">
        <w:r w:rsidRPr="00C855C9">
          <w:rPr>
            <w:rStyle w:val="Hyperlink"/>
          </w:rPr>
          <w:t>https://www.cnn.com</w:t>
        </w:r>
      </w:hyperlink>
    </w:p>
    <w:p w14:paraId="4741AC26" w14:textId="3513DEF9" w:rsidR="00102205" w:rsidRDefault="00102205" w:rsidP="00581496">
      <w:pPr>
        <w:pStyle w:val="ListParagraph"/>
        <w:numPr>
          <w:ilvl w:val="0"/>
          <w:numId w:val="1"/>
        </w:numPr>
      </w:pPr>
      <w:r>
        <w:t xml:space="preserve">Al Jazeera. (2020). South Korea policies. </w:t>
      </w:r>
      <w:hyperlink r:id="rId39" w:history="1">
        <w:r w:rsidRPr="00C855C9">
          <w:rPr>
            <w:rStyle w:val="Hyperlink"/>
          </w:rPr>
          <w:t>https://www.aljazeera.com</w:t>
        </w:r>
      </w:hyperlink>
    </w:p>
    <w:p w14:paraId="0AC0189D" w14:textId="69304689" w:rsidR="00102205" w:rsidRDefault="00102205" w:rsidP="00581496">
      <w:pPr>
        <w:pStyle w:val="ListParagraph"/>
        <w:numPr>
          <w:ilvl w:val="0"/>
          <w:numId w:val="1"/>
        </w:numPr>
      </w:pPr>
      <w:r>
        <w:t xml:space="preserve">Global News. (2021). Canadian provincial responses. </w:t>
      </w:r>
      <w:hyperlink r:id="rId40" w:history="1">
        <w:r w:rsidRPr="00C855C9">
          <w:rPr>
            <w:rStyle w:val="Hyperlink"/>
          </w:rPr>
          <w:t>https://globalnews.ca</w:t>
        </w:r>
      </w:hyperlink>
    </w:p>
    <w:p w14:paraId="4EAD6485" w14:textId="414D447E" w:rsidR="00102205" w:rsidRDefault="00102205" w:rsidP="00581496">
      <w:pPr>
        <w:pStyle w:val="ListParagraph"/>
        <w:numPr>
          <w:ilvl w:val="0"/>
          <w:numId w:val="1"/>
        </w:numPr>
      </w:pPr>
      <w:r>
        <w:t xml:space="preserve">Financial Times. (2020). Spain hospital crisis. </w:t>
      </w:r>
      <w:hyperlink r:id="rId41" w:history="1">
        <w:r w:rsidRPr="00C855C9">
          <w:rPr>
            <w:rStyle w:val="Hyperlink"/>
          </w:rPr>
          <w:t>https://www.ft.com</w:t>
        </w:r>
      </w:hyperlink>
    </w:p>
    <w:p w14:paraId="303A1A38" w14:textId="5266763F" w:rsidR="00102205" w:rsidRDefault="00102205" w:rsidP="00581496">
      <w:pPr>
        <w:pStyle w:val="ListParagraph"/>
        <w:numPr>
          <w:ilvl w:val="0"/>
          <w:numId w:val="1"/>
        </w:numPr>
      </w:pPr>
      <w:r>
        <w:t xml:space="preserve">Bloomberg. (2021). Vaccination data. </w:t>
      </w:r>
      <w:hyperlink r:id="rId42" w:history="1">
        <w:r w:rsidRPr="00C855C9">
          <w:rPr>
            <w:rStyle w:val="Hyperlink"/>
          </w:rPr>
          <w:t>https://www.bloomberg.com</w:t>
        </w:r>
      </w:hyperlink>
    </w:p>
    <w:p w14:paraId="400CAEC2" w14:textId="38B5A543" w:rsidR="00102205" w:rsidRDefault="00102205" w:rsidP="00102205">
      <w:pPr>
        <w:pStyle w:val="ListParagraph"/>
        <w:numPr>
          <w:ilvl w:val="0"/>
          <w:numId w:val="1"/>
        </w:numPr>
      </w:pPr>
      <w:r>
        <w:t xml:space="preserve">Johns Hopkins University. (2020). Global COVID dashboard. </w:t>
      </w:r>
      <w:hyperlink r:id="rId43" w:history="1">
        <w:r w:rsidRPr="00C855C9">
          <w:rPr>
            <w:rStyle w:val="Hyperlink"/>
          </w:rPr>
          <w:t>https://www.coronavirus.jhu.edu</w:t>
        </w:r>
      </w:hyperlink>
    </w:p>
    <w:p w14:paraId="41992F34" w14:textId="77777777" w:rsidR="00102205" w:rsidRDefault="00102205"/>
    <w:p w14:paraId="2C2470AB" w14:textId="2641E54B" w:rsidR="00102205" w:rsidRDefault="00102205" w:rsidP="00581496"/>
    <w:p w14:paraId="492616F2" w14:textId="77777777" w:rsidR="005C7107" w:rsidRDefault="005C7107"/>
    <w:p w14:paraId="3F2C5900" w14:textId="77777777" w:rsidR="005C7107" w:rsidRDefault="005C7107"/>
    <w:p w14:paraId="1558CA1E" w14:textId="77777777" w:rsidR="005C7107" w:rsidRDefault="005C7107"/>
    <w:sectPr w:rsidR="005C710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F0D1F"/>
    <w:multiLevelType w:val="hybridMultilevel"/>
    <w:tmpl w:val="7B389A6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5417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E6E"/>
    <w:rsid w:val="00037B20"/>
    <w:rsid w:val="000405C7"/>
    <w:rsid w:val="000641EE"/>
    <w:rsid w:val="0006427D"/>
    <w:rsid w:val="0008532F"/>
    <w:rsid w:val="000C59C8"/>
    <w:rsid w:val="00102205"/>
    <w:rsid w:val="00116F2D"/>
    <w:rsid w:val="00123BBC"/>
    <w:rsid w:val="00140C70"/>
    <w:rsid w:val="00150003"/>
    <w:rsid w:val="001967CF"/>
    <w:rsid w:val="001D4024"/>
    <w:rsid w:val="001E7E4A"/>
    <w:rsid w:val="00231FF2"/>
    <w:rsid w:val="00241EB7"/>
    <w:rsid w:val="00245B11"/>
    <w:rsid w:val="00264958"/>
    <w:rsid w:val="002D514F"/>
    <w:rsid w:val="002E4C51"/>
    <w:rsid w:val="003111FE"/>
    <w:rsid w:val="00316A21"/>
    <w:rsid w:val="00321060"/>
    <w:rsid w:val="003928C4"/>
    <w:rsid w:val="00394643"/>
    <w:rsid w:val="003D62CA"/>
    <w:rsid w:val="003E3164"/>
    <w:rsid w:val="004017A2"/>
    <w:rsid w:val="004111C9"/>
    <w:rsid w:val="0045431C"/>
    <w:rsid w:val="00465C6A"/>
    <w:rsid w:val="004B1155"/>
    <w:rsid w:val="004F438C"/>
    <w:rsid w:val="00521F54"/>
    <w:rsid w:val="00522B3D"/>
    <w:rsid w:val="005365A1"/>
    <w:rsid w:val="00572FF6"/>
    <w:rsid w:val="00581496"/>
    <w:rsid w:val="005C7107"/>
    <w:rsid w:val="005E3E85"/>
    <w:rsid w:val="0060140E"/>
    <w:rsid w:val="006019D0"/>
    <w:rsid w:val="00602C88"/>
    <w:rsid w:val="00614607"/>
    <w:rsid w:val="00621986"/>
    <w:rsid w:val="0062251F"/>
    <w:rsid w:val="006244BB"/>
    <w:rsid w:val="00641B53"/>
    <w:rsid w:val="00647C0B"/>
    <w:rsid w:val="00693ADC"/>
    <w:rsid w:val="006A156C"/>
    <w:rsid w:val="006D2DC7"/>
    <w:rsid w:val="00725C7B"/>
    <w:rsid w:val="00731D84"/>
    <w:rsid w:val="0073651A"/>
    <w:rsid w:val="00754CD1"/>
    <w:rsid w:val="00770D18"/>
    <w:rsid w:val="0084098F"/>
    <w:rsid w:val="00843049"/>
    <w:rsid w:val="00857EC9"/>
    <w:rsid w:val="00877547"/>
    <w:rsid w:val="00886626"/>
    <w:rsid w:val="008A1EAC"/>
    <w:rsid w:val="008F4658"/>
    <w:rsid w:val="00923AE0"/>
    <w:rsid w:val="009944E2"/>
    <w:rsid w:val="009E12E2"/>
    <w:rsid w:val="00A118CF"/>
    <w:rsid w:val="00A520C6"/>
    <w:rsid w:val="00A65A70"/>
    <w:rsid w:val="00A748A6"/>
    <w:rsid w:val="00A76463"/>
    <w:rsid w:val="00A871AF"/>
    <w:rsid w:val="00A90DE1"/>
    <w:rsid w:val="00A93E82"/>
    <w:rsid w:val="00AA0E8D"/>
    <w:rsid w:val="00AB09BB"/>
    <w:rsid w:val="00AC7006"/>
    <w:rsid w:val="00AD425A"/>
    <w:rsid w:val="00B05398"/>
    <w:rsid w:val="00B54C69"/>
    <w:rsid w:val="00B91E89"/>
    <w:rsid w:val="00BA74D6"/>
    <w:rsid w:val="00BB3F8E"/>
    <w:rsid w:val="00BC7AF5"/>
    <w:rsid w:val="00BF4E6E"/>
    <w:rsid w:val="00BF6B50"/>
    <w:rsid w:val="00C21A73"/>
    <w:rsid w:val="00C830FB"/>
    <w:rsid w:val="00C86F5D"/>
    <w:rsid w:val="00CB1A6A"/>
    <w:rsid w:val="00CE2D06"/>
    <w:rsid w:val="00D0078F"/>
    <w:rsid w:val="00D01A3E"/>
    <w:rsid w:val="00D3029E"/>
    <w:rsid w:val="00D8323F"/>
    <w:rsid w:val="00D83E4C"/>
    <w:rsid w:val="00DF0238"/>
    <w:rsid w:val="00DF0421"/>
    <w:rsid w:val="00E013BE"/>
    <w:rsid w:val="00E40607"/>
    <w:rsid w:val="00E567E0"/>
    <w:rsid w:val="00E703B6"/>
    <w:rsid w:val="00EB1D5B"/>
    <w:rsid w:val="00EB37E8"/>
    <w:rsid w:val="00ED1F1A"/>
    <w:rsid w:val="00FA173B"/>
    <w:rsid w:val="00FB2044"/>
    <w:rsid w:val="00FC4AF7"/>
    <w:rsid w:val="00FE0B21"/>
    <w:rsid w:val="00FE73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A77295D"/>
  <w15:chartTrackingRefBased/>
  <w15:docId w15:val="{E83720BF-5995-544E-84AD-5B5A12990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E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4E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4E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E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E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E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E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E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E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E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4E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4E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E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E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E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E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E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E6E"/>
    <w:rPr>
      <w:rFonts w:eastAsiaTheme="majorEastAsia" w:cstheme="majorBidi"/>
      <w:color w:val="272727" w:themeColor="text1" w:themeTint="D8"/>
    </w:rPr>
  </w:style>
  <w:style w:type="paragraph" w:styleId="Title">
    <w:name w:val="Title"/>
    <w:basedOn w:val="Normal"/>
    <w:next w:val="Normal"/>
    <w:link w:val="TitleChar"/>
    <w:uiPriority w:val="10"/>
    <w:qFormat/>
    <w:rsid w:val="00BF4E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E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E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E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E6E"/>
    <w:pPr>
      <w:spacing w:before="160"/>
      <w:jc w:val="center"/>
    </w:pPr>
    <w:rPr>
      <w:i/>
      <w:iCs/>
      <w:color w:val="404040" w:themeColor="text1" w:themeTint="BF"/>
    </w:rPr>
  </w:style>
  <w:style w:type="character" w:customStyle="1" w:styleId="QuoteChar">
    <w:name w:val="Quote Char"/>
    <w:basedOn w:val="DefaultParagraphFont"/>
    <w:link w:val="Quote"/>
    <w:uiPriority w:val="29"/>
    <w:rsid w:val="00BF4E6E"/>
    <w:rPr>
      <w:i/>
      <w:iCs/>
      <w:color w:val="404040" w:themeColor="text1" w:themeTint="BF"/>
    </w:rPr>
  </w:style>
  <w:style w:type="paragraph" w:styleId="ListParagraph">
    <w:name w:val="List Paragraph"/>
    <w:basedOn w:val="Normal"/>
    <w:uiPriority w:val="34"/>
    <w:qFormat/>
    <w:rsid w:val="00BF4E6E"/>
    <w:pPr>
      <w:ind w:left="720"/>
      <w:contextualSpacing/>
    </w:pPr>
  </w:style>
  <w:style w:type="character" w:styleId="IntenseEmphasis">
    <w:name w:val="Intense Emphasis"/>
    <w:basedOn w:val="DefaultParagraphFont"/>
    <w:uiPriority w:val="21"/>
    <w:qFormat/>
    <w:rsid w:val="00BF4E6E"/>
    <w:rPr>
      <w:i/>
      <w:iCs/>
      <w:color w:val="0F4761" w:themeColor="accent1" w:themeShade="BF"/>
    </w:rPr>
  </w:style>
  <w:style w:type="paragraph" w:styleId="IntenseQuote">
    <w:name w:val="Intense Quote"/>
    <w:basedOn w:val="Normal"/>
    <w:next w:val="Normal"/>
    <w:link w:val="IntenseQuoteChar"/>
    <w:uiPriority w:val="30"/>
    <w:qFormat/>
    <w:rsid w:val="00BF4E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E6E"/>
    <w:rPr>
      <w:i/>
      <w:iCs/>
      <w:color w:val="0F4761" w:themeColor="accent1" w:themeShade="BF"/>
    </w:rPr>
  </w:style>
  <w:style w:type="character" w:styleId="IntenseReference">
    <w:name w:val="Intense Reference"/>
    <w:basedOn w:val="DefaultParagraphFont"/>
    <w:uiPriority w:val="32"/>
    <w:qFormat/>
    <w:rsid w:val="00BF4E6E"/>
    <w:rPr>
      <w:b/>
      <w:bCs/>
      <w:smallCaps/>
      <w:color w:val="0F4761" w:themeColor="accent1" w:themeShade="BF"/>
      <w:spacing w:val="5"/>
    </w:rPr>
  </w:style>
  <w:style w:type="character" w:styleId="Hyperlink">
    <w:name w:val="Hyperlink"/>
    <w:basedOn w:val="DefaultParagraphFont"/>
    <w:uiPriority w:val="99"/>
    <w:unhideWhenUsed/>
    <w:rsid w:val="00102205"/>
    <w:rPr>
      <w:color w:val="467886" w:themeColor="hyperlink"/>
      <w:u w:val="single"/>
    </w:rPr>
  </w:style>
  <w:style w:type="character" w:styleId="UnresolvedMention">
    <w:name w:val="Unresolved Mention"/>
    <w:basedOn w:val="DefaultParagraphFont"/>
    <w:uiPriority w:val="99"/>
    <w:semiHidden/>
    <w:unhideWhenUsed/>
    <w:rsid w:val="001022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https://doi.org/10.1016/j.healthpol.2020.09.003" TargetMode="External" /><Relationship Id="rId18" Type="http://schemas.openxmlformats.org/officeDocument/2006/relationships/hyperlink" Target="https://www.oecd.org" TargetMode="External" /><Relationship Id="rId26" Type="http://schemas.openxmlformats.org/officeDocument/2006/relationships/hyperlink" Target="https://www.toronto.ca" TargetMode="External" /><Relationship Id="rId39" Type="http://schemas.openxmlformats.org/officeDocument/2006/relationships/hyperlink" Target="https://www.aljazeera.com" TargetMode="External" /><Relationship Id="rId3" Type="http://schemas.openxmlformats.org/officeDocument/2006/relationships/settings" Target="settings.xml" /><Relationship Id="rId21" Type="http://schemas.openxmlformats.org/officeDocument/2006/relationships/hyperlink" Target="https://www.kdca.go.kr" TargetMode="External" /><Relationship Id="rId34" Type="http://schemas.openxmlformats.org/officeDocument/2006/relationships/hyperlink" Target="https://www.theguardian.com" TargetMode="External" /><Relationship Id="rId42" Type="http://schemas.openxmlformats.org/officeDocument/2006/relationships/hyperlink" Target="https://www.bloomberg.com" TargetMode="External" /><Relationship Id="rId7" Type="http://schemas.openxmlformats.org/officeDocument/2006/relationships/image" Target="media/image2.jpeg" /><Relationship Id="rId12" Type="http://schemas.openxmlformats.org/officeDocument/2006/relationships/hyperlink" Target="https://doi.org/10.1007/978-1-4899-0024-9" TargetMode="External" /><Relationship Id="rId17" Type="http://schemas.openxmlformats.org/officeDocument/2006/relationships/hyperlink" Target="https://www.who.int" TargetMode="External" /><Relationship Id="rId25" Type="http://schemas.openxmlformats.org/officeDocument/2006/relationships/hyperlink" Target="https://english1.president.go.kr" TargetMode="External" /><Relationship Id="rId33" Type="http://schemas.openxmlformats.org/officeDocument/2006/relationships/hyperlink" Target="https://www.reuters.com" TargetMode="External" /><Relationship Id="rId38" Type="http://schemas.openxmlformats.org/officeDocument/2006/relationships/hyperlink" Target="https://www.cnn.com" TargetMode="External" /><Relationship Id="rId2" Type="http://schemas.openxmlformats.org/officeDocument/2006/relationships/styles" Target="styles.xml" /><Relationship Id="rId16" Type="http://schemas.openxmlformats.org/officeDocument/2006/relationships/hyperlink" Target="https://www.cmaj.ca/content/192/22/E617" TargetMode="External" /><Relationship Id="rId20" Type="http://schemas.openxmlformats.org/officeDocument/2006/relationships/hyperlink" Target="https://www.mscbs.gob.es" TargetMode="External" /><Relationship Id="rId29" Type="http://schemas.openxmlformats.org/officeDocument/2006/relationships/hyperlink" Target="https://doi.org/10.1080/14719037.2020.1788336" TargetMode="External" /><Relationship Id="rId41" Type="http://schemas.openxmlformats.org/officeDocument/2006/relationships/hyperlink" Target="https://www.ft.com" TargetMode="External" /><Relationship Id="rId1" Type="http://schemas.openxmlformats.org/officeDocument/2006/relationships/numbering" Target="numbering.xml" /><Relationship Id="rId6" Type="http://schemas.openxmlformats.org/officeDocument/2006/relationships/hyperlink" Target="https://www.who.int/data/stories/global-excess-deaths-associated-with-covid-19-january-" TargetMode="External" /><Relationship Id="rId11" Type="http://schemas.openxmlformats.org/officeDocument/2006/relationships/hyperlink" Target="https://doi.org/10.1016/j.polsoc.2020.06.005" TargetMode="External" /><Relationship Id="rId24" Type="http://schemas.openxmlformats.org/officeDocument/2006/relationships/hyperlink" Target="https://www.mscbs.gob.es" TargetMode="External" /><Relationship Id="rId32" Type="http://schemas.openxmlformats.org/officeDocument/2006/relationships/hyperlink" Target="https://www.statista.com" TargetMode="External" /><Relationship Id="rId37" Type="http://schemas.openxmlformats.org/officeDocument/2006/relationships/hyperlink" Target="https://www.thelancet.com" TargetMode="External" /><Relationship Id="rId40" Type="http://schemas.openxmlformats.org/officeDocument/2006/relationships/hyperlink" Target="https://globalnews.ca" TargetMode="External" /><Relationship Id="rId45" Type="http://schemas.openxmlformats.org/officeDocument/2006/relationships/theme" Target="theme/theme1.xml" /><Relationship Id="rId5" Type="http://schemas.openxmlformats.org/officeDocument/2006/relationships/image" Target="media/image1.jpeg" /><Relationship Id="rId15" Type="http://schemas.openxmlformats.org/officeDocument/2006/relationships/hyperlink" Target="https://doi.org/10.1111/puar.13241" TargetMode="External" /><Relationship Id="rId23" Type="http://schemas.openxmlformats.org/officeDocument/2006/relationships/hyperlink" Target="https://pm.gc.ca" TargetMode="External" /><Relationship Id="rId28" Type="http://schemas.openxmlformats.org/officeDocument/2006/relationships/hyperlink" Target="https://doi.org/10.3346/jkms.2021.36.e70" TargetMode="External" /><Relationship Id="rId36" Type="http://schemas.openxmlformats.org/officeDocument/2006/relationships/hyperlink" Target="https://www.nature.com" TargetMode="External" /><Relationship Id="rId10" Type="http://schemas.openxmlformats.org/officeDocument/2006/relationships/hyperlink" Target="https://psycnet.apa.org/record/1985-97408-000" TargetMode="External" /><Relationship Id="rId19" Type="http://schemas.openxmlformats.org/officeDocument/2006/relationships/hyperlink" Target="https://www.ecdc.europa.eu" TargetMode="External" /><Relationship Id="rId31" Type="http://schemas.openxmlformats.org/officeDocument/2006/relationships/hyperlink" Target="https://www.cbc.ca" TargetMode="External" /><Relationship Id="rId44"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hyperlink" Target="https://www.ncbi.nlm.nih.gov/pmc/articles/PMC7364465/" TargetMode="External" /><Relationship Id="rId22" Type="http://schemas.openxmlformats.org/officeDocument/2006/relationships/hyperlink" Target="https://www.canada.ca" TargetMode="External" /><Relationship Id="rId27" Type="http://schemas.openxmlformats.org/officeDocument/2006/relationships/hyperlink" Target="https://www.comunidad.madrid" TargetMode="External" /><Relationship Id="rId30" Type="http://schemas.openxmlformats.org/officeDocument/2006/relationships/hyperlink" Target="https://time.com" TargetMode="External" /><Relationship Id="rId35" Type="http://schemas.openxmlformats.org/officeDocument/2006/relationships/hyperlink" Target="https://www.bbc.com" TargetMode="External" /><Relationship Id="rId43" Type="http://schemas.openxmlformats.org/officeDocument/2006/relationships/hyperlink" Target="https://www.coronavirus.jhu.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3120</Words>
  <Characters>17789</Characters>
  <Application>Microsoft Office Word</Application>
  <DocSecurity>0</DocSecurity>
  <Lines>148</Lines>
  <Paragraphs>41</Paragraphs>
  <ScaleCrop>false</ScaleCrop>
  <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JAIMIN JADAV</dc:creator>
  <cp:keywords/>
  <dc:description/>
  <cp:lastModifiedBy>JAIMIN JADAV</cp:lastModifiedBy>
  <cp:revision>2</cp:revision>
  <dcterms:created xsi:type="dcterms:W3CDTF">2025-11-21T10:34:00Z</dcterms:created>
  <dcterms:modified xsi:type="dcterms:W3CDTF">2025-11-21T10:34:00Z</dcterms:modified>
</cp:coreProperties>
</file>