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B7BE04" w14:textId="77777777" w:rsidR="00A5215F" w:rsidRDefault="00A5215F" w:rsidP="00A5215F">
      <w:pPr>
        <w:jc w:val="center"/>
        <w:rPr>
          <w:b/>
          <w:bCs/>
          <w:sz w:val="48"/>
          <w:szCs w:val="44"/>
        </w:rPr>
      </w:pPr>
    </w:p>
    <w:p w14:paraId="3C1DD249" w14:textId="77777777" w:rsidR="00A5215F" w:rsidRDefault="00A5215F" w:rsidP="00A5215F">
      <w:pPr>
        <w:jc w:val="center"/>
        <w:rPr>
          <w:b/>
          <w:bCs/>
          <w:sz w:val="48"/>
          <w:szCs w:val="44"/>
        </w:rPr>
      </w:pPr>
    </w:p>
    <w:p w14:paraId="5DEFF8F5" w14:textId="77777777" w:rsidR="00A5215F" w:rsidRDefault="00A5215F" w:rsidP="00A5215F">
      <w:pPr>
        <w:jc w:val="center"/>
        <w:rPr>
          <w:b/>
          <w:bCs/>
          <w:sz w:val="48"/>
          <w:szCs w:val="44"/>
        </w:rPr>
      </w:pPr>
    </w:p>
    <w:p w14:paraId="4DC7D8D8" w14:textId="77777777" w:rsidR="00A5215F" w:rsidRDefault="00A5215F" w:rsidP="00A5215F">
      <w:pPr>
        <w:jc w:val="center"/>
        <w:rPr>
          <w:b/>
          <w:bCs/>
          <w:sz w:val="48"/>
          <w:szCs w:val="44"/>
        </w:rPr>
      </w:pPr>
    </w:p>
    <w:p w14:paraId="752B18E3" w14:textId="77777777" w:rsidR="00A5215F" w:rsidRDefault="00A5215F" w:rsidP="00A5215F">
      <w:pPr>
        <w:jc w:val="center"/>
        <w:rPr>
          <w:b/>
          <w:bCs/>
          <w:sz w:val="48"/>
          <w:szCs w:val="44"/>
        </w:rPr>
      </w:pPr>
    </w:p>
    <w:p w14:paraId="71DB5551" w14:textId="714100F1" w:rsidR="00803D93" w:rsidRDefault="00A5215F" w:rsidP="00A5215F">
      <w:pPr>
        <w:jc w:val="center"/>
        <w:rPr>
          <w:b/>
          <w:bCs/>
          <w:sz w:val="48"/>
          <w:szCs w:val="44"/>
        </w:rPr>
      </w:pPr>
      <w:r w:rsidRPr="00A5215F">
        <w:rPr>
          <w:b/>
          <w:bCs/>
          <w:sz w:val="48"/>
          <w:szCs w:val="44"/>
        </w:rPr>
        <w:t>International Financial Management</w:t>
      </w:r>
    </w:p>
    <w:p w14:paraId="2FF37FE1" w14:textId="77777777" w:rsidR="005F225D" w:rsidRDefault="005F225D" w:rsidP="00A5215F">
      <w:pPr>
        <w:jc w:val="center"/>
        <w:rPr>
          <w:b/>
          <w:bCs/>
          <w:sz w:val="48"/>
          <w:szCs w:val="44"/>
        </w:rPr>
      </w:pPr>
    </w:p>
    <w:p w14:paraId="0CE4ED37" w14:textId="77777777" w:rsidR="005F225D" w:rsidRPr="005F225D" w:rsidRDefault="005F225D" w:rsidP="00A5215F">
      <w:pPr>
        <w:jc w:val="center"/>
        <w:rPr>
          <w:sz w:val="28"/>
          <w:szCs w:val="28"/>
        </w:rPr>
      </w:pPr>
    </w:p>
    <w:p w14:paraId="1B436C8B" w14:textId="620824E3" w:rsidR="00A5215F" w:rsidRPr="005F225D" w:rsidRDefault="00A5215F" w:rsidP="00A5215F">
      <w:pPr>
        <w:jc w:val="center"/>
        <w:rPr>
          <w:sz w:val="28"/>
          <w:szCs w:val="28"/>
        </w:rPr>
      </w:pPr>
      <w:r w:rsidRPr="005F225D">
        <w:rPr>
          <w:sz w:val="28"/>
          <w:szCs w:val="28"/>
        </w:rPr>
        <w:t>Student Nam</w:t>
      </w:r>
      <w:r w:rsidR="005F225D" w:rsidRPr="005F225D">
        <w:rPr>
          <w:sz w:val="28"/>
          <w:szCs w:val="28"/>
        </w:rPr>
        <w:t>e: Elena Georgiana Butescu</w:t>
      </w:r>
    </w:p>
    <w:p w14:paraId="66749480" w14:textId="6C6EDDEC" w:rsidR="005F225D" w:rsidRDefault="00A5215F" w:rsidP="005F225D">
      <w:pPr>
        <w:jc w:val="center"/>
        <w:rPr>
          <w:b/>
          <w:bCs/>
          <w:sz w:val="28"/>
          <w:szCs w:val="24"/>
        </w:rPr>
      </w:pPr>
      <w:r w:rsidRPr="005F225D">
        <w:rPr>
          <w:sz w:val="28"/>
          <w:szCs w:val="28"/>
        </w:rPr>
        <w:t>Student ID:</w:t>
      </w:r>
      <w:r w:rsidR="005F225D" w:rsidRPr="005F225D">
        <w:rPr>
          <w:sz w:val="28"/>
          <w:szCs w:val="28"/>
        </w:rPr>
        <w:t xml:space="preserve"> 2132844</w:t>
      </w:r>
      <w:r>
        <w:rPr>
          <w:b/>
          <w:bCs/>
          <w:sz w:val="28"/>
          <w:szCs w:val="24"/>
        </w:rPr>
        <w:br w:type="page"/>
      </w:r>
    </w:p>
    <w:p w14:paraId="2A082469" w14:textId="007B2810" w:rsidR="00A5215F" w:rsidRPr="00A5215F" w:rsidRDefault="00A5215F" w:rsidP="00A5215F">
      <w:pPr>
        <w:jc w:val="center"/>
        <w:rPr>
          <w:b/>
          <w:bCs/>
        </w:rPr>
      </w:pPr>
      <w:r w:rsidRPr="00A5215F">
        <w:rPr>
          <w:b/>
          <w:bCs/>
        </w:rPr>
        <w:lastRenderedPageBreak/>
        <w:t>Executive Summary</w:t>
      </w:r>
    </w:p>
    <w:p w14:paraId="0CD0C6EC" w14:textId="11D92216" w:rsidR="00C155C8" w:rsidRDefault="00C155C8" w:rsidP="00C155C8">
      <w:r>
        <w:t xml:space="preserve">The report contained the corporate governance and CSR framework of Aviva Plc. The metric to comprehend such responsibilities was provided in the report. It was followed by a discussion on the impacts of the CSR elements on the performance of the company. It also conducted various </w:t>
      </w:r>
      <w:r w:rsidR="006E2096">
        <w:t>analyses</w:t>
      </w:r>
      <w:r>
        <w:t xml:space="preserve"> such as the</w:t>
      </w:r>
      <w:r w:rsidR="006E2096">
        <w:t xml:space="preserve"> empirical and thematic analysis of the corporate governance and CSR framework.</w:t>
      </w:r>
      <w:r>
        <w:br w:type="page"/>
      </w:r>
    </w:p>
    <w:sdt>
      <w:sdtPr>
        <w:rPr>
          <w:rFonts w:ascii="Times New Roman" w:eastAsiaTheme="minorHAnsi" w:hAnsi="Times New Roman" w:cs="Arial"/>
          <w:color w:val="auto"/>
          <w:sz w:val="24"/>
          <w:szCs w:val="22"/>
          <w:lang w:val="en-GB"/>
          <w14:ligatures w14:val="standardContextual"/>
        </w:rPr>
        <w:id w:val="534782764"/>
        <w:docPartObj>
          <w:docPartGallery w:val="Table of Contents"/>
          <w:docPartUnique/>
        </w:docPartObj>
      </w:sdtPr>
      <w:sdtEndPr>
        <w:rPr>
          <w:b/>
          <w:bCs/>
          <w:noProof/>
        </w:rPr>
      </w:sdtEndPr>
      <w:sdtContent>
        <w:p w14:paraId="700AE190" w14:textId="55F1FBF9" w:rsidR="00C155C8" w:rsidRDefault="00C155C8">
          <w:pPr>
            <w:pStyle w:val="TOCHeading"/>
          </w:pPr>
          <w:r>
            <w:t>Table of Contents</w:t>
          </w:r>
        </w:p>
        <w:p w14:paraId="229762DE" w14:textId="7D007073" w:rsidR="000A476C" w:rsidRDefault="00C155C8">
          <w:pPr>
            <w:pStyle w:val="TOC1"/>
            <w:tabs>
              <w:tab w:val="right" w:leader="dot" w:pos="9016"/>
            </w:tabs>
            <w:rPr>
              <w:rFonts w:asciiTheme="minorHAnsi" w:eastAsiaTheme="minorEastAsia" w:hAnsiTheme="minorHAnsi" w:cstheme="minorBidi"/>
              <w:noProof/>
              <w:kern w:val="2"/>
              <w:sz w:val="22"/>
              <w:lang w:eastAsia="en-GB"/>
            </w:rPr>
          </w:pPr>
          <w:r>
            <w:fldChar w:fldCharType="begin"/>
          </w:r>
          <w:r>
            <w:instrText xml:space="preserve"> TOC \o "1-3" \h \z \u </w:instrText>
          </w:r>
          <w:r>
            <w:fldChar w:fldCharType="separate"/>
          </w:r>
          <w:hyperlink w:anchor="_Toc170396517" w:history="1">
            <w:r w:rsidR="000A476C" w:rsidRPr="00C94B25">
              <w:rPr>
                <w:rStyle w:val="Hyperlink"/>
                <w:noProof/>
              </w:rPr>
              <w:t>Introduction</w:t>
            </w:r>
            <w:r w:rsidR="000A476C">
              <w:rPr>
                <w:noProof/>
                <w:webHidden/>
              </w:rPr>
              <w:tab/>
            </w:r>
            <w:r w:rsidR="000A476C">
              <w:rPr>
                <w:noProof/>
                <w:webHidden/>
              </w:rPr>
              <w:fldChar w:fldCharType="begin"/>
            </w:r>
            <w:r w:rsidR="000A476C">
              <w:rPr>
                <w:noProof/>
                <w:webHidden/>
              </w:rPr>
              <w:instrText xml:space="preserve"> PAGEREF _Toc170396517 \h </w:instrText>
            </w:r>
            <w:r w:rsidR="000A476C">
              <w:rPr>
                <w:noProof/>
                <w:webHidden/>
              </w:rPr>
            </w:r>
            <w:r w:rsidR="000A476C">
              <w:rPr>
                <w:noProof/>
                <w:webHidden/>
              </w:rPr>
              <w:fldChar w:fldCharType="separate"/>
            </w:r>
            <w:r w:rsidR="000A476C">
              <w:rPr>
                <w:noProof/>
                <w:webHidden/>
              </w:rPr>
              <w:t>4</w:t>
            </w:r>
            <w:r w:rsidR="000A476C">
              <w:rPr>
                <w:noProof/>
                <w:webHidden/>
              </w:rPr>
              <w:fldChar w:fldCharType="end"/>
            </w:r>
          </w:hyperlink>
        </w:p>
        <w:p w14:paraId="24B890ED" w14:textId="5C2C136B" w:rsidR="000A476C" w:rsidRDefault="00000000">
          <w:pPr>
            <w:pStyle w:val="TOC1"/>
            <w:tabs>
              <w:tab w:val="right" w:leader="dot" w:pos="9016"/>
            </w:tabs>
            <w:rPr>
              <w:rFonts w:asciiTheme="minorHAnsi" w:eastAsiaTheme="minorEastAsia" w:hAnsiTheme="minorHAnsi" w:cstheme="minorBidi"/>
              <w:noProof/>
              <w:kern w:val="2"/>
              <w:sz w:val="22"/>
              <w:lang w:eastAsia="en-GB"/>
            </w:rPr>
          </w:pPr>
          <w:hyperlink w:anchor="_Toc170396518" w:history="1">
            <w:r w:rsidR="000A476C" w:rsidRPr="00C94B25">
              <w:rPr>
                <w:rStyle w:val="Hyperlink"/>
                <w:noProof/>
              </w:rPr>
              <w:t>Summary of Metrics for Corporate Governance and CSR</w:t>
            </w:r>
            <w:r w:rsidR="000A476C">
              <w:rPr>
                <w:noProof/>
                <w:webHidden/>
              </w:rPr>
              <w:tab/>
            </w:r>
            <w:r w:rsidR="000A476C">
              <w:rPr>
                <w:noProof/>
                <w:webHidden/>
              </w:rPr>
              <w:fldChar w:fldCharType="begin"/>
            </w:r>
            <w:r w:rsidR="000A476C">
              <w:rPr>
                <w:noProof/>
                <w:webHidden/>
              </w:rPr>
              <w:instrText xml:space="preserve"> PAGEREF _Toc170396518 \h </w:instrText>
            </w:r>
            <w:r w:rsidR="000A476C">
              <w:rPr>
                <w:noProof/>
                <w:webHidden/>
              </w:rPr>
            </w:r>
            <w:r w:rsidR="000A476C">
              <w:rPr>
                <w:noProof/>
                <w:webHidden/>
              </w:rPr>
              <w:fldChar w:fldCharType="separate"/>
            </w:r>
            <w:r w:rsidR="000A476C">
              <w:rPr>
                <w:noProof/>
                <w:webHidden/>
              </w:rPr>
              <w:t>5</w:t>
            </w:r>
            <w:r w:rsidR="000A476C">
              <w:rPr>
                <w:noProof/>
                <w:webHidden/>
              </w:rPr>
              <w:fldChar w:fldCharType="end"/>
            </w:r>
          </w:hyperlink>
        </w:p>
        <w:p w14:paraId="579CA95D" w14:textId="2A4C0039" w:rsidR="000A476C" w:rsidRDefault="00000000">
          <w:pPr>
            <w:pStyle w:val="TOC2"/>
            <w:tabs>
              <w:tab w:val="right" w:leader="dot" w:pos="9016"/>
            </w:tabs>
            <w:rPr>
              <w:rFonts w:asciiTheme="minorHAnsi" w:eastAsiaTheme="minorEastAsia" w:hAnsiTheme="minorHAnsi" w:cstheme="minorBidi"/>
              <w:noProof/>
              <w:kern w:val="2"/>
              <w:sz w:val="22"/>
              <w:lang w:eastAsia="en-GB"/>
            </w:rPr>
          </w:pPr>
          <w:hyperlink w:anchor="_Toc170396519" w:history="1">
            <w:r w:rsidR="000A476C" w:rsidRPr="00C94B25">
              <w:rPr>
                <w:rStyle w:val="Hyperlink"/>
                <w:noProof/>
              </w:rPr>
              <w:t>Corporate Governance Metrics</w:t>
            </w:r>
            <w:r w:rsidR="000A476C">
              <w:rPr>
                <w:noProof/>
                <w:webHidden/>
              </w:rPr>
              <w:tab/>
            </w:r>
            <w:r w:rsidR="000A476C">
              <w:rPr>
                <w:noProof/>
                <w:webHidden/>
              </w:rPr>
              <w:fldChar w:fldCharType="begin"/>
            </w:r>
            <w:r w:rsidR="000A476C">
              <w:rPr>
                <w:noProof/>
                <w:webHidden/>
              </w:rPr>
              <w:instrText xml:space="preserve"> PAGEREF _Toc170396519 \h </w:instrText>
            </w:r>
            <w:r w:rsidR="000A476C">
              <w:rPr>
                <w:noProof/>
                <w:webHidden/>
              </w:rPr>
            </w:r>
            <w:r w:rsidR="000A476C">
              <w:rPr>
                <w:noProof/>
                <w:webHidden/>
              </w:rPr>
              <w:fldChar w:fldCharType="separate"/>
            </w:r>
            <w:r w:rsidR="000A476C">
              <w:rPr>
                <w:noProof/>
                <w:webHidden/>
              </w:rPr>
              <w:t>5</w:t>
            </w:r>
            <w:r w:rsidR="000A476C">
              <w:rPr>
                <w:noProof/>
                <w:webHidden/>
              </w:rPr>
              <w:fldChar w:fldCharType="end"/>
            </w:r>
          </w:hyperlink>
        </w:p>
        <w:p w14:paraId="301A49C0" w14:textId="0843F0F0" w:rsidR="000A476C" w:rsidRDefault="00000000">
          <w:pPr>
            <w:pStyle w:val="TOC2"/>
            <w:tabs>
              <w:tab w:val="right" w:leader="dot" w:pos="9016"/>
            </w:tabs>
            <w:rPr>
              <w:rFonts w:asciiTheme="minorHAnsi" w:eastAsiaTheme="minorEastAsia" w:hAnsiTheme="minorHAnsi" w:cstheme="minorBidi"/>
              <w:noProof/>
              <w:kern w:val="2"/>
              <w:sz w:val="22"/>
              <w:lang w:eastAsia="en-GB"/>
            </w:rPr>
          </w:pPr>
          <w:hyperlink w:anchor="_Toc170396520" w:history="1">
            <w:r w:rsidR="000A476C" w:rsidRPr="00C94B25">
              <w:rPr>
                <w:rStyle w:val="Hyperlink"/>
                <w:noProof/>
              </w:rPr>
              <w:t>CSR Metrics</w:t>
            </w:r>
            <w:r w:rsidR="000A476C">
              <w:rPr>
                <w:noProof/>
                <w:webHidden/>
              </w:rPr>
              <w:tab/>
            </w:r>
            <w:r w:rsidR="000A476C">
              <w:rPr>
                <w:noProof/>
                <w:webHidden/>
              </w:rPr>
              <w:fldChar w:fldCharType="begin"/>
            </w:r>
            <w:r w:rsidR="000A476C">
              <w:rPr>
                <w:noProof/>
                <w:webHidden/>
              </w:rPr>
              <w:instrText xml:space="preserve"> PAGEREF _Toc170396520 \h </w:instrText>
            </w:r>
            <w:r w:rsidR="000A476C">
              <w:rPr>
                <w:noProof/>
                <w:webHidden/>
              </w:rPr>
            </w:r>
            <w:r w:rsidR="000A476C">
              <w:rPr>
                <w:noProof/>
                <w:webHidden/>
              </w:rPr>
              <w:fldChar w:fldCharType="separate"/>
            </w:r>
            <w:r w:rsidR="000A476C">
              <w:rPr>
                <w:noProof/>
                <w:webHidden/>
              </w:rPr>
              <w:t>6</w:t>
            </w:r>
            <w:r w:rsidR="000A476C">
              <w:rPr>
                <w:noProof/>
                <w:webHidden/>
              </w:rPr>
              <w:fldChar w:fldCharType="end"/>
            </w:r>
          </w:hyperlink>
        </w:p>
        <w:p w14:paraId="7B8C12FA" w14:textId="62CAABC7" w:rsidR="000A476C" w:rsidRDefault="00000000">
          <w:pPr>
            <w:pStyle w:val="TOC1"/>
            <w:tabs>
              <w:tab w:val="right" w:leader="dot" w:pos="9016"/>
            </w:tabs>
            <w:rPr>
              <w:rFonts w:asciiTheme="minorHAnsi" w:eastAsiaTheme="minorEastAsia" w:hAnsiTheme="minorHAnsi" w:cstheme="minorBidi"/>
              <w:noProof/>
              <w:kern w:val="2"/>
              <w:sz w:val="22"/>
              <w:lang w:eastAsia="en-GB"/>
            </w:rPr>
          </w:pPr>
          <w:hyperlink w:anchor="_Toc170396521" w:history="1">
            <w:r w:rsidR="000A476C" w:rsidRPr="00C94B25">
              <w:rPr>
                <w:rStyle w:val="Hyperlink"/>
                <w:noProof/>
              </w:rPr>
              <w:t>Impact of Corporate Governance on Firm Performance</w:t>
            </w:r>
            <w:r w:rsidR="000A476C">
              <w:rPr>
                <w:noProof/>
                <w:webHidden/>
              </w:rPr>
              <w:tab/>
            </w:r>
            <w:r w:rsidR="000A476C">
              <w:rPr>
                <w:noProof/>
                <w:webHidden/>
              </w:rPr>
              <w:fldChar w:fldCharType="begin"/>
            </w:r>
            <w:r w:rsidR="000A476C">
              <w:rPr>
                <w:noProof/>
                <w:webHidden/>
              </w:rPr>
              <w:instrText xml:space="preserve"> PAGEREF _Toc170396521 \h </w:instrText>
            </w:r>
            <w:r w:rsidR="000A476C">
              <w:rPr>
                <w:noProof/>
                <w:webHidden/>
              </w:rPr>
            </w:r>
            <w:r w:rsidR="000A476C">
              <w:rPr>
                <w:noProof/>
                <w:webHidden/>
              </w:rPr>
              <w:fldChar w:fldCharType="separate"/>
            </w:r>
            <w:r w:rsidR="000A476C">
              <w:rPr>
                <w:noProof/>
                <w:webHidden/>
              </w:rPr>
              <w:t>7</w:t>
            </w:r>
            <w:r w:rsidR="000A476C">
              <w:rPr>
                <w:noProof/>
                <w:webHidden/>
              </w:rPr>
              <w:fldChar w:fldCharType="end"/>
            </w:r>
          </w:hyperlink>
        </w:p>
        <w:p w14:paraId="47C104EB" w14:textId="33A202BA" w:rsidR="000A476C" w:rsidRDefault="00000000">
          <w:pPr>
            <w:pStyle w:val="TOC1"/>
            <w:tabs>
              <w:tab w:val="right" w:leader="dot" w:pos="9016"/>
            </w:tabs>
            <w:rPr>
              <w:rFonts w:asciiTheme="minorHAnsi" w:eastAsiaTheme="minorEastAsia" w:hAnsiTheme="minorHAnsi" w:cstheme="minorBidi"/>
              <w:noProof/>
              <w:kern w:val="2"/>
              <w:sz w:val="22"/>
              <w:lang w:eastAsia="en-GB"/>
            </w:rPr>
          </w:pPr>
          <w:hyperlink w:anchor="_Toc170396522" w:history="1">
            <w:r w:rsidR="000A476C" w:rsidRPr="00C94B25">
              <w:rPr>
                <w:rStyle w:val="Hyperlink"/>
                <w:noProof/>
              </w:rPr>
              <w:t>Impact of CSR on Firm Performance</w:t>
            </w:r>
            <w:r w:rsidR="000A476C">
              <w:rPr>
                <w:noProof/>
                <w:webHidden/>
              </w:rPr>
              <w:tab/>
            </w:r>
            <w:r w:rsidR="000A476C">
              <w:rPr>
                <w:noProof/>
                <w:webHidden/>
              </w:rPr>
              <w:fldChar w:fldCharType="begin"/>
            </w:r>
            <w:r w:rsidR="000A476C">
              <w:rPr>
                <w:noProof/>
                <w:webHidden/>
              </w:rPr>
              <w:instrText xml:space="preserve"> PAGEREF _Toc170396522 \h </w:instrText>
            </w:r>
            <w:r w:rsidR="000A476C">
              <w:rPr>
                <w:noProof/>
                <w:webHidden/>
              </w:rPr>
            </w:r>
            <w:r w:rsidR="000A476C">
              <w:rPr>
                <w:noProof/>
                <w:webHidden/>
              </w:rPr>
              <w:fldChar w:fldCharType="separate"/>
            </w:r>
            <w:r w:rsidR="000A476C">
              <w:rPr>
                <w:noProof/>
                <w:webHidden/>
              </w:rPr>
              <w:t>9</w:t>
            </w:r>
            <w:r w:rsidR="000A476C">
              <w:rPr>
                <w:noProof/>
                <w:webHidden/>
              </w:rPr>
              <w:fldChar w:fldCharType="end"/>
            </w:r>
          </w:hyperlink>
        </w:p>
        <w:p w14:paraId="52E68E33" w14:textId="0B4BC8F8" w:rsidR="000A476C" w:rsidRDefault="00000000">
          <w:pPr>
            <w:pStyle w:val="TOC1"/>
            <w:tabs>
              <w:tab w:val="right" w:leader="dot" w:pos="9016"/>
            </w:tabs>
            <w:rPr>
              <w:rFonts w:asciiTheme="minorHAnsi" w:eastAsiaTheme="minorEastAsia" w:hAnsiTheme="minorHAnsi" w:cstheme="minorBidi"/>
              <w:noProof/>
              <w:kern w:val="2"/>
              <w:sz w:val="22"/>
              <w:lang w:eastAsia="en-GB"/>
            </w:rPr>
          </w:pPr>
          <w:hyperlink w:anchor="_Toc170396523" w:history="1">
            <w:r w:rsidR="000A476C" w:rsidRPr="00C94B25">
              <w:rPr>
                <w:rStyle w:val="Hyperlink"/>
                <w:noProof/>
              </w:rPr>
              <w:t>Empirical Analysis</w:t>
            </w:r>
            <w:r w:rsidR="000A476C">
              <w:rPr>
                <w:noProof/>
                <w:webHidden/>
              </w:rPr>
              <w:tab/>
            </w:r>
            <w:r w:rsidR="000A476C">
              <w:rPr>
                <w:noProof/>
                <w:webHidden/>
              </w:rPr>
              <w:fldChar w:fldCharType="begin"/>
            </w:r>
            <w:r w:rsidR="000A476C">
              <w:rPr>
                <w:noProof/>
                <w:webHidden/>
              </w:rPr>
              <w:instrText xml:space="preserve"> PAGEREF _Toc170396523 \h </w:instrText>
            </w:r>
            <w:r w:rsidR="000A476C">
              <w:rPr>
                <w:noProof/>
                <w:webHidden/>
              </w:rPr>
            </w:r>
            <w:r w:rsidR="000A476C">
              <w:rPr>
                <w:noProof/>
                <w:webHidden/>
              </w:rPr>
              <w:fldChar w:fldCharType="separate"/>
            </w:r>
            <w:r w:rsidR="000A476C">
              <w:rPr>
                <w:noProof/>
                <w:webHidden/>
              </w:rPr>
              <w:t>11</w:t>
            </w:r>
            <w:r w:rsidR="000A476C">
              <w:rPr>
                <w:noProof/>
                <w:webHidden/>
              </w:rPr>
              <w:fldChar w:fldCharType="end"/>
            </w:r>
          </w:hyperlink>
        </w:p>
        <w:p w14:paraId="71EA2AC4" w14:textId="4FF129D0" w:rsidR="000A476C" w:rsidRDefault="00000000">
          <w:pPr>
            <w:pStyle w:val="TOC1"/>
            <w:tabs>
              <w:tab w:val="right" w:leader="dot" w:pos="9016"/>
            </w:tabs>
            <w:rPr>
              <w:rFonts w:asciiTheme="minorHAnsi" w:eastAsiaTheme="minorEastAsia" w:hAnsiTheme="minorHAnsi" w:cstheme="minorBidi"/>
              <w:noProof/>
              <w:kern w:val="2"/>
              <w:sz w:val="22"/>
              <w:lang w:eastAsia="en-GB"/>
            </w:rPr>
          </w:pPr>
          <w:hyperlink w:anchor="_Toc170396524" w:history="1">
            <w:r w:rsidR="000A476C" w:rsidRPr="00C94B25">
              <w:rPr>
                <w:rStyle w:val="Hyperlink"/>
                <w:noProof/>
              </w:rPr>
              <w:t>Thematic Analysis</w:t>
            </w:r>
            <w:r w:rsidR="000A476C">
              <w:rPr>
                <w:noProof/>
                <w:webHidden/>
              </w:rPr>
              <w:tab/>
            </w:r>
            <w:r w:rsidR="000A476C">
              <w:rPr>
                <w:noProof/>
                <w:webHidden/>
              </w:rPr>
              <w:fldChar w:fldCharType="begin"/>
            </w:r>
            <w:r w:rsidR="000A476C">
              <w:rPr>
                <w:noProof/>
                <w:webHidden/>
              </w:rPr>
              <w:instrText xml:space="preserve"> PAGEREF _Toc170396524 \h </w:instrText>
            </w:r>
            <w:r w:rsidR="000A476C">
              <w:rPr>
                <w:noProof/>
                <w:webHidden/>
              </w:rPr>
            </w:r>
            <w:r w:rsidR="000A476C">
              <w:rPr>
                <w:noProof/>
                <w:webHidden/>
              </w:rPr>
              <w:fldChar w:fldCharType="separate"/>
            </w:r>
            <w:r w:rsidR="000A476C">
              <w:rPr>
                <w:noProof/>
                <w:webHidden/>
              </w:rPr>
              <w:t>12</w:t>
            </w:r>
            <w:r w:rsidR="000A476C">
              <w:rPr>
                <w:noProof/>
                <w:webHidden/>
              </w:rPr>
              <w:fldChar w:fldCharType="end"/>
            </w:r>
          </w:hyperlink>
        </w:p>
        <w:p w14:paraId="3F77A527" w14:textId="229CEF96" w:rsidR="000A476C" w:rsidRDefault="00000000">
          <w:pPr>
            <w:pStyle w:val="TOC2"/>
            <w:tabs>
              <w:tab w:val="right" w:leader="dot" w:pos="9016"/>
            </w:tabs>
            <w:rPr>
              <w:rFonts w:asciiTheme="minorHAnsi" w:eastAsiaTheme="minorEastAsia" w:hAnsiTheme="minorHAnsi" w:cstheme="minorBidi"/>
              <w:noProof/>
              <w:kern w:val="2"/>
              <w:sz w:val="22"/>
              <w:lang w:eastAsia="en-GB"/>
            </w:rPr>
          </w:pPr>
          <w:hyperlink w:anchor="_Toc170396525" w:history="1">
            <w:r w:rsidR="000A476C" w:rsidRPr="00C94B25">
              <w:rPr>
                <w:rStyle w:val="Hyperlink"/>
                <w:noProof/>
              </w:rPr>
              <w:t>Governance Themes</w:t>
            </w:r>
            <w:r w:rsidR="000A476C">
              <w:rPr>
                <w:noProof/>
                <w:webHidden/>
              </w:rPr>
              <w:tab/>
            </w:r>
            <w:r w:rsidR="000A476C">
              <w:rPr>
                <w:noProof/>
                <w:webHidden/>
              </w:rPr>
              <w:fldChar w:fldCharType="begin"/>
            </w:r>
            <w:r w:rsidR="000A476C">
              <w:rPr>
                <w:noProof/>
                <w:webHidden/>
              </w:rPr>
              <w:instrText xml:space="preserve"> PAGEREF _Toc170396525 \h </w:instrText>
            </w:r>
            <w:r w:rsidR="000A476C">
              <w:rPr>
                <w:noProof/>
                <w:webHidden/>
              </w:rPr>
            </w:r>
            <w:r w:rsidR="000A476C">
              <w:rPr>
                <w:noProof/>
                <w:webHidden/>
              </w:rPr>
              <w:fldChar w:fldCharType="separate"/>
            </w:r>
            <w:r w:rsidR="000A476C">
              <w:rPr>
                <w:noProof/>
                <w:webHidden/>
              </w:rPr>
              <w:t>12</w:t>
            </w:r>
            <w:r w:rsidR="000A476C">
              <w:rPr>
                <w:noProof/>
                <w:webHidden/>
              </w:rPr>
              <w:fldChar w:fldCharType="end"/>
            </w:r>
          </w:hyperlink>
        </w:p>
        <w:p w14:paraId="6C079E0F" w14:textId="2B6F5AD8" w:rsidR="000A476C" w:rsidRDefault="00000000">
          <w:pPr>
            <w:pStyle w:val="TOC2"/>
            <w:tabs>
              <w:tab w:val="right" w:leader="dot" w:pos="9016"/>
            </w:tabs>
            <w:rPr>
              <w:rFonts w:asciiTheme="minorHAnsi" w:eastAsiaTheme="minorEastAsia" w:hAnsiTheme="minorHAnsi" w:cstheme="minorBidi"/>
              <w:noProof/>
              <w:kern w:val="2"/>
              <w:sz w:val="22"/>
              <w:lang w:eastAsia="en-GB"/>
            </w:rPr>
          </w:pPr>
          <w:hyperlink w:anchor="_Toc170396526" w:history="1">
            <w:r w:rsidR="000A476C" w:rsidRPr="00C94B25">
              <w:rPr>
                <w:rStyle w:val="Hyperlink"/>
                <w:noProof/>
              </w:rPr>
              <w:t>CSR Themes</w:t>
            </w:r>
            <w:r w:rsidR="000A476C">
              <w:rPr>
                <w:noProof/>
                <w:webHidden/>
              </w:rPr>
              <w:tab/>
            </w:r>
            <w:r w:rsidR="000A476C">
              <w:rPr>
                <w:noProof/>
                <w:webHidden/>
              </w:rPr>
              <w:fldChar w:fldCharType="begin"/>
            </w:r>
            <w:r w:rsidR="000A476C">
              <w:rPr>
                <w:noProof/>
                <w:webHidden/>
              </w:rPr>
              <w:instrText xml:space="preserve"> PAGEREF _Toc170396526 \h </w:instrText>
            </w:r>
            <w:r w:rsidR="000A476C">
              <w:rPr>
                <w:noProof/>
                <w:webHidden/>
              </w:rPr>
            </w:r>
            <w:r w:rsidR="000A476C">
              <w:rPr>
                <w:noProof/>
                <w:webHidden/>
              </w:rPr>
              <w:fldChar w:fldCharType="separate"/>
            </w:r>
            <w:r w:rsidR="000A476C">
              <w:rPr>
                <w:noProof/>
                <w:webHidden/>
              </w:rPr>
              <w:t>12</w:t>
            </w:r>
            <w:r w:rsidR="000A476C">
              <w:rPr>
                <w:noProof/>
                <w:webHidden/>
              </w:rPr>
              <w:fldChar w:fldCharType="end"/>
            </w:r>
          </w:hyperlink>
        </w:p>
        <w:p w14:paraId="7B479DEE" w14:textId="1A9B2A8B" w:rsidR="000A476C" w:rsidRDefault="00000000">
          <w:pPr>
            <w:pStyle w:val="TOC1"/>
            <w:tabs>
              <w:tab w:val="right" w:leader="dot" w:pos="9016"/>
            </w:tabs>
            <w:rPr>
              <w:rFonts w:asciiTheme="minorHAnsi" w:eastAsiaTheme="minorEastAsia" w:hAnsiTheme="minorHAnsi" w:cstheme="minorBidi"/>
              <w:noProof/>
              <w:kern w:val="2"/>
              <w:sz w:val="22"/>
              <w:lang w:eastAsia="en-GB"/>
            </w:rPr>
          </w:pPr>
          <w:hyperlink w:anchor="_Toc170396527" w:history="1">
            <w:r w:rsidR="000A476C" w:rsidRPr="00C94B25">
              <w:rPr>
                <w:rStyle w:val="Hyperlink"/>
                <w:noProof/>
              </w:rPr>
              <w:t>Conclusion</w:t>
            </w:r>
            <w:r w:rsidR="000A476C">
              <w:rPr>
                <w:noProof/>
                <w:webHidden/>
              </w:rPr>
              <w:tab/>
            </w:r>
            <w:r w:rsidR="000A476C">
              <w:rPr>
                <w:noProof/>
                <w:webHidden/>
              </w:rPr>
              <w:fldChar w:fldCharType="begin"/>
            </w:r>
            <w:r w:rsidR="000A476C">
              <w:rPr>
                <w:noProof/>
                <w:webHidden/>
              </w:rPr>
              <w:instrText xml:space="preserve"> PAGEREF _Toc170396527 \h </w:instrText>
            </w:r>
            <w:r w:rsidR="000A476C">
              <w:rPr>
                <w:noProof/>
                <w:webHidden/>
              </w:rPr>
            </w:r>
            <w:r w:rsidR="000A476C">
              <w:rPr>
                <w:noProof/>
                <w:webHidden/>
              </w:rPr>
              <w:fldChar w:fldCharType="separate"/>
            </w:r>
            <w:r w:rsidR="000A476C">
              <w:rPr>
                <w:noProof/>
                <w:webHidden/>
              </w:rPr>
              <w:t>13</w:t>
            </w:r>
            <w:r w:rsidR="000A476C">
              <w:rPr>
                <w:noProof/>
                <w:webHidden/>
              </w:rPr>
              <w:fldChar w:fldCharType="end"/>
            </w:r>
          </w:hyperlink>
        </w:p>
        <w:p w14:paraId="0582B6AA" w14:textId="31B63E89" w:rsidR="000A476C" w:rsidRDefault="00000000">
          <w:pPr>
            <w:pStyle w:val="TOC1"/>
            <w:tabs>
              <w:tab w:val="right" w:leader="dot" w:pos="9016"/>
            </w:tabs>
            <w:rPr>
              <w:rFonts w:asciiTheme="minorHAnsi" w:eastAsiaTheme="minorEastAsia" w:hAnsiTheme="minorHAnsi" w:cstheme="minorBidi"/>
              <w:noProof/>
              <w:kern w:val="2"/>
              <w:sz w:val="22"/>
              <w:lang w:eastAsia="en-GB"/>
            </w:rPr>
          </w:pPr>
          <w:hyperlink w:anchor="_Toc170396528" w:history="1">
            <w:r w:rsidR="000A476C" w:rsidRPr="00C94B25">
              <w:rPr>
                <w:rStyle w:val="Hyperlink"/>
                <w:noProof/>
              </w:rPr>
              <w:t>References</w:t>
            </w:r>
            <w:r w:rsidR="000A476C">
              <w:rPr>
                <w:noProof/>
                <w:webHidden/>
              </w:rPr>
              <w:tab/>
            </w:r>
            <w:r w:rsidR="000A476C">
              <w:rPr>
                <w:noProof/>
                <w:webHidden/>
              </w:rPr>
              <w:fldChar w:fldCharType="begin"/>
            </w:r>
            <w:r w:rsidR="000A476C">
              <w:rPr>
                <w:noProof/>
                <w:webHidden/>
              </w:rPr>
              <w:instrText xml:space="preserve"> PAGEREF _Toc170396528 \h </w:instrText>
            </w:r>
            <w:r w:rsidR="000A476C">
              <w:rPr>
                <w:noProof/>
                <w:webHidden/>
              </w:rPr>
            </w:r>
            <w:r w:rsidR="000A476C">
              <w:rPr>
                <w:noProof/>
                <w:webHidden/>
              </w:rPr>
              <w:fldChar w:fldCharType="separate"/>
            </w:r>
            <w:r w:rsidR="000A476C">
              <w:rPr>
                <w:noProof/>
                <w:webHidden/>
              </w:rPr>
              <w:t>14</w:t>
            </w:r>
            <w:r w:rsidR="000A476C">
              <w:rPr>
                <w:noProof/>
                <w:webHidden/>
              </w:rPr>
              <w:fldChar w:fldCharType="end"/>
            </w:r>
          </w:hyperlink>
        </w:p>
        <w:p w14:paraId="6C7C4766" w14:textId="02A64D56" w:rsidR="00C155C8" w:rsidRDefault="00C155C8">
          <w:r>
            <w:rPr>
              <w:b/>
              <w:bCs/>
              <w:noProof/>
            </w:rPr>
            <w:fldChar w:fldCharType="end"/>
          </w:r>
        </w:p>
      </w:sdtContent>
    </w:sdt>
    <w:p w14:paraId="528185AF" w14:textId="69DE362A" w:rsidR="00A5215F" w:rsidRDefault="00A5215F" w:rsidP="00A5215F">
      <w:r>
        <w:br w:type="page"/>
      </w:r>
    </w:p>
    <w:p w14:paraId="69491DF4" w14:textId="22D0E08D" w:rsidR="00A5215F" w:rsidRDefault="00A5215F" w:rsidP="00A5215F">
      <w:pPr>
        <w:pStyle w:val="Heading1"/>
      </w:pPr>
      <w:bookmarkStart w:id="0" w:name="_Toc170396517"/>
      <w:r>
        <w:lastRenderedPageBreak/>
        <w:t>Introduction</w:t>
      </w:r>
      <w:bookmarkEnd w:id="0"/>
    </w:p>
    <w:p w14:paraId="42433A78" w14:textId="1E527932" w:rsidR="00A5215F" w:rsidRDefault="00C155C8" w:rsidP="00A5215F">
      <w:r>
        <w:t xml:space="preserve">The financial management of a company on a much larger scale is essential. However, another aspect that needs to be considered by such large companies would be the CSR of the company. Taking responsibility for corporate actions is a vital part of operating in the international market. This report would help explore all the relevant aspects associated with CSR and corporate governance. It would consider Aviva Plc as the base for the report and other analysis. It would present various metrics that are used to perceive such responsibilities of the company. Following the metrics, the impact of such metrics on the performance of the company will also be discussed in detail. Along with the metrics and their influences, various analyses would also </w:t>
      </w:r>
      <w:proofErr w:type="gramStart"/>
      <w:r>
        <w:t>conducted</w:t>
      </w:r>
      <w:proofErr w:type="gramEnd"/>
      <w:r>
        <w:t xml:space="preserve"> to explore the impact in more detail.</w:t>
      </w:r>
      <w:r w:rsidR="00A5215F">
        <w:br w:type="page"/>
      </w:r>
    </w:p>
    <w:p w14:paraId="05534C8E" w14:textId="77777777" w:rsidR="007A2BB1" w:rsidRDefault="007A2BB1" w:rsidP="00C155C8">
      <w:pPr>
        <w:pStyle w:val="Heading1"/>
      </w:pPr>
      <w:bookmarkStart w:id="1" w:name="_Toc170396518"/>
      <w:r>
        <w:lastRenderedPageBreak/>
        <w:t>Summary of Metrics for Corporate Governance and CSR</w:t>
      </w:r>
      <w:bookmarkEnd w:id="1"/>
    </w:p>
    <w:p w14:paraId="67ACA931" w14:textId="77777777" w:rsidR="007A2BB1" w:rsidRDefault="007A2BB1" w:rsidP="00C155C8">
      <w:pPr>
        <w:pStyle w:val="Heading2"/>
      </w:pPr>
      <w:bookmarkStart w:id="2" w:name="_Toc170396519"/>
      <w:r>
        <w:t>Corporate Governance Metrics</w:t>
      </w:r>
      <w:bookmarkEnd w:id="2"/>
    </w:p>
    <w:p w14:paraId="65E3B32F" w14:textId="77777777" w:rsidR="007A2BB1" w:rsidRDefault="007A2BB1" w:rsidP="007A2BB1">
      <w:r w:rsidRPr="00C155C8">
        <w:rPr>
          <w:b/>
          <w:bCs/>
        </w:rPr>
        <w:t>Board Composition:</w:t>
      </w:r>
      <w:r>
        <w:t xml:space="preserve"> The information, independence, and variety of the board individuals make up the composition of the board. A well-balanced board can provide advanced strategic steerage and monitoring. The expert background and worldwide experience range of the Aviva board displays the business enterprise's determination to unique viewpoints and properly-rounded choice-making.</w:t>
      </w:r>
    </w:p>
    <w:p w14:paraId="6B5E11F9" w14:textId="1A475746" w:rsidR="007A2BB1" w:rsidRDefault="007A2BB1" w:rsidP="007A2BB1">
      <w:r w:rsidRPr="00C155C8">
        <w:rPr>
          <w:b/>
          <w:bCs/>
        </w:rPr>
        <w:t xml:space="preserve">Executive Compensation: </w:t>
      </w:r>
      <w:r>
        <w:t>This degree evaluates how well executives' pay fits in with the long-term goals and performance of the business enterprise</w:t>
      </w:r>
      <w:r w:rsidR="00522CB8" w:rsidRPr="00522CB8">
        <w:rPr>
          <w:color w:val="222222"/>
          <w:shd w:val="clear" w:color="auto" w:fill="FFFFFF"/>
        </w:rPr>
        <w:t xml:space="preserve"> </w:t>
      </w:r>
      <w:r w:rsidR="00522CB8">
        <w:rPr>
          <w:color w:val="222222"/>
          <w:shd w:val="clear" w:color="auto" w:fill="FFFFFF"/>
        </w:rPr>
        <w:t>(Larcker and Tayan, 2020)</w:t>
      </w:r>
      <w:r>
        <w:t>. Aviva guarantees that government compensation matches the performance of the enterprise and incentivises long-term strategic dreams via a mixture of constant wages, bonuses, and long-term incentive plans (LTIPs).</w:t>
      </w:r>
    </w:p>
    <w:p w14:paraId="12E47FFC" w14:textId="77777777" w:rsidR="007A2BB1" w:rsidRDefault="007A2BB1" w:rsidP="007A2BB1">
      <w:r w:rsidRPr="00C155C8">
        <w:rPr>
          <w:b/>
          <w:bCs/>
        </w:rPr>
        <w:t>Shareholder Rights:</w:t>
      </w:r>
      <w:r>
        <w:t xml:space="preserve"> This refers to the privileges and rights granted to shareholders, inclusive of the ability to vote and have a say in essential choices. Aviva makes sure that shareholders have a big say in vital alternatives such as who gets appointed as a director and whether or not or not to approve big business initiatives.</w:t>
      </w:r>
    </w:p>
    <w:p w14:paraId="630EAA35" w14:textId="3743F676" w:rsidR="007A2BB1" w:rsidRDefault="007A2BB1" w:rsidP="007A2BB1">
      <w:r w:rsidRPr="00C155C8">
        <w:rPr>
          <w:b/>
          <w:bCs/>
        </w:rPr>
        <w:t xml:space="preserve">Transparency and Disclosure: </w:t>
      </w:r>
      <w:r>
        <w:t>To make certain stakeholders informed, this indicator assesses the amount and calibre of the organisation's financial and operational disclosures</w:t>
      </w:r>
      <w:r w:rsidR="00522CB8" w:rsidRPr="00522CB8">
        <w:rPr>
          <w:color w:val="222222"/>
          <w:shd w:val="clear" w:color="auto" w:fill="FFFFFF"/>
        </w:rPr>
        <w:t xml:space="preserve"> </w:t>
      </w:r>
      <w:r w:rsidR="00522CB8">
        <w:rPr>
          <w:color w:val="222222"/>
          <w:shd w:val="clear" w:color="auto" w:fill="FFFFFF"/>
        </w:rPr>
        <w:t>(</w:t>
      </w:r>
      <w:proofErr w:type="spellStart"/>
      <w:r w:rsidR="00522CB8">
        <w:rPr>
          <w:color w:val="222222"/>
          <w:shd w:val="clear" w:color="auto" w:fill="FFFFFF"/>
        </w:rPr>
        <w:t>Naciti</w:t>
      </w:r>
      <w:proofErr w:type="spellEnd"/>
      <w:r w:rsidR="00522CB8">
        <w:rPr>
          <w:color w:val="222222"/>
          <w:shd w:val="clear" w:color="auto" w:fill="FFFFFF"/>
        </w:rPr>
        <w:t xml:space="preserve"> </w:t>
      </w:r>
      <w:r w:rsidR="00522CB8">
        <w:rPr>
          <w:i/>
          <w:iCs/>
          <w:color w:val="222222"/>
          <w:shd w:val="clear" w:color="auto" w:fill="FFFFFF"/>
        </w:rPr>
        <w:t>et al</w:t>
      </w:r>
      <w:r w:rsidR="00522CB8">
        <w:rPr>
          <w:color w:val="222222"/>
          <w:shd w:val="clear" w:color="auto" w:fill="FFFFFF"/>
        </w:rPr>
        <w:t>., 2022)</w:t>
      </w:r>
      <w:r>
        <w:t>. Transparency may be very important to Aviva, and they technically offer stakeholders comprehensive monetary and operational information via annual reports, investor displays, and regulatory filings.</w:t>
      </w:r>
    </w:p>
    <w:p w14:paraId="44A48DEB" w14:textId="77777777" w:rsidR="007A2BB1" w:rsidRDefault="007A2BB1" w:rsidP="007A2BB1">
      <w:r w:rsidRPr="00C155C8">
        <w:rPr>
          <w:b/>
          <w:bCs/>
        </w:rPr>
        <w:t>Effectiveness of the Audit Committee:</w:t>
      </w:r>
      <w:r>
        <w:t xml:space="preserve"> This evaluates the audit committee's independence and knowledge, each of which is vital for upholding monetary integrity. Aviva's audit committee is made of independent directors who have a first-rate deal of experience in risk </w:t>
      </w:r>
      <w:r>
        <w:lastRenderedPageBreak/>
        <w:t>management and finance, which guarantees robust oversight of the commercial enterprise's internal controls and financial reporting.</w:t>
      </w:r>
    </w:p>
    <w:p w14:paraId="77E541F7" w14:textId="77777777" w:rsidR="007A2BB1" w:rsidRDefault="007A2BB1" w:rsidP="00C155C8">
      <w:pPr>
        <w:pStyle w:val="Heading2"/>
      </w:pPr>
      <w:bookmarkStart w:id="3" w:name="_Toc170396520"/>
      <w:r>
        <w:t>CSR Metrics</w:t>
      </w:r>
      <w:bookmarkEnd w:id="3"/>
    </w:p>
    <w:p w14:paraId="31209984" w14:textId="241D2830" w:rsidR="007A2BB1" w:rsidRDefault="007A2BB1" w:rsidP="007A2BB1">
      <w:r w:rsidRPr="00C155C8">
        <w:rPr>
          <w:b/>
          <w:bCs/>
        </w:rPr>
        <w:t>Environmental Impact:</w:t>
      </w:r>
      <w:r>
        <w:t xml:space="preserve"> This accommodates electricity use, trash control, and carbon footprint measurements. In order to lower its carbon emissions and encourage sustainable practices in all components of its business and property, Aviva has set excessive goals</w:t>
      </w:r>
      <w:r w:rsidR="00522CB8" w:rsidRPr="00522CB8">
        <w:rPr>
          <w:color w:val="222222"/>
          <w:shd w:val="clear" w:color="auto" w:fill="FFFFFF"/>
        </w:rPr>
        <w:t xml:space="preserve"> </w:t>
      </w:r>
      <w:r w:rsidR="00522CB8">
        <w:rPr>
          <w:color w:val="222222"/>
          <w:shd w:val="clear" w:color="auto" w:fill="FFFFFF"/>
        </w:rPr>
        <w:t xml:space="preserve">(Bae </w:t>
      </w:r>
      <w:r w:rsidR="00522CB8">
        <w:rPr>
          <w:i/>
          <w:iCs/>
          <w:color w:val="222222"/>
          <w:shd w:val="clear" w:color="auto" w:fill="FFFFFF"/>
        </w:rPr>
        <w:t>et al</w:t>
      </w:r>
      <w:r w:rsidR="00522CB8">
        <w:rPr>
          <w:color w:val="222222"/>
          <w:shd w:val="clear" w:color="auto" w:fill="FFFFFF"/>
        </w:rPr>
        <w:t>., 2021)</w:t>
      </w:r>
      <w:r>
        <w:t>.</w:t>
      </w:r>
    </w:p>
    <w:p w14:paraId="4AAE2F4D" w14:textId="77777777" w:rsidR="007A2BB1" w:rsidRDefault="007A2BB1" w:rsidP="007A2BB1">
      <w:r w:rsidRPr="00C155C8">
        <w:rPr>
          <w:b/>
          <w:bCs/>
        </w:rPr>
        <w:t>Social Contributions:</w:t>
      </w:r>
      <w:r>
        <w:t xml:space="preserve"> This includes a variety of programmes, employee well-being, and network involvement. Aviva is dedicated to making a wonderful impact inside the areas wherein it really works, endorsing many social causes, and retaining inclusive and various work surroundings.</w:t>
      </w:r>
    </w:p>
    <w:p w14:paraId="1759685A" w14:textId="77777777" w:rsidR="007A2BB1" w:rsidRDefault="007A2BB1" w:rsidP="007A2BB1">
      <w:r w:rsidRPr="00C155C8">
        <w:rPr>
          <w:b/>
          <w:bCs/>
        </w:rPr>
        <w:t>Ethical Conduct:</w:t>
      </w:r>
      <w:r>
        <w:t xml:space="preserve"> This entails abiding by means of moral standards and anti-corruption suggestions. Comprehensive tactics have been installed location by using Aviva to inspire moral behaviour and thwart corruption in the organisation and for the duration of its provider chain.</w:t>
      </w:r>
    </w:p>
    <w:p w14:paraId="5C051431" w14:textId="0DB4292D" w:rsidR="007A2BB1" w:rsidRDefault="007A2BB1" w:rsidP="007A2BB1">
      <w:r w:rsidRPr="00C155C8">
        <w:rPr>
          <w:b/>
          <w:bCs/>
        </w:rPr>
        <w:t xml:space="preserve">Sustainable Sourcing: </w:t>
      </w:r>
      <w:r>
        <w:t>This degree evaluates the dealer chain's sustainability regulations. By enforcing strict ethical and environmental necessities on its suppliers, Aviva promotes sustainability throughout its whole cost chain</w:t>
      </w:r>
      <w:r w:rsidR="00522CB8" w:rsidRPr="00522CB8">
        <w:rPr>
          <w:color w:val="222222"/>
          <w:shd w:val="clear" w:color="auto" w:fill="FFFFFF"/>
        </w:rPr>
        <w:t xml:space="preserve"> </w:t>
      </w:r>
      <w:r w:rsidR="00522CB8">
        <w:rPr>
          <w:color w:val="222222"/>
          <w:shd w:val="clear" w:color="auto" w:fill="FFFFFF"/>
        </w:rPr>
        <w:t>(</w:t>
      </w:r>
      <w:proofErr w:type="spellStart"/>
      <w:r w:rsidR="00522CB8">
        <w:rPr>
          <w:color w:val="222222"/>
          <w:shd w:val="clear" w:color="auto" w:fill="FFFFFF"/>
        </w:rPr>
        <w:t>Tamvada</w:t>
      </w:r>
      <w:proofErr w:type="spellEnd"/>
      <w:r w:rsidR="00522CB8">
        <w:rPr>
          <w:color w:val="222222"/>
          <w:shd w:val="clear" w:color="auto" w:fill="FFFFFF"/>
        </w:rPr>
        <w:t>, 2020)</w:t>
      </w:r>
      <w:r>
        <w:t>.</w:t>
      </w:r>
    </w:p>
    <w:p w14:paraId="49E4914A" w14:textId="77777777" w:rsidR="007A2BB1" w:rsidRDefault="007A2BB1" w:rsidP="007A2BB1">
      <w:r w:rsidRPr="00C155C8">
        <w:rPr>
          <w:b/>
          <w:bCs/>
        </w:rPr>
        <w:t>CSR Reporting and Certification:</w:t>
      </w:r>
      <w:r>
        <w:t xml:space="preserve"> This assesses the volume and openness of the enterprise's CSR reviews in addition to its compliance with worldwide pointers including the Global Reporting Initiative (GRI). Every 12 months, Aviva releases complete CSR reviews that are in step with conventional international norms.</w:t>
      </w:r>
    </w:p>
    <w:p w14:paraId="517A3716" w14:textId="77777777" w:rsidR="00C155C8" w:rsidRDefault="00C155C8">
      <w:pPr>
        <w:spacing w:after="160" w:line="259" w:lineRule="auto"/>
        <w:jc w:val="left"/>
      </w:pPr>
      <w:r>
        <w:br w:type="page"/>
      </w:r>
    </w:p>
    <w:p w14:paraId="60A69687" w14:textId="08F24629" w:rsidR="007A2BB1" w:rsidRDefault="007A2BB1" w:rsidP="00C155C8">
      <w:pPr>
        <w:pStyle w:val="Heading1"/>
      </w:pPr>
      <w:bookmarkStart w:id="4" w:name="_Toc170396521"/>
      <w:r>
        <w:lastRenderedPageBreak/>
        <w:t>Impact of Corporate Governance on Firm Performance</w:t>
      </w:r>
      <w:bookmarkEnd w:id="4"/>
    </w:p>
    <w:p w14:paraId="71E9A04B" w14:textId="2C638857" w:rsidR="007A2BB1" w:rsidRPr="005F225D" w:rsidRDefault="007A2BB1" w:rsidP="007A2BB1">
      <w:pPr>
        <w:rPr>
          <w:b/>
          <w:bCs/>
        </w:rPr>
      </w:pPr>
      <w:r w:rsidRPr="00C155C8">
        <w:rPr>
          <w:b/>
          <w:bCs/>
        </w:rPr>
        <w:t xml:space="preserve">Board composition: </w:t>
      </w:r>
      <w:r w:rsidR="005F225D">
        <w:t xml:space="preserve">A well-composed board with diverse viewpoints enhances decision-making and risk management. For Aviva, strategic oversight and innovation have benefited from diversity in gender, ethnicity, and professional backgrounds (Larcker and </w:t>
      </w:r>
      <w:proofErr w:type="spellStart"/>
      <w:r w:rsidR="005F225D">
        <w:t>Tayan</w:t>
      </w:r>
      <w:proofErr w:type="spellEnd"/>
      <w:r w:rsidR="005F225D">
        <w:t>, 2020). This diversity equips Aviva to navigate the complexities of the global insurance market. Empirical evidence shows that companies with a higher percentage of independent directors typically outperform others due to their impartial decision-making.</w:t>
      </w:r>
    </w:p>
    <w:p w14:paraId="2AB742A0" w14:textId="22610995" w:rsidR="007A2BB1" w:rsidRDefault="007A2BB1" w:rsidP="007A2BB1">
      <w:r w:rsidRPr="00C155C8">
        <w:rPr>
          <w:b/>
          <w:bCs/>
        </w:rPr>
        <w:t>Executive Remuneration:</w:t>
      </w:r>
      <w:r>
        <w:t xml:space="preserve"> Linking executive pay to enterprise overall performance ensures that CEOs' objectives coincide with shareholders. Performance-based total incentives, which Aviva has placed in the vicinity, had been established to encourage leaders to fulfil strategic targets</w:t>
      </w:r>
      <w:r w:rsidR="00522CB8" w:rsidRPr="00522CB8">
        <w:rPr>
          <w:color w:val="222222"/>
          <w:shd w:val="clear" w:color="auto" w:fill="FFFFFF"/>
        </w:rPr>
        <w:t xml:space="preserve"> </w:t>
      </w:r>
      <w:r w:rsidR="00522CB8">
        <w:rPr>
          <w:color w:val="222222"/>
          <w:shd w:val="clear" w:color="auto" w:fill="FFFFFF"/>
        </w:rPr>
        <w:t>(Kyere and Ausloos, 2021)</w:t>
      </w:r>
      <w:r>
        <w:t xml:space="preserve">. These rewards are dependent on numerous overall performance indicators, along with financial effects, client happiness, and advancement in the direction of sustainability desires. A time series exam of the financial records from Aviva suggests that higher profitability and shareholder returns arise all through intervals when govt remuneration plans are properly dependent. </w:t>
      </w:r>
    </w:p>
    <w:p w14:paraId="5383C4D2" w14:textId="5E0ECC25" w:rsidR="007A2BB1" w:rsidRDefault="007A2BB1" w:rsidP="007A2BB1">
      <w:r w:rsidRPr="00C155C8">
        <w:rPr>
          <w:b/>
          <w:bCs/>
        </w:rPr>
        <w:t xml:space="preserve">Shareholder Rights: </w:t>
      </w:r>
      <w:r>
        <w:t>Preserving investor acceptance as true with calls for upholding shareholder rights. Aviva has promoted an experience of ownership and responsibility through its initiatives that boost shareholder participation in essential choices. The right to vote on sized enterprise selections, which include mergers and acquisitions, as well as the ability to pick board contributors who reflect their interests, belongs to shareholders</w:t>
      </w:r>
      <w:r w:rsidR="00522CB8" w:rsidRPr="00522CB8">
        <w:rPr>
          <w:color w:val="222222"/>
          <w:shd w:val="clear" w:color="auto" w:fill="FFFFFF"/>
        </w:rPr>
        <w:t xml:space="preserve"> </w:t>
      </w:r>
      <w:r w:rsidR="00522CB8">
        <w:rPr>
          <w:color w:val="222222"/>
          <w:shd w:val="clear" w:color="auto" w:fill="FFFFFF"/>
        </w:rPr>
        <w:t>(</w:t>
      </w:r>
      <w:proofErr w:type="spellStart"/>
      <w:r w:rsidR="00522CB8">
        <w:rPr>
          <w:color w:val="222222"/>
          <w:shd w:val="clear" w:color="auto" w:fill="FFFFFF"/>
        </w:rPr>
        <w:t>Naciti</w:t>
      </w:r>
      <w:proofErr w:type="spellEnd"/>
      <w:r w:rsidR="00522CB8">
        <w:rPr>
          <w:color w:val="222222"/>
          <w:shd w:val="clear" w:color="auto" w:fill="FFFFFF"/>
        </w:rPr>
        <w:t xml:space="preserve"> </w:t>
      </w:r>
      <w:r w:rsidR="00522CB8">
        <w:rPr>
          <w:i/>
          <w:iCs/>
          <w:color w:val="222222"/>
          <w:shd w:val="clear" w:color="auto" w:fill="FFFFFF"/>
        </w:rPr>
        <w:t>et al</w:t>
      </w:r>
      <w:r w:rsidR="00522CB8">
        <w:rPr>
          <w:color w:val="222222"/>
          <w:shd w:val="clear" w:color="auto" w:fill="FFFFFF"/>
        </w:rPr>
        <w:t>., 2022)</w:t>
      </w:r>
      <w:r>
        <w:t>. Aviva's strategic objectives have garnered sizeable assistance Because of its proactive attitude closer to speaking with shareholders.</w:t>
      </w:r>
    </w:p>
    <w:p w14:paraId="28C2F82A" w14:textId="2B50E144" w:rsidR="00C155C8" w:rsidRPr="00C155C8" w:rsidRDefault="007A2BB1" w:rsidP="00C155C8">
      <w:r w:rsidRPr="00C155C8">
        <w:rPr>
          <w:b/>
          <w:bCs/>
        </w:rPr>
        <w:t>Effectiveness of the Audit Committee:</w:t>
      </w:r>
      <w:r>
        <w:t xml:space="preserve"> </w:t>
      </w:r>
      <w:r w:rsidR="00DC092C">
        <w:t xml:space="preserve">Ensuring financial reporting integrity relies on a sustainable audit committee. Aviva's audit committee, composed of independent and financially skilled members, is crucial for identifying and mitigating financial risks. They </w:t>
      </w:r>
      <w:r w:rsidR="00DC092C">
        <w:lastRenderedPageBreak/>
        <w:t>ensure compliance, evaluate financial statements, and oversee the internal audit department. This strict scrutiny helps Aviva maintain high standards for internal control and financial reporting.</w:t>
      </w:r>
      <w:r w:rsidR="00C155C8">
        <w:br w:type="page"/>
      </w:r>
    </w:p>
    <w:p w14:paraId="34E000B0" w14:textId="59518E0A" w:rsidR="007A2BB1" w:rsidRDefault="007A2BB1" w:rsidP="00C155C8">
      <w:pPr>
        <w:pStyle w:val="Heading1"/>
      </w:pPr>
      <w:bookmarkStart w:id="5" w:name="_Toc170396522"/>
      <w:r>
        <w:lastRenderedPageBreak/>
        <w:t>Impact of CSR on Firm Performance</w:t>
      </w:r>
      <w:bookmarkEnd w:id="5"/>
    </w:p>
    <w:p w14:paraId="10873ED6" w14:textId="126BB283" w:rsidR="007A2BB1" w:rsidRDefault="007A2BB1" w:rsidP="007A2BB1">
      <w:r w:rsidRPr="00C155C8">
        <w:rPr>
          <w:b/>
          <w:bCs/>
        </w:rPr>
        <w:t>Environmental Impact:</w:t>
      </w:r>
      <w:r>
        <w:t xml:space="preserve"> By selling sustainable practices and lowering its carbon footprint, Aviva no longer superior its environmental popularity but additionally cut operational expenses</w:t>
      </w:r>
      <w:r w:rsidR="00522CB8" w:rsidRPr="00522CB8">
        <w:rPr>
          <w:color w:val="222222"/>
          <w:shd w:val="clear" w:color="auto" w:fill="FFFFFF"/>
        </w:rPr>
        <w:t xml:space="preserve"> </w:t>
      </w:r>
      <w:r w:rsidR="00522CB8">
        <w:rPr>
          <w:color w:val="222222"/>
          <w:shd w:val="clear" w:color="auto" w:fill="FFFFFF"/>
        </w:rPr>
        <w:t>(Carroll, 2021)</w:t>
      </w:r>
      <w:r>
        <w:t>. The enterprise has put in the area some tasks to reduce its impact on the environment, such as waste reduction plans, a strength-sustainable era, and sustainable investment strategies. The employer's recognition and client loyalty have stepped forward as Aviva's constant efforts are closer to sustainability, according to a thematic evaluation of its environmental performance information.</w:t>
      </w:r>
    </w:p>
    <w:p w14:paraId="2F82603D" w14:textId="214501B7" w:rsidR="007A2BB1" w:rsidRDefault="007A2BB1" w:rsidP="007A2BB1">
      <w:r w:rsidRPr="00C155C8">
        <w:rPr>
          <w:b/>
          <w:bCs/>
        </w:rPr>
        <w:t>Social Contributions:</w:t>
      </w:r>
      <w:r>
        <w:t xml:space="preserve"> By making investments in network involvement, diversity, and employee health, Aviva has stepped forward its social capital. Programmes for community aid, variety and inclusion, and body of workers schooling and improvement are some of the corporation's social activities. Stronger relationships with stakeholders decreased attrition quotes, and improved productiveness have all resulted from these measures. According to records, Aviva's community engagement programmes have cultivated goodwill and customer loyalty, which has led to higher marketplace proportion and sales</w:t>
      </w:r>
      <w:r w:rsidR="00522CB8" w:rsidRPr="00522CB8">
        <w:rPr>
          <w:color w:val="222222"/>
          <w:shd w:val="clear" w:color="auto" w:fill="FFFFFF"/>
        </w:rPr>
        <w:t xml:space="preserve"> </w:t>
      </w:r>
      <w:r w:rsidR="00522CB8">
        <w:rPr>
          <w:color w:val="222222"/>
          <w:shd w:val="clear" w:color="auto" w:fill="FFFFFF"/>
        </w:rPr>
        <w:t>(Fukuda and Ouchida, 2020)</w:t>
      </w:r>
      <w:r>
        <w:t>.</w:t>
      </w:r>
    </w:p>
    <w:p w14:paraId="37B2C0BE" w14:textId="77777777" w:rsidR="007A2BB1" w:rsidRDefault="007A2BB1" w:rsidP="007A2BB1">
      <w:r w:rsidRPr="00C155C8">
        <w:rPr>
          <w:b/>
          <w:bCs/>
        </w:rPr>
        <w:t>Ethical Behaviour:</w:t>
      </w:r>
      <w:r>
        <w:t xml:space="preserve"> Upholding ethical principles and anti-corruption suggestions has decreased prison risks and stepped forward Aviva's reputation. The enterprise has installed vicinity extensive compliance and moral programmes to assure that every person and enterprise ally follows strict pointers for behaviour. These guides cover moral behaviour, anti-corruption hints, and procedures for disclosing and managing wrongdoing.</w:t>
      </w:r>
    </w:p>
    <w:p w14:paraId="7861C87B" w14:textId="2CBFA147" w:rsidR="00C155C8" w:rsidRDefault="007A2BB1" w:rsidP="00C155C8">
      <w:r w:rsidRPr="00C155C8">
        <w:rPr>
          <w:b/>
          <w:bCs/>
        </w:rPr>
        <w:t>CSR Reporting and Certification:</w:t>
      </w:r>
      <w:r>
        <w:t xml:space="preserve"> Aviva's transparency and popularity have multiplied way to its thorough CSR reporting and compliance with worldwide requirements. Every year, the commercial enterprise releases complete CSR reviews that supply stakeholders with information on its governance, social, and environmental (ESG) overall performance</w:t>
      </w:r>
      <w:r w:rsidR="00522CB8" w:rsidRPr="00522CB8">
        <w:rPr>
          <w:color w:val="222222"/>
          <w:shd w:val="clear" w:color="auto" w:fill="FFFFFF"/>
        </w:rPr>
        <w:t xml:space="preserve"> </w:t>
      </w:r>
      <w:r w:rsidR="00522CB8">
        <w:rPr>
          <w:color w:val="222222"/>
          <w:shd w:val="clear" w:color="auto" w:fill="FFFFFF"/>
        </w:rPr>
        <w:t>(Carroll, 2021)</w:t>
      </w:r>
      <w:r>
        <w:t xml:space="preserve">. These reviews observe broadly commonplace global requirements, which include the </w:t>
      </w:r>
      <w:r>
        <w:lastRenderedPageBreak/>
        <w:t>Task Force on Climate-related Financial Disclosures (TCFD) and the Global Reporting Initiative (GRI).</w:t>
      </w:r>
      <w:r w:rsidR="00C155C8">
        <w:br w:type="page"/>
      </w:r>
    </w:p>
    <w:p w14:paraId="5C31CA7C" w14:textId="41DDE332" w:rsidR="007A2BB1" w:rsidRDefault="007A2BB1" w:rsidP="00C155C8">
      <w:pPr>
        <w:pStyle w:val="Heading1"/>
      </w:pPr>
      <w:bookmarkStart w:id="6" w:name="_Toc170396523"/>
      <w:r>
        <w:lastRenderedPageBreak/>
        <w:t>Empirical Analysis</w:t>
      </w:r>
      <w:bookmarkEnd w:id="6"/>
    </w:p>
    <w:p w14:paraId="7D31D228" w14:textId="57035B0F" w:rsidR="007A2BB1" w:rsidRDefault="007A2BB1" w:rsidP="007A2BB1">
      <w:r w:rsidRPr="00C155C8">
        <w:rPr>
          <w:b/>
          <w:bCs/>
        </w:rPr>
        <w:t>Return on Equity (ROE):</w:t>
      </w:r>
      <w:r>
        <w:t xml:space="preserve"> This metric assesses profitability on the subject of equity held via shareholders. It has been validated that better corporate governance rules, along with increased shareholder rights and board effectiveness, have a useful effect on Aviva's return on equity. For instance, advanced financial overall performance and expanded returns for shareholders have resulted from the adoption of performance-based totally CEO reimbursement plans and strict audit committee scrutiny</w:t>
      </w:r>
      <w:r w:rsidR="00522CB8" w:rsidRPr="00522CB8">
        <w:rPr>
          <w:color w:val="222222"/>
          <w:shd w:val="clear" w:color="auto" w:fill="FFFFFF"/>
        </w:rPr>
        <w:t xml:space="preserve"> </w:t>
      </w:r>
      <w:r w:rsidR="00522CB8">
        <w:rPr>
          <w:color w:val="222222"/>
          <w:shd w:val="clear" w:color="auto" w:fill="FFFFFF"/>
        </w:rPr>
        <w:t>(Hart and Zingales, 2022)</w:t>
      </w:r>
      <w:r>
        <w:t>.</w:t>
      </w:r>
    </w:p>
    <w:p w14:paraId="7B5843EF" w14:textId="34D3429D" w:rsidR="007A2BB1" w:rsidRDefault="007A2BB1" w:rsidP="007A2BB1">
      <w:r w:rsidRPr="00C155C8">
        <w:rPr>
          <w:b/>
          <w:bCs/>
        </w:rPr>
        <w:t xml:space="preserve">Return on Assets (ROA): </w:t>
      </w:r>
      <w:r>
        <w:t>Return on Assets (ROA) measures how nicely a business uses its sources. Higher ROA numbers are an end result of Aviva's CSR activities, which are generally focused on environmental sustainability and worker welfare. These efforts have elevated operational efficiencies. For instance, the enterprise's efforts to lower power use and guide worker health have decreased charges, extended productiveness, and more suitable asset performance</w:t>
      </w:r>
      <w:r w:rsidR="00522CB8" w:rsidRPr="00522CB8">
        <w:rPr>
          <w:color w:val="222222"/>
          <w:shd w:val="clear" w:color="auto" w:fill="FFFFFF"/>
        </w:rPr>
        <w:t xml:space="preserve"> </w:t>
      </w:r>
      <w:r w:rsidR="00522CB8">
        <w:rPr>
          <w:color w:val="222222"/>
          <w:shd w:val="clear" w:color="auto" w:fill="FFFFFF"/>
        </w:rPr>
        <w:t>(de Villiers and Dimes, 2021)</w:t>
      </w:r>
      <w:r>
        <w:t>.</w:t>
      </w:r>
    </w:p>
    <w:p w14:paraId="0026E847" w14:textId="5878CD2E" w:rsidR="00C155C8" w:rsidRDefault="007A2BB1" w:rsidP="00C155C8">
      <w:r w:rsidRPr="00C155C8">
        <w:rPr>
          <w:b/>
          <w:bCs/>
        </w:rPr>
        <w:t xml:space="preserve">Stock Performance: </w:t>
      </w:r>
      <w:r w:rsidR="005F225D">
        <w:t>Aviva's stock performance reflects its success, influenced by investor sentiment and market valuation. Notable improvements in corporate governance and CSR activities have been acknowledged by the market, leading to strong stock performance."</w:t>
      </w:r>
      <w:r w:rsidR="00C155C8">
        <w:br w:type="page"/>
      </w:r>
    </w:p>
    <w:p w14:paraId="3A84DB6D" w14:textId="68B4EE4D" w:rsidR="007A2BB1" w:rsidRDefault="007A2BB1" w:rsidP="00C155C8">
      <w:pPr>
        <w:pStyle w:val="Heading1"/>
      </w:pPr>
      <w:bookmarkStart w:id="7" w:name="_Toc170396524"/>
      <w:r>
        <w:lastRenderedPageBreak/>
        <w:t>Thematic Analysis</w:t>
      </w:r>
      <w:bookmarkEnd w:id="7"/>
    </w:p>
    <w:p w14:paraId="15E2C40F" w14:textId="77777777" w:rsidR="007A2BB1" w:rsidRDefault="007A2BB1" w:rsidP="00C155C8">
      <w:pPr>
        <w:pStyle w:val="Heading2"/>
      </w:pPr>
      <w:bookmarkStart w:id="8" w:name="_Toc170396525"/>
      <w:r>
        <w:t>Governance Themes</w:t>
      </w:r>
      <w:bookmarkEnd w:id="8"/>
    </w:p>
    <w:p w14:paraId="378836A9" w14:textId="77777777" w:rsidR="007A2BB1" w:rsidRDefault="007A2BB1" w:rsidP="007A2BB1">
      <w:r w:rsidRPr="00C155C8">
        <w:rPr>
          <w:b/>
          <w:bCs/>
        </w:rPr>
        <w:t>Strategic Oversight:</w:t>
      </w:r>
      <w:r>
        <w:t xml:space="preserve"> Better hazard control, financial overall performance, and strategic oversight have resulted from efficient board composition and audit committee methods. For instance, Aviva's board's independence and variety of revelations have helped the business negotiate difficult regulatory landscapes and make sensible strategic selections.</w:t>
      </w:r>
    </w:p>
    <w:p w14:paraId="7FA5C89C" w14:textId="6A0DDBA7" w:rsidR="007A2BB1" w:rsidRDefault="007A2BB1" w:rsidP="007A2BB1">
      <w:r w:rsidRPr="00C155C8">
        <w:rPr>
          <w:b/>
          <w:bCs/>
        </w:rPr>
        <w:t>Engagement of Shareholders:</w:t>
      </w:r>
      <w:r>
        <w:t xml:space="preserve"> Increased rights for shareholders and open reporting have advocated belief and long-term funding. By providing ordinary updates and thorough disclosures, Aviva has improved its dating with buyers and strengthened its strategic desires through proactive shareholder engagement</w:t>
      </w:r>
      <w:r w:rsidR="00522CB8" w:rsidRPr="00522CB8">
        <w:rPr>
          <w:color w:val="222222"/>
          <w:shd w:val="clear" w:color="auto" w:fill="FFFFFF"/>
        </w:rPr>
        <w:t xml:space="preserve"> </w:t>
      </w:r>
      <w:r w:rsidR="00522CB8">
        <w:rPr>
          <w:color w:val="222222"/>
          <w:shd w:val="clear" w:color="auto" w:fill="FFFFFF"/>
        </w:rPr>
        <w:t>(Hart and Zingales, 2022)</w:t>
      </w:r>
      <w:r>
        <w:t>.</w:t>
      </w:r>
    </w:p>
    <w:p w14:paraId="160DF2FF" w14:textId="77777777" w:rsidR="007A2BB1" w:rsidRDefault="007A2BB1" w:rsidP="00C155C8">
      <w:pPr>
        <w:pStyle w:val="Heading2"/>
      </w:pPr>
      <w:bookmarkStart w:id="9" w:name="_Toc170396526"/>
      <w:r>
        <w:t>CSR Themes</w:t>
      </w:r>
      <w:bookmarkEnd w:id="9"/>
    </w:p>
    <w:p w14:paraId="302FF0E3" w14:textId="5B15DF6E" w:rsidR="007A2BB1" w:rsidRDefault="007A2BB1" w:rsidP="007A2BB1">
      <w:r w:rsidRPr="00C155C8">
        <w:rPr>
          <w:b/>
          <w:bCs/>
        </w:rPr>
        <w:t>Sustainability:</w:t>
      </w:r>
      <w:r>
        <w:t xml:space="preserve"> Efforts to protect the surroundings have reduced expenses, better brand popularity, and extended consumer loyalty. In addition to improving its operational effectiveness, Aviva's willpower to lower its carbon footprint and inspire sustainable investments has established the organisation as a pioneer in the field of sustainable finance</w:t>
      </w:r>
      <w:r w:rsidR="00522CB8" w:rsidRPr="00522CB8">
        <w:rPr>
          <w:color w:val="222222"/>
          <w:shd w:val="clear" w:color="auto" w:fill="FFFFFF"/>
        </w:rPr>
        <w:t xml:space="preserve"> </w:t>
      </w:r>
      <w:r w:rsidR="00522CB8">
        <w:rPr>
          <w:color w:val="222222"/>
          <w:shd w:val="clear" w:color="auto" w:fill="FFFFFF"/>
        </w:rPr>
        <w:t xml:space="preserve">(Rodriguez-Gomez </w:t>
      </w:r>
      <w:r w:rsidR="00522CB8">
        <w:rPr>
          <w:i/>
          <w:iCs/>
          <w:color w:val="222222"/>
          <w:shd w:val="clear" w:color="auto" w:fill="FFFFFF"/>
        </w:rPr>
        <w:t>et al</w:t>
      </w:r>
      <w:r w:rsidR="00522CB8">
        <w:rPr>
          <w:color w:val="222222"/>
          <w:shd w:val="clear" w:color="auto" w:fill="FFFFFF"/>
        </w:rPr>
        <w:t>., 2020)</w:t>
      </w:r>
      <w:r>
        <w:t>.</w:t>
      </w:r>
    </w:p>
    <w:p w14:paraId="48F2B9DB" w14:textId="711B3311" w:rsidR="00A5215F" w:rsidRDefault="007A2BB1" w:rsidP="00A5215F">
      <w:r w:rsidRPr="00C155C8">
        <w:rPr>
          <w:b/>
          <w:bCs/>
        </w:rPr>
        <w:t xml:space="preserve">Social Responsibility: </w:t>
      </w:r>
      <w:r>
        <w:t>Funding for social projects has progressed community and worker connections, which has boosted commercial enterprise operations and extended the marketplace. Aviva has advanced its social capital and completed higher industrial results as of its projects to assist regional communities and foster worker well-being.</w:t>
      </w:r>
      <w:r w:rsidR="00A5215F">
        <w:br w:type="page"/>
      </w:r>
    </w:p>
    <w:p w14:paraId="763BEDFF" w14:textId="3E107F2F" w:rsidR="00A5215F" w:rsidRDefault="00A5215F" w:rsidP="00A5215F">
      <w:pPr>
        <w:pStyle w:val="Heading1"/>
      </w:pPr>
      <w:bookmarkStart w:id="10" w:name="_Toc170396527"/>
      <w:r>
        <w:lastRenderedPageBreak/>
        <w:t>Conclusion</w:t>
      </w:r>
      <w:bookmarkEnd w:id="10"/>
    </w:p>
    <w:p w14:paraId="19EC15DA" w14:textId="59FB5851" w:rsidR="00A5215F" w:rsidRDefault="005F225D" w:rsidP="00A5215F">
      <w:r>
        <w:t xml:space="preserve">Proactive CSR and strong corporate governance significantly impact company performance, as shown by Aviva PLC. Improved financial results and investor confidence are linked to effective CEO compensation, transparent reporting, and a strong board. Ethical </w:t>
      </w:r>
      <w:proofErr w:type="spellStart"/>
      <w:r>
        <w:t>behavior</w:t>
      </w:r>
      <w:proofErr w:type="spellEnd"/>
      <w:r>
        <w:t>, social responsibility, and environmental sustainability have enhanced Aviva's reputation, market share, and operational efficiency. Long-term success requires integrating robust governance and CSR practices. Aviva's experience highlights the importance of these elements in maintaining a competitive edge and boosting performance. Their approach can serve as a guide for achieving sustainable growth amid global challenges.</w:t>
      </w:r>
      <w:r w:rsidR="00A5215F">
        <w:br w:type="page"/>
      </w:r>
    </w:p>
    <w:p w14:paraId="7651E022" w14:textId="4815CBE8" w:rsidR="00A5215F" w:rsidRDefault="00A5215F" w:rsidP="00A5215F">
      <w:pPr>
        <w:pStyle w:val="Heading1"/>
      </w:pPr>
      <w:bookmarkStart w:id="11" w:name="_Toc170396528"/>
      <w:r>
        <w:lastRenderedPageBreak/>
        <w:t>References</w:t>
      </w:r>
      <w:bookmarkEnd w:id="11"/>
    </w:p>
    <w:p w14:paraId="5C358196" w14:textId="77777777" w:rsidR="00522CB8" w:rsidRPr="00A5215F" w:rsidRDefault="00522CB8" w:rsidP="00522CB8">
      <w:r w:rsidRPr="00522CB8">
        <w:rPr>
          <w:rFonts w:eastAsia="Times New Roman" w:cs="Times New Roman"/>
          <w:color w:val="222222"/>
          <w:szCs w:val="24"/>
          <w:shd w:val="clear" w:color="auto" w:fill="FFFFFF"/>
          <w:lang w:eastAsia="en-GB"/>
          <w14:ligatures w14:val="none"/>
        </w:rPr>
        <w:t xml:space="preserve">Bae, K.H., El Ghoul, S., Gong, Z.J. and </w:t>
      </w:r>
      <w:proofErr w:type="spellStart"/>
      <w:r w:rsidRPr="00522CB8">
        <w:rPr>
          <w:rFonts w:eastAsia="Times New Roman" w:cs="Times New Roman"/>
          <w:color w:val="222222"/>
          <w:szCs w:val="24"/>
          <w:shd w:val="clear" w:color="auto" w:fill="FFFFFF"/>
          <w:lang w:eastAsia="en-GB"/>
          <w14:ligatures w14:val="none"/>
        </w:rPr>
        <w:t>Guedhami</w:t>
      </w:r>
      <w:proofErr w:type="spellEnd"/>
      <w:r w:rsidRPr="00522CB8">
        <w:rPr>
          <w:rFonts w:eastAsia="Times New Roman" w:cs="Times New Roman"/>
          <w:color w:val="222222"/>
          <w:szCs w:val="24"/>
          <w:shd w:val="clear" w:color="auto" w:fill="FFFFFF"/>
          <w:lang w:eastAsia="en-GB"/>
          <w14:ligatures w14:val="none"/>
        </w:rPr>
        <w:t xml:space="preserve">, O., (2021). Does CSR matter in times of crisis? Evidence from the COVID-19 pandemic. </w:t>
      </w:r>
      <w:r w:rsidRPr="00522CB8">
        <w:rPr>
          <w:rFonts w:eastAsia="Times New Roman" w:cs="Times New Roman"/>
          <w:i/>
          <w:iCs/>
          <w:color w:val="222222"/>
          <w:szCs w:val="24"/>
          <w:shd w:val="clear" w:color="auto" w:fill="FFFFFF"/>
          <w:lang w:eastAsia="en-GB"/>
          <w14:ligatures w14:val="none"/>
        </w:rPr>
        <w:t>Journal of Corporate Finance</w:t>
      </w:r>
      <w:r w:rsidRPr="00522CB8">
        <w:rPr>
          <w:rFonts w:eastAsia="Times New Roman" w:cs="Times New Roman"/>
          <w:color w:val="222222"/>
          <w:szCs w:val="24"/>
          <w:shd w:val="clear" w:color="auto" w:fill="FFFFFF"/>
          <w:lang w:eastAsia="en-GB"/>
          <w14:ligatures w14:val="none"/>
        </w:rPr>
        <w:t xml:space="preserve">, </w:t>
      </w:r>
      <w:r w:rsidRPr="00522CB8">
        <w:rPr>
          <w:rFonts w:eastAsia="Times New Roman" w:cs="Times New Roman"/>
          <w:i/>
          <w:iCs/>
          <w:color w:val="222222"/>
          <w:szCs w:val="24"/>
          <w:shd w:val="clear" w:color="auto" w:fill="FFFFFF"/>
          <w:lang w:eastAsia="en-GB"/>
          <w14:ligatures w14:val="none"/>
        </w:rPr>
        <w:t>67</w:t>
      </w:r>
      <w:r w:rsidRPr="00522CB8">
        <w:rPr>
          <w:rFonts w:eastAsia="Times New Roman" w:cs="Times New Roman"/>
          <w:color w:val="222222"/>
          <w:szCs w:val="24"/>
          <w:shd w:val="clear" w:color="auto" w:fill="FFFFFF"/>
          <w:lang w:eastAsia="en-GB"/>
          <w14:ligatures w14:val="none"/>
        </w:rPr>
        <w:t>, p.101876.</w:t>
      </w:r>
    </w:p>
    <w:p w14:paraId="0BB93A8D" w14:textId="77777777" w:rsidR="00522CB8" w:rsidRPr="00522CB8" w:rsidRDefault="00522CB8" w:rsidP="00522CB8">
      <w:pPr>
        <w:rPr>
          <w:rFonts w:eastAsia="Times New Roman" w:cs="Times New Roman"/>
          <w:szCs w:val="24"/>
          <w:lang w:eastAsia="en-GB"/>
          <w14:ligatures w14:val="none"/>
        </w:rPr>
      </w:pPr>
      <w:r w:rsidRPr="00522CB8">
        <w:rPr>
          <w:rFonts w:eastAsia="Times New Roman" w:cs="Times New Roman"/>
          <w:color w:val="222222"/>
          <w:szCs w:val="24"/>
          <w:shd w:val="clear" w:color="auto" w:fill="FFFFFF"/>
          <w:lang w:eastAsia="en-GB"/>
          <w14:ligatures w14:val="none"/>
        </w:rPr>
        <w:t xml:space="preserve">Carroll, A.B., (2021). Corporate social responsibility: Perspectives on the CSR construct’s development and future. </w:t>
      </w:r>
      <w:r w:rsidRPr="00522CB8">
        <w:rPr>
          <w:rFonts w:eastAsia="Times New Roman" w:cs="Times New Roman"/>
          <w:i/>
          <w:iCs/>
          <w:color w:val="222222"/>
          <w:szCs w:val="24"/>
          <w:shd w:val="clear" w:color="auto" w:fill="FFFFFF"/>
          <w:lang w:eastAsia="en-GB"/>
          <w14:ligatures w14:val="none"/>
        </w:rPr>
        <w:t>Business &amp; Society</w:t>
      </w:r>
      <w:r w:rsidRPr="00522CB8">
        <w:rPr>
          <w:rFonts w:eastAsia="Times New Roman" w:cs="Times New Roman"/>
          <w:color w:val="222222"/>
          <w:szCs w:val="24"/>
          <w:shd w:val="clear" w:color="auto" w:fill="FFFFFF"/>
          <w:lang w:eastAsia="en-GB"/>
          <w14:ligatures w14:val="none"/>
        </w:rPr>
        <w:t xml:space="preserve">, </w:t>
      </w:r>
      <w:r w:rsidRPr="00522CB8">
        <w:rPr>
          <w:rFonts w:eastAsia="Times New Roman" w:cs="Times New Roman"/>
          <w:i/>
          <w:iCs/>
          <w:color w:val="222222"/>
          <w:szCs w:val="24"/>
          <w:shd w:val="clear" w:color="auto" w:fill="FFFFFF"/>
          <w:lang w:eastAsia="en-GB"/>
          <w14:ligatures w14:val="none"/>
        </w:rPr>
        <w:t>60</w:t>
      </w:r>
      <w:r w:rsidRPr="00522CB8">
        <w:rPr>
          <w:rFonts w:eastAsia="Times New Roman" w:cs="Times New Roman"/>
          <w:color w:val="222222"/>
          <w:szCs w:val="24"/>
          <w:shd w:val="clear" w:color="auto" w:fill="FFFFFF"/>
          <w:lang w:eastAsia="en-GB"/>
          <w14:ligatures w14:val="none"/>
        </w:rPr>
        <w:t>(6), pp.1258-1278.</w:t>
      </w:r>
    </w:p>
    <w:p w14:paraId="5C07EBA4" w14:textId="77777777" w:rsidR="00522CB8" w:rsidRPr="00522CB8" w:rsidRDefault="00522CB8" w:rsidP="00522CB8">
      <w:pPr>
        <w:rPr>
          <w:rFonts w:eastAsia="Times New Roman" w:cs="Times New Roman"/>
          <w:szCs w:val="24"/>
          <w:lang w:eastAsia="en-GB"/>
          <w14:ligatures w14:val="none"/>
        </w:rPr>
      </w:pPr>
      <w:r w:rsidRPr="00522CB8">
        <w:rPr>
          <w:rFonts w:eastAsia="Times New Roman" w:cs="Times New Roman"/>
          <w:color w:val="222222"/>
          <w:szCs w:val="24"/>
          <w:shd w:val="clear" w:color="auto" w:fill="FFFFFF"/>
          <w:lang w:eastAsia="en-GB"/>
          <w14:ligatures w14:val="none"/>
        </w:rPr>
        <w:t xml:space="preserve">de Villiers, C. and Dimes, R., (2021). Determinants, mechanisms and consequences of corporate governance reporting: a research framework. </w:t>
      </w:r>
      <w:r w:rsidRPr="00522CB8">
        <w:rPr>
          <w:rFonts w:eastAsia="Times New Roman" w:cs="Times New Roman"/>
          <w:i/>
          <w:iCs/>
          <w:color w:val="222222"/>
          <w:szCs w:val="24"/>
          <w:shd w:val="clear" w:color="auto" w:fill="FFFFFF"/>
          <w:lang w:eastAsia="en-GB"/>
          <w14:ligatures w14:val="none"/>
        </w:rPr>
        <w:t>Journal of Management and Governance</w:t>
      </w:r>
      <w:r w:rsidRPr="00522CB8">
        <w:rPr>
          <w:rFonts w:eastAsia="Times New Roman" w:cs="Times New Roman"/>
          <w:color w:val="222222"/>
          <w:szCs w:val="24"/>
          <w:shd w:val="clear" w:color="auto" w:fill="FFFFFF"/>
          <w:lang w:eastAsia="en-GB"/>
          <w14:ligatures w14:val="none"/>
        </w:rPr>
        <w:t xml:space="preserve">, </w:t>
      </w:r>
      <w:r w:rsidRPr="00522CB8">
        <w:rPr>
          <w:rFonts w:eastAsia="Times New Roman" w:cs="Times New Roman"/>
          <w:i/>
          <w:iCs/>
          <w:color w:val="222222"/>
          <w:szCs w:val="24"/>
          <w:shd w:val="clear" w:color="auto" w:fill="FFFFFF"/>
          <w:lang w:eastAsia="en-GB"/>
          <w14:ligatures w14:val="none"/>
        </w:rPr>
        <w:t>25</w:t>
      </w:r>
      <w:r w:rsidRPr="00522CB8">
        <w:rPr>
          <w:rFonts w:eastAsia="Times New Roman" w:cs="Times New Roman"/>
          <w:color w:val="222222"/>
          <w:szCs w:val="24"/>
          <w:shd w:val="clear" w:color="auto" w:fill="FFFFFF"/>
          <w:lang w:eastAsia="en-GB"/>
          <w14:ligatures w14:val="none"/>
        </w:rPr>
        <w:t>(1), pp.7-26.</w:t>
      </w:r>
    </w:p>
    <w:p w14:paraId="36E7EA2A" w14:textId="77777777" w:rsidR="00522CB8" w:rsidRPr="00522CB8" w:rsidRDefault="00522CB8" w:rsidP="00522CB8">
      <w:pPr>
        <w:rPr>
          <w:rFonts w:eastAsia="Times New Roman" w:cs="Times New Roman"/>
          <w:szCs w:val="24"/>
          <w:lang w:eastAsia="en-GB"/>
          <w14:ligatures w14:val="none"/>
        </w:rPr>
      </w:pPr>
      <w:r w:rsidRPr="00522CB8">
        <w:rPr>
          <w:rFonts w:eastAsia="Times New Roman" w:cs="Times New Roman"/>
          <w:color w:val="222222"/>
          <w:szCs w:val="24"/>
          <w:shd w:val="clear" w:color="auto" w:fill="FFFFFF"/>
          <w:lang w:eastAsia="en-GB"/>
          <w14:ligatures w14:val="none"/>
        </w:rPr>
        <w:t xml:space="preserve">Fukuda, K. and Ouchida, Y., (2020). Corporate social responsibility (CSR) and the environment: Does CSR increase </w:t>
      </w:r>
      <w:proofErr w:type="gramStart"/>
      <w:r w:rsidRPr="00522CB8">
        <w:rPr>
          <w:rFonts w:eastAsia="Times New Roman" w:cs="Times New Roman"/>
          <w:color w:val="222222"/>
          <w:szCs w:val="24"/>
          <w:shd w:val="clear" w:color="auto" w:fill="FFFFFF"/>
          <w:lang w:eastAsia="en-GB"/>
          <w14:ligatures w14:val="none"/>
        </w:rPr>
        <w:t>emissions?.</w:t>
      </w:r>
      <w:proofErr w:type="gramEnd"/>
      <w:r w:rsidRPr="00522CB8">
        <w:rPr>
          <w:rFonts w:eastAsia="Times New Roman" w:cs="Times New Roman"/>
          <w:color w:val="222222"/>
          <w:szCs w:val="24"/>
          <w:shd w:val="clear" w:color="auto" w:fill="FFFFFF"/>
          <w:lang w:eastAsia="en-GB"/>
          <w14:ligatures w14:val="none"/>
        </w:rPr>
        <w:t xml:space="preserve"> </w:t>
      </w:r>
      <w:r w:rsidRPr="00522CB8">
        <w:rPr>
          <w:rFonts w:eastAsia="Times New Roman" w:cs="Times New Roman"/>
          <w:i/>
          <w:iCs/>
          <w:color w:val="222222"/>
          <w:szCs w:val="24"/>
          <w:shd w:val="clear" w:color="auto" w:fill="FFFFFF"/>
          <w:lang w:eastAsia="en-GB"/>
          <w14:ligatures w14:val="none"/>
        </w:rPr>
        <w:t>Energy Economics</w:t>
      </w:r>
      <w:r w:rsidRPr="00522CB8">
        <w:rPr>
          <w:rFonts w:eastAsia="Times New Roman" w:cs="Times New Roman"/>
          <w:color w:val="222222"/>
          <w:szCs w:val="24"/>
          <w:shd w:val="clear" w:color="auto" w:fill="FFFFFF"/>
          <w:lang w:eastAsia="en-GB"/>
          <w14:ligatures w14:val="none"/>
        </w:rPr>
        <w:t xml:space="preserve">, </w:t>
      </w:r>
      <w:r w:rsidRPr="00522CB8">
        <w:rPr>
          <w:rFonts w:eastAsia="Times New Roman" w:cs="Times New Roman"/>
          <w:i/>
          <w:iCs/>
          <w:color w:val="222222"/>
          <w:szCs w:val="24"/>
          <w:shd w:val="clear" w:color="auto" w:fill="FFFFFF"/>
          <w:lang w:eastAsia="en-GB"/>
          <w14:ligatures w14:val="none"/>
        </w:rPr>
        <w:t>92</w:t>
      </w:r>
      <w:r w:rsidRPr="00522CB8">
        <w:rPr>
          <w:rFonts w:eastAsia="Times New Roman" w:cs="Times New Roman"/>
          <w:color w:val="222222"/>
          <w:szCs w:val="24"/>
          <w:shd w:val="clear" w:color="auto" w:fill="FFFFFF"/>
          <w:lang w:eastAsia="en-GB"/>
          <w14:ligatures w14:val="none"/>
        </w:rPr>
        <w:t>, p.104933.</w:t>
      </w:r>
    </w:p>
    <w:p w14:paraId="7A0F2333" w14:textId="77777777" w:rsidR="00522CB8" w:rsidRPr="00522CB8" w:rsidRDefault="00522CB8" w:rsidP="00522CB8">
      <w:pPr>
        <w:rPr>
          <w:rFonts w:eastAsia="Times New Roman" w:cs="Times New Roman"/>
          <w:szCs w:val="24"/>
          <w:lang w:eastAsia="en-GB"/>
          <w14:ligatures w14:val="none"/>
        </w:rPr>
      </w:pPr>
      <w:r w:rsidRPr="00522CB8">
        <w:rPr>
          <w:rFonts w:eastAsia="Times New Roman" w:cs="Times New Roman"/>
          <w:color w:val="222222"/>
          <w:szCs w:val="24"/>
          <w:shd w:val="clear" w:color="auto" w:fill="FFFFFF"/>
          <w:lang w:eastAsia="en-GB"/>
          <w14:ligatures w14:val="none"/>
        </w:rPr>
        <w:t xml:space="preserve">Hart, O.D. and Zingales, L., (2022). </w:t>
      </w:r>
      <w:r w:rsidRPr="00522CB8">
        <w:rPr>
          <w:rFonts w:eastAsia="Times New Roman" w:cs="Times New Roman"/>
          <w:i/>
          <w:iCs/>
          <w:color w:val="222222"/>
          <w:szCs w:val="24"/>
          <w:shd w:val="clear" w:color="auto" w:fill="FFFFFF"/>
          <w:lang w:eastAsia="en-GB"/>
          <w14:ligatures w14:val="none"/>
        </w:rPr>
        <w:t>The new corporate governance</w:t>
      </w:r>
      <w:r w:rsidRPr="00522CB8">
        <w:rPr>
          <w:rFonts w:eastAsia="Times New Roman" w:cs="Times New Roman"/>
          <w:color w:val="222222"/>
          <w:szCs w:val="24"/>
          <w:shd w:val="clear" w:color="auto" w:fill="FFFFFF"/>
          <w:lang w:eastAsia="en-GB"/>
          <w14:ligatures w14:val="none"/>
        </w:rPr>
        <w:t xml:space="preserve"> (No. w29975). National Bureau of Economic Research.</w:t>
      </w:r>
    </w:p>
    <w:p w14:paraId="31C6427B" w14:textId="77777777" w:rsidR="00522CB8" w:rsidRPr="00522CB8" w:rsidRDefault="00522CB8" w:rsidP="00522CB8">
      <w:pPr>
        <w:rPr>
          <w:rFonts w:eastAsia="Times New Roman" w:cs="Times New Roman"/>
          <w:szCs w:val="24"/>
          <w:lang w:eastAsia="en-GB"/>
          <w14:ligatures w14:val="none"/>
        </w:rPr>
      </w:pPr>
      <w:r w:rsidRPr="00522CB8">
        <w:rPr>
          <w:rFonts w:eastAsia="Times New Roman" w:cs="Times New Roman"/>
          <w:color w:val="222222"/>
          <w:szCs w:val="24"/>
          <w:shd w:val="clear" w:color="auto" w:fill="FFFFFF"/>
          <w:lang w:eastAsia="en-GB"/>
          <w14:ligatures w14:val="none"/>
        </w:rPr>
        <w:t xml:space="preserve">Kyere, M. and Ausloos, M., (2021). Corporate governance and </w:t>
      </w:r>
      <w:proofErr w:type="gramStart"/>
      <w:r w:rsidRPr="00522CB8">
        <w:rPr>
          <w:rFonts w:eastAsia="Times New Roman" w:cs="Times New Roman"/>
          <w:color w:val="222222"/>
          <w:szCs w:val="24"/>
          <w:shd w:val="clear" w:color="auto" w:fill="FFFFFF"/>
          <w:lang w:eastAsia="en-GB"/>
          <w14:ligatures w14:val="none"/>
        </w:rPr>
        <w:t>firms</w:t>
      </w:r>
      <w:proofErr w:type="gramEnd"/>
      <w:r w:rsidRPr="00522CB8">
        <w:rPr>
          <w:rFonts w:eastAsia="Times New Roman" w:cs="Times New Roman"/>
          <w:color w:val="222222"/>
          <w:szCs w:val="24"/>
          <w:shd w:val="clear" w:color="auto" w:fill="FFFFFF"/>
          <w:lang w:eastAsia="en-GB"/>
          <w14:ligatures w14:val="none"/>
        </w:rPr>
        <w:t xml:space="preserve"> financial performance in the United Kingdom. </w:t>
      </w:r>
      <w:r w:rsidRPr="00522CB8">
        <w:rPr>
          <w:rFonts w:eastAsia="Times New Roman" w:cs="Times New Roman"/>
          <w:i/>
          <w:iCs/>
          <w:color w:val="222222"/>
          <w:szCs w:val="24"/>
          <w:shd w:val="clear" w:color="auto" w:fill="FFFFFF"/>
          <w:lang w:eastAsia="en-GB"/>
          <w14:ligatures w14:val="none"/>
        </w:rPr>
        <w:t>International Journal of Finance &amp; Economics</w:t>
      </w:r>
      <w:r w:rsidRPr="00522CB8">
        <w:rPr>
          <w:rFonts w:eastAsia="Times New Roman" w:cs="Times New Roman"/>
          <w:color w:val="222222"/>
          <w:szCs w:val="24"/>
          <w:shd w:val="clear" w:color="auto" w:fill="FFFFFF"/>
          <w:lang w:eastAsia="en-GB"/>
          <w14:ligatures w14:val="none"/>
        </w:rPr>
        <w:t xml:space="preserve">, </w:t>
      </w:r>
      <w:r w:rsidRPr="00522CB8">
        <w:rPr>
          <w:rFonts w:eastAsia="Times New Roman" w:cs="Times New Roman"/>
          <w:i/>
          <w:iCs/>
          <w:color w:val="222222"/>
          <w:szCs w:val="24"/>
          <w:shd w:val="clear" w:color="auto" w:fill="FFFFFF"/>
          <w:lang w:eastAsia="en-GB"/>
          <w14:ligatures w14:val="none"/>
        </w:rPr>
        <w:t>26</w:t>
      </w:r>
      <w:r w:rsidRPr="00522CB8">
        <w:rPr>
          <w:rFonts w:eastAsia="Times New Roman" w:cs="Times New Roman"/>
          <w:color w:val="222222"/>
          <w:szCs w:val="24"/>
          <w:shd w:val="clear" w:color="auto" w:fill="FFFFFF"/>
          <w:lang w:eastAsia="en-GB"/>
          <w14:ligatures w14:val="none"/>
        </w:rPr>
        <w:t>(2), pp.1871-1885.</w:t>
      </w:r>
    </w:p>
    <w:p w14:paraId="1DF13257" w14:textId="77777777" w:rsidR="00522CB8" w:rsidRPr="00522CB8" w:rsidRDefault="00522CB8" w:rsidP="00522CB8">
      <w:pPr>
        <w:rPr>
          <w:rFonts w:eastAsia="Times New Roman" w:cs="Times New Roman"/>
          <w:szCs w:val="24"/>
          <w:lang w:eastAsia="en-GB"/>
          <w14:ligatures w14:val="none"/>
        </w:rPr>
      </w:pPr>
      <w:r w:rsidRPr="00522CB8">
        <w:rPr>
          <w:rFonts w:eastAsia="Times New Roman" w:cs="Times New Roman"/>
          <w:color w:val="222222"/>
          <w:szCs w:val="24"/>
          <w:shd w:val="clear" w:color="auto" w:fill="FFFFFF"/>
          <w:lang w:eastAsia="en-GB"/>
          <w14:ligatures w14:val="none"/>
        </w:rPr>
        <w:t xml:space="preserve">Larcker, D. and Tayan, B., (2020). </w:t>
      </w:r>
      <w:r w:rsidRPr="00522CB8">
        <w:rPr>
          <w:rFonts w:eastAsia="Times New Roman" w:cs="Times New Roman"/>
          <w:i/>
          <w:iCs/>
          <w:color w:val="222222"/>
          <w:szCs w:val="24"/>
          <w:shd w:val="clear" w:color="auto" w:fill="FFFFFF"/>
          <w:lang w:eastAsia="en-GB"/>
          <w14:ligatures w14:val="none"/>
        </w:rPr>
        <w:t>Corporate governance matters</w:t>
      </w:r>
      <w:r w:rsidRPr="00522CB8">
        <w:rPr>
          <w:rFonts w:eastAsia="Times New Roman" w:cs="Times New Roman"/>
          <w:color w:val="222222"/>
          <w:szCs w:val="24"/>
          <w:shd w:val="clear" w:color="auto" w:fill="FFFFFF"/>
          <w:lang w:eastAsia="en-GB"/>
          <w14:ligatures w14:val="none"/>
        </w:rPr>
        <w:t>. FT Press.</w:t>
      </w:r>
    </w:p>
    <w:p w14:paraId="4924FC49" w14:textId="77777777" w:rsidR="00522CB8" w:rsidRPr="00522CB8" w:rsidRDefault="00522CB8" w:rsidP="00522CB8">
      <w:pPr>
        <w:rPr>
          <w:rFonts w:eastAsia="Times New Roman" w:cs="Times New Roman"/>
          <w:szCs w:val="24"/>
          <w:lang w:eastAsia="en-GB"/>
          <w14:ligatures w14:val="none"/>
        </w:rPr>
      </w:pPr>
      <w:proofErr w:type="spellStart"/>
      <w:r w:rsidRPr="00522CB8">
        <w:rPr>
          <w:rFonts w:eastAsia="Times New Roman" w:cs="Times New Roman"/>
          <w:color w:val="222222"/>
          <w:szCs w:val="24"/>
          <w:shd w:val="clear" w:color="auto" w:fill="FFFFFF"/>
          <w:lang w:eastAsia="en-GB"/>
          <w14:ligatures w14:val="none"/>
        </w:rPr>
        <w:t>Naciti</w:t>
      </w:r>
      <w:proofErr w:type="spellEnd"/>
      <w:r w:rsidRPr="00522CB8">
        <w:rPr>
          <w:rFonts w:eastAsia="Times New Roman" w:cs="Times New Roman"/>
          <w:color w:val="222222"/>
          <w:szCs w:val="24"/>
          <w:shd w:val="clear" w:color="auto" w:fill="FFFFFF"/>
          <w:lang w:eastAsia="en-GB"/>
          <w14:ligatures w14:val="none"/>
        </w:rPr>
        <w:t xml:space="preserve">, V., </w:t>
      </w:r>
      <w:proofErr w:type="spellStart"/>
      <w:r w:rsidRPr="00522CB8">
        <w:rPr>
          <w:rFonts w:eastAsia="Times New Roman" w:cs="Times New Roman"/>
          <w:color w:val="222222"/>
          <w:szCs w:val="24"/>
          <w:shd w:val="clear" w:color="auto" w:fill="FFFFFF"/>
          <w:lang w:eastAsia="en-GB"/>
          <w14:ligatures w14:val="none"/>
        </w:rPr>
        <w:t>Cesaroni</w:t>
      </w:r>
      <w:proofErr w:type="spellEnd"/>
      <w:r w:rsidRPr="00522CB8">
        <w:rPr>
          <w:rFonts w:eastAsia="Times New Roman" w:cs="Times New Roman"/>
          <w:color w:val="222222"/>
          <w:szCs w:val="24"/>
          <w:shd w:val="clear" w:color="auto" w:fill="FFFFFF"/>
          <w:lang w:eastAsia="en-GB"/>
          <w14:ligatures w14:val="none"/>
        </w:rPr>
        <w:t xml:space="preserve">, F. and </w:t>
      </w:r>
      <w:proofErr w:type="spellStart"/>
      <w:r w:rsidRPr="00522CB8">
        <w:rPr>
          <w:rFonts w:eastAsia="Times New Roman" w:cs="Times New Roman"/>
          <w:color w:val="222222"/>
          <w:szCs w:val="24"/>
          <w:shd w:val="clear" w:color="auto" w:fill="FFFFFF"/>
          <w:lang w:eastAsia="en-GB"/>
          <w14:ligatures w14:val="none"/>
        </w:rPr>
        <w:t>Pulejo</w:t>
      </w:r>
      <w:proofErr w:type="spellEnd"/>
      <w:r w:rsidRPr="00522CB8">
        <w:rPr>
          <w:rFonts w:eastAsia="Times New Roman" w:cs="Times New Roman"/>
          <w:color w:val="222222"/>
          <w:szCs w:val="24"/>
          <w:shd w:val="clear" w:color="auto" w:fill="FFFFFF"/>
          <w:lang w:eastAsia="en-GB"/>
          <w14:ligatures w14:val="none"/>
        </w:rPr>
        <w:t xml:space="preserve">, L., (2022). Corporate governance and sustainability: A review of the existing literature. </w:t>
      </w:r>
      <w:r w:rsidRPr="00522CB8">
        <w:rPr>
          <w:rFonts w:eastAsia="Times New Roman" w:cs="Times New Roman"/>
          <w:i/>
          <w:iCs/>
          <w:color w:val="222222"/>
          <w:szCs w:val="24"/>
          <w:shd w:val="clear" w:color="auto" w:fill="FFFFFF"/>
          <w:lang w:eastAsia="en-GB"/>
          <w14:ligatures w14:val="none"/>
        </w:rPr>
        <w:t>Journal of Management and Governance</w:t>
      </w:r>
      <w:r w:rsidRPr="00522CB8">
        <w:rPr>
          <w:rFonts w:eastAsia="Times New Roman" w:cs="Times New Roman"/>
          <w:color w:val="222222"/>
          <w:szCs w:val="24"/>
          <w:shd w:val="clear" w:color="auto" w:fill="FFFFFF"/>
          <w:lang w:eastAsia="en-GB"/>
          <w14:ligatures w14:val="none"/>
        </w:rPr>
        <w:t>, pp.1-20.</w:t>
      </w:r>
    </w:p>
    <w:p w14:paraId="2AEF5DB4" w14:textId="77777777" w:rsidR="00522CB8" w:rsidRPr="00522CB8" w:rsidRDefault="00522CB8" w:rsidP="00522CB8">
      <w:pPr>
        <w:rPr>
          <w:rFonts w:eastAsia="Times New Roman" w:cs="Times New Roman"/>
          <w:szCs w:val="24"/>
          <w:lang w:eastAsia="en-GB"/>
          <w14:ligatures w14:val="none"/>
        </w:rPr>
      </w:pPr>
      <w:r w:rsidRPr="00522CB8">
        <w:rPr>
          <w:rFonts w:eastAsia="Times New Roman" w:cs="Times New Roman"/>
          <w:color w:val="222222"/>
          <w:szCs w:val="24"/>
          <w:shd w:val="clear" w:color="auto" w:fill="FFFFFF"/>
          <w:lang w:eastAsia="en-GB"/>
          <w14:ligatures w14:val="none"/>
        </w:rPr>
        <w:t xml:space="preserve">Rodriguez-Gomez, S., Arco-Castro, M.L., Lopez-Perez, M.V. and Rodríguez-Ariza, L., (2020). Where does CSR come from and where does it go? A review of the state of the art. </w:t>
      </w:r>
      <w:r w:rsidRPr="00522CB8">
        <w:rPr>
          <w:rFonts w:eastAsia="Times New Roman" w:cs="Times New Roman"/>
          <w:i/>
          <w:iCs/>
          <w:color w:val="222222"/>
          <w:szCs w:val="24"/>
          <w:shd w:val="clear" w:color="auto" w:fill="FFFFFF"/>
          <w:lang w:eastAsia="en-GB"/>
          <w14:ligatures w14:val="none"/>
        </w:rPr>
        <w:t>Administrative Sciences</w:t>
      </w:r>
      <w:r w:rsidRPr="00522CB8">
        <w:rPr>
          <w:rFonts w:eastAsia="Times New Roman" w:cs="Times New Roman"/>
          <w:color w:val="222222"/>
          <w:szCs w:val="24"/>
          <w:shd w:val="clear" w:color="auto" w:fill="FFFFFF"/>
          <w:lang w:eastAsia="en-GB"/>
          <w14:ligatures w14:val="none"/>
        </w:rPr>
        <w:t xml:space="preserve">, </w:t>
      </w:r>
      <w:r w:rsidRPr="00522CB8">
        <w:rPr>
          <w:rFonts w:eastAsia="Times New Roman" w:cs="Times New Roman"/>
          <w:i/>
          <w:iCs/>
          <w:color w:val="222222"/>
          <w:szCs w:val="24"/>
          <w:shd w:val="clear" w:color="auto" w:fill="FFFFFF"/>
          <w:lang w:eastAsia="en-GB"/>
          <w14:ligatures w14:val="none"/>
        </w:rPr>
        <w:t>10</w:t>
      </w:r>
      <w:r w:rsidRPr="00522CB8">
        <w:rPr>
          <w:rFonts w:eastAsia="Times New Roman" w:cs="Times New Roman"/>
          <w:color w:val="222222"/>
          <w:szCs w:val="24"/>
          <w:shd w:val="clear" w:color="auto" w:fill="FFFFFF"/>
          <w:lang w:eastAsia="en-GB"/>
          <w14:ligatures w14:val="none"/>
        </w:rPr>
        <w:t>(3), p.60.</w:t>
      </w:r>
    </w:p>
    <w:p w14:paraId="3BEA8C6C" w14:textId="77777777" w:rsidR="00522CB8" w:rsidRPr="00522CB8" w:rsidRDefault="00522CB8" w:rsidP="00522CB8">
      <w:pPr>
        <w:rPr>
          <w:rFonts w:eastAsia="Times New Roman" w:cs="Times New Roman"/>
          <w:szCs w:val="24"/>
          <w:lang w:eastAsia="en-GB"/>
          <w14:ligatures w14:val="none"/>
        </w:rPr>
      </w:pPr>
      <w:proofErr w:type="spellStart"/>
      <w:r w:rsidRPr="00522CB8">
        <w:rPr>
          <w:rFonts w:eastAsia="Times New Roman" w:cs="Times New Roman"/>
          <w:color w:val="222222"/>
          <w:szCs w:val="24"/>
          <w:shd w:val="clear" w:color="auto" w:fill="FFFFFF"/>
          <w:lang w:eastAsia="en-GB"/>
          <w14:ligatures w14:val="none"/>
        </w:rPr>
        <w:t>Tamvada</w:t>
      </w:r>
      <w:proofErr w:type="spellEnd"/>
      <w:r w:rsidRPr="00522CB8">
        <w:rPr>
          <w:rFonts w:eastAsia="Times New Roman" w:cs="Times New Roman"/>
          <w:color w:val="222222"/>
          <w:szCs w:val="24"/>
          <w:shd w:val="clear" w:color="auto" w:fill="FFFFFF"/>
          <w:lang w:eastAsia="en-GB"/>
          <w14:ligatures w14:val="none"/>
        </w:rPr>
        <w:t xml:space="preserve">, M., (2020). Corporate social responsibility and accountability: a new theoretical foundation for regulating CSR. </w:t>
      </w:r>
      <w:r w:rsidRPr="00522CB8">
        <w:rPr>
          <w:rFonts w:eastAsia="Times New Roman" w:cs="Times New Roman"/>
          <w:i/>
          <w:iCs/>
          <w:color w:val="222222"/>
          <w:szCs w:val="24"/>
          <w:shd w:val="clear" w:color="auto" w:fill="FFFFFF"/>
          <w:lang w:eastAsia="en-GB"/>
          <w14:ligatures w14:val="none"/>
        </w:rPr>
        <w:t>International Journal of Corporate Social Responsibility</w:t>
      </w:r>
      <w:r w:rsidRPr="00522CB8">
        <w:rPr>
          <w:rFonts w:eastAsia="Times New Roman" w:cs="Times New Roman"/>
          <w:color w:val="222222"/>
          <w:szCs w:val="24"/>
          <w:shd w:val="clear" w:color="auto" w:fill="FFFFFF"/>
          <w:lang w:eastAsia="en-GB"/>
          <w14:ligatures w14:val="none"/>
        </w:rPr>
        <w:t xml:space="preserve">, </w:t>
      </w:r>
      <w:r w:rsidRPr="00522CB8">
        <w:rPr>
          <w:rFonts w:eastAsia="Times New Roman" w:cs="Times New Roman"/>
          <w:i/>
          <w:iCs/>
          <w:color w:val="222222"/>
          <w:szCs w:val="24"/>
          <w:shd w:val="clear" w:color="auto" w:fill="FFFFFF"/>
          <w:lang w:eastAsia="en-GB"/>
          <w14:ligatures w14:val="none"/>
        </w:rPr>
        <w:t>5</w:t>
      </w:r>
      <w:r w:rsidRPr="00522CB8">
        <w:rPr>
          <w:rFonts w:eastAsia="Times New Roman" w:cs="Times New Roman"/>
          <w:color w:val="222222"/>
          <w:szCs w:val="24"/>
          <w:shd w:val="clear" w:color="auto" w:fill="FFFFFF"/>
          <w:lang w:eastAsia="en-GB"/>
          <w14:ligatures w14:val="none"/>
        </w:rPr>
        <w:t>(1), p.2.</w:t>
      </w:r>
    </w:p>
    <w:sectPr w:rsidR="00522CB8" w:rsidRPr="00522CB8" w:rsidSect="00A5215F">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E6F8D" w14:textId="77777777" w:rsidR="0024576A" w:rsidRDefault="0024576A" w:rsidP="00A5215F">
      <w:pPr>
        <w:spacing w:line="240" w:lineRule="auto"/>
      </w:pPr>
      <w:r>
        <w:separator/>
      </w:r>
    </w:p>
  </w:endnote>
  <w:endnote w:type="continuationSeparator" w:id="0">
    <w:p w14:paraId="30864E51" w14:textId="77777777" w:rsidR="0024576A" w:rsidRDefault="0024576A" w:rsidP="00A521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4769747"/>
      <w:docPartObj>
        <w:docPartGallery w:val="Page Numbers (Bottom of Page)"/>
        <w:docPartUnique/>
      </w:docPartObj>
    </w:sdtPr>
    <w:sdtContent>
      <w:sdt>
        <w:sdtPr>
          <w:id w:val="-1769616900"/>
          <w:docPartObj>
            <w:docPartGallery w:val="Page Numbers (Top of Page)"/>
            <w:docPartUnique/>
          </w:docPartObj>
        </w:sdtPr>
        <w:sdtContent>
          <w:p w14:paraId="1D69BDA7" w14:textId="40808B1E" w:rsidR="00A5215F" w:rsidRDefault="00A5215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6477ED5" w14:textId="77777777" w:rsidR="00A5215F" w:rsidRDefault="00A521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957EF" w14:textId="77777777" w:rsidR="0024576A" w:rsidRDefault="0024576A" w:rsidP="00A5215F">
      <w:pPr>
        <w:spacing w:line="240" w:lineRule="auto"/>
      </w:pPr>
      <w:r>
        <w:separator/>
      </w:r>
    </w:p>
  </w:footnote>
  <w:footnote w:type="continuationSeparator" w:id="0">
    <w:p w14:paraId="6B9A81BB" w14:textId="77777777" w:rsidR="0024576A" w:rsidRDefault="0024576A" w:rsidP="00A5215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457993" w14:textId="29B8854C" w:rsidR="00A5215F" w:rsidRDefault="00A5215F" w:rsidP="00A5215F">
    <w:pPr>
      <w:pStyle w:val="Header"/>
      <w:jc w:val="right"/>
    </w:pPr>
    <w:r w:rsidRPr="00A5215F">
      <w:t>International Financial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15F"/>
    <w:rsid w:val="00013266"/>
    <w:rsid w:val="0003160F"/>
    <w:rsid w:val="00031B1B"/>
    <w:rsid w:val="00044AE0"/>
    <w:rsid w:val="00056AF1"/>
    <w:rsid w:val="00056F3B"/>
    <w:rsid w:val="00085520"/>
    <w:rsid w:val="000A457F"/>
    <w:rsid w:val="000A476C"/>
    <w:rsid w:val="000E2658"/>
    <w:rsid w:val="00103AB9"/>
    <w:rsid w:val="00165230"/>
    <w:rsid w:val="00185B86"/>
    <w:rsid w:val="001A3B57"/>
    <w:rsid w:val="001A7837"/>
    <w:rsid w:val="001B476F"/>
    <w:rsid w:val="001C76A9"/>
    <w:rsid w:val="001E753F"/>
    <w:rsid w:val="001F686F"/>
    <w:rsid w:val="0022023D"/>
    <w:rsid w:val="00224907"/>
    <w:rsid w:val="00243BE1"/>
    <w:rsid w:val="0024576A"/>
    <w:rsid w:val="00247F64"/>
    <w:rsid w:val="00251453"/>
    <w:rsid w:val="00273668"/>
    <w:rsid w:val="00273863"/>
    <w:rsid w:val="002B14E7"/>
    <w:rsid w:val="002B777E"/>
    <w:rsid w:val="002D7319"/>
    <w:rsid w:val="003330D6"/>
    <w:rsid w:val="003724A1"/>
    <w:rsid w:val="003D18D6"/>
    <w:rsid w:val="003D6B7F"/>
    <w:rsid w:val="003F5C51"/>
    <w:rsid w:val="00421D3F"/>
    <w:rsid w:val="00426B4E"/>
    <w:rsid w:val="004331E6"/>
    <w:rsid w:val="00433C13"/>
    <w:rsid w:val="00434E11"/>
    <w:rsid w:val="004379DC"/>
    <w:rsid w:val="00456DBF"/>
    <w:rsid w:val="00460668"/>
    <w:rsid w:val="0047746D"/>
    <w:rsid w:val="00497FDF"/>
    <w:rsid w:val="004A0955"/>
    <w:rsid w:val="004D5169"/>
    <w:rsid w:val="004D64C3"/>
    <w:rsid w:val="004E0FE0"/>
    <w:rsid w:val="004F040C"/>
    <w:rsid w:val="00504CCE"/>
    <w:rsid w:val="00521C3D"/>
    <w:rsid w:val="00522CB8"/>
    <w:rsid w:val="00534075"/>
    <w:rsid w:val="00544F7C"/>
    <w:rsid w:val="00566E96"/>
    <w:rsid w:val="005941F5"/>
    <w:rsid w:val="005A5A7D"/>
    <w:rsid w:val="005D5AA2"/>
    <w:rsid w:val="005E723E"/>
    <w:rsid w:val="005F225D"/>
    <w:rsid w:val="005F5ECB"/>
    <w:rsid w:val="00616357"/>
    <w:rsid w:val="0064693D"/>
    <w:rsid w:val="006628E1"/>
    <w:rsid w:val="006926BE"/>
    <w:rsid w:val="006A166B"/>
    <w:rsid w:val="006B4214"/>
    <w:rsid w:val="006E18F4"/>
    <w:rsid w:val="006E2096"/>
    <w:rsid w:val="006F4073"/>
    <w:rsid w:val="0070192A"/>
    <w:rsid w:val="00715D49"/>
    <w:rsid w:val="00766B61"/>
    <w:rsid w:val="00767FB1"/>
    <w:rsid w:val="007A2BB1"/>
    <w:rsid w:val="007F35A8"/>
    <w:rsid w:val="00801C5C"/>
    <w:rsid w:val="00803D93"/>
    <w:rsid w:val="00804260"/>
    <w:rsid w:val="008130F9"/>
    <w:rsid w:val="00824804"/>
    <w:rsid w:val="0082628E"/>
    <w:rsid w:val="00853497"/>
    <w:rsid w:val="008751EE"/>
    <w:rsid w:val="0087655C"/>
    <w:rsid w:val="00876A7E"/>
    <w:rsid w:val="00877C70"/>
    <w:rsid w:val="008829BE"/>
    <w:rsid w:val="008C78EC"/>
    <w:rsid w:val="008E0492"/>
    <w:rsid w:val="008E5018"/>
    <w:rsid w:val="00921EF6"/>
    <w:rsid w:val="00923DDC"/>
    <w:rsid w:val="00944F1F"/>
    <w:rsid w:val="00976CFF"/>
    <w:rsid w:val="00981700"/>
    <w:rsid w:val="00983A5F"/>
    <w:rsid w:val="009C127C"/>
    <w:rsid w:val="009D0C32"/>
    <w:rsid w:val="009D606D"/>
    <w:rsid w:val="009E2AF9"/>
    <w:rsid w:val="009E456A"/>
    <w:rsid w:val="009E5D55"/>
    <w:rsid w:val="009F3DD7"/>
    <w:rsid w:val="00A01A23"/>
    <w:rsid w:val="00A23ABB"/>
    <w:rsid w:val="00A34C4B"/>
    <w:rsid w:val="00A5215F"/>
    <w:rsid w:val="00A57017"/>
    <w:rsid w:val="00A57A55"/>
    <w:rsid w:val="00A75D90"/>
    <w:rsid w:val="00A779DB"/>
    <w:rsid w:val="00A813F4"/>
    <w:rsid w:val="00A95B24"/>
    <w:rsid w:val="00AC00B0"/>
    <w:rsid w:val="00AC4311"/>
    <w:rsid w:val="00AD3541"/>
    <w:rsid w:val="00AD3F59"/>
    <w:rsid w:val="00B05A96"/>
    <w:rsid w:val="00B07779"/>
    <w:rsid w:val="00B243FF"/>
    <w:rsid w:val="00B40AFE"/>
    <w:rsid w:val="00B42FBB"/>
    <w:rsid w:val="00B66511"/>
    <w:rsid w:val="00BA1ABA"/>
    <w:rsid w:val="00BD38FB"/>
    <w:rsid w:val="00C155C8"/>
    <w:rsid w:val="00C270DF"/>
    <w:rsid w:val="00C45487"/>
    <w:rsid w:val="00C6795C"/>
    <w:rsid w:val="00C84E30"/>
    <w:rsid w:val="00C9277D"/>
    <w:rsid w:val="00C96C48"/>
    <w:rsid w:val="00CB0728"/>
    <w:rsid w:val="00D02CC8"/>
    <w:rsid w:val="00D50D90"/>
    <w:rsid w:val="00D52496"/>
    <w:rsid w:val="00D529A6"/>
    <w:rsid w:val="00D63450"/>
    <w:rsid w:val="00D85636"/>
    <w:rsid w:val="00DC092C"/>
    <w:rsid w:val="00DD55DA"/>
    <w:rsid w:val="00DE3F8F"/>
    <w:rsid w:val="00DF372A"/>
    <w:rsid w:val="00E11E83"/>
    <w:rsid w:val="00E11EF6"/>
    <w:rsid w:val="00E12DF4"/>
    <w:rsid w:val="00E149E2"/>
    <w:rsid w:val="00E32EDB"/>
    <w:rsid w:val="00E36078"/>
    <w:rsid w:val="00E542A3"/>
    <w:rsid w:val="00E57200"/>
    <w:rsid w:val="00E62615"/>
    <w:rsid w:val="00E7442B"/>
    <w:rsid w:val="00E77C15"/>
    <w:rsid w:val="00E77DB2"/>
    <w:rsid w:val="00E94BC8"/>
    <w:rsid w:val="00ED22A8"/>
    <w:rsid w:val="00EE0ACD"/>
    <w:rsid w:val="00EF78E0"/>
    <w:rsid w:val="00F21D49"/>
    <w:rsid w:val="00F2376E"/>
    <w:rsid w:val="00F24F6D"/>
    <w:rsid w:val="00F31642"/>
    <w:rsid w:val="00F40F51"/>
    <w:rsid w:val="00F4516A"/>
    <w:rsid w:val="00F82E9E"/>
    <w:rsid w:val="00F832BF"/>
    <w:rsid w:val="00FA54CB"/>
    <w:rsid w:val="00FB3E30"/>
    <w:rsid w:val="00FE6E0B"/>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0E6528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56A"/>
    <w:pPr>
      <w:spacing w:after="0" w:line="480" w:lineRule="auto"/>
      <w:jc w:val="both"/>
    </w:pPr>
    <w:rPr>
      <w:rFonts w:ascii="Times New Roman" w:hAnsi="Times New Roman" w:cs="Arial"/>
      <w:sz w:val="24"/>
    </w:rPr>
  </w:style>
  <w:style w:type="paragraph" w:styleId="Heading1">
    <w:name w:val="heading 1"/>
    <w:basedOn w:val="Normal"/>
    <w:next w:val="Normal"/>
    <w:link w:val="Heading1Char"/>
    <w:autoRedefine/>
    <w:uiPriority w:val="9"/>
    <w:qFormat/>
    <w:rsid w:val="009E456A"/>
    <w:pPr>
      <w:keepNext/>
      <w:keepLines/>
      <w:outlineLvl w:val="0"/>
    </w:pPr>
    <w:rPr>
      <w:b/>
      <w:sz w:val="28"/>
      <w:szCs w:val="40"/>
    </w:rPr>
  </w:style>
  <w:style w:type="paragraph" w:styleId="Heading2">
    <w:name w:val="heading 2"/>
    <w:basedOn w:val="Normal"/>
    <w:next w:val="Normal"/>
    <w:link w:val="Heading2Char"/>
    <w:autoRedefine/>
    <w:uiPriority w:val="9"/>
    <w:unhideWhenUsed/>
    <w:qFormat/>
    <w:rsid w:val="009E456A"/>
    <w:pPr>
      <w:keepNext/>
      <w:keepLines/>
      <w:spacing w:after="40"/>
      <w:outlineLvl w:val="1"/>
    </w:pPr>
    <w:rPr>
      <w:b/>
      <w:sz w:val="26"/>
      <w:szCs w:val="32"/>
    </w:rPr>
  </w:style>
  <w:style w:type="paragraph" w:styleId="Heading3">
    <w:name w:val="heading 3"/>
    <w:basedOn w:val="Normal"/>
    <w:next w:val="Normal"/>
    <w:link w:val="Heading3Char"/>
    <w:uiPriority w:val="9"/>
    <w:unhideWhenUsed/>
    <w:qFormat/>
    <w:rsid w:val="00AD3F59"/>
    <w:pPr>
      <w:keepNext/>
      <w:keepLines/>
      <w:spacing w:before="320" w:after="80"/>
      <w:outlineLvl w:val="2"/>
    </w:pPr>
    <w:rPr>
      <w:i/>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56A"/>
    <w:rPr>
      <w:rFonts w:ascii="Times New Roman" w:hAnsi="Times New Roman" w:cs="Arial"/>
      <w:b/>
      <w:sz w:val="28"/>
      <w:szCs w:val="40"/>
    </w:rPr>
  </w:style>
  <w:style w:type="character" w:customStyle="1" w:styleId="Heading2Char">
    <w:name w:val="Heading 2 Char"/>
    <w:basedOn w:val="DefaultParagraphFont"/>
    <w:link w:val="Heading2"/>
    <w:uiPriority w:val="9"/>
    <w:rsid w:val="009E456A"/>
    <w:rPr>
      <w:rFonts w:ascii="Times New Roman" w:hAnsi="Times New Roman" w:cs="Arial"/>
      <w:b/>
      <w:sz w:val="26"/>
      <w:szCs w:val="32"/>
    </w:rPr>
  </w:style>
  <w:style w:type="character" w:customStyle="1" w:styleId="Heading3Char">
    <w:name w:val="Heading 3 Char"/>
    <w:basedOn w:val="DefaultParagraphFont"/>
    <w:link w:val="Heading3"/>
    <w:uiPriority w:val="9"/>
    <w:rsid w:val="00AD3F59"/>
    <w:rPr>
      <w:rFonts w:ascii="Times New Roman" w:hAnsi="Times New Roman" w:cs="Arial"/>
      <w:i/>
      <w:kern w:val="0"/>
      <w:sz w:val="24"/>
      <w:szCs w:val="28"/>
      <w:u w:val="single"/>
      <w:lang w:val="en-GB" w:eastAsia="en-IN"/>
    </w:rPr>
  </w:style>
  <w:style w:type="paragraph" w:styleId="Title">
    <w:name w:val="Title"/>
    <w:basedOn w:val="Normal"/>
    <w:next w:val="Normal"/>
    <w:link w:val="TitleChar"/>
    <w:uiPriority w:val="10"/>
    <w:qFormat/>
    <w:rsid w:val="009C127C"/>
    <w:pPr>
      <w:keepNext/>
      <w:keepLines/>
      <w:spacing w:after="60"/>
    </w:pPr>
    <w:rPr>
      <w:i/>
      <w:sz w:val="26"/>
      <w:szCs w:val="52"/>
      <w:u w:val="single"/>
    </w:rPr>
  </w:style>
  <w:style w:type="character" w:customStyle="1" w:styleId="TitleChar">
    <w:name w:val="Title Char"/>
    <w:basedOn w:val="DefaultParagraphFont"/>
    <w:link w:val="Title"/>
    <w:uiPriority w:val="10"/>
    <w:rsid w:val="009C127C"/>
    <w:rPr>
      <w:rFonts w:ascii="Times New Roman" w:hAnsi="Times New Roman" w:cs="Arial"/>
      <w:i/>
      <w:kern w:val="0"/>
      <w:sz w:val="26"/>
      <w:szCs w:val="52"/>
      <w:u w:val="single"/>
      <w:lang w:val="en-GB" w:eastAsia="en-IN"/>
      <w14:ligatures w14:val="none"/>
    </w:rPr>
  </w:style>
  <w:style w:type="paragraph" w:styleId="Header">
    <w:name w:val="header"/>
    <w:basedOn w:val="Normal"/>
    <w:link w:val="HeaderChar"/>
    <w:uiPriority w:val="99"/>
    <w:unhideWhenUsed/>
    <w:rsid w:val="00A5215F"/>
    <w:pPr>
      <w:tabs>
        <w:tab w:val="center" w:pos="4513"/>
        <w:tab w:val="right" w:pos="9026"/>
      </w:tabs>
      <w:spacing w:line="240" w:lineRule="auto"/>
    </w:pPr>
  </w:style>
  <w:style w:type="character" w:customStyle="1" w:styleId="HeaderChar">
    <w:name w:val="Header Char"/>
    <w:basedOn w:val="DefaultParagraphFont"/>
    <w:link w:val="Header"/>
    <w:uiPriority w:val="99"/>
    <w:rsid w:val="00A5215F"/>
    <w:rPr>
      <w:rFonts w:ascii="Times New Roman" w:hAnsi="Times New Roman" w:cs="Arial"/>
      <w:sz w:val="24"/>
    </w:rPr>
  </w:style>
  <w:style w:type="paragraph" w:styleId="Footer">
    <w:name w:val="footer"/>
    <w:basedOn w:val="Normal"/>
    <w:link w:val="FooterChar"/>
    <w:uiPriority w:val="99"/>
    <w:unhideWhenUsed/>
    <w:rsid w:val="00A5215F"/>
    <w:pPr>
      <w:tabs>
        <w:tab w:val="center" w:pos="4513"/>
        <w:tab w:val="right" w:pos="9026"/>
      </w:tabs>
      <w:spacing w:line="240" w:lineRule="auto"/>
    </w:pPr>
  </w:style>
  <w:style w:type="character" w:customStyle="1" w:styleId="FooterChar">
    <w:name w:val="Footer Char"/>
    <w:basedOn w:val="DefaultParagraphFont"/>
    <w:link w:val="Footer"/>
    <w:uiPriority w:val="99"/>
    <w:rsid w:val="00A5215F"/>
    <w:rPr>
      <w:rFonts w:ascii="Times New Roman" w:hAnsi="Times New Roman" w:cs="Arial"/>
      <w:sz w:val="24"/>
    </w:rPr>
  </w:style>
  <w:style w:type="paragraph" w:styleId="TOCHeading">
    <w:name w:val="TOC Heading"/>
    <w:basedOn w:val="Heading1"/>
    <w:next w:val="Normal"/>
    <w:uiPriority w:val="39"/>
    <w:unhideWhenUsed/>
    <w:qFormat/>
    <w:rsid w:val="00C155C8"/>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C155C8"/>
    <w:pPr>
      <w:spacing w:after="100"/>
    </w:pPr>
  </w:style>
  <w:style w:type="paragraph" w:styleId="TOC2">
    <w:name w:val="toc 2"/>
    <w:basedOn w:val="Normal"/>
    <w:next w:val="Normal"/>
    <w:autoRedefine/>
    <w:uiPriority w:val="39"/>
    <w:unhideWhenUsed/>
    <w:rsid w:val="00C155C8"/>
    <w:pPr>
      <w:spacing w:after="100"/>
      <w:ind w:left="240"/>
    </w:pPr>
  </w:style>
  <w:style w:type="character" w:styleId="Hyperlink">
    <w:name w:val="Hyperlink"/>
    <w:basedOn w:val="DefaultParagraphFont"/>
    <w:uiPriority w:val="99"/>
    <w:unhideWhenUsed/>
    <w:rsid w:val="00C155C8"/>
    <w:rPr>
      <w:color w:val="0563C1" w:themeColor="hyperlink"/>
      <w:u w:val="single"/>
    </w:rPr>
  </w:style>
  <w:style w:type="paragraph" w:styleId="NormalWeb">
    <w:name w:val="Normal (Web)"/>
    <w:basedOn w:val="Normal"/>
    <w:uiPriority w:val="99"/>
    <w:semiHidden/>
    <w:unhideWhenUsed/>
    <w:rsid w:val="00522CB8"/>
    <w:pPr>
      <w:spacing w:before="100" w:beforeAutospacing="1" w:after="100" w:afterAutospacing="1" w:line="240" w:lineRule="auto"/>
      <w:jc w:val="left"/>
    </w:pPr>
    <w:rPr>
      <w:rFonts w:eastAsia="Times New Roman" w:cs="Times New Roman"/>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4352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3D38835-4EAC-46A0-8D9D-8EA1AF5590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2304</Words>
  <Characters>13137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2024-06-30T09:32:00Z</dcterms:created>
  <dcterms:modified xsi:type="dcterms:W3CDTF">2024-06-30T09:32:00Z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50cfc2d5df638a60773b408a7af2e6b50dcfd5f82f683820da8fd12bfdbb2bf0</vt:lpwstr>
  </property>
</Properties>
</file>