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82AE85" w14:textId="39A1D3D4" w:rsidR="549FEC4C" w:rsidRDefault="549FEC4C" w:rsidP="3E784F34">
      <w:pPr>
        <w:jc w:val="center"/>
      </w:pPr>
      <w:r>
        <w:t>Assignment Title: Case Study Analysis Report</w:t>
      </w:r>
    </w:p>
    <w:p w14:paraId="22B83C15" w14:textId="7C8B3A13" w:rsidR="3E784F34" w:rsidRDefault="3E784F34"/>
    <w:p w14:paraId="543A0A9A" w14:textId="1B6DCBF7" w:rsidR="549FEC4C" w:rsidRDefault="549FEC4C">
      <w:r>
        <w:t xml:space="preserve"> </w:t>
      </w:r>
    </w:p>
    <w:p w14:paraId="2579854E" w14:textId="1BCAF670" w:rsidR="00764EB9" w:rsidRDefault="793914FE">
      <w:r>
        <w:t>Student name:</w:t>
      </w:r>
      <w:r w:rsidR="55E89DFE">
        <w:t xml:space="preserve"> Carina Gomes </w:t>
      </w:r>
    </w:p>
    <w:p w14:paraId="6020A5E2" w14:textId="77777777" w:rsidR="00CC1B30" w:rsidRDefault="00F85F07" w:rsidP="3E784F34">
      <w:r>
        <w:t>Student number:</w:t>
      </w:r>
      <w:r w:rsidR="00CC1B30">
        <w:t xml:space="preserve"> 2222912</w:t>
      </w:r>
    </w:p>
    <w:p w14:paraId="18199867" w14:textId="44DFFE04" w:rsidR="00764EB9" w:rsidRDefault="793914FE" w:rsidP="3E784F34">
      <w:r>
        <w:t xml:space="preserve">Module </w:t>
      </w:r>
      <w:r w:rsidR="76D665F6">
        <w:t>code:</w:t>
      </w:r>
      <w:r>
        <w:t xml:space="preserve"> LCHS7002 </w:t>
      </w:r>
    </w:p>
    <w:p w14:paraId="7654B5EC" w14:textId="3CF0A1F4" w:rsidR="00764EB9" w:rsidRDefault="03B7D08C" w:rsidP="3E784F34">
      <w:r>
        <w:t>Lecturer:</w:t>
      </w:r>
      <w:r w:rsidR="793914FE">
        <w:t xml:space="preserve"> Dr Fahad Khan </w:t>
      </w:r>
    </w:p>
    <w:p w14:paraId="2C078E63" w14:textId="058707B0" w:rsidR="00764EB9" w:rsidRDefault="00764EB9"/>
    <w:p w14:paraId="70B4BCE4" w14:textId="3EABC5BF" w:rsidR="001B10D3" w:rsidRPr="00F16502" w:rsidRDefault="00CC1B30" w:rsidP="007819EC">
      <w:pPr>
        <w:spacing w:after="0" w:line="360" w:lineRule="auto"/>
        <w:rPr>
          <w:rFonts w:ascii="Arial" w:eastAsia="Times New Roman" w:hAnsi="Arial" w:cs="Arial"/>
          <w:b/>
          <w:bCs/>
          <w:lang w:val="en-001" w:eastAsia="en-GB"/>
        </w:rPr>
      </w:pPr>
      <w:r w:rsidRPr="00F16502">
        <w:rPr>
          <w:rFonts w:ascii="Arial" w:eastAsia="Times New Roman" w:hAnsi="Arial" w:cs="Arial"/>
          <w:b/>
          <w:bCs/>
          <w:lang w:val="en-001" w:eastAsia="en-GB"/>
        </w:rPr>
        <w:t xml:space="preserve">Introduction </w:t>
      </w:r>
    </w:p>
    <w:p w14:paraId="1CFBB513" w14:textId="30408FFE" w:rsidR="008616A4" w:rsidRPr="00F16502" w:rsidRDefault="008616A4" w:rsidP="00D10EB3">
      <w:pPr>
        <w:pStyle w:val="p1"/>
        <w:spacing w:line="360" w:lineRule="auto"/>
        <w:rPr>
          <w:rFonts w:ascii="Arial" w:hAnsi="Arial" w:cs="Arial"/>
        </w:rPr>
      </w:pPr>
      <w:r w:rsidRPr="00F16502">
        <w:rPr>
          <w:rStyle w:val="s1"/>
          <w:rFonts w:ascii="Arial" w:hAnsi="Arial" w:cs="Arial"/>
        </w:rPr>
        <w:t>The tragic case of Lewis Blackman illustrates the catastrophic consequences of systemic failures in healthcare delivery, highlighting gaps in leadership, governance, and patient safety monitoring. Lewis, a healthy 15-year-old, underwent a routine surgery for pectus excavatum, yet he suffered from preventable complications, including overmedication, undetected duodenal perforation, and ultimately death. His case underscores the critical importance of competent leadership and robust organizational systems in health and social care, particularly for vulnerable populations such as children (Institute for Healthcare Improvement, 2021; WHO, 2020).</w:t>
      </w:r>
    </w:p>
    <w:p w14:paraId="637D095C" w14:textId="5E97A208" w:rsidR="008616A4" w:rsidRPr="00F16502" w:rsidRDefault="008616A4" w:rsidP="00D10EB3">
      <w:pPr>
        <w:pStyle w:val="p1"/>
        <w:spacing w:line="360" w:lineRule="auto"/>
        <w:rPr>
          <w:rFonts w:ascii="Arial" w:hAnsi="Arial" w:cs="Arial"/>
        </w:rPr>
      </w:pPr>
      <w:r w:rsidRPr="00F16502">
        <w:rPr>
          <w:rStyle w:val="s1"/>
          <w:rFonts w:ascii="Arial" w:hAnsi="Arial" w:cs="Arial"/>
        </w:rPr>
        <w:t>Leadership in health and social care involves influencing, motivating, and enabling individuals and teams to achieve shared goals, ensuring quality, safety, and patient-centered care (West et al., 2019). Effective leaders are essential for fostering a culture of accountability, proactive problem-solving, and open communication, especially in high-stakes clinical environments (Avolio &amp; Walumbwa, 2019). Conversely, weak leadership can result in fragmented care, miscommunication, and preventable patient harm, as demonstrated in Lewis’s case.</w:t>
      </w:r>
    </w:p>
    <w:p w14:paraId="0F817914" w14:textId="0BD07D67" w:rsidR="008616A4" w:rsidRPr="00F16502" w:rsidRDefault="008616A4" w:rsidP="00D10EB3">
      <w:pPr>
        <w:pStyle w:val="p1"/>
        <w:spacing w:line="360" w:lineRule="auto"/>
        <w:rPr>
          <w:rFonts w:ascii="Arial" w:hAnsi="Arial" w:cs="Arial"/>
        </w:rPr>
      </w:pPr>
      <w:r w:rsidRPr="00F16502">
        <w:rPr>
          <w:rStyle w:val="s1"/>
          <w:rFonts w:ascii="Arial" w:hAnsi="Arial" w:cs="Arial"/>
        </w:rPr>
        <w:t xml:space="preserve">Healthcare organizations typically operate under varying degrees of centralisation and decentralisation. </w:t>
      </w:r>
      <w:r w:rsidRPr="00F16502">
        <w:rPr>
          <w:rStyle w:val="s2"/>
          <w:rFonts w:ascii="Arial" w:hAnsi="Arial" w:cs="Arial"/>
        </w:rPr>
        <w:t>Centralised systems</w:t>
      </w:r>
      <w:r w:rsidRPr="00F16502">
        <w:rPr>
          <w:rStyle w:val="s1"/>
          <w:rFonts w:ascii="Arial" w:hAnsi="Arial" w:cs="Arial"/>
        </w:rPr>
        <w:t xml:space="preserve"> consolidate decision-making authority at senior levels, facilitating consistent policy implementation but potentially slowing response times in emergent situations (Brown &amp; Green, 2020). </w:t>
      </w:r>
      <w:r w:rsidRPr="00F16502">
        <w:rPr>
          <w:rStyle w:val="s2"/>
          <w:rFonts w:ascii="Arial" w:hAnsi="Arial" w:cs="Arial"/>
        </w:rPr>
        <w:t>Decentralised systems</w:t>
      </w:r>
      <w:r w:rsidRPr="00F16502">
        <w:rPr>
          <w:rStyle w:val="s1"/>
          <w:rFonts w:ascii="Arial" w:hAnsi="Arial" w:cs="Arial"/>
        </w:rPr>
        <w:t>, by contrast, empower frontline staff with autonomy, enabling rapid local decisions but requiring strong oversight to ensure alignment with organizational standards (Smith &amp; Jones, 2021). Leadership style and organizational structure are interdependent</w:t>
      </w:r>
      <w:r w:rsidR="00244E57">
        <w:rPr>
          <w:rStyle w:val="s1"/>
          <w:rFonts w:ascii="Arial" w:hAnsi="Arial" w:cs="Arial"/>
        </w:rPr>
        <w:t xml:space="preserve"> </w:t>
      </w:r>
      <w:r w:rsidRPr="00F16502">
        <w:rPr>
          <w:rStyle w:val="s1"/>
          <w:rFonts w:ascii="Arial" w:hAnsi="Arial" w:cs="Arial"/>
        </w:rPr>
        <w:t>for instance, transformational leaders may thrive in decentralised contexts, inspiring initiative, while transactional leaders often succeed in centralised hierarchies emphasizing adherence to protocols (Bass &amp; Riggio, 2019</w:t>
      </w:r>
      <w:r w:rsidR="006D2D7B">
        <w:rPr>
          <w:rStyle w:val="s1"/>
          <w:rFonts w:ascii="Arial" w:hAnsi="Arial" w:cs="Arial"/>
        </w:rPr>
        <w:t xml:space="preserve"> and </w:t>
      </w:r>
      <w:r w:rsidRPr="00F16502">
        <w:rPr>
          <w:rStyle w:val="s1"/>
          <w:rFonts w:ascii="Arial" w:hAnsi="Arial" w:cs="Arial"/>
        </w:rPr>
        <w:t>Hersey et al., 2020).</w:t>
      </w:r>
    </w:p>
    <w:p w14:paraId="5023203A" w14:textId="0F1329F3" w:rsidR="008616A4" w:rsidRPr="00F16502" w:rsidRDefault="008616A4" w:rsidP="00D10EB3">
      <w:pPr>
        <w:pStyle w:val="p1"/>
        <w:spacing w:line="360" w:lineRule="auto"/>
        <w:rPr>
          <w:rFonts w:ascii="Arial" w:hAnsi="Arial" w:cs="Arial"/>
        </w:rPr>
      </w:pPr>
      <w:r w:rsidRPr="00F16502">
        <w:rPr>
          <w:rStyle w:val="s1"/>
          <w:rFonts w:ascii="Arial" w:hAnsi="Arial" w:cs="Arial"/>
        </w:rPr>
        <w:t>Selecting an appropriate leadership style is critical, particularly during crises or change management. In healthcare, leaders must balance proactive and reactive approaches, demonstrate emotional intelligence, and facilitate team cohesion to mitigate risks and improve patient outcomes (Jones et al., 2022; NHS England, 2021). Poor leadership, inadequate escalation protocols, and failure to act on early warning signs are recurring contributors to adverse events in both national and global contexts (OECD, 2022; WHO, 2021).</w:t>
      </w:r>
    </w:p>
    <w:p w14:paraId="50DA8215" w14:textId="356C68E3" w:rsidR="4603123B" w:rsidRPr="00F16502" w:rsidRDefault="008616A4" w:rsidP="00D10EB3">
      <w:pPr>
        <w:pStyle w:val="p1"/>
        <w:spacing w:line="360" w:lineRule="auto"/>
        <w:rPr>
          <w:rFonts w:ascii="Arial" w:hAnsi="Arial" w:cs="Arial"/>
        </w:rPr>
      </w:pPr>
      <w:r w:rsidRPr="00F16502">
        <w:rPr>
          <w:rStyle w:val="s1"/>
          <w:rFonts w:ascii="Arial" w:hAnsi="Arial" w:cs="Arial"/>
        </w:rPr>
        <w:t>This report analyzes the Lewis Blackman case using systems thinking, leadership theory, and governance frameworks. It will first identify systemic problems and contextualize them using global and national patient safety data. The discussion will then examine centralisation versus decentralisation, leadership theory application, and areas for improvement. Finally, evidence-based recommendations for leadership and governance interventions will be proposed, highlighting lessons that can inform safer healthcare practices worldwide.</w:t>
      </w:r>
    </w:p>
    <w:p w14:paraId="373E4D13" w14:textId="6437D29C" w:rsidR="003F6924" w:rsidRPr="00D10EB3" w:rsidRDefault="003F6924" w:rsidP="00D10EB3">
      <w:pPr>
        <w:spacing w:before="100" w:beforeAutospacing="1" w:after="100" w:afterAutospacing="1" w:line="360" w:lineRule="auto"/>
        <w:outlineLvl w:val="2"/>
        <w:rPr>
          <w:rFonts w:ascii="Arial" w:eastAsia="Times New Roman" w:hAnsi="Arial" w:cs="Arial"/>
          <w:b/>
          <w:bCs/>
          <w:lang w:val="en-001" w:eastAsia="en-GB"/>
        </w:rPr>
      </w:pPr>
      <w:r w:rsidRPr="00F16502">
        <w:rPr>
          <w:rFonts w:ascii="Arial" w:eastAsia="Times New Roman" w:hAnsi="Arial" w:cs="Arial"/>
          <w:b/>
          <w:bCs/>
          <w:lang w:val="en-001" w:eastAsia="en-GB"/>
        </w:rPr>
        <w:t>Identifying the Problem and Setting the System Context</w:t>
      </w:r>
    </w:p>
    <w:p w14:paraId="16E12021" w14:textId="319247F1" w:rsidR="003F6924" w:rsidRPr="00F16502" w:rsidRDefault="003F6924" w:rsidP="007819EC">
      <w:pPr>
        <w:spacing w:before="100" w:beforeAutospacing="1" w:after="100" w:afterAutospacing="1" w:line="360" w:lineRule="auto"/>
        <w:rPr>
          <w:rFonts w:ascii="Arial" w:hAnsi="Arial" w:cs="Arial"/>
          <w:lang w:val="en-001" w:eastAsia="en-GB"/>
        </w:rPr>
      </w:pPr>
      <w:r w:rsidRPr="00F16502">
        <w:rPr>
          <w:rFonts w:ascii="Arial" w:hAnsi="Arial" w:cs="Arial"/>
          <w:lang w:val="en-001" w:eastAsia="en-GB"/>
        </w:rPr>
        <w:t>The death of Lewis Blackman following a planned correction of pectus excavatum exposes profound systemic failures in patient safety, clinical governance, and hospital leadership. Lewis’s severe deterioration</w:t>
      </w:r>
      <w:r w:rsidR="00066A31">
        <w:rPr>
          <w:rFonts w:ascii="Arial" w:hAnsi="Arial" w:cs="Arial"/>
          <w:lang w:val="en-001" w:eastAsia="en-GB"/>
        </w:rPr>
        <w:t xml:space="preserve"> </w:t>
      </w:r>
      <w:r w:rsidRPr="00F16502">
        <w:rPr>
          <w:rFonts w:ascii="Arial" w:hAnsi="Arial" w:cs="Arial"/>
          <w:lang w:val="en-001" w:eastAsia="en-GB"/>
        </w:rPr>
        <w:t>marked by escalating opioid administration, overlooked oxygen desaturation, a misdiagnosed ileus, delayed recognition of a gastrointestinal catastrophe, and ultimately death from a perforated duodenal ulcer</w:t>
      </w:r>
      <w:r w:rsidR="00BF24EC">
        <w:rPr>
          <w:rFonts w:ascii="Arial" w:hAnsi="Arial" w:cs="Arial"/>
          <w:lang w:val="en-001" w:eastAsia="en-GB"/>
        </w:rPr>
        <w:t xml:space="preserve"> </w:t>
      </w:r>
      <w:r w:rsidRPr="00F16502">
        <w:rPr>
          <w:rFonts w:ascii="Arial" w:hAnsi="Arial" w:cs="Arial"/>
          <w:lang w:val="en-001" w:eastAsia="en-GB"/>
        </w:rPr>
        <w:t>illustrates how breakdowns in monitoring, communication, escalation, and oversight can lead to preventable deaths</w:t>
      </w:r>
      <w:r w:rsidR="00AA03B6">
        <w:rPr>
          <w:rFonts w:ascii="Arial" w:hAnsi="Arial" w:cs="Arial"/>
          <w:lang w:val="en-001" w:eastAsia="en-GB"/>
        </w:rPr>
        <w:t>(</w:t>
      </w:r>
      <w:r w:rsidR="00AA03B6" w:rsidRPr="00F16502">
        <w:rPr>
          <w:rFonts w:ascii="Arial" w:hAnsi="Arial" w:cs="Arial"/>
          <w:lang w:val="en-001" w:eastAsia="en-GB"/>
        </w:rPr>
        <w:t>OECD 2020).</w:t>
      </w:r>
      <w:r w:rsidRPr="00F16502">
        <w:rPr>
          <w:rFonts w:ascii="Arial" w:hAnsi="Arial" w:cs="Arial"/>
          <w:lang w:val="en-001" w:eastAsia="en-GB"/>
        </w:rPr>
        <w:t>. These failures reflect broader systemic weaknesses that are not unique to a single hospital or country, but correlate with widespread patterns of adverse events in health care globally and nationally (WHO 2023</w:t>
      </w:r>
      <w:r w:rsidR="00AA03B6">
        <w:rPr>
          <w:rFonts w:ascii="Arial" w:hAnsi="Arial" w:cs="Arial"/>
          <w:lang w:val="en-001" w:eastAsia="en-GB"/>
        </w:rPr>
        <w:t>).</w:t>
      </w:r>
    </w:p>
    <w:p w14:paraId="1AA13552" w14:textId="32BF2DC7" w:rsidR="003F6924" w:rsidRPr="00F16502" w:rsidRDefault="003F6924" w:rsidP="007819EC">
      <w:pPr>
        <w:spacing w:before="100" w:beforeAutospacing="1" w:after="100" w:afterAutospacing="1" w:line="360" w:lineRule="auto"/>
        <w:rPr>
          <w:rFonts w:ascii="Arial" w:hAnsi="Arial" w:cs="Arial"/>
          <w:lang w:val="en-001" w:eastAsia="en-GB"/>
        </w:rPr>
      </w:pPr>
      <w:r w:rsidRPr="00F16502">
        <w:rPr>
          <w:rFonts w:ascii="Arial" w:hAnsi="Arial" w:cs="Arial"/>
          <w:lang w:val="en-001" w:eastAsia="en-GB"/>
        </w:rPr>
        <w:t>At the global level, avoidable harm in health care is a significant and persistent public health challenge. According to the World Health Organization (WHO), approximately 1 in every 10 patients is harmed while receiving hospital care, and over 3 million deaths occur annually due to unsafe care practices worldwide, with more than half of these harms being preventable (WHO 2023). Medication</w:t>
      </w:r>
      <w:r w:rsidRPr="00F16502">
        <w:rPr>
          <w:rFonts w:ascii="Arial" w:hAnsi="Arial" w:cs="Arial"/>
          <w:lang w:val="en-001" w:eastAsia="en-GB"/>
        </w:rPr>
        <w:noBreakHyphen/>
        <w:t>related harm alone affects 1 in 30 patients, with a significant portion considered severe or life</w:t>
      </w:r>
      <w:r w:rsidRPr="00F16502">
        <w:rPr>
          <w:rFonts w:ascii="Arial" w:hAnsi="Arial" w:cs="Arial"/>
          <w:lang w:val="en-001" w:eastAsia="en-GB"/>
        </w:rPr>
        <w:noBreakHyphen/>
        <w:t>threatening (WHO 2023). Surgical errors account for about 10% of preventable patient harm in healthcare systems and often occur in the postoperative setting</w:t>
      </w:r>
      <w:r w:rsidR="00BF24EC">
        <w:rPr>
          <w:rFonts w:ascii="Arial" w:hAnsi="Arial" w:cs="Arial"/>
          <w:lang w:val="en-001" w:eastAsia="en-GB"/>
        </w:rPr>
        <w:t xml:space="preserve"> </w:t>
      </w:r>
      <w:r w:rsidRPr="00F16502">
        <w:rPr>
          <w:rFonts w:ascii="Arial" w:hAnsi="Arial" w:cs="Arial"/>
          <w:lang w:val="en-001" w:eastAsia="en-GB"/>
        </w:rPr>
        <w:t>precisely when Lewis was deteriorating (WHO 2023). The WHO emphasizes that improving culture, communication, and leadership is crucial in reducing this avoidable harm (WHO 202</w:t>
      </w:r>
      <w:r w:rsidR="00F704F3">
        <w:rPr>
          <w:rFonts w:ascii="Arial" w:hAnsi="Arial" w:cs="Arial"/>
          <w:lang w:val="en-001" w:eastAsia="en-GB"/>
        </w:rPr>
        <w:t>3</w:t>
      </w:r>
      <w:r w:rsidRPr="00F16502">
        <w:rPr>
          <w:rFonts w:ascii="Arial" w:hAnsi="Arial" w:cs="Arial"/>
          <w:lang w:val="en-001" w:eastAsia="en-GB"/>
        </w:rPr>
        <w:t>).</w:t>
      </w:r>
    </w:p>
    <w:p w14:paraId="1F80D2FB" w14:textId="0AE6912D" w:rsidR="003F6924" w:rsidRPr="00F16502" w:rsidRDefault="003F6924" w:rsidP="007819EC">
      <w:pPr>
        <w:spacing w:before="100" w:beforeAutospacing="1" w:after="100" w:afterAutospacing="1" w:line="360" w:lineRule="auto"/>
        <w:rPr>
          <w:rFonts w:ascii="Arial" w:hAnsi="Arial" w:cs="Arial"/>
          <w:lang w:val="en-001" w:eastAsia="en-GB"/>
        </w:rPr>
      </w:pPr>
      <w:r w:rsidRPr="00F16502">
        <w:rPr>
          <w:rFonts w:ascii="Arial" w:hAnsi="Arial" w:cs="Arial"/>
          <w:lang w:val="en-001" w:eastAsia="en-GB"/>
        </w:rPr>
        <w:t>The Organisation for Economic Co</w:t>
      </w:r>
      <w:r w:rsidRPr="00F16502">
        <w:rPr>
          <w:rFonts w:ascii="Arial" w:hAnsi="Arial" w:cs="Arial"/>
          <w:lang w:val="en-001" w:eastAsia="en-GB"/>
        </w:rPr>
        <w:noBreakHyphen/>
        <w:t>operation and Development (OECD) further underscores the economic and human toll of adverse events</w:t>
      </w:r>
      <w:r w:rsidR="00F704F3">
        <w:rPr>
          <w:rFonts w:ascii="Arial" w:hAnsi="Arial" w:cs="Arial"/>
          <w:lang w:val="en-001" w:eastAsia="en-GB"/>
        </w:rPr>
        <w:t xml:space="preserve"> </w:t>
      </w:r>
      <w:r w:rsidRPr="00F16502">
        <w:rPr>
          <w:rFonts w:ascii="Arial" w:hAnsi="Arial" w:cs="Arial"/>
          <w:lang w:val="en-001" w:eastAsia="en-GB"/>
        </w:rPr>
        <w:t>up to 15% of hospital activity and expenditure in OECD countries is directly attributed to care</w:t>
      </w:r>
      <w:r w:rsidRPr="00F16502">
        <w:rPr>
          <w:rFonts w:ascii="Arial" w:hAnsi="Arial" w:cs="Arial"/>
          <w:lang w:val="en-001" w:eastAsia="en-GB"/>
        </w:rPr>
        <w:noBreakHyphen/>
        <w:t>related patient harm, much of which could be prevented with stronger systems and governance (OECD 2020). Patient experience surveys in OECD regions also suggest notable variations in reported safety incidents, with between 4% and 17% of hospitalised patients experiencing safety events during their last hospital stay (OECD 2020).</w:t>
      </w:r>
    </w:p>
    <w:p w14:paraId="7E10E24C" w14:textId="0A4A2FEF" w:rsidR="003F6924" w:rsidRPr="00F16502" w:rsidRDefault="003F6924" w:rsidP="007819EC">
      <w:pPr>
        <w:spacing w:before="100" w:beforeAutospacing="1" w:after="100" w:afterAutospacing="1" w:line="360" w:lineRule="auto"/>
        <w:rPr>
          <w:rFonts w:ascii="Arial" w:hAnsi="Arial" w:cs="Arial"/>
          <w:lang w:val="en-001" w:eastAsia="en-GB"/>
        </w:rPr>
      </w:pPr>
      <w:r w:rsidRPr="00F16502">
        <w:rPr>
          <w:rFonts w:ascii="Arial" w:hAnsi="Arial" w:cs="Arial"/>
          <w:lang w:val="en-001" w:eastAsia="en-GB"/>
        </w:rPr>
        <w:t>In the national context of the NHS in England</w:t>
      </w:r>
      <w:r w:rsidR="00B25095">
        <w:rPr>
          <w:rFonts w:ascii="Arial" w:hAnsi="Arial" w:cs="Arial"/>
          <w:lang w:val="en-001" w:eastAsia="en-GB"/>
        </w:rPr>
        <w:t xml:space="preserve"> </w:t>
      </w:r>
      <w:r w:rsidRPr="00F16502">
        <w:rPr>
          <w:rFonts w:ascii="Arial" w:hAnsi="Arial" w:cs="Arial"/>
          <w:lang w:val="en-001" w:eastAsia="en-GB"/>
        </w:rPr>
        <w:t>where Lewis’s care took place</w:t>
      </w:r>
      <w:r w:rsidR="00B25095">
        <w:rPr>
          <w:rFonts w:ascii="Arial" w:hAnsi="Arial" w:cs="Arial"/>
          <w:lang w:val="en-001" w:eastAsia="en-GB"/>
        </w:rPr>
        <w:t xml:space="preserve"> </w:t>
      </w:r>
      <w:r w:rsidRPr="00F16502">
        <w:rPr>
          <w:rFonts w:ascii="Arial" w:hAnsi="Arial" w:cs="Arial"/>
          <w:lang w:val="en-001" w:eastAsia="en-GB"/>
        </w:rPr>
        <w:t>official statistics indicate entrenched challenges in detecting and learning from safety incidents. Although precise annual totals fluctuate with reporting systems, the NHS’s transition to the Learn from Patient Safety Events (LFPSE) system reflects an effort to improve incident detection and learning</w:t>
      </w:r>
      <w:r w:rsidR="00F704F3">
        <w:rPr>
          <w:rFonts w:ascii="Arial" w:hAnsi="Arial" w:cs="Arial"/>
          <w:lang w:val="en-001" w:eastAsia="en-GB"/>
        </w:rPr>
        <w:t>,</w:t>
      </w:r>
      <w:r w:rsidRPr="00F16502">
        <w:rPr>
          <w:rFonts w:ascii="Arial" w:hAnsi="Arial" w:cs="Arial"/>
          <w:lang w:val="en-001" w:eastAsia="en-GB"/>
        </w:rPr>
        <w:t xml:space="preserve"> data continue to be analysed to understand trends and outcomes (NHS</w:t>
      </w:r>
      <w:r w:rsidR="00F704F3">
        <w:rPr>
          <w:rFonts w:ascii="Arial" w:hAnsi="Arial" w:cs="Arial"/>
          <w:lang w:val="en-001" w:eastAsia="en-GB"/>
        </w:rPr>
        <w:t xml:space="preserve">, </w:t>
      </w:r>
      <w:r w:rsidRPr="00F16502">
        <w:rPr>
          <w:rFonts w:ascii="Arial" w:hAnsi="Arial" w:cs="Arial"/>
          <w:lang w:val="en-001" w:eastAsia="en-GB"/>
        </w:rPr>
        <w:t>2025). Independent assessments of patient safety in the NHS have identified concerning patterns, such as a downward trend in 12 out of 22 key safety metrics, and estimates of over 13,000 avoidable patient deaths annually in England alone, equating to roughly 37 avoidable deaths per day due to systemic failures (Imperial College London 2024). National data also highlight high volumes of “never events” and reported failures of critical devices, indicating structural issues in monitoring and escalation systems (NHS England 2025</w:t>
      </w:r>
      <w:r w:rsidR="001B4453">
        <w:rPr>
          <w:rFonts w:ascii="Arial" w:hAnsi="Arial" w:cs="Arial"/>
          <w:lang w:val="en-001" w:eastAsia="en-GB"/>
        </w:rPr>
        <w:t>)</w:t>
      </w:r>
    </w:p>
    <w:p w14:paraId="22C11BB5" w14:textId="7335D9F7" w:rsidR="003F6924" w:rsidRPr="00F16502" w:rsidRDefault="003F6924" w:rsidP="007819EC">
      <w:pPr>
        <w:spacing w:before="100" w:beforeAutospacing="1" w:after="100" w:afterAutospacing="1" w:line="360" w:lineRule="auto"/>
        <w:rPr>
          <w:rFonts w:ascii="Arial" w:hAnsi="Arial" w:cs="Arial"/>
          <w:lang w:val="en-001" w:eastAsia="en-GB"/>
        </w:rPr>
      </w:pPr>
      <w:r w:rsidRPr="00F16502">
        <w:rPr>
          <w:rFonts w:ascii="Arial" w:hAnsi="Arial" w:cs="Arial"/>
          <w:lang w:val="en-001" w:eastAsia="en-GB"/>
        </w:rPr>
        <w:t>These global and national data contextualise Lewis’s case within a systemic pattern of safety challenges rather than an isolated anomaly. Adverse events</w:t>
      </w:r>
      <w:r w:rsidR="00B25095">
        <w:rPr>
          <w:rFonts w:ascii="Arial" w:hAnsi="Arial" w:cs="Arial"/>
          <w:lang w:val="en-001" w:eastAsia="en-GB"/>
        </w:rPr>
        <w:t xml:space="preserve"> </w:t>
      </w:r>
      <w:r w:rsidRPr="00F16502">
        <w:rPr>
          <w:rFonts w:ascii="Arial" w:hAnsi="Arial" w:cs="Arial"/>
          <w:lang w:val="en-001" w:eastAsia="en-GB"/>
        </w:rPr>
        <w:t>particularly medication errors, delayed diagnosis, and failures to escalate care when vital signs deteriorate</w:t>
      </w:r>
      <w:r w:rsidR="00B25095">
        <w:rPr>
          <w:rFonts w:ascii="Arial" w:hAnsi="Arial" w:cs="Arial"/>
          <w:lang w:val="en-001" w:eastAsia="en-GB"/>
        </w:rPr>
        <w:t xml:space="preserve"> </w:t>
      </w:r>
      <w:r w:rsidRPr="00F16502">
        <w:rPr>
          <w:rFonts w:ascii="Arial" w:hAnsi="Arial" w:cs="Arial"/>
          <w:lang w:val="en-001" w:eastAsia="en-GB"/>
        </w:rPr>
        <w:t>are recurrent causes of avoidable harm (WHO 2023</w:t>
      </w:r>
      <w:r w:rsidR="00046751">
        <w:rPr>
          <w:rFonts w:ascii="Arial" w:hAnsi="Arial" w:cs="Arial"/>
          <w:lang w:val="en-001" w:eastAsia="en-GB"/>
        </w:rPr>
        <w:t xml:space="preserve">, </w:t>
      </w:r>
      <w:r w:rsidRPr="00F16502">
        <w:rPr>
          <w:rFonts w:ascii="Arial" w:hAnsi="Arial" w:cs="Arial"/>
          <w:lang w:val="en-001" w:eastAsia="en-GB"/>
        </w:rPr>
        <w:t>OECD 2020). For example, inadequate recognition of patient deterioration is linked to patient deaths due to conditions such as sepsis in NHS settings, where delayed treatment remains a persistent safety risk (The Guardian 2025). Similarly, calls for improved incident reporting and learning suggest a systemic implementation gap</w:t>
      </w:r>
      <w:r w:rsidR="00046751">
        <w:rPr>
          <w:rFonts w:ascii="Arial" w:hAnsi="Arial" w:cs="Arial"/>
          <w:lang w:val="en-001" w:eastAsia="en-GB"/>
        </w:rPr>
        <w:t xml:space="preserve"> </w:t>
      </w:r>
      <w:r w:rsidRPr="00F16502">
        <w:rPr>
          <w:rFonts w:ascii="Arial" w:hAnsi="Arial" w:cs="Arial"/>
          <w:lang w:val="en-001" w:eastAsia="en-GB"/>
        </w:rPr>
        <w:t>despite robust frameworks and protocols, weak systems for sharing and acting on safety data allow avoidable harm to persist (Patient Safety Learning 2022).</w:t>
      </w:r>
    </w:p>
    <w:p w14:paraId="6550B017" w14:textId="77777777" w:rsidR="003F6924" w:rsidRPr="00F16502" w:rsidRDefault="003F6924" w:rsidP="007819EC">
      <w:pPr>
        <w:spacing w:before="100" w:beforeAutospacing="1" w:after="100" w:afterAutospacing="1" w:line="360" w:lineRule="auto"/>
        <w:rPr>
          <w:rFonts w:ascii="Arial" w:hAnsi="Arial" w:cs="Arial"/>
          <w:lang w:val="en-001" w:eastAsia="en-GB"/>
        </w:rPr>
      </w:pPr>
      <w:r w:rsidRPr="00F16502">
        <w:rPr>
          <w:rFonts w:ascii="Arial" w:hAnsi="Arial" w:cs="Arial"/>
          <w:lang w:val="en-001" w:eastAsia="en-GB"/>
        </w:rPr>
        <w:t>In the Blackman case, systemic weaknesses manifested through multiple failures:</w:t>
      </w:r>
    </w:p>
    <w:p w14:paraId="63804B2E" w14:textId="4ACCFFDF" w:rsidR="003F6924" w:rsidRPr="00313684" w:rsidRDefault="003F6924" w:rsidP="00313684">
      <w:pPr>
        <w:pStyle w:val="ListParagraph"/>
        <w:numPr>
          <w:ilvl w:val="0"/>
          <w:numId w:val="31"/>
        </w:numPr>
        <w:spacing w:before="100" w:beforeAutospacing="1" w:after="100" w:afterAutospacing="1" w:line="360" w:lineRule="auto"/>
        <w:rPr>
          <w:rFonts w:ascii="Arial" w:hAnsi="Arial" w:cs="Arial"/>
          <w:lang w:val="en-001" w:eastAsia="en-GB"/>
        </w:rPr>
      </w:pPr>
      <w:r w:rsidRPr="00313684">
        <w:rPr>
          <w:rFonts w:ascii="Arial" w:hAnsi="Arial" w:cs="Arial"/>
          <w:lang w:val="en-001" w:eastAsia="en-GB"/>
        </w:rPr>
        <w:t>Ineffective Vital Monitoring: Re</w:t>
      </w:r>
      <w:r w:rsidRPr="00313684">
        <w:rPr>
          <w:rFonts w:ascii="Arial" w:hAnsi="Arial" w:cs="Arial"/>
          <w:lang w:val="en-001" w:eastAsia="en-GB"/>
        </w:rPr>
        <w:noBreakHyphen/>
        <w:t>setting and silencing of pulse oximeter alarms to prevent sleep indicates a failure to adhere to basic monitoring protocols, reflecting deeper issues in prioritising convenience over patient safety</w:t>
      </w:r>
      <w:r w:rsidR="003A3BD6">
        <w:rPr>
          <w:rFonts w:ascii="Arial" w:hAnsi="Arial" w:cs="Arial"/>
          <w:lang w:val="en-001" w:eastAsia="en-GB"/>
        </w:rPr>
        <w:t xml:space="preserve"> </w:t>
      </w:r>
    </w:p>
    <w:p w14:paraId="4BD101F8" w14:textId="5D8D9F9D" w:rsidR="003F6924" w:rsidRPr="00313684" w:rsidRDefault="003F6924" w:rsidP="00313684">
      <w:pPr>
        <w:pStyle w:val="ListParagraph"/>
        <w:numPr>
          <w:ilvl w:val="0"/>
          <w:numId w:val="31"/>
        </w:numPr>
        <w:spacing w:before="100" w:beforeAutospacing="1" w:after="100" w:afterAutospacing="1" w:line="360" w:lineRule="auto"/>
        <w:rPr>
          <w:rFonts w:ascii="Arial" w:hAnsi="Arial" w:cs="Arial"/>
          <w:lang w:val="en-001" w:eastAsia="en-GB"/>
        </w:rPr>
      </w:pPr>
      <w:r w:rsidRPr="00313684">
        <w:rPr>
          <w:rFonts w:ascii="Arial" w:hAnsi="Arial" w:cs="Arial"/>
          <w:lang w:val="en-001" w:eastAsia="en-GB"/>
        </w:rPr>
        <w:t>Failure to Escalate: Despite darkening clinical signs</w:t>
      </w:r>
      <w:r w:rsidR="00B25095" w:rsidRPr="00313684">
        <w:rPr>
          <w:rFonts w:ascii="Arial" w:hAnsi="Arial" w:cs="Arial"/>
          <w:lang w:val="en-001" w:eastAsia="en-GB"/>
        </w:rPr>
        <w:t xml:space="preserve"> </w:t>
      </w:r>
      <w:r w:rsidRPr="00313684">
        <w:rPr>
          <w:rFonts w:ascii="Arial" w:hAnsi="Arial" w:cs="Arial"/>
          <w:lang w:val="en-001" w:eastAsia="en-GB"/>
        </w:rPr>
        <w:t>distended abdomen, decreasing urine output, rising heart rate</w:t>
      </w:r>
      <w:r w:rsidR="00B25095" w:rsidRPr="00313684">
        <w:rPr>
          <w:rFonts w:ascii="Arial" w:hAnsi="Arial" w:cs="Arial"/>
          <w:lang w:val="en-001" w:eastAsia="en-GB"/>
        </w:rPr>
        <w:t xml:space="preserve"> </w:t>
      </w:r>
      <w:r w:rsidRPr="00313684">
        <w:rPr>
          <w:rFonts w:ascii="Arial" w:hAnsi="Arial" w:cs="Arial"/>
          <w:lang w:val="en-001" w:eastAsia="en-GB"/>
        </w:rPr>
        <w:t>the absence of escalated oversight or attending physician involvement illustrates a failure in escalation pathways and accountability.</w:t>
      </w:r>
    </w:p>
    <w:p w14:paraId="2C457444" w14:textId="7EC82248" w:rsidR="003F6924" w:rsidRPr="00313684" w:rsidRDefault="003F6924" w:rsidP="00313684">
      <w:pPr>
        <w:pStyle w:val="ListParagraph"/>
        <w:numPr>
          <w:ilvl w:val="0"/>
          <w:numId w:val="31"/>
        </w:numPr>
        <w:spacing w:before="100" w:beforeAutospacing="1" w:after="100" w:afterAutospacing="1" w:line="360" w:lineRule="auto"/>
        <w:rPr>
          <w:rFonts w:ascii="Arial" w:hAnsi="Arial" w:cs="Arial"/>
          <w:lang w:val="en-001" w:eastAsia="en-GB"/>
        </w:rPr>
      </w:pPr>
      <w:r w:rsidRPr="00313684">
        <w:rPr>
          <w:rFonts w:ascii="Arial" w:hAnsi="Arial" w:cs="Arial"/>
          <w:lang w:val="en-001" w:eastAsia="en-GB"/>
        </w:rPr>
        <w:t>Diagnostic Delay</w:t>
      </w:r>
      <w:r w:rsidR="00761DB7">
        <w:rPr>
          <w:rFonts w:ascii="Arial" w:hAnsi="Arial" w:cs="Arial"/>
          <w:lang w:val="en-001" w:eastAsia="en-GB"/>
        </w:rPr>
        <w:t xml:space="preserve">: </w:t>
      </w:r>
      <w:r w:rsidRPr="00313684">
        <w:rPr>
          <w:rFonts w:ascii="Arial" w:hAnsi="Arial" w:cs="Arial"/>
          <w:lang w:val="en-001" w:eastAsia="en-GB"/>
        </w:rPr>
        <w:t>The misdiagnosis of ileus by inexperienced clinicians speaks to gaps in clinical supervision and recognition of serious complications, despite rising national awareness of delayed diagnosis as a patient safety issue (NHS watchdog reports 2025).</w:t>
      </w:r>
    </w:p>
    <w:p w14:paraId="7125D351" w14:textId="5D910433" w:rsidR="003F6924" w:rsidRPr="00AE1655" w:rsidRDefault="003F6924" w:rsidP="007819EC">
      <w:pPr>
        <w:pStyle w:val="ListParagraph"/>
        <w:numPr>
          <w:ilvl w:val="0"/>
          <w:numId w:val="31"/>
        </w:numPr>
        <w:spacing w:before="100" w:beforeAutospacing="1" w:after="100" w:afterAutospacing="1" w:line="360" w:lineRule="auto"/>
        <w:rPr>
          <w:rFonts w:ascii="Arial" w:hAnsi="Arial" w:cs="Arial"/>
          <w:lang w:val="en-001" w:eastAsia="en-GB"/>
        </w:rPr>
      </w:pPr>
      <w:r w:rsidRPr="00313684">
        <w:rPr>
          <w:rFonts w:ascii="Arial" w:hAnsi="Arial" w:cs="Arial"/>
          <w:lang w:val="en-001" w:eastAsia="en-GB"/>
        </w:rPr>
        <w:t>Medication Safety Risks: The use of Toradol, an NSAID with a well</w:t>
      </w:r>
      <w:r w:rsidRPr="00313684">
        <w:rPr>
          <w:rFonts w:ascii="Arial" w:hAnsi="Arial" w:cs="Arial"/>
          <w:lang w:val="en-001" w:eastAsia="en-GB"/>
        </w:rPr>
        <w:noBreakHyphen/>
        <w:t>documented risk of gastrointestinal ulceration and perforation, especially in patients without careful monitoring, exemplifies pharmacological risk mismanagement (NCBI StatPearls 2024</w:t>
      </w:r>
      <w:r w:rsidR="003C6336">
        <w:rPr>
          <w:rFonts w:ascii="Arial" w:hAnsi="Arial" w:cs="Arial"/>
          <w:lang w:val="en-001" w:eastAsia="en-GB"/>
        </w:rPr>
        <w:t xml:space="preserve">, </w:t>
      </w:r>
      <w:r w:rsidRPr="00313684">
        <w:rPr>
          <w:rFonts w:ascii="Arial" w:hAnsi="Arial" w:cs="Arial"/>
          <w:lang w:val="en-001" w:eastAsia="en-GB"/>
        </w:rPr>
        <w:t>Drugs.com 2024).</w:t>
      </w:r>
    </w:p>
    <w:p w14:paraId="5A7487F7" w14:textId="34432B34" w:rsidR="003F6924" w:rsidRPr="00F16502" w:rsidRDefault="003F6924" w:rsidP="007819EC">
      <w:pPr>
        <w:spacing w:before="100" w:beforeAutospacing="1" w:after="100" w:afterAutospacing="1" w:line="360" w:lineRule="auto"/>
        <w:rPr>
          <w:rFonts w:ascii="Arial" w:hAnsi="Arial" w:cs="Arial"/>
          <w:lang w:val="en-001" w:eastAsia="en-GB"/>
        </w:rPr>
      </w:pPr>
      <w:r w:rsidRPr="00F16502">
        <w:rPr>
          <w:rFonts w:ascii="Arial" w:hAnsi="Arial" w:cs="Arial"/>
          <w:lang w:val="en-001" w:eastAsia="en-GB"/>
        </w:rPr>
        <w:t>These intertwined failures spotlight how system-level pressures</w:t>
      </w:r>
      <w:r w:rsidR="00AE1655">
        <w:rPr>
          <w:rFonts w:ascii="Arial" w:hAnsi="Arial" w:cs="Arial"/>
          <w:lang w:val="en-001" w:eastAsia="en-GB"/>
        </w:rPr>
        <w:t xml:space="preserve"> </w:t>
      </w:r>
      <w:r w:rsidRPr="00F16502">
        <w:rPr>
          <w:rFonts w:ascii="Arial" w:hAnsi="Arial" w:cs="Arial"/>
          <w:lang w:val="en-001" w:eastAsia="en-GB"/>
        </w:rPr>
        <w:t>such as staffing limitations, hierarchical barriers to escalation, and inadequate leadership involvement</w:t>
      </w:r>
      <w:r w:rsidR="00AE1655">
        <w:rPr>
          <w:rFonts w:ascii="Arial" w:hAnsi="Arial" w:cs="Arial"/>
          <w:lang w:val="en-001" w:eastAsia="en-GB"/>
        </w:rPr>
        <w:t xml:space="preserve"> </w:t>
      </w:r>
      <w:r w:rsidRPr="00F16502">
        <w:rPr>
          <w:rFonts w:ascii="Arial" w:hAnsi="Arial" w:cs="Arial"/>
          <w:lang w:val="en-001" w:eastAsia="en-GB"/>
        </w:rPr>
        <w:t>contribute to adverse outcomes. The case illustrates the complex interplay between people, processes, and structures that systems thinking frameworks are designed to unpack</w:t>
      </w:r>
      <w:r w:rsidR="00645FD2" w:rsidRPr="00645FD2">
        <w:rPr>
          <w:rFonts w:ascii="Arial" w:hAnsi="Arial" w:cs="Arial"/>
          <w:lang w:val="en-001" w:eastAsia="en-GB"/>
        </w:rPr>
        <w:t xml:space="preserve"> Sadeghi, Naderi </w:t>
      </w:r>
      <w:r w:rsidR="00645FD2">
        <w:rPr>
          <w:rFonts w:ascii="Arial" w:hAnsi="Arial" w:cs="Arial"/>
          <w:lang w:val="en-001" w:eastAsia="en-GB"/>
        </w:rPr>
        <w:t xml:space="preserve">and </w:t>
      </w:r>
      <w:r w:rsidR="00645FD2" w:rsidRPr="00645FD2">
        <w:rPr>
          <w:rFonts w:ascii="Arial" w:hAnsi="Arial" w:cs="Arial"/>
          <w:lang w:val="en-001" w:eastAsia="en-GB"/>
        </w:rPr>
        <w:t xml:space="preserve"> Yusefi, 2025)</w:t>
      </w:r>
      <w:r w:rsidRPr="00F16502">
        <w:rPr>
          <w:rFonts w:ascii="Arial" w:hAnsi="Arial" w:cs="Arial"/>
          <w:lang w:val="en-001" w:eastAsia="en-GB"/>
        </w:rPr>
        <w:t>.</w:t>
      </w:r>
    </w:p>
    <w:p w14:paraId="4390EDE4" w14:textId="77777777" w:rsidR="003F6924" w:rsidRPr="00F16502" w:rsidRDefault="003F6924" w:rsidP="007819EC">
      <w:pPr>
        <w:spacing w:before="100" w:beforeAutospacing="1" w:after="100" w:afterAutospacing="1" w:line="360" w:lineRule="auto"/>
        <w:rPr>
          <w:rFonts w:ascii="Arial" w:hAnsi="Arial" w:cs="Arial"/>
          <w:lang w:val="en-001" w:eastAsia="en-GB"/>
        </w:rPr>
      </w:pPr>
      <w:r w:rsidRPr="00F16502">
        <w:rPr>
          <w:rFonts w:ascii="Arial" w:hAnsi="Arial" w:cs="Arial"/>
          <w:lang w:val="en-001" w:eastAsia="en-GB"/>
        </w:rPr>
        <w:t xml:space="preserve">To visualise these interactions, a </w:t>
      </w:r>
      <w:r w:rsidRPr="00954E19">
        <w:rPr>
          <w:rFonts w:ascii="Arial" w:hAnsi="Arial" w:cs="Arial"/>
          <w:b/>
          <w:bCs/>
          <w:lang w:val="en-001" w:eastAsia="en-GB"/>
        </w:rPr>
        <w:t>Rich Picture</w:t>
      </w:r>
      <w:r w:rsidRPr="00F16502">
        <w:rPr>
          <w:rFonts w:ascii="Arial" w:hAnsi="Arial" w:cs="Arial"/>
          <w:lang w:val="en-001" w:eastAsia="en-GB"/>
        </w:rPr>
        <w:t xml:space="preserve"> can help clarify the feedback loops and dependencies:</w:t>
      </w:r>
    </w:p>
    <w:p w14:paraId="2A031188" w14:textId="77777777" w:rsidR="003F6924" w:rsidRPr="00F16502" w:rsidRDefault="003F6924" w:rsidP="007819EC">
      <w:pPr>
        <w:numPr>
          <w:ilvl w:val="0"/>
          <w:numId w:val="15"/>
        </w:numPr>
        <w:spacing w:before="100" w:beforeAutospacing="1" w:after="100" w:afterAutospacing="1" w:line="360" w:lineRule="auto"/>
        <w:rPr>
          <w:rFonts w:ascii="Arial" w:hAnsi="Arial" w:cs="Arial"/>
          <w:lang w:val="en-001" w:eastAsia="en-GB"/>
        </w:rPr>
      </w:pPr>
      <w:r w:rsidRPr="00F16502">
        <w:rPr>
          <w:rFonts w:ascii="Arial" w:hAnsi="Arial" w:cs="Arial"/>
          <w:lang w:val="en-001" w:eastAsia="en-GB"/>
        </w:rPr>
        <w:t>Hospital leadership and governance structures influence policies on monitoring and escalation.</w:t>
      </w:r>
    </w:p>
    <w:p w14:paraId="52C44FBE" w14:textId="77777777" w:rsidR="003F6924" w:rsidRPr="00F16502" w:rsidRDefault="003F6924" w:rsidP="007819EC">
      <w:pPr>
        <w:numPr>
          <w:ilvl w:val="0"/>
          <w:numId w:val="15"/>
        </w:numPr>
        <w:spacing w:before="100" w:beforeAutospacing="1" w:after="100" w:afterAutospacing="1" w:line="360" w:lineRule="auto"/>
        <w:rPr>
          <w:rFonts w:ascii="Arial" w:hAnsi="Arial" w:cs="Arial"/>
          <w:lang w:val="en-001" w:eastAsia="en-GB"/>
        </w:rPr>
      </w:pPr>
      <w:r w:rsidRPr="00F16502">
        <w:rPr>
          <w:rFonts w:ascii="Arial" w:hAnsi="Arial" w:cs="Arial"/>
          <w:lang w:val="en-001" w:eastAsia="en-GB"/>
        </w:rPr>
        <w:t>Frontline staff operate within shift pressures, under supervision limitations, and with restricted access to senior decision</w:t>
      </w:r>
      <w:r w:rsidRPr="00F16502">
        <w:rPr>
          <w:rFonts w:ascii="Arial" w:hAnsi="Arial" w:cs="Arial"/>
          <w:lang w:val="en-001" w:eastAsia="en-GB"/>
        </w:rPr>
        <w:noBreakHyphen/>
        <w:t>makers.</w:t>
      </w:r>
    </w:p>
    <w:p w14:paraId="503414D9" w14:textId="77777777" w:rsidR="003F6924" w:rsidRPr="00F16502" w:rsidRDefault="003F6924" w:rsidP="007819EC">
      <w:pPr>
        <w:numPr>
          <w:ilvl w:val="0"/>
          <w:numId w:val="15"/>
        </w:numPr>
        <w:spacing w:before="100" w:beforeAutospacing="1" w:after="100" w:afterAutospacing="1" w:line="360" w:lineRule="auto"/>
        <w:rPr>
          <w:rFonts w:ascii="Arial" w:hAnsi="Arial" w:cs="Arial"/>
          <w:lang w:val="en-001" w:eastAsia="en-GB"/>
        </w:rPr>
      </w:pPr>
      <w:r w:rsidRPr="00F16502">
        <w:rPr>
          <w:rFonts w:ascii="Arial" w:hAnsi="Arial" w:cs="Arial"/>
          <w:lang w:val="en-001" w:eastAsia="en-GB"/>
        </w:rPr>
        <w:t>Monitoring feedback loops fail when alarms are modified or ignored, leading to silent deterioration.</w:t>
      </w:r>
    </w:p>
    <w:p w14:paraId="7910A717" w14:textId="77777777" w:rsidR="003F6924" w:rsidRPr="00F16502" w:rsidRDefault="003F6924" w:rsidP="007819EC">
      <w:pPr>
        <w:numPr>
          <w:ilvl w:val="0"/>
          <w:numId w:val="15"/>
        </w:numPr>
        <w:spacing w:before="100" w:beforeAutospacing="1" w:after="100" w:afterAutospacing="1" w:line="360" w:lineRule="auto"/>
        <w:rPr>
          <w:rFonts w:ascii="Arial" w:hAnsi="Arial" w:cs="Arial"/>
          <w:lang w:val="en-001" w:eastAsia="en-GB"/>
        </w:rPr>
      </w:pPr>
      <w:r w:rsidRPr="00F16502">
        <w:rPr>
          <w:rFonts w:ascii="Arial" w:hAnsi="Arial" w:cs="Arial"/>
          <w:lang w:val="en-001" w:eastAsia="en-GB"/>
        </w:rPr>
        <w:t>Communication gaps between nurses, residents, and consultants impede timely interventions.</w:t>
      </w:r>
    </w:p>
    <w:p w14:paraId="508BA98B" w14:textId="37024360" w:rsidR="003F6924" w:rsidRPr="00FC27D1" w:rsidRDefault="003F6924" w:rsidP="007819EC">
      <w:pPr>
        <w:numPr>
          <w:ilvl w:val="0"/>
          <w:numId w:val="15"/>
        </w:numPr>
        <w:spacing w:before="100" w:beforeAutospacing="1" w:after="100" w:afterAutospacing="1" w:line="360" w:lineRule="auto"/>
        <w:rPr>
          <w:rFonts w:ascii="Arial" w:hAnsi="Arial" w:cs="Arial"/>
          <w:lang w:val="en-001" w:eastAsia="en-GB"/>
        </w:rPr>
      </w:pPr>
      <w:r w:rsidRPr="00F16502">
        <w:rPr>
          <w:rFonts w:ascii="Arial" w:hAnsi="Arial" w:cs="Arial"/>
          <w:lang w:val="en-001" w:eastAsia="en-GB"/>
        </w:rPr>
        <w:t>Lack of accountability systems allowed residents to make critical decisions without timely attending oversight.</w:t>
      </w:r>
    </w:p>
    <w:p w14:paraId="1A9DE964" w14:textId="677AA9FE" w:rsidR="003F6924" w:rsidRPr="00FC27D1" w:rsidRDefault="003F6924" w:rsidP="00FC27D1">
      <w:pPr>
        <w:spacing w:before="100" w:beforeAutospacing="1" w:after="100" w:afterAutospacing="1" w:line="360" w:lineRule="auto"/>
        <w:rPr>
          <w:rFonts w:ascii="Arial" w:hAnsi="Arial" w:cs="Arial"/>
          <w:lang w:val="en-001" w:eastAsia="en-GB"/>
        </w:rPr>
      </w:pPr>
      <w:r w:rsidRPr="00F16502">
        <w:rPr>
          <w:rFonts w:ascii="Arial" w:hAnsi="Arial" w:cs="Arial"/>
          <w:lang w:val="en-001" w:eastAsia="en-GB"/>
        </w:rPr>
        <w:t>This systems perspective reveals how multiple weak links</w:t>
      </w:r>
      <w:r w:rsidR="00FC27D1">
        <w:rPr>
          <w:rFonts w:ascii="Arial" w:hAnsi="Arial" w:cs="Arial"/>
          <w:lang w:val="en-001" w:eastAsia="en-GB"/>
        </w:rPr>
        <w:t xml:space="preserve"> </w:t>
      </w:r>
      <w:r w:rsidRPr="00F16502">
        <w:rPr>
          <w:rFonts w:ascii="Arial" w:hAnsi="Arial" w:cs="Arial"/>
          <w:lang w:val="en-001" w:eastAsia="en-GB"/>
        </w:rPr>
        <w:t>leadership structures, communication pathways, and monitoring systems</w:t>
      </w:r>
      <w:r w:rsidR="00FC27D1">
        <w:rPr>
          <w:rFonts w:ascii="Arial" w:hAnsi="Arial" w:cs="Arial"/>
          <w:lang w:val="en-001" w:eastAsia="en-GB"/>
        </w:rPr>
        <w:t xml:space="preserve"> </w:t>
      </w:r>
      <w:r w:rsidRPr="00F16502">
        <w:rPr>
          <w:rFonts w:ascii="Arial" w:hAnsi="Arial" w:cs="Arial"/>
          <w:lang w:val="en-001" w:eastAsia="en-GB"/>
        </w:rPr>
        <w:t>converge to magnify patient risk, sometimes with fatal consequences.</w:t>
      </w:r>
    </w:p>
    <w:p w14:paraId="618118D8" w14:textId="75703560" w:rsidR="001E33C2" w:rsidRPr="00FC27D1" w:rsidRDefault="001E33C2" w:rsidP="00FC27D1">
      <w:pPr>
        <w:spacing w:before="100" w:beforeAutospacing="1" w:after="100" w:afterAutospacing="1" w:line="360" w:lineRule="auto"/>
        <w:outlineLvl w:val="1"/>
        <w:rPr>
          <w:rFonts w:ascii="Arial" w:eastAsia="Times New Roman" w:hAnsi="Arial" w:cs="Arial"/>
          <w:b/>
          <w:bCs/>
          <w:lang w:val="en-001" w:eastAsia="en-GB"/>
        </w:rPr>
      </w:pPr>
      <w:r w:rsidRPr="00F16502">
        <w:rPr>
          <w:rFonts w:ascii="Arial" w:eastAsia="Times New Roman" w:hAnsi="Arial" w:cs="Arial"/>
          <w:b/>
          <w:bCs/>
          <w:lang w:val="en-001" w:eastAsia="en-GB"/>
        </w:rPr>
        <w:t>Centralisation or Decentralisation within the Case Study</w:t>
      </w:r>
    </w:p>
    <w:p w14:paraId="78737B24" w14:textId="39C06078" w:rsidR="001E33C2" w:rsidRPr="00F16502" w:rsidRDefault="001E33C2" w:rsidP="007819EC">
      <w:pPr>
        <w:spacing w:before="100" w:beforeAutospacing="1" w:after="100" w:afterAutospacing="1" w:line="360" w:lineRule="auto"/>
        <w:rPr>
          <w:rFonts w:ascii="Arial" w:hAnsi="Arial" w:cs="Arial"/>
          <w:lang w:val="en-001" w:eastAsia="en-GB"/>
        </w:rPr>
      </w:pPr>
      <w:r w:rsidRPr="00F16502">
        <w:rPr>
          <w:rFonts w:ascii="Arial" w:hAnsi="Arial" w:cs="Arial"/>
          <w:lang w:val="en-001" w:eastAsia="en-GB"/>
        </w:rPr>
        <w:t>The case of Lewis Blackman highlights a fragmented governance and decision</w:t>
      </w:r>
      <w:r w:rsidRPr="00F16502">
        <w:rPr>
          <w:rFonts w:ascii="Arial" w:hAnsi="Arial" w:cs="Arial"/>
          <w:lang w:val="en-001" w:eastAsia="en-GB"/>
        </w:rPr>
        <w:noBreakHyphen/>
        <w:t>making environment that significantly contributed to system failings. A critical question in analysing organisational structure is whether the healthcare system at the time operated in a centralised or decentralised manner  and how that structure affected clinical decision</w:t>
      </w:r>
      <w:r w:rsidRPr="00F16502">
        <w:rPr>
          <w:rFonts w:ascii="Arial" w:hAnsi="Arial" w:cs="Arial"/>
          <w:lang w:val="en-001" w:eastAsia="en-GB"/>
        </w:rPr>
        <w:noBreakHyphen/>
        <w:t>making, accountability, communication, and patient safety</w:t>
      </w:r>
      <w:r w:rsidR="004C1B0E" w:rsidRPr="00F16502">
        <w:rPr>
          <w:rFonts w:ascii="Arial" w:hAnsi="Arial" w:cs="Arial"/>
          <w:lang w:val="en-001" w:eastAsia="en-GB"/>
        </w:rPr>
        <w:t>.</w:t>
      </w:r>
      <w:r w:rsidR="004C1B0E">
        <w:rPr>
          <w:rFonts w:ascii="Arial" w:hAnsi="Arial" w:cs="Arial"/>
          <w:lang w:val="en-001" w:eastAsia="en-GB"/>
        </w:rPr>
        <w:t xml:space="preserve"> </w:t>
      </w:r>
      <w:r w:rsidRPr="00F16502">
        <w:rPr>
          <w:rFonts w:ascii="Arial" w:hAnsi="Arial" w:cs="Arial"/>
          <w:lang w:val="en-001" w:eastAsia="en-GB"/>
        </w:rPr>
        <w:t>In practice, modern healthcare systems, including the NHS in England, exhibit a hybrid of both centralisation and decentralisation, with ongoing reforms reflecting a tension between the two approaches (Ramsay et al., 2025</w:t>
      </w:r>
      <w:r w:rsidR="004C1B0E">
        <w:rPr>
          <w:rFonts w:ascii="Arial" w:hAnsi="Arial" w:cs="Arial"/>
          <w:lang w:val="en-001" w:eastAsia="en-GB"/>
        </w:rPr>
        <w:t>).</w:t>
      </w:r>
    </w:p>
    <w:p w14:paraId="4395730B" w14:textId="483B4E86" w:rsidR="001E33C2" w:rsidRPr="00FC27D1" w:rsidRDefault="001E33C2" w:rsidP="00FC27D1">
      <w:pPr>
        <w:spacing w:before="100" w:beforeAutospacing="1" w:after="100" w:afterAutospacing="1" w:line="360" w:lineRule="auto"/>
        <w:outlineLvl w:val="2"/>
        <w:rPr>
          <w:rFonts w:ascii="Arial" w:eastAsia="Times New Roman" w:hAnsi="Arial" w:cs="Arial"/>
          <w:b/>
          <w:bCs/>
          <w:lang w:val="en-001" w:eastAsia="en-GB"/>
        </w:rPr>
      </w:pPr>
      <w:r w:rsidRPr="00F16502">
        <w:rPr>
          <w:rFonts w:ascii="Arial" w:eastAsia="Times New Roman" w:hAnsi="Arial" w:cs="Arial"/>
          <w:b/>
          <w:bCs/>
          <w:lang w:val="en-001" w:eastAsia="en-GB"/>
        </w:rPr>
        <w:t>Centralised Systems: Features and Application</w:t>
      </w:r>
    </w:p>
    <w:p w14:paraId="49EDF85A" w14:textId="6B931A7D" w:rsidR="001E33C2" w:rsidRPr="00F16502" w:rsidRDefault="001E33C2" w:rsidP="007819EC">
      <w:pPr>
        <w:spacing w:before="100" w:beforeAutospacing="1" w:after="100" w:afterAutospacing="1" w:line="360" w:lineRule="auto"/>
        <w:rPr>
          <w:rFonts w:ascii="Arial" w:hAnsi="Arial" w:cs="Arial"/>
          <w:lang w:val="en-001" w:eastAsia="en-GB"/>
        </w:rPr>
      </w:pPr>
      <w:r w:rsidRPr="00F16502">
        <w:rPr>
          <w:rFonts w:ascii="Arial" w:hAnsi="Arial" w:cs="Arial"/>
          <w:lang w:val="en-001" w:eastAsia="en-GB"/>
        </w:rPr>
        <w:t>In a centralised healthcare system, decision</w:t>
      </w:r>
      <w:r w:rsidRPr="00F16502">
        <w:rPr>
          <w:rFonts w:ascii="Arial" w:hAnsi="Arial" w:cs="Arial"/>
          <w:lang w:val="en-001" w:eastAsia="en-GB"/>
        </w:rPr>
        <w:noBreakHyphen/>
        <w:t>making authority and accountability are concentrated at higher organisational levels. Policies, clinical protocols, performance standards, and escalation procedures are typically designed and enforced from the top down</w:t>
      </w:r>
      <w:r w:rsidR="006A2855" w:rsidRPr="006A2855">
        <w:rPr>
          <w:rFonts w:ascii="Arial" w:hAnsi="Arial" w:cs="Arial"/>
          <w:lang w:val="en-001" w:eastAsia="en-GB"/>
        </w:rPr>
        <w:t xml:space="preserve"> (Shishkin et al., 2025)</w:t>
      </w:r>
      <w:r w:rsidRPr="00F16502">
        <w:rPr>
          <w:rFonts w:ascii="Arial" w:hAnsi="Arial" w:cs="Arial"/>
          <w:lang w:val="en-001" w:eastAsia="en-GB"/>
        </w:rPr>
        <w:t>, with frontline staff expected to implement them in standardised ways. Centralisation can improve consistency of care, streamline implementation of evidence</w:t>
      </w:r>
      <w:r w:rsidRPr="00F16502">
        <w:rPr>
          <w:rFonts w:ascii="Arial" w:hAnsi="Arial" w:cs="Arial"/>
          <w:lang w:val="en-001" w:eastAsia="en-GB"/>
        </w:rPr>
        <w:noBreakHyphen/>
        <w:t>based policies, and facilitate resource allocation across a large system (Ramsay et al., 2025).</w:t>
      </w:r>
    </w:p>
    <w:p w14:paraId="20830E26" w14:textId="6F027564" w:rsidR="001E33C2" w:rsidRPr="00F16502" w:rsidRDefault="001E33C2" w:rsidP="007819EC">
      <w:pPr>
        <w:spacing w:before="100" w:beforeAutospacing="1" w:after="100" w:afterAutospacing="1" w:line="360" w:lineRule="auto"/>
        <w:rPr>
          <w:rFonts w:ascii="Arial" w:hAnsi="Arial" w:cs="Arial"/>
          <w:lang w:val="en-001" w:eastAsia="en-GB"/>
        </w:rPr>
      </w:pPr>
      <w:r w:rsidRPr="00F16502">
        <w:rPr>
          <w:rFonts w:ascii="Arial" w:hAnsi="Arial" w:cs="Arial"/>
          <w:lang w:val="en-001" w:eastAsia="en-GB"/>
        </w:rPr>
        <w:t>The NHS historically demonstrates centralised features through national regulatory frameworks, national healthcare standards, and centralised clinical governance. National policies set by NHS England, such as escalation frameworks, safety reporting standards, and clinical guidelines, are intended to ensure uniform quality and safety across all providers (Ramsay et al., 2025). Centralised oversight has potential advantages it enables consistent implementation of best practices, the monitoring of performance data at scale, and coordinated responses to widespread issues such as antimicrobial resistance or pandemic responses</w:t>
      </w:r>
      <w:r w:rsidR="000966B5" w:rsidRPr="000966B5">
        <w:rPr>
          <w:rFonts w:ascii="Arial" w:hAnsi="Arial" w:cs="Arial"/>
          <w:lang w:val="en-001" w:eastAsia="en-GB"/>
        </w:rPr>
        <w:t xml:space="preserve"> (Braithwaite et al., 2020)</w:t>
      </w:r>
      <w:r w:rsidRPr="00F16502">
        <w:rPr>
          <w:rFonts w:ascii="Arial" w:hAnsi="Arial" w:cs="Arial"/>
          <w:lang w:val="en-001" w:eastAsia="en-GB"/>
        </w:rPr>
        <w:t>.</w:t>
      </w:r>
    </w:p>
    <w:p w14:paraId="5EC29E58" w14:textId="77777777" w:rsidR="001E33C2" w:rsidRPr="00F16502" w:rsidRDefault="001E33C2" w:rsidP="007819EC">
      <w:pPr>
        <w:spacing w:before="100" w:beforeAutospacing="1" w:after="100" w:afterAutospacing="1" w:line="360" w:lineRule="auto"/>
        <w:rPr>
          <w:rFonts w:ascii="Arial" w:hAnsi="Arial" w:cs="Arial"/>
          <w:lang w:val="en-001" w:eastAsia="en-GB"/>
        </w:rPr>
      </w:pPr>
      <w:r w:rsidRPr="00F16502">
        <w:rPr>
          <w:rFonts w:ascii="Arial" w:hAnsi="Arial" w:cs="Arial"/>
          <w:lang w:val="en-001" w:eastAsia="en-GB"/>
        </w:rPr>
        <w:t>Advantages in context of Lewis’s case:</w:t>
      </w:r>
    </w:p>
    <w:p w14:paraId="6B418E4D" w14:textId="4F2E20AE" w:rsidR="001E33C2" w:rsidRPr="00F16502" w:rsidRDefault="001E33C2" w:rsidP="007819EC">
      <w:pPr>
        <w:numPr>
          <w:ilvl w:val="0"/>
          <w:numId w:val="16"/>
        </w:numPr>
        <w:spacing w:before="100" w:beforeAutospacing="1" w:after="100" w:afterAutospacing="1" w:line="360" w:lineRule="auto"/>
        <w:rPr>
          <w:rFonts w:ascii="Arial" w:hAnsi="Arial" w:cs="Arial"/>
          <w:lang w:val="en-001" w:eastAsia="en-GB"/>
        </w:rPr>
      </w:pPr>
      <w:r w:rsidRPr="00F16502">
        <w:rPr>
          <w:rFonts w:ascii="Arial" w:hAnsi="Arial" w:cs="Arial"/>
          <w:lang w:val="en-001" w:eastAsia="en-GB"/>
        </w:rPr>
        <w:t>Centralised policies around postoperative monitoring, escalation triggers (e.g., early warning scores), and medication safety should, in theory, provide clear guidance on managing deteriorating patients and adverse drug effects</w:t>
      </w:r>
      <w:r w:rsidR="00601E3E" w:rsidRPr="00601E3E">
        <w:rPr>
          <w:rFonts w:ascii="Arial" w:hAnsi="Arial" w:cs="Arial"/>
          <w:lang w:val="en-001" w:eastAsia="en-GB"/>
        </w:rPr>
        <w:t xml:space="preserve"> (Britteon et al., 2024).</w:t>
      </w:r>
    </w:p>
    <w:p w14:paraId="242482FA" w14:textId="0616E94E" w:rsidR="001E33C2" w:rsidRPr="004C2DD9" w:rsidRDefault="001E33C2" w:rsidP="007819EC">
      <w:pPr>
        <w:numPr>
          <w:ilvl w:val="0"/>
          <w:numId w:val="16"/>
        </w:numPr>
        <w:spacing w:before="100" w:beforeAutospacing="1" w:after="100" w:afterAutospacing="1" w:line="360" w:lineRule="auto"/>
        <w:rPr>
          <w:rFonts w:ascii="Arial" w:hAnsi="Arial" w:cs="Arial"/>
          <w:lang w:val="en-001" w:eastAsia="en-GB"/>
        </w:rPr>
      </w:pPr>
      <w:r w:rsidRPr="00F16502">
        <w:rPr>
          <w:rFonts w:ascii="Arial" w:hAnsi="Arial" w:cs="Arial"/>
          <w:lang w:val="en-001" w:eastAsia="en-GB"/>
        </w:rPr>
        <w:t>National patient safety programs (e.g., the NHS Learn from Patient Safety Events system) are designed to detect patterns of harm that individual institutions might miss (NHS England, 202</w:t>
      </w:r>
      <w:r w:rsidR="009F0576">
        <w:rPr>
          <w:rFonts w:ascii="Arial" w:hAnsi="Arial" w:cs="Arial"/>
          <w:lang w:val="en-001" w:eastAsia="en-GB"/>
        </w:rPr>
        <w:t>4</w:t>
      </w:r>
      <w:r w:rsidRPr="00F16502">
        <w:rPr>
          <w:rFonts w:ascii="Arial" w:hAnsi="Arial" w:cs="Arial"/>
          <w:lang w:val="en-001" w:eastAsia="en-GB"/>
        </w:rPr>
        <w:t>).</w:t>
      </w:r>
    </w:p>
    <w:p w14:paraId="4619B0C4" w14:textId="135E3EFD" w:rsidR="001E33C2" w:rsidRPr="00F16502" w:rsidRDefault="001E33C2" w:rsidP="007819EC">
      <w:pPr>
        <w:spacing w:before="100" w:beforeAutospacing="1" w:after="100" w:afterAutospacing="1" w:line="360" w:lineRule="auto"/>
        <w:rPr>
          <w:rFonts w:ascii="Arial" w:hAnsi="Arial" w:cs="Arial"/>
          <w:lang w:val="en-001" w:eastAsia="en-GB"/>
        </w:rPr>
      </w:pPr>
      <w:r w:rsidRPr="00F16502">
        <w:rPr>
          <w:rFonts w:ascii="Arial" w:hAnsi="Arial" w:cs="Arial"/>
          <w:lang w:val="en-001" w:eastAsia="en-GB"/>
        </w:rPr>
        <w:t>However, centralisation can hinder local responsiveness when rigid policies fail to account for contextual nuance or when frontline workers feel constrained from making timely clinical decisions</w:t>
      </w:r>
      <w:r w:rsidR="00601E3E" w:rsidRPr="00601E3E">
        <w:rPr>
          <w:rFonts w:ascii="Arial" w:hAnsi="Arial" w:cs="Arial"/>
          <w:lang w:val="en-001" w:eastAsia="en-GB"/>
        </w:rPr>
        <w:t xml:space="preserve"> (Britteon et al., 2024).</w:t>
      </w:r>
      <w:r w:rsidR="00601E3E">
        <w:rPr>
          <w:rFonts w:ascii="Arial" w:hAnsi="Arial" w:cs="Arial"/>
          <w:lang w:val="en-001" w:eastAsia="en-GB"/>
        </w:rPr>
        <w:t xml:space="preserve"> </w:t>
      </w:r>
      <w:r w:rsidRPr="00F16502">
        <w:rPr>
          <w:rFonts w:ascii="Arial" w:hAnsi="Arial" w:cs="Arial"/>
          <w:lang w:val="en-001" w:eastAsia="en-GB"/>
        </w:rPr>
        <w:t>In Lewis’s case, despite national recommendations and early warning systems, frontline providers repeatedly failed to escalate care suggesting that central policies were either insufficiently implemented or inadequately supported by local leadership and supervision</w:t>
      </w:r>
      <w:r w:rsidR="00601E3E" w:rsidRPr="00601E3E">
        <w:rPr>
          <w:rFonts w:ascii="Arial" w:hAnsi="Arial" w:cs="Arial"/>
          <w:lang w:val="en-001" w:eastAsia="en-GB"/>
        </w:rPr>
        <w:t xml:space="preserve"> (Britteon et al., 2024)</w:t>
      </w:r>
      <w:r w:rsidR="00601E3E">
        <w:rPr>
          <w:rFonts w:ascii="Arial" w:hAnsi="Arial" w:cs="Arial"/>
          <w:lang w:val="en-001" w:eastAsia="en-GB"/>
        </w:rPr>
        <w:t xml:space="preserve">. </w:t>
      </w:r>
      <w:r w:rsidRPr="00F16502">
        <w:rPr>
          <w:rFonts w:ascii="Arial" w:hAnsi="Arial" w:cs="Arial"/>
          <w:lang w:val="en-001" w:eastAsia="en-GB"/>
        </w:rPr>
        <w:t xml:space="preserve"> Centralised escalation protocols can exist on paper, but without real</w:t>
      </w:r>
      <w:r w:rsidRPr="00F16502">
        <w:rPr>
          <w:rFonts w:ascii="Arial" w:hAnsi="Arial" w:cs="Arial"/>
          <w:lang w:val="en-001" w:eastAsia="en-GB"/>
        </w:rPr>
        <w:noBreakHyphen/>
        <w:t>time local accountability and empowerment, they may fail to prevent avoidable harm (Ramsay et al., 2025).</w:t>
      </w:r>
    </w:p>
    <w:p w14:paraId="0F3879B2" w14:textId="7091F95C" w:rsidR="001E33C2" w:rsidRPr="004C2DD9" w:rsidRDefault="001E33C2" w:rsidP="004C2DD9">
      <w:pPr>
        <w:spacing w:before="100" w:beforeAutospacing="1" w:after="100" w:afterAutospacing="1" w:line="360" w:lineRule="auto"/>
        <w:outlineLvl w:val="2"/>
        <w:rPr>
          <w:rFonts w:ascii="Arial" w:eastAsia="Times New Roman" w:hAnsi="Arial" w:cs="Arial"/>
          <w:b/>
          <w:bCs/>
          <w:lang w:val="en-001" w:eastAsia="en-GB"/>
        </w:rPr>
      </w:pPr>
      <w:r w:rsidRPr="00F16502">
        <w:rPr>
          <w:rFonts w:ascii="Arial" w:eastAsia="Times New Roman" w:hAnsi="Arial" w:cs="Arial"/>
          <w:b/>
          <w:bCs/>
          <w:lang w:val="en-001" w:eastAsia="en-GB"/>
        </w:rPr>
        <w:t>Decentralised Systems: Features and Application</w:t>
      </w:r>
    </w:p>
    <w:p w14:paraId="3F45D57B" w14:textId="59D8106B" w:rsidR="001E33C2" w:rsidRPr="00F16502" w:rsidRDefault="001E33C2" w:rsidP="007819EC">
      <w:pPr>
        <w:spacing w:before="100" w:beforeAutospacing="1" w:after="100" w:afterAutospacing="1" w:line="360" w:lineRule="auto"/>
        <w:rPr>
          <w:rFonts w:ascii="Arial" w:hAnsi="Arial" w:cs="Arial"/>
          <w:lang w:val="en-001" w:eastAsia="en-GB"/>
        </w:rPr>
      </w:pPr>
      <w:r w:rsidRPr="00F16502">
        <w:rPr>
          <w:rFonts w:ascii="Arial" w:hAnsi="Arial" w:cs="Arial"/>
          <w:lang w:val="en-001" w:eastAsia="en-GB"/>
        </w:rPr>
        <w:t>A decentralised system distributes authority and decision</w:t>
      </w:r>
      <w:r w:rsidRPr="00F16502">
        <w:rPr>
          <w:rFonts w:ascii="Arial" w:hAnsi="Arial" w:cs="Arial"/>
          <w:lang w:val="en-001" w:eastAsia="en-GB"/>
        </w:rPr>
        <w:noBreakHyphen/>
        <w:t>making power closer to the point of care, enabling local innovation, context</w:t>
      </w:r>
      <w:r w:rsidRPr="00F16502">
        <w:rPr>
          <w:rFonts w:ascii="Arial" w:hAnsi="Arial" w:cs="Arial"/>
          <w:lang w:val="en-001" w:eastAsia="en-GB"/>
        </w:rPr>
        <w:noBreakHyphen/>
        <w:t>specific responses, and quicker operational decisions. Decentralisation advocates argue that empowering local leaders can improve adaptability, responsiveness to patient needs, and engagement of staff who are closest to those needs (Gilson et al., 2022).</w:t>
      </w:r>
    </w:p>
    <w:p w14:paraId="3E830B09" w14:textId="2CF59F19" w:rsidR="001E33C2" w:rsidRPr="00F16502" w:rsidRDefault="001E33C2" w:rsidP="007819EC">
      <w:pPr>
        <w:spacing w:before="100" w:beforeAutospacing="1" w:after="100" w:afterAutospacing="1" w:line="360" w:lineRule="auto"/>
        <w:rPr>
          <w:rFonts w:ascii="Arial" w:hAnsi="Arial" w:cs="Arial"/>
          <w:lang w:val="en-001" w:eastAsia="en-GB"/>
        </w:rPr>
      </w:pPr>
      <w:r w:rsidRPr="00F16502">
        <w:rPr>
          <w:rFonts w:ascii="Arial" w:hAnsi="Arial" w:cs="Arial"/>
          <w:lang w:val="en-001" w:eastAsia="en-GB"/>
        </w:rPr>
        <w:t>In the NHS context, elements of decentralisation are increasingly evident through Integrated Care Systems (ICS) and local governance arrangements that give place</w:t>
      </w:r>
      <w:r w:rsidRPr="00F16502">
        <w:rPr>
          <w:rFonts w:ascii="Arial" w:hAnsi="Arial" w:cs="Arial"/>
          <w:lang w:val="en-001" w:eastAsia="en-GB"/>
        </w:rPr>
        <w:noBreakHyphen/>
        <w:t>based leaders greater autonomy over resources, workforce decisions, and service design (NHS Confederation, 202</w:t>
      </w:r>
      <w:r w:rsidR="009F0576">
        <w:rPr>
          <w:rFonts w:ascii="Arial" w:hAnsi="Arial" w:cs="Arial"/>
          <w:lang w:val="en-001" w:eastAsia="en-GB"/>
        </w:rPr>
        <w:t>4</w:t>
      </w:r>
      <w:r w:rsidRPr="00F16502">
        <w:rPr>
          <w:rFonts w:ascii="Arial" w:hAnsi="Arial" w:cs="Arial"/>
          <w:lang w:val="en-001" w:eastAsia="en-GB"/>
        </w:rPr>
        <w:t>). Decentralisation initiatives aim to tailor care pathways to local populations and improve coordination between health and social care partners, aligning services more closely with the needs of service users</w:t>
      </w:r>
      <w:r w:rsidR="00773F3E" w:rsidRPr="00773F3E">
        <w:rPr>
          <w:rFonts w:ascii="Arial" w:hAnsi="Arial" w:cs="Arial"/>
          <w:lang w:val="en-001" w:eastAsia="en-GB"/>
        </w:rPr>
        <w:t xml:space="preserve"> (Stanikzai &amp; Mittal, 2025)</w:t>
      </w:r>
      <w:r w:rsidRPr="00F16502">
        <w:rPr>
          <w:rFonts w:ascii="Arial" w:hAnsi="Arial" w:cs="Arial"/>
          <w:lang w:val="en-001" w:eastAsia="en-GB"/>
        </w:rPr>
        <w:t>.</w:t>
      </w:r>
    </w:p>
    <w:p w14:paraId="444B3DF3" w14:textId="77777777" w:rsidR="001E33C2" w:rsidRPr="00F16502" w:rsidRDefault="001E33C2" w:rsidP="007819EC">
      <w:pPr>
        <w:spacing w:before="100" w:beforeAutospacing="1" w:after="100" w:afterAutospacing="1" w:line="360" w:lineRule="auto"/>
        <w:rPr>
          <w:rFonts w:ascii="Arial" w:hAnsi="Arial" w:cs="Arial"/>
          <w:lang w:val="en-001" w:eastAsia="en-GB"/>
        </w:rPr>
      </w:pPr>
      <w:r w:rsidRPr="00F16502">
        <w:rPr>
          <w:rFonts w:ascii="Arial" w:hAnsi="Arial" w:cs="Arial"/>
          <w:lang w:val="en-001" w:eastAsia="en-GB"/>
        </w:rPr>
        <w:t>Advantages in context of Lewis’s case:</w:t>
      </w:r>
    </w:p>
    <w:p w14:paraId="1594596A" w14:textId="01C9D724" w:rsidR="001E33C2" w:rsidRPr="00F16502" w:rsidRDefault="001E33C2" w:rsidP="00CA2B66">
      <w:pPr>
        <w:numPr>
          <w:ilvl w:val="0"/>
          <w:numId w:val="17"/>
        </w:numPr>
        <w:tabs>
          <w:tab w:val="clear" w:pos="720"/>
          <w:tab w:val="num" w:pos="360"/>
        </w:tabs>
        <w:spacing w:before="100" w:beforeAutospacing="1" w:after="100" w:afterAutospacing="1" w:line="360" w:lineRule="auto"/>
        <w:ind w:left="360"/>
        <w:rPr>
          <w:rFonts w:ascii="Arial" w:hAnsi="Arial" w:cs="Arial"/>
          <w:lang w:val="en-001" w:eastAsia="en-GB"/>
        </w:rPr>
      </w:pPr>
      <w:r w:rsidRPr="00F16502">
        <w:rPr>
          <w:rFonts w:ascii="Arial" w:hAnsi="Arial" w:cs="Arial"/>
          <w:lang w:val="en-001" w:eastAsia="en-GB"/>
        </w:rPr>
        <w:t>Local clinical teams empowered to escalate care decisions without waiting for senior authorisation could potentially have intervened sooner in Lewis’s deterioration</w:t>
      </w:r>
      <w:r w:rsidR="00D41801" w:rsidRPr="00D41801">
        <w:rPr>
          <w:rFonts w:ascii="Arial" w:hAnsi="Arial" w:cs="Arial"/>
          <w:lang w:val="en-001" w:eastAsia="en-GB"/>
        </w:rPr>
        <w:t>(Stanikzai et al., 2025)</w:t>
      </w:r>
      <w:r w:rsidRPr="00F16502">
        <w:rPr>
          <w:rFonts w:ascii="Arial" w:hAnsi="Arial" w:cs="Arial"/>
          <w:lang w:val="en-001" w:eastAsia="en-GB"/>
        </w:rPr>
        <w:t>.</w:t>
      </w:r>
    </w:p>
    <w:p w14:paraId="10F89630" w14:textId="038311AE" w:rsidR="001E33C2" w:rsidRPr="00CA2B66" w:rsidRDefault="001E33C2" w:rsidP="00CA2B66">
      <w:pPr>
        <w:numPr>
          <w:ilvl w:val="0"/>
          <w:numId w:val="17"/>
        </w:numPr>
        <w:tabs>
          <w:tab w:val="clear" w:pos="720"/>
          <w:tab w:val="num" w:pos="360"/>
        </w:tabs>
        <w:spacing w:before="100" w:beforeAutospacing="1" w:after="100" w:afterAutospacing="1" w:line="360" w:lineRule="auto"/>
        <w:ind w:left="360"/>
        <w:rPr>
          <w:rFonts w:ascii="Arial" w:hAnsi="Arial" w:cs="Arial"/>
          <w:lang w:val="en-001" w:eastAsia="en-GB"/>
        </w:rPr>
      </w:pPr>
      <w:r w:rsidRPr="00F16502">
        <w:rPr>
          <w:rFonts w:ascii="Arial" w:hAnsi="Arial" w:cs="Arial"/>
          <w:lang w:val="en-001" w:eastAsia="en-GB"/>
        </w:rPr>
        <w:t>Local oversight structures that emphasise multidisciplinary communication might have prompted earlier recognition of abdominal signs inconsistent with normal postoperative recovery</w:t>
      </w:r>
      <w:r w:rsidR="00D41801" w:rsidRPr="00D41801">
        <w:rPr>
          <w:rFonts w:ascii="Arial" w:hAnsi="Arial" w:cs="Arial"/>
          <w:lang w:val="en-001" w:eastAsia="en-GB"/>
        </w:rPr>
        <w:t>(Stanikzai et al., 2025)</w:t>
      </w:r>
      <w:r w:rsidRPr="00F16502">
        <w:rPr>
          <w:rFonts w:ascii="Arial" w:hAnsi="Arial" w:cs="Arial"/>
          <w:lang w:val="en-001" w:eastAsia="en-GB"/>
        </w:rPr>
        <w:t>.</w:t>
      </w:r>
    </w:p>
    <w:p w14:paraId="29EB3425" w14:textId="01194EDA" w:rsidR="001E33C2" w:rsidRPr="00F16502" w:rsidRDefault="001E33C2" w:rsidP="007819EC">
      <w:pPr>
        <w:spacing w:before="100" w:beforeAutospacing="1" w:after="100" w:afterAutospacing="1" w:line="360" w:lineRule="auto"/>
        <w:rPr>
          <w:rFonts w:ascii="Arial" w:hAnsi="Arial" w:cs="Arial"/>
          <w:lang w:val="en-001" w:eastAsia="en-GB"/>
        </w:rPr>
      </w:pPr>
      <w:r w:rsidRPr="00F16502">
        <w:rPr>
          <w:rFonts w:ascii="Arial" w:hAnsi="Arial" w:cs="Arial"/>
          <w:lang w:val="en-001" w:eastAsia="en-GB"/>
        </w:rPr>
        <w:t>However, decentralisation also carries risks. Without adequate coordination mechanisms, decentralised environments can lead to inconsistency in standards, duplication of services, or variable clinical practice quality (Frontiers Health Services, 2025). If local teams are not well supported by consistent governance frameworks, decentralisation can exacerbate variation in care that undermines patient safety</w:t>
      </w:r>
      <w:r w:rsidR="00605EBC" w:rsidRPr="00605EBC">
        <w:rPr>
          <w:rFonts w:ascii="Arial" w:hAnsi="Arial" w:cs="Arial"/>
          <w:lang w:val="en-001" w:eastAsia="en-GB"/>
        </w:rPr>
        <w:t xml:space="preserve"> (Vehviläinen et al., 2024)</w:t>
      </w:r>
      <w:r w:rsidRPr="00F16502">
        <w:rPr>
          <w:rFonts w:ascii="Arial" w:hAnsi="Arial" w:cs="Arial"/>
          <w:lang w:val="en-001" w:eastAsia="en-GB"/>
        </w:rPr>
        <w:t>.</w:t>
      </w:r>
    </w:p>
    <w:p w14:paraId="063EA78F" w14:textId="5694A747" w:rsidR="001E33C2" w:rsidRPr="00CA2B66" w:rsidRDefault="001E33C2" w:rsidP="00CA2B66">
      <w:pPr>
        <w:spacing w:before="100" w:beforeAutospacing="1" w:after="100" w:afterAutospacing="1" w:line="360" w:lineRule="auto"/>
        <w:outlineLvl w:val="2"/>
        <w:rPr>
          <w:rFonts w:ascii="Arial" w:eastAsia="Times New Roman" w:hAnsi="Arial" w:cs="Arial"/>
          <w:b/>
          <w:bCs/>
          <w:lang w:val="en-001" w:eastAsia="en-GB"/>
        </w:rPr>
      </w:pPr>
      <w:r w:rsidRPr="00F16502">
        <w:rPr>
          <w:rFonts w:ascii="Arial" w:eastAsia="Times New Roman" w:hAnsi="Arial" w:cs="Arial"/>
          <w:b/>
          <w:bCs/>
          <w:lang w:val="en-001" w:eastAsia="en-GB"/>
        </w:rPr>
        <w:t>Evidence and Data on NHS Structure and Its Impact</w:t>
      </w:r>
    </w:p>
    <w:p w14:paraId="46729F76" w14:textId="10344396" w:rsidR="001E33C2" w:rsidRPr="00F16502" w:rsidRDefault="001E33C2" w:rsidP="007819EC">
      <w:pPr>
        <w:spacing w:before="100" w:beforeAutospacing="1" w:after="100" w:afterAutospacing="1" w:line="360" w:lineRule="auto"/>
        <w:rPr>
          <w:rFonts w:ascii="Arial" w:hAnsi="Arial" w:cs="Arial"/>
          <w:lang w:val="en-001" w:eastAsia="en-GB"/>
        </w:rPr>
      </w:pPr>
      <w:r w:rsidRPr="00F16502">
        <w:rPr>
          <w:rFonts w:ascii="Arial" w:hAnsi="Arial" w:cs="Arial"/>
          <w:lang w:val="en-001" w:eastAsia="en-GB"/>
        </w:rPr>
        <w:t>Recent healthcare reforms in the NHS reflect an attempt to balance centralisation and decentralisation by devolving operational decision</w:t>
      </w:r>
      <w:r w:rsidRPr="00F16502">
        <w:rPr>
          <w:rFonts w:ascii="Arial" w:hAnsi="Arial" w:cs="Arial"/>
          <w:lang w:val="en-001" w:eastAsia="en-GB"/>
        </w:rPr>
        <w:noBreakHyphen/>
        <w:t>making to local systems while maintaining national oversight of safety and performance. The new operating model for health and care (NHS Confederation, 202</w:t>
      </w:r>
      <w:r w:rsidR="009F0576">
        <w:rPr>
          <w:rFonts w:ascii="Arial" w:hAnsi="Arial" w:cs="Arial"/>
          <w:lang w:val="en-001" w:eastAsia="en-GB"/>
        </w:rPr>
        <w:t>4</w:t>
      </w:r>
      <w:r w:rsidRPr="00F16502">
        <w:rPr>
          <w:rFonts w:ascii="Arial" w:hAnsi="Arial" w:cs="Arial"/>
          <w:lang w:val="en-001" w:eastAsia="en-GB"/>
        </w:rPr>
        <w:t>) emphasises devolved leadership across levels national, regional, and place</w:t>
      </w:r>
      <w:r w:rsidRPr="00F16502">
        <w:rPr>
          <w:rFonts w:ascii="Arial" w:hAnsi="Arial" w:cs="Arial"/>
          <w:lang w:val="en-001" w:eastAsia="en-GB"/>
        </w:rPr>
        <w:noBreakHyphen/>
        <w:t>based aimed at improving integrated delivery while retaining accountability through clear governance lines. This model acknowledges that neither extreme centralisation nor pure decentralisation alone can optimise safety and quality.</w:t>
      </w:r>
    </w:p>
    <w:p w14:paraId="10271587" w14:textId="328BC56A" w:rsidR="001E33C2" w:rsidRPr="00F16502" w:rsidRDefault="001E33C2" w:rsidP="007819EC">
      <w:pPr>
        <w:spacing w:before="100" w:beforeAutospacing="1" w:after="100" w:afterAutospacing="1" w:line="360" w:lineRule="auto"/>
        <w:rPr>
          <w:rFonts w:ascii="Arial" w:hAnsi="Arial" w:cs="Arial"/>
          <w:lang w:val="en-001" w:eastAsia="en-GB"/>
        </w:rPr>
      </w:pPr>
      <w:r w:rsidRPr="00F16502">
        <w:rPr>
          <w:rFonts w:ascii="Arial" w:hAnsi="Arial" w:cs="Arial"/>
          <w:lang w:val="en-001" w:eastAsia="en-GB"/>
        </w:rPr>
        <w:t>Empirical research on decentralisation in health systems suggests mixed impacts. Comprehensive reviews show that decentralisation can enhance local responsiveness and community engagement, but its benefits depend on the presence of strong coordination mechanisms and sustained capacity building (Gilson et al., 2022</w:t>
      </w:r>
      <w:r w:rsidR="009F0576">
        <w:rPr>
          <w:rFonts w:ascii="Arial" w:hAnsi="Arial" w:cs="Arial"/>
          <w:lang w:val="en-001" w:eastAsia="en-GB"/>
        </w:rPr>
        <w:t xml:space="preserve">). </w:t>
      </w:r>
      <w:r w:rsidRPr="00F16502">
        <w:rPr>
          <w:rFonts w:ascii="Arial" w:hAnsi="Arial" w:cs="Arial"/>
          <w:lang w:val="en-001" w:eastAsia="en-GB"/>
        </w:rPr>
        <w:t>Without coordination and guidance from central bodies, local autonomy alone does not guarantee improved outcomes</w:t>
      </w:r>
      <w:r w:rsidR="001A3573">
        <w:rPr>
          <w:rFonts w:ascii="Arial" w:hAnsi="Arial" w:cs="Arial"/>
          <w:lang w:val="en-001" w:eastAsia="en-GB"/>
        </w:rPr>
        <w:t xml:space="preserve"> </w:t>
      </w:r>
      <w:r w:rsidRPr="00F16502">
        <w:rPr>
          <w:rFonts w:ascii="Arial" w:hAnsi="Arial" w:cs="Arial"/>
          <w:lang w:val="en-001" w:eastAsia="en-GB"/>
        </w:rPr>
        <w:t>rather, it must be embedded within robust regulatory and support structures</w:t>
      </w:r>
      <w:r w:rsidR="00B21F18">
        <w:rPr>
          <w:rFonts w:ascii="Arial" w:hAnsi="Arial" w:cs="Arial"/>
          <w:lang w:val="en-001" w:eastAsia="en-GB"/>
        </w:rPr>
        <w:t xml:space="preserve"> </w:t>
      </w:r>
      <w:r w:rsidR="00B21F18" w:rsidRPr="00B21F18">
        <w:rPr>
          <w:rFonts w:ascii="Arial" w:hAnsi="Arial" w:cs="Arial"/>
          <w:lang w:val="en-001" w:eastAsia="en-GB"/>
        </w:rPr>
        <w:t>(Oliveira et al., 2024)</w:t>
      </w:r>
      <w:r w:rsidRPr="00F16502">
        <w:rPr>
          <w:rFonts w:ascii="Arial" w:hAnsi="Arial" w:cs="Arial"/>
          <w:lang w:val="en-001" w:eastAsia="en-GB"/>
        </w:rPr>
        <w:t>.</w:t>
      </w:r>
    </w:p>
    <w:p w14:paraId="11504850" w14:textId="4D4552B9" w:rsidR="001E33C2" w:rsidRPr="00CA2B66" w:rsidRDefault="001E33C2" w:rsidP="00CA2B66">
      <w:pPr>
        <w:spacing w:before="100" w:beforeAutospacing="1" w:after="100" w:afterAutospacing="1" w:line="360" w:lineRule="auto"/>
        <w:outlineLvl w:val="2"/>
        <w:rPr>
          <w:rFonts w:ascii="Arial" w:eastAsia="Times New Roman" w:hAnsi="Arial" w:cs="Arial"/>
          <w:b/>
          <w:bCs/>
          <w:lang w:val="en-001" w:eastAsia="en-GB"/>
        </w:rPr>
      </w:pPr>
      <w:r w:rsidRPr="00F16502">
        <w:rPr>
          <w:rFonts w:ascii="Arial" w:eastAsia="Times New Roman" w:hAnsi="Arial" w:cs="Arial"/>
          <w:b/>
          <w:bCs/>
          <w:lang w:val="en-001" w:eastAsia="en-GB"/>
        </w:rPr>
        <w:t>Comparative Analysis: How System Structure Supported or Hindered Outcomes</w:t>
      </w:r>
    </w:p>
    <w:p w14:paraId="4FF2ED38" w14:textId="77777777" w:rsidR="001E33C2" w:rsidRPr="00F16502" w:rsidRDefault="001E33C2" w:rsidP="007819EC">
      <w:pPr>
        <w:spacing w:before="100" w:beforeAutospacing="1" w:after="100" w:afterAutospacing="1" w:line="360" w:lineRule="auto"/>
        <w:rPr>
          <w:rFonts w:ascii="Arial" w:hAnsi="Arial" w:cs="Arial"/>
          <w:lang w:val="en-001" w:eastAsia="en-GB"/>
        </w:rPr>
      </w:pPr>
      <w:r w:rsidRPr="00F16502">
        <w:rPr>
          <w:rFonts w:ascii="Arial" w:hAnsi="Arial" w:cs="Arial"/>
          <w:lang w:val="en-001" w:eastAsia="en-GB"/>
        </w:rPr>
        <w:t>The hybrid structure of the NHS at the time of the Blackman case may have inadvertently created gaps in accountability and escalation pathways:</w:t>
      </w:r>
    </w:p>
    <w:p w14:paraId="3583541D" w14:textId="61EAE83A" w:rsidR="001E33C2" w:rsidRPr="00F16502" w:rsidRDefault="001E33C2" w:rsidP="007819EC">
      <w:pPr>
        <w:numPr>
          <w:ilvl w:val="0"/>
          <w:numId w:val="18"/>
        </w:numPr>
        <w:spacing w:before="100" w:beforeAutospacing="1" w:after="100" w:afterAutospacing="1" w:line="360" w:lineRule="auto"/>
        <w:rPr>
          <w:rFonts w:ascii="Arial" w:hAnsi="Arial" w:cs="Arial"/>
          <w:lang w:val="en-001" w:eastAsia="en-GB"/>
        </w:rPr>
      </w:pPr>
      <w:r w:rsidRPr="00F16502">
        <w:rPr>
          <w:rFonts w:ascii="Arial" w:hAnsi="Arial" w:cs="Arial"/>
          <w:lang w:val="en-001" w:eastAsia="en-GB"/>
        </w:rPr>
        <w:t>Fragmented escalation: Postoperative deterioration required rapid escalation to an attending physician, but local autonomy appeared insufficient to prompt this when junior staff did not recognise severity  a failure of local leadership and supervision rather than policy absence</w:t>
      </w:r>
      <w:r w:rsidR="00B21F18" w:rsidRPr="00B21F18">
        <w:rPr>
          <w:rFonts w:ascii="Arial" w:hAnsi="Arial" w:cs="Arial"/>
          <w:lang w:val="en-001" w:eastAsia="en-GB"/>
        </w:rPr>
        <w:t>(Oliveira et al., 2024)</w:t>
      </w:r>
      <w:r w:rsidRPr="00F16502">
        <w:rPr>
          <w:rFonts w:ascii="Arial" w:hAnsi="Arial" w:cs="Arial"/>
          <w:lang w:val="en-001" w:eastAsia="en-GB"/>
        </w:rPr>
        <w:t>.</w:t>
      </w:r>
    </w:p>
    <w:p w14:paraId="0A3E9D0D" w14:textId="00F85CE6" w:rsidR="001E33C2" w:rsidRPr="00F16502" w:rsidRDefault="001E33C2" w:rsidP="007819EC">
      <w:pPr>
        <w:numPr>
          <w:ilvl w:val="0"/>
          <w:numId w:val="18"/>
        </w:numPr>
        <w:spacing w:before="100" w:beforeAutospacing="1" w:after="100" w:afterAutospacing="1" w:line="360" w:lineRule="auto"/>
        <w:rPr>
          <w:rFonts w:ascii="Arial" w:hAnsi="Arial" w:cs="Arial"/>
          <w:lang w:val="en-001" w:eastAsia="en-GB"/>
        </w:rPr>
      </w:pPr>
      <w:r w:rsidRPr="00F16502">
        <w:rPr>
          <w:rFonts w:ascii="Arial" w:hAnsi="Arial" w:cs="Arial"/>
          <w:lang w:val="en-001" w:eastAsia="en-GB"/>
        </w:rPr>
        <w:t>Communication gaps: Centralised policies for monitoring and escalation existed, yet decentralised execution without strong local leadership oversight permitted silence of alarms and attenuation of monitoring thresholds illustrating that policy alone is inadequate without effective local leadership culture and accountability</w:t>
      </w:r>
      <w:r w:rsidR="0064765A">
        <w:rPr>
          <w:rFonts w:ascii="Arial" w:hAnsi="Arial" w:cs="Arial"/>
          <w:lang w:val="en-001" w:eastAsia="en-GB"/>
        </w:rPr>
        <w:t xml:space="preserve"> </w:t>
      </w:r>
      <w:r w:rsidR="00B21F18" w:rsidRPr="00B21F18">
        <w:rPr>
          <w:rFonts w:ascii="Arial" w:hAnsi="Arial" w:cs="Arial"/>
          <w:lang w:val="en-001" w:eastAsia="en-GB"/>
        </w:rPr>
        <w:t>(Oliveira et al., 2024)</w:t>
      </w:r>
    </w:p>
    <w:p w14:paraId="065ECF35" w14:textId="45AF9A1E" w:rsidR="001E33C2" w:rsidRPr="00D17B00" w:rsidRDefault="001E33C2" w:rsidP="007819EC">
      <w:pPr>
        <w:numPr>
          <w:ilvl w:val="0"/>
          <w:numId w:val="18"/>
        </w:numPr>
        <w:spacing w:before="100" w:beforeAutospacing="1" w:after="100" w:afterAutospacing="1" w:line="360" w:lineRule="auto"/>
        <w:rPr>
          <w:rFonts w:ascii="Arial" w:hAnsi="Arial" w:cs="Arial"/>
          <w:lang w:val="en-001" w:eastAsia="en-GB"/>
        </w:rPr>
      </w:pPr>
      <w:r w:rsidRPr="00F16502">
        <w:rPr>
          <w:rFonts w:ascii="Arial" w:hAnsi="Arial" w:cs="Arial"/>
          <w:lang w:val="en-001" w:eastAsia="en-GB"/>
        </w:rPr>
        <w:t>Resource constraints: Local staff shortages and reliance on junior clinicians further limited effective responses, suggesting that local decision</w:t>
      </w:r>
      <w:r w:rsidRPr="00F16502">
        <w:rPr>
          <w:rFonts w:ascii="Arial" w:hAnsi="Arial" w:cs="Arial"/>
          <w:lang w:val="en-001" w:eastAsia="en-GB"/>
        </w:rPr>
        <w:noBreakHyphen/>
        <w:t>making authority was not matched with appropriate training, supervision, or support  a classic risk in decentralised contexts when capacity is uneven</w:t>
      </w:r>
      <w:r w:rsidR="00B21F18" w:rsidRPr="00B21F18">
        <w:rPr>
          <w:rFonts w:ascii="Arial" w:hAnsi="Arial" w:cs="Arial"/>
          <w:lang w:val="en-001" w:eastAsia="en-GB"/>
        </w:rPr>
        <w:t>(Oliveira et al., 2024)</w:t>
      </w:r>
      <w:r w:rsidR="0064765A">
        <w:rPr>
          <w:rFonts w:ascii="Arial" w:hAnsi="Arial" w:cs="Arial"/>
          <w:lang w:val="en-001" w:eastAsia="en-GB"/>
        </w:rPr>
        <w:t>.</w:t>
      </w:r>
    </w:p>
    <w:p w14:paraId="748B7859" w14:textId="295482B8" w:rsidR="001E33C2" w:rsidRPr="00D17B00" w:rsidRDefault="001E33C2" w:rsidP="00D17B00">
      <w:pPr>
        <w:spacing w:before="100" w:beforeAutospacing="1" w:after="100" w:afterAutospacing="1" w:line="360" w:lineRule="auto"/>
        <w:outlineLvl w:val="2"/>
        <w:rPr>
          <w:rFonts w:ascii="Arial" w:eastAsia="Times New Roman" w:hAnsi="Arial" w:cs="Arial"/>
          <w:b/>
          <w:bCs/>
          <w:lang w:val="en-001" w:eastAsia="en-GB"/>
        </w:rPr>
      </w:pPr>
      <w:r w:rsidRPr="00F16502">
        <w:rPr>
          <w:rFonts w:ascii="Arial" w:eastAsia="Times New Roman" w:hAnsi="Arial" w:cs="Arial"/>
          <w:b/>
          <w:bCs/>
          <w:lang w:val="en-001" w:eastAsia="en-GB"/>
        </w:rPr>
        <w:t>Concluding Comparative Summary</w:t>
      </w:r>
    </w:p>
    <w:p w14:paraId="5E9E035C" w14:textId="362FACC1" w:rsidR="001E33C2" w:rsidRPr="00F16502" w:rsidRDefault="001E33C2" w:rsidP="007819EC">
      <w:pPr>
        <w:spacing w:before="100" w:beforeAutospacing="1" w:after="100" w:afterAutospacing="1" w:line="360" w:lineRule="auto"/>
        <w:rPr>
          <w:rFonts w:ascii="Arial" w:hAnsi="Arial" w:cs="Arial"/>
          <w:lang w:val="en-001" w:eastAsia="en-GB"/>
        </w:rPr>
      </w:pPr>
      <w:r w:rsidRPr="00F16502">
        <w:rPr>
          <w:rFonts w:ascii="Arial" w:hAnsi="Arial" w:cs="Arial"/>
          <w:lang w:val="en-001" w:eastAsia="en-GB"/>
        </w:rPr>
        <w:t>Centralisation provided standardised frameworks and policies intended to safeguard patient safety, but without active local leadership and accountability, those frameworks were not sufficient to prevent harm. Decentralisation offered the potential for quicker decision</w:t>
      </w:r>
      <w:r w:rsidRPr="00F16502">
        <w:rPr>
          <w:rFonts w:ascii="Arial" w:hAnsi="Arial" w:cs="Arial"/>
          <w:lang w:val="en-001" w:eastAsia="en-GB"/>
        </w:rPr>
        <w:noBreakHyphen/>
        <w:t>making and local problem solving, but in practice failed to function effectively due to weak leadership culture, inadequate supervision, and poor communication structures</w:t>
      </w:r>
      <w:r w:rsidR="00AC5B2F" w:rsidRPr="00AC5B2F">
        <w:rPr>
          <w:rFonts w:ascii="Arial" w:hAnsi="Arial" w:cs="Arial"/>
          <w:lang w:val="en-001" w:eastAsia="en-GB"/>
        </w:rPr>
        <w:t xml:space="preserve"> (O’Brien et al., 2024)</w:t>
      </w:r>
      <w:r w:rsidRPr="00F16502">
        <w:rPr>
          <w:rFonts w:ascii="Arial" w:hAnsi="Arial" w:cs="Arial"/>
          <w:lang w:val="en-001" w:eastAsia="en-GB"/>
        </w:rPr>
        <w:t>.</w:t>
      </w:r>
    </w:p>
    <w:p w14:paraId="7D271E1F" w14:textId="20AA65B8" w:rsidR="001E33C2" w:rsidRPr="00D17B00" w:rsidRDefault="001E33C2" w:rsidP="00D17B00">
      <w:pPr>
        <w:spacing w:before="100" w:beforeAutospacing="1" w:after="100" w:afterAutospacing="1" w:line="360" w:lineRule="auto"/>
        <w:rPr>
          <w:rFonts w:ascii="Arial" w:hAnsi="Arial" w:cs="Arial"/>
          <w:lang w:val="en-001" w:eastAsia="en-GB"/>
        </w:rPr>
      </w:pPr>
      <w:r w:rsidRPr="00F16502">
        <w:rPr>
          <w:rFonts w:ascii="Arial" w:hAnsi="Arial" w:cs="Arial"/>
          <w:lang w:val="en-001" w:eastAsia="en-GB"/>
        </w:rPr>
        <w:t>This analysis suggests that neither a purely centralised nor purely decentralised structure would have prevented the failures evident in Blackman’s care</w:t>
      </w:r>
      <w:r w:rsidR="001A3573">
        <w:rPr>
          <w:rFonts w:ascii="Arial" w:hAnsi="Arial" w:cs="Arial"/>
          <w:lang w:val="en-001" w:eastAsia="en-GB"/>
        </w:rPr>
        <w:t xml:space="preserve"> </w:t>
      </w:r>
      <w:r w:rsidRPr="00F16502">
        <w:rPr>
          <w:rFonts w:ascii="Arial" w:hAnsi="Arial" w:cs="Arial"/>
          <w:lang w:val="en-001" w:eastAsia="en-GB"/>
        </w:rPr>
        <w:t>instead, effective governance requires a balanced hybrid system that provides centralised policy direction and local empowerment backed by strong leadership, training, supervision, and communication infrastructure.</w:t>
      </w:r>
    </w:p>
    <w:p w14:paraId="201B82D2" w14:textId="2AF6FF10" w:rsidR="00E072EE" w:rsidRPr="00D17B00" w:rsidRDefault="00E072EE" w:rsidP="00D17B00">
      <w:pPr>
        <w:spacing w:before="100" w:beforeAutospacing="1" w:after="100" w:afterAutospacing="1" w:line="360" w:lineRule="auto"/>
        <w:outlineLvl w:val="1"/>
        <w:rPr>
          <w:rFonts w:ascii="Arial" w:eastAsia="Times New Roman" w:hAnsi="Arial" w:cs="Arial"/>
          <w:b/>
          <w:bCs/>
          <w:lang w:val="en-001" w:eastAsia="en-GB"/>
        </w:rPr>
      </w:pPr>
      <w:r w:rsidRPr="00F16502">
        <w:rPr>
          <w:rFonts w:ascii="Arial" w:eastAsia="Times New Roman" w:hAnsi="Arial" w:cs="Arial"/>
          <w:b/>
          <w:bCs/>
          <w:lang w:val="en-001" w:eastAsia="en-GB"/>
        </w:rPr>
        <w:t xml:space="preserve">Leadership Theories and Application to the Case Study </w:t>
      </w:r>
    </w:p>
    <w:p w14:paraId="0B16C2C9" w14:textId="56EE04CB" w:rsidR="00E072EE" w:rsidRPr="00F16502" w:rsidRDefault="00E072EE" w:rsidP="007819EC">
      <w:pPr>
        <w:spacing w:before="100" w:beforeAutospacing="1" w:after="100" w:afterAutospacing="1" w:line="360" w:lineRule="auto"/>
        <w:rPr>
          <w:rFonts w:ascii="Arial" w:hAnsi="Arial" w:cs="Arial"/>
          <w:lang w:val="en-001" w:eastAsia="en-GB"/>
        </w:rPr>
      </w:pPr>
      <w:r w:rsidRPr="00F16502">
        <w:rPr>
          <w:rFonts w:ascii="Arial" w:hAnsi="Arial" w:cs="Arial"/>
          <w:lang w:val="en-001" w:eastAsia="en-GB"/>
        </w:rPr>
        <w:t>Leadership plays a central role in shaping outcomes in healthcare settings, especially where patient safety and clinical performance intersect. Empirical evidence consistently shows that different leadership approaches</w:t>
      </w:r>
      <w:r w:rsidR="00D17B00">
        <w:rPr>
          <w:rFonts w:ascii="Arial" w:hAnsi="Arial" w:cs="Arial"/>
          <w:lang w:val="en-001" w:eastAsia="en-GB"/>
        </w:rPr>
        <w:t xml:space="preserve"> </w:t>
      </w:r>
      <w:r w:rsidRPr="00F16502">
        <w:rPr>
          <w:rFonts w:ascii="Arial" w:hAnsi="Arial" w:cs="Arial"/>
          <w:lang w:val="en-001" w:eastAsia="en-GB"/>
        </w:rPr>
        <w:t>particularly transformational, transactional, situational, ethical, and servant leadership</w:t>
      </w:r>
      <w:r w:rsidR="00D17B00">
        <w:rPr>
          <w:rFonts w:ascii="Arial" w:hAnsi="Arial" w:cs="Arial"/>
          <w:lang w:val="en-001" w:eastAsia="en-GB"/>
        </w:rPr>
        <w:t xml:space="preserve"> </w:t>
      </w:r>
      <w:r w:rsidRPr="00F16502">
        <w:rPr>
          <w:rFonts w:ascii="Arial" w:hAnsi="Arial" w:cs="Arial"/>
          <w:lang w:val="en-001" w:eastAsia="en-GB"/>
        </w:rPr>
        <w:t>have measurable effects on staff engagement, teamwork, safety culture, and clinical performance (Althobaiti, 2026</w:t>
      </w:r>
      <w:r w:rsidR="009E2084">
        <w:rPr>
          <w:rFonts w:ascii="Arial" w:hAnsi="Arial" w:cs="Arial"/>
          <w:lang w:val="en-001" w:eastAsia="en-GB"/>
        </w:rPr>
        <w:t>,</w:t>
      </w:r>
      <w:r w:rsidRPr="00F16502">
        <w:rPr>
          <w:rFonts w:ascii="Arial" w:hAnsi="Arial" w:cs="Arial"/>
          <w:lang w:val="en-001" w:eastAsia="en-GB"/>
        </w:rPr>
        <w:t xml:space="preserve"> Al</w:t>
      </w:r>
      <w:r w:rsidRPr="00F16502">
        <w:rPr>
          <w:rFonts w:ascii="Arial" w:hAnsi="Arial" w:cs="Arial"/>
          <w:lang w:val="en-001" w:eastAsia="en-GB"/>
        </w:rPr>
        <w:noBreakHyphen/>
        <w:t>Rjoub et al., 202</w:t>
      </w:r>
      <w:r w:rsidR="00D26185">
        <w:rPr>
          <w:rFonts w:ascii="Arial" w:hAnsi="Arial" w:cs="Arial"/>
          <w:lang w:val="en-001" w:eastAsia="en-GB"/>
        </w:rPr>
        <w:t>4)</w:t>
      </w:r>
      <w:r w:rsidRPr="00F16502">
        <w:rPr>
          <w:rFonts w:ascii="Arial" w:hAnsi="Arial" w:cs="Arial"/>
          <w:lang w:val="en-001" w:eastAsia="en-GB"/>
        </w:rPr>
        <w:t>. In the Lewis Blackman case, leadership structures and behaviours at both clinical and systemic levels critically influenced the trajectory of care, with poor recognition of deterioration and absent escalation reflecting deep leadership failures</w:t>
      </w:r>
      <w:r w:rsidR="003E75BB" w:rsidRPr="003E75BB">
        <w:rPr>
          <w:rFonts w:ascii="Arial" w:hAnsi="Arial" w:cs="Arial"/>
          <w:lang w:val="en-001" w:eastAsia="en-GB"/>
        </w:rPr>
        <w:t xml:space="preserve"> (Department of Health and Social Care, 2023)</w:t>
      </w:r>
      <w:r w:rsidR="003E75BB">
        <w:rPr>
          <w:rFonts w:ascii="Arial" w:hAnsi="Arial" w:cs="Arial"/>
          <w:lang w:val="en-001" w:eastAsia="en-GB"/>
        </w:rPr>
        <w:t xml:space="preserve">. </w:t>
      </w:r>
      <w:r w:rsidRPr="00F16502">
        <w:rPr>
          <w:rFonts w:ascii="Arial" w:hAnsi="Arial" w:cs="Arial"/>
          <w:lang w:val="en-001" w:eastAsia="en-GB"/>
        </w:rPr>
        <w:t>This section applies leadership theories to the case study, reviewing their appropriateness, observed effects, and evidence</w:t>
      </w:r>
      <w:r w:rsidRPr="00F16502">
        <w:rPr>
          <w:rFonts w:ascii="Arial" w:hAnsi="Arial" w:cs="Arial"/>
          <w:lang w:val="en-001" w:eastAsia="en-GB"/>
        </w:rPr>
        <w:noBreakHyphen/>
        <w:t>based critique.</w:t>
      </w:r>
    </w:p>
    <w:p w14:paraId="13742703" w14:textId="6F86A0B8" w:rsidR="00E072EE" w:rsidRPr="00D17CDF" w:rsidRDefault="00E072EE" w:rsidP="00D17CDF">
      <w:pPr>
        <w:spacing w:before="100" w:beforeAutospacing="1" w:after="100" w:afterAutospacing="1" w:line="360" w:lineRule="auto"/>
        <w:outlineLvl w:val="2"/>
        <w:rPr>
          <w:rFonts w:ascii="Arial" w:eastAsia="Times New Roman" w:hAnsi="Arial" w:cs="Arial"/>
          <w:b/>
          <w:bCs/>
          <w:lang w:val="en-001" w:eastAsia="en-GB"/>
        </w:rPr>
      </w:pPr>
      <w:r w:rsidRPr="00F16502">
        <w:rPr>
          <w:rFonts w:ascii="Arial" w:eastAsia="Times New Roman" w:hAnsi="Arial" w:cs="Arial"/>
          <w:b/>
          <w:bCs/>
          <w:lang w:val="en-001" w:eastAsia="en-GB"/>
        </w:rPr>
        <w:t>Relevant Leadership Theories in Healthcare</w:t>
      </w:r>
    </w:p>
    <w:p w14:paraId="6A095C21" w14:textId="77777777" w:rsidR="00E072EE" w:rsidRPr="00F16502" w:rsidRDefault="00E072EE" w:rsidP="007819EC">
      <w:pPr>
        <w:spacing w:before="100" w:beforeAutospacing="1" w:after="100" w:afterAutospacing="1" w:line="360" w:lineRule="auto"/>
        <w:outlineLvl w:val="3"/>
        <w:rPr>
          <w:rFonts w:ascii="Arial" w:eastAsia="Times New Roman" w:hAnsi="Arial" w:cs="Arial"/>
          <w:b/>
          <w:bCs/>
          <w:lang w:val="en-001" w:eastAsia="en-GB"/>
        </w:rPr>
      </w:pPr>
      <w:r w:rsidRPr="00F16502">
        <w:rPr>
          <w:rFonts w:ascii="Arial" w:eastAsia="Times New Roman" w:hAnsi="Arial" w:cs="Arial"/>
          <w:b/>
          <w:bCs/>
          <w:lang w:val="en-001" w:eastAsia="en-GB"/>
        </w:rPr>
        <w:t>Transformational Leadership</w:t>
      </w:r>
    </w:p>
    <w:p w14:paraId="68C76F9A" w14:textId="312149BE" w:rsidR="00E072EE" w:rsidRPr="00F16502" w:rsidRDefault="00E072EE" w:rsidP="007819EC">
      <w:pPr>
        <w:spacing w:before="100" w:beforeAutospacing="1" w:after="100" w:afterAutospacing="1" w:line="360" w:lineRule="auto"/>
        <w:rPr>
          <w:rFonts w:ascii="Arial" w:hAnsi="Arial" w:cs="Arial"/>
          <w:lang w:val="en-001" w:eastAsia="en-GB"/>
        </w:rPr>
      </w:pPr>
      <w:r w:rsidRPr="00F16502">
        <w:rPr>
          <w:rFonts w:ascii="Arial" w:hAnsi="Arial" w:cs="Arial"/>
          <w:lang w:val="en-001" w:eastAsia="en-GB"/>
        </w:rPr>
        <w:t>Transformational leadership focuses on inspiring, motivating, and engaging staff beyond transactional exchanges</w:t>
      </w:r>
      <w:r w:rsidR="00D17CDF">
        <w:rPr>
          <w:rFonts w:ascii="Arial" w:hAnsi="Arial" w:cs="Arial"/>
          <w:lang w:val="en-001" w:eastAsia="en-GB"/>
        </w:rPr>
        <w:t xml:space="preserve"> </w:t>
      </w:r>
      <w:r w:rsidRPr="00F16502">
        <w:rPr>
          <w:rFonts w:ascii="Arial" w:hAnsi="Arial" w:cs="Arial"/>
          <w:lang w:val="en-001" w:eastAsia="en-GB"/>
        </w:rPr>
        <w:t>leaders articulate a clear vision, support innovation, empower teams, and foster trust and psychological safety (Althobaiti, 2026). In healthcare, transformational leadership has been strongly associated with positive patient safety culture, enhanced communication, teamwork, organizational learning, and staff engagement (Althobaiti, 2026). Systematic literature on leadership in healthcare identifies transformational leadership as the most extensively discussed and evidence</w:t>
      </w:r>
      <w:r w:rsidRPr="00F16502">
        <w:rPr>
          <w:rFonts w:ascii="Arial" w:hAnsi="Arial" w:cs="Arial"/>
          <w:lang w:val="en-001" w:eastAsia="en-GB"/>
        </w:rPr>
        <w:noBreakHyphen/>
        <w:t>supported approach for improving staff behaviours and outcomes (Wu</w:t>
      </w:r>
      <w:r w:rsidR="00D26185">
        <w:rPr>
          <w:rFonts w:ascii="Arial" w:hAnsi="Arial" w:cs="Arial"/>
          <w:lang w:val="en-001" w:eastAsia="en-GB"/>
        </w:rPr>
        <w:t xml:space="preserve"> et al.,</w:t>
      </w:r>
      <w:r w:rsidRPr="00F16502">
        <w:rPr>
          <w:rFonts w:ascii="Arial" w:hAnsi="Arial" w:cs="Arial"/>
          <w:lang w:val="en-001" w:eastAsia="en-GB"/>
        </w:rPr>
        <w:t>2024</w:t>
      </w:r>
      <w:r w:rsidR="00D26185">
        <w:rPr>
          <w:rFonts w:ascii="Arial" w:hAnsi="Arial" w:cs="Arial"/>
          <w:lang w:val="en-001" w:eastAsia="en-GB"/>
        </w:rPr>
        <w:t>).</w:t>
      </w:r>
    </w:p>
    <w:p w14:paraId="1F7C0A5B" w14:textId="2A7079F4" w:rsidR="00E072EE" w:rsidRPr="00F16502" w:rsidRDefault="00E072EE" w:rsidP="007819EC">
      <w:pPr>
        <w:spacing w:before="100" w:beforeAutospacing="1" w:after="100" w:afterAutospacing="1" w:line="360" w:lineRule="auto"/>
        <w:rPr>
          <w:rFonts w:ascii="Arial" w:hAnsi="Arial" w:cs="Arial"/>
          <w:lang w:val="en-001" w:eastAsia="en-GB"/>
        </w:rPr>
      </w:pPr>
      <w:r w:rsidRPr="00F16502">
        <w:rPr>
          <w:rFonts w:ascii="Arial" w:hAnsi="Arial" w:cs="Arial"/>
          <w:lang w:val="en-001" w:eastAsia="en-GB"/>
        </w:rPr>
        <w:t>Empirical work shows transformational leaders significantly influence nurses’ job performance and engagement, with mechanisms such as empowerment and psychological support mediating this effect (Huang et al., 2025). These findings suggest that when leaders communicate proactively, empower staff, and prioritize shared goals, teams become more responsive and engaged</w:t>
      </w:r>
      <w:r w:rsidR="00D17CDF">
        <w:rPr>
          <w:rFonts w:ascii="Arial" w:hAnsi="Arial" w:cs="Arial"/>
          <w:lang w:val="en-001" w:eastAsia="en-GB"/>
        </w:rPr>
        <w:t xml:space="preserve"> </w:t>
      </w:r>
      <w:r w:rsidRPr="00F16502">
        <w:rPr>
          <w:rFonts w:ascii="Arial" w:hAnsi="Arial" w:cs="Arial"/>
          <w:lang w:val="en-001" w:eastAsia="en-GB"/>
        </w:rPr>
        <w:t>a stark contrast to the hierarchical and fragmented environment Lewis experienced</w:t>
      </w:r>
      <w:r w:rsidR="0063305B" w:rsidRPr="0063305B">
        <w:rPr>
          <w:rFonts w:ascii="Arial" w:hAnsi="Arial" w:cs="Arial"/>
          <w:lang w:val="en-001" w:eastAsia="en-GB"/>
        </w:rPr>
        <w:t xml:space="preserve"> (Britteon et al., 2024)</w:t>
      </w:r>
      <w:r w:rsidRPr="00F16502">
        <w:rPr>
          <w:rFonts w:ascii="Arial" w:hAnsi="Arial" w:cs="Arial"/>
          <w:lang w:val="en-001" w:eastAsia="en-GB"/>
        </w:rPr>
        <w:t>. Without such engagement, frontline staff may fail to act on early warning signs, as occurred when nurses downgraded oxygen alarms and misinterpreted symptoms</w:t>
      </w:r>
      <w:r w:rsidR="00D26185" w:rsidRPr="00D26185">
        <w:rPr>
          <w:rFonts w:ascii="Arial" w:hAnsi="Arial" w:cs="Arial"/>
          <w:lang w:val="en-001" w:eastAsia="en-GB"/>
        </w:rPr>
        <w:t xml:space="preserve"> </w:t>
      </w:r>
      <w:r w:rsidR="00D26185" w:rsidRPr="00F16502">
        <w:rPr>
          <w:rFonts w:ascii="Arial" w:hAnsi="Arial" w:cs="Arial"/>
          <w:lang w:val="en-001" w:eastAsia="en-GB"/>
        </w:rPr>
        <w:t>Althobaiti, 2026)</w:t>
      </w:r>
      <w:r w:rsidRPr="00F16502">
        <w:rPr>
          <w:rFonts w:ascii="Arial" w:hAnsi="Arial" w:cs="Arial"/>
          <w:lang w:val="en-001" w:eastAsia="en-GB"/>
        </w:rPr>
        <w:t>.</w:t>
      </w:r>
    </w:p>
    <w:p w14:paraId="74A61454" w14:textId="77777777" w:rsidR="00E072EE" w:rsidRPr="00F16502" w:rsidRDefault="00E072EE" w:rsidP="007819EC">
      <w:pPr>
        <w:spacing w:before="100" w:beforeAutospacing="1" w:after="100" w:afterAutospacing="1" w:line="360" w:lineRule="auto"/>
        <w:outlineLvl w:val="3"/>
        <w:rPr>
          <w:rFonts w:ascii="Arial" w:eastAsia="Times New Roman" w:hAnsi="Arial" w:cs="Arial"/>
          <w:b/>
          <w:bCs/>
          <w:lang w:val="en-001" w:eastAsia="en-GB"/>
        </w:rPr>
      </w:pPr>
      <w:r w:rsidRPr="00F16502">
        <w:rPr>
          <w:rFonts w:ascii="Arial" w:eastAsia="Times New Roman" w:hAnsi="Arial" w:cs="Arial"/>
          <w:b/>
          <w:bCs/>
          <w:lang w:val="en-001" w:eastAsia="en-GB"/>
        </w:rPr>
        <w:t>Transactional Leadership</w:t>
      </w:r>
    </w:p>
    <w:p w14:paraId="5FE44AF3" w14:textId="7B7AA3FB" w:rsidR="00E072EE" w:rsidRPr="00F16502" w:rsidRDefault="00E072EE" w:rsidP="007819EC">
      <w:pPr>
        <w:spacing w:before="100" w:beforeAutospacing="1" w:after="100" w:afterAutospacing="1" w:line="360" w:lineRule="auto"/>
        <w:rPr>
          <w:rFonts w:ascii="Arial" w:hAnsi="Arial" w:cs="Arial"/>
          <w:lang w:val="en-001" w:eastAsia="en-GB"/>
        </w:rPr>
      </w:pPr>
      <w:r w:rsidRPr="00F16502">
        <w:rPr>
          <w:rFonts w:ascii="Arial" w:hAnsi="Arial" w:cs="Arial"/>
          <w:lang w:val="en-001" w:eastAsia="en-GB"/>
        </w:rPr>
        <w:t>Transactional leadership emphasizes formal structures, contingent rewards, performance monitoring, and adherence to established procedures. It can improve compliance with specific protocols and standardised care tasks, but its emphasis on tasks rather than motivation tends to be less effective in cultivating broader culture or innovation (Al</w:t>
      </w:r>
      <w:r w:rsidRPr="00F16502">
        <w:rPr>
          <w:rFonts w:ascii="Arial" w:hAnsi="Arial" w:cs="Arial"/>
          <w:lang w:val="en-001" w:eastAsia="en-GB"/>
        </w:rPr>
        <w:noBreakHyphen/>
        <w:t>Rjoub et al., 2024). In clinical settings, transactional approaches may enhance adherence to checklists or medication protocols, yet they often struggle to foster communication openness and proactive problem</w:t>
      </w:r>
      <w:r w:rsidRPr="00F16502">
        <w:rPr>
          <w:rFonts w:ascii="Arial" w:hAnsi="Arial" w:cs="Arial"/>
          <w:lang w:val="en-001" w:eastAsia="en-GB"/>
        </w:rPr>
        <w:noBreakHyphen/>
        <w:t>solving</w:t>
      </w:r>
      <w:r w:rsidR="00D17CDF">
        <w:rPr>
          <w:rFonts w:ascii="Arial" w:hAnsi="Arial" w:cs="Arial"/>
          <w:lang w:val="en-001" w:eastAsia="en-GB"/>
        </w:rPr>
        <w:t xml:space="preserve"> </w:t>
      </w:r>
      <w:r w:rsidRPr="00F16502">
        <w:rPr>
          <w:rFonts w:ascii="Arial" w:hAnsi="Arial" w:cs="Arial"/>
          <w:lang w:val="en-001" w:eastAsia="en-GB"/>
        </w:rPr>
        <w:t>critical in deteriorating clinical scenarios.</w:t>
      </w:r>
    </w:p>
    <w:p w14:paraId="59D1DD55" w14:textId="5BAAFE80" w:rsidR="00E072EE" w:rsidRPr="00F16502" w:rsidRDefault="00E072EE" w:rsidP="007819EC">
      <w:pPr>
        <w:spacing w:before="100" w:beforeAutospacing="1" w:after="100" w:afterAutospacing="1" w:line="360" w:lineRule="auto"/>
        <w:rPr>
          <w:rFonts w:ascii="Arial" w:hAnsi="Arial" w:cs="Arial"/>
          <w:lang w:val="en-001" w:eastAsia="en-GB"/>
        </w:rPr>
      </w:pPr>
      <w:r w:rsidRPr="00F16502">
        <w:rPr>
          <w:rFonts w:ascii="Arial" w:hAnsi="Arial" w:cs="Arial"/>
          <w:lang w:val="en-001" w:eastAsia="en-GB"/>
        </w:rPr>
        <w:t>In the Blackman case, strict procedural adherence alone (e.g., fixed pain medication schedules) did not translate into effective care, as systemic rigidity inhibited adaptive responses needed when new clinical evidence (e.g., abdominal crisis) emerged. Transactional leadership’s limited effect on safety culture likely contributed to poor escalation practices where staff felt constrained to protocol rather than empowered to act decisively (Rjoub et al., 2024).</w:t>
      </w:r>
    </w:p>
    <w:p w14:paraId="6324EE54" w14:textId="77777777" w:rsidR="00E072EE" w:rsidRPr="00F16502" w:rsidRDefault="00E072EE" w:rsidP="007819EC">
      <w:pPr>
        <w:spacing w:before="100" w:beforeAutospacing="1" w:after="100" w:afterAutospacing="1" w:line="360" w:lineRule="auto"/>
        <w:outlineLvl w:val="3"/>
        <w:rPr>
          <w:rFonts w:ascii="Arial" w:eastAsia="Times New Roman" w:hAnsi="Arial" w:cs="Arial"/>
          <w:b/>
          <w:bCs/>
          <w:lang w:val="en-001" w:eastAsia="en-GB"/>
        </w:rPr>
      </w:pPr>
      <w:r w:rsidRPr="00F16502">
        <w:rPr>
          <w:rFonts w:ascii="Arial" w:eastAsia="Times New Roman" w:hAnsi="Arial" w:cs="Arial"/>
          <w:b/>
          <w:bCs/>
          <w:lang w:val="en-001" w:eastAsia="en-GB"/>
        </w:rPr>
        <w:t>Situational Leadership</w:t>
      </w:r>
    </w:p>
    <w:p w14:paraId="68DDB505" w14:textId="61119850" w:rsidR="00E072EE" w:rsidRPr="00F16502" w:rsidRDefault="00E072EE" w:rsidP="007819EC">
      <w:pPr>
        <w:spacing w:before="100" w:beforeAutospacing="1" w:after="100" w:afterAutospacing="1" w:line="360" w:lineRule="auto"/>
        <w:rPr>
          <w:rFonts w:ascii="Arial" w:hAnsi="Arial" w:cs="Arial"/>
          <w:lang w:val="en-001" w:eastAsia="en-GB"/>
        </w:rPr>
      </w:pPr>
      <w:r w:rsidRPr="00F16502">
        <w:rPr>
          <w:rFonts w:ascii="Arial" w:hAnsi="Arial" w:cs="Arial"/>
          <w:lang w:val="en-001" w:eastAsia="en-GB"/>
        </w:rPr>
        <w:t>Situational leadership posits that no single style is universally optimal</w:t>
      </w:r>
      <w:r w:rsidR="000D6739">
        <w:rPr>
          <w:rFonts w:ascii="Arial" w:hAnsi="Arial" w:cs="Arial"/>
          <w:lang w:val="en-001" w:eastAsia="en-GB"/>
        </w:rPr>
        <w:t>,</w:t>
      </w:r>
      <w:r w:rsidRPr="00F16502">
        <w:rPr>
          <w:rFonts w:ascii="Arial" w:hAnsi="Arial" w:cs="Arial"/>
          <w:lang w:val="en-001" w:eastAsia="en-GB"/>
        </w:rPr>
        <w:t xml:space="preserve"> rather, effective leaders adapt their approach according to the task demands and team readiness</w:t>
      </w:r>
      <w:r w:rsidR="00134FA5" w:rsidRPr="00134FA5">
        <w:rPr>
          <w:rFonts w:ascii="Arial" w:hAnsi="Arial" w:cs="Arial"/>
          <w:lang w:val="en-001" w:eastAsia="en-GB"/>
        </w:rPr>
        <w:t xml:space="preserve"> (Imperial College London, 2024)</w:t>
      </w:r>
      <w:r w:rsidR="00134FA5">
        <w:rPr>
          <w:rFonts w:ascii="Arial" w:hAnsi="Arial" w:cs="Arial"/>
          <w:lang w:val="en-001" w:eastAsia="en-GB"/>
        </w:rPr>
        <w:t>.</w:t>
      </w:r>
      <w:r w:rsidRPr="00F16502">
        <w:rPr>
          <w:rFonts w:ascii="Arial" w:hAnsi="Arial" w:cs="Arial"/>
          <w:lang w:val="en-001" w:eastAsia="en-GB"/>
        </w:rPr>
        <w:t xml:space="preserve"> This theory aligns with evidence showing that adaptable leadership improves team performance when leaders tailor behaviours to specific conditions, balancing directive and supportive actions </w:t>
      </w:r>
      <w:r w:rsidR="00134FA5" w:rsidRPr="00134FA5">
        <w:rPr>
          <w:rFonts w:ascii="Arial" w:hAnsi="Arial" w:cs="Arial"/>
          <w:lang w:val="en-001" w:eastAsia="en-GB"/>
        </w:rPr>
        <w:t>(Imperial College London, 2024)</w:t>
      </w:r>
    </w:p>
    <w:p w14:paraId="06F608E0" w14:textId="732602FD" w:rsidR="00E072EE" w:rsidRPr="00F16502" w:rsidRDefault="00E072EE" w:rsidP="007819EC">
      <w:pPr>
        <w:spacing w:before="100" w:beforeAutospacing="1" w:after="100" w:afterAutospacing="1" w:line="360" w:lineRule="auto"/>
        <w:rPr>
          <w:rFonts w:ascii="Arial" w:hAnsi="Arial" w:cs="Arial"/>
          <w:lang w:val="en-001" w:eastAsia="en-GB"/>
        </w:rPr>
      </w:pPr>
      <w:r w:rsidRPr="00F16502">
        <w:rPr>
          <w:rFonts w:ascii="Arial" w:hAnsi="Arial" w:cs="Arial"/>
          <w:lang w:val="en-001" w:eastAsia="en-GB"/>
        </w:rPr>
        <w:t>In the Blackman context, situational leadership might have enabled senior clinicians or supervisors to shift approaches as clinical complexity increased</w:t>
      </w:r>
      <w:r w:rsidR="00C903FA">
        <w:rPr>
          <w:rFonts w:ascii="Arial" w:hAnsi="Arial" w:cs="Arial"/>
          <w:lang w:val="en-001" w:eastAsia="en-GB"/>
        </w:rPr>
        <w:t xml:space="preserve"> </w:t>
      </w:r>
      <w:r w:rsidRPr="00F16502">
        <w:rPr>
          <w:rFonts w:ascii="Arial" w:hAnsi="Arial" w:cs="Arial"/>
          <w:lang w:val="en-001" w:eastAsia="en-GB"/>
        </w:rPr>
        <w:t>shifting from routine postoperative care guidance to directive escalation of acute pain and vital sign deterioration</w:t>
      </w:r>
      <w:r w:rsidR="00C903FA">
        <w:rPr>
          <w:rFonts w:ascii="Arial" w:hAnsi="Arial" w:cs="Arial"/>
          <w:lang w:val="en-001" w:eastAsia="en-GB"/>
        </w:rPr>
        <w:t xml:space="preserve"> </w:t>
      </w:r>
      <w:r w:rsidRPr="00F16502">
        <w:rPr>
          <w:rFonts w:ascii="Arial" w:hAnsi="Arial" w:cs="Arial"/>
          <w:lang w:val="en-001" w:eastAsia="en-GB"/>
        </w:rPr>
        <w:t>if frontline teams felt supported and guided. Its absence meant that clinical teams operated in a rigid mode, unable to adjust leadership behaviours as Lewis’s condition worsened.</w:t>
      </w:r>
    </w:p>
    <w:p w14:paraId="27BF291B" w14:textId="77777777" w:rsidR="00E072EE" w:rsidRPr="00F16502" w:rsidRDefault="00E072EE" w:rsidP="007819EC">
      <w:pPr>
        <w:spacing w:before="100" w:beforeAutospacing="1" w:after="100" w:afterAutospacing="1" w:line="360" w:lineRule="auto"/>
        <w:outlineLvl w:val="3"/>
        <w:rPr>
          <w:rFonts w:ascii="Arial" w:eastAsia="Times New Roman" w:hAnsi="Arial" w:cs="Arial"/>
          <w:b/>
          <w:bCs/>
          <w:lang w:val="en-001" w:eastAsia="en-GB"/>
        </w:rPr>
      </w:pPr>
      <w:r w:rsidRPr="00F16502">
        <w:rPr>
          <w:rFonts w:ascii="Arial" w:eastAsia="Times New Roman" w:hAnsi="Arial" w:cs="Arial"/>
          <w:b/>
          <w:bCs/>
          <w:lang w:val="en-001" w:eastAsia="en-GB"/>
        </w:rPr>
        <w:t>Ethical and Servant Leadership</w:t>
      </w:r>
    </w:p>
    <w:p w14:paraId="5DF10781" w14:textId="556933F7" w:rsidR="00E072EE" w:rsidRPr="00F16502" w:rsidRDefault="00E072EE" w:rsidP="007819EC">
      <w:pPr>
        <w:spacing w:before="100" w:beforeAutospacing="1" w:after="100" w:afterAutospacing="1" w:line="360" w:lineRule="auto"/>
        <w:rPr>
          <w:rFonts w:ascii="Arial" w:hAnsi="Arial" w:cs="Arial"/>
          <w:lang w:val="en-001" w:eastAsia="en-GB"/>
        </w:rPr>
      </w:pPr>
      <w:r w:rsidRPr="00F16502">
        <w:rPr>
          <w:rFonts w:ascii="Arial" w:hAnsi="Arial" w:cs="Arial"/>
          <w:lang w:val="en-001" w:eastAsia="en-GB"/>
        </w:rPr>
        <w:t>Although less studied quantitatively than transformational models, ethical leadership</w:t>
      </w:r>
      <w:r w:rsidR="00C903FA">
        <w:rPr>
          <w:rFonts w:ascii="Arial" w:hAnsi="Arial" w:cs="Arial"/>
          <w:lang w:val="en-001" w:eastAsia="en-GB"/>
        </w:rPr>
        <w:t xml:space="preserve"> </w:t>
      </w:r>
      <w:r w:rsidRPr="00F16502">
        <w:rPr>
          <w:rFonts w:ascii="Arial" w:hAnsi="Arial" w:cs="Arial"/>
          <w:lang w:val="en-001" w:eastAsia="en-GB"/>
        </w:rPr>
        <w:t>emphasizing moral decision</w:t>
      </w:r>
      <w:r w:rsidRPr="00F16502">
        <w:rPr>
          <w:rFonts w:ascii="Arial" w:hAnsi="Arial" w:cs="Arial"/>
          <w:lang w:val="en-001" w:eastAsia="en-GB"/>
        </w:rPr>
        <w:noBreakHyphen/>
        <w:t>making, fairness, and support</w:t>
      </w:r>
      <w:r w:rsidR="00C903FA">
        <w:rPr>
          <w:rFonts w:ascii="Arial" w:hAnsi="Arial" w:cs="Arial"/>
          <w:lang w:val="en-001" w:eastAsia="en-GB"/>
        </w:rPr>
        <w:t xml:space="preserve"> </w:t>
      </w:r>
      <w:r w:rsidRPr="00F16502">
        <w:rPr>
          <w:rFonts w:ascii="Arial" w:hAnsi="Arial" w:cs="Arial"/>
          <w:lang w:val="en-001" w:eastAsia="en-GB"/>
        </w:rPr>
        <w:t>has been linked to positive staff perceptions of safety culture (Althobaiti, 2026). Servant leadership, centred on staff well</w:t>
      </w:r>
      <w:r w:rsidRPr="00F16502">
        <w:rPr>
          <w:rFonts w:ascii="Arial" w:hAnsi="Arial" w:cs="Arial"/>
          <w:lang w:val="en-001" w:eastAsia="en-GB"/>
        </w:rPr>
        <w:noBreakHyphen/>
        <w:t>being and development, also contributes to supportive team dynamics and organizational commitment. Such styles foster trust, reporting transparency, and psychological safety, enabling timely escalation of concerns and shared accountability</w:t>
      </w:r>
      <w:r w:rsidR="00E316A7" w:rsidRPr="00E316A7">
        <w:rPr>
          <w:rFonts w:ascii="Arial" w:hAnsi="Arial" w:cs="Arial"/>
          <w:lang w:val="en-001" w:eastAsia="en-GB"/>
        </w:rPr>
        <w:t xml:space="preserve"> (Williams, 2022)</w:t>
      </w:r>
      <w:r w:rsidRPr="00F16502">
        <w:rPr>
          <w:rFonts w:ascii="Arial" w:hAnsi="Arial" w:cs="Arial"/>
          <w:lang w:val="en-001" w:eastAsia="en-GB"/>
        </w:rPr>
        <w:t>.</w:t>
      </w:r>
    </w:p>
    <w:p w14:paraId="2B4C7219" w14:textId="08E92559" w:rsidR="00E072EE" w:rsidRPr="00F16502" w:rsidRDefault="00E072EE" w:rsidP="007819EC">
      <w:pPr>
        <w:spacing w:before="100" w:beforeAutospacing="1" w:after="100" w:afterAutospacing="1" w:line="360" w:lineRule="auto"/>
        <w:rPr>
          <w:rFonts w:ascii="Arial" w:hAnsi="Arial" w:cs="Arial"/>
          <w:lang w:val="en-001" w:eastAsia="en-GB"/>
        </w:rPr>
      </w:pPr>
      <w:r w:rsidRPr="00F16502">
        <w:rPr>
          <w:rFonts w:ascii="Arial" w:hAnsi="Arial" w:cs="Arial"/>
          <w:lang w:val="en-001" w:eastAsia="en-GB"/>
        </w:rPr>
        <w:t>In contrast, the Blackman case was marked by ethical gaps: decisions to silence safety alarms, insufficient attending involvement, and lack of transparent communication with family indicate unethical behaviours that likely worsened patient outcomes. A servant or ethical leader would prioritize patient dignity, team voice, and fail</w:t>
      </w:r>
      <w:r w:rsidRPr="00F16502">
        <w:rPr>
          <w:rFonts w:ascii="Arial" w:hAnsi="Arial" w:cs="Arial"/>
          <w:lang w:val="en-001" w:eastAsia="en-GB"/>
        </w:rPr>
        <w:noBreakHyphen/>
        <w:t>safe mechanisms</w:t>
      </w:r>
      <w:r w:rsidR="00C903FA">
        <w:rPr>
          <w:rFonts w:ascii="Arial" w:hAnsi="Arial" w:cs="Arial"/>
          <w:lang w:val="en-001" w:eastAsia="en-GB"/>
        </w:rPr>
        <w:t xml:space="preserve"> </w:t>
      </w:r>
      <w:r w:rsidRPr="00F16502">
        <w:rPr>
          <w:rFonts w:ascii="Arial" w:hAnsi="Arial" w:cs="Arial"/>
          <w:lang w:val="en-001" w:eastAsia="en-GB"/>
        </w:rPr>
        <w:t>missing elements in this case.</w:t>
      </w:r>
    </w:p>
    <w:p w14:paraId="5379AACC" w14:textId="77777777" w:rsidR="00E072EE" w:rsidRPr="00F16502" w:rsidRDefault="00E072EE" w:rsidP="007819EC">
      <w:pPr>
        <w:spacing w:before="100" w:beforeAutospacing="1" w:after="100" w:afterAutospacing="1" w:line="360" w:lineRule="auto"/>
        <w:outlineLvl w:val="3"/>
        <w:rPr>
          <w:rFonts w:ascii="Arial" w:eastAsia="Times New Roman" w:hAnsi="Arial" w:cs="Arial"/>
          <w:b/>
          <w:bCs/>
          <w:lang w:val="en-001" w:eastAsia="en-GB"/>
        </w:rPr>
      </w:pPr>
      <w:r w:rsidRPr="00F16502">
        <w:rPr>
          <w:rFonts w:ascii="Arial" w:eastAsia="Times New Roman" w:hAnsi="Arial" w:cs="Arial"/>
          <w:b/>
          <w:bCs/>
          <w:lang w:val="en-001" w:eastAsia="en-GB"/>
        </w:rPr>
        <w:t>Reactive versus Proactive Leadership</w:t>
      </w:r>
    </w:p>
    <w:p w14:paraId="22A1A9C2" w14:textId="1215D28D" w:rsidR="00E072EE" w:rsidRPr="00F16502" w:rsidRDefault="00E072EE" w:rsidP="007819EC">
      <w:pPr>
        <w:spacing w:before="100" w:beforeAutospacing="1" w:after="100" w:afterAutospacing="1" w:line="360" w:lineRule="auto"/>
        <w:rPr>
          <w:rFonts w:ascii="Arial" w:hAnsi="Arial" w:cs="Arial"/>
          <w:lang w:val="en-001" w:eastAsia="en-GB"/>
        </w:rPr>
      </w:pPr>
      <w:r w:rsidRPr="00F16502">
        <w:rPr>
          <w:rFonts w:ascii="Arial" w:hAnsi="Arial" w:cs="Arial"/>
          <w:lang w:val="en-001" w:eastAsia="en-GB"/>
        </w:rPr>
        <w:t>Effective leadership in healthcare requires proactive detection and mitigation of risks, not just reactive management of crises. Transformational and situational leadership frameworks both emphasize vision, team empowerment, and flexible decision</w:t>
      </w:r>
      <w:r w:rsidRPr="00F16502">
        <w:rPr>
          <w:rFonts w:ascii="Arial" w:hAnsi="Arial" w:cs="Arial"/>
          <w:lang w:val="en-001" w:eastAsia="en-GB"/>
        </w:rPr>
        <w:noBreakHyphen/>
        <w:t>making, which are crucial in dynamic clinical environments (Althobaiti, 2026</w:t>
      </w:r>
      <w:r w:rsidR="00646546">
        <w:rPr>
          <w:rFonts w:ascii="Arial" w:hAnsi="Arial" w:cs="Arial"/>
          <w:lang w:val="en-001" w:eastAsia="en-GB"/>
        </w:rPr>
        <w:t xml:space="preserve">). </w:t>
      </w:r>
      <w:r w:rsidRPr="00F16502">
        <w:rPr>
          <w:rFonts w:ascii="Arial" w:hAnsi="Arial" w:cs="Arial"/>
          <w:lang w:val="en-001" w:eastAsia="en-GB"/>
        </w:rPr>
        <w:t>In the Blackman case, leadership demonstrated reactive behaviours at best</w:t>
      </w:r>
      <w:r w:rsidR="007A1109">
        <w:rPr>
          <w:rFonts w:ascii="Arial" w:hAnsi="Arial" w:cs="Arial"/>
          <w:lang w:val="en-001" w:eastAsia="en-GB"/>
        </w:rPr>
        <w:t xml:space="preserve"> </w:t>
      </w:r>
      <w:r w:rsidRPr="00F16502">
        <w:rPr>
          <w:rFonts w:ascii="Arial" w:hAnsi="Arial" w:cs="Arial"/>
          <w:lang w:val="en-001" w:eastAsia="en-GB"/>
        </w:rPr>
        <w:t>residents diagnosed constipation without escalating to senior clinicians despite clear clinical deterioration.</w:t>
      </w:r>
    </w:p>
    <w:p w14:paraId="4EEF9D12" w14:textId="61A1BEE7" w:rsidR="00E072EE" w:rsidRPr="00F16502" w:rsidRDefault="00E072EE" w:rsidP="007819EC">
      <w:pPr>
        <w:spacing w:before="100" w:beforeAutospacing="1" w:after="100" w:afterAutospacing="1" w:line="360" w:lineRule="auto"/>
        <w:rPr>
          <w:rFonts w:ascii="Arial" w:hAnsi="Arial" w:cs="Arial"/>
          <w:lang w:val="en-001" w:eastAsia="en-GB"/>
        </w:rPr>
      </w:pPr>
      <w:r w:rsidRPr="00F16502">
        <w:rPr>
          <w:rFonts w:ascii="Arial" w:hAnsi="Arial" w:cs="Arial"/>
          <w:lang w:val="en-001" w:eastAsia="en-GB"/>
        </w:rPr>
        <w:t>Staff surveys and incident reviews in broader healthcare settings indicate that poor leadership correlates with lower reporting of safety concerns, limited escalation, and weak teamwork climates; this mirrors the systemic silence around Lewis’s deteriorating vital signs (NHS Confederation, 202</w:t>
      </w:r>
      <w:r w:rsidR="00646546">
        <w:rPr>
          <w:rFonts w:ascii="Arial" w:hAnsi="Arial" w:cs="Arial"/>
          <w:lang w:val="en-001" w:eastAsia="en-GB"/>
        </w:rPr>
        <w:t>4)</w:t>
      </w:r>
      <w:r w:rsidRPr="00F16502">
        <w:rPr>
          <w:rFonts w:ascii="Arial" w:hAnsi="Arial" w:cs="Arial"/>
          <w:lang w:val="en-001" w:eastAsia="en-GB"/>
        </w:rPr>
        <w:t>. Transformational leadership’s emphasis on psychological empowerment and communication would likely have promoted timely recognition of critical signs and collaborative action</w:t>
      </w:r>
      <w:r w:rsidR="007A1109">
        <w:rPr>
          <w:rFonts w:ascii="Arial" w:hAnsi="Arial" w:cs="Arial"/>
          <w:lang w:val="en-001" w:eastAsia="en-GB"/>
        </w:rPr>
        <w:t xml:space="preserve"> </w:t>
      </w:r>
      <w:r w:rsidRPr="00F16502">
        <w:rPr>
          <w:rFonts w:ascii="Arial" w:hAnsi="Arial" w:cs="Arial"/>
          <w:lang w:val="en-001" w:eastAsia="en-GB"/>
        </w:rPr>
        <w:t>protective factors absent in this instance</w:t>
      </w:r>
      <w:r w:rsidR="001218C1" w:rsidRPr="001218C1">
        <w:rPr>
          <w:rFonts w:ascii="Arial" w:hAnsi="Arial" w:cs="Arial"/>
          <w:lang w:val="en-001" w:eastAsia="en-GB"/>
        </w:rPr>
        <w:t xml:space="preserve"> (Kim &amp; Yu, 2024).</w:t>
      </w:r>
      <w:r w:rsidRPr="00F16502">
        <w:rPr>
          <w:rFonts w:ascii="Arial" w:hAnsi="Arial" w:cs="Arial"/>
          <w:lang w:val="en-001" w:eastAsia="en-GB"/>
        </w:rPr>
        <w:t>.</w:t>
      </w:r>
    </w:p>
    <w:p w14:paraId="59699454" w14:textId="77777777" w:rsidR="00E072EE" w:rsidRPr="00F16502" w:rsidRDefault="00E072EE" w:rsidP="007819EC">
      <w:pPr>
        <w:spacing w:before="100" w:beforeAutospacing="1" w:after="100" w:afterAutospacing="1" w:line="360" w:lineRule="auto"/>
        <w:outlineLvl w:val="3"/>
        <w:rPr>
          <w:rFonts w:ascii="Arial" w:eastAsia="Times New Roman" w:hAnsi="Arial" w:cs="Arial"/>
          <w:b/>
          <w:bCs/>
          <w:lang w:val="en-001" w:eastAsia="en-GB"/>
        </w:rPr>
      </w:pPr>
      <w:r w:rsidRPr="00F16502">
        <w:rPr>
          <w:rFonts w:ascii="Arial" w:eastAsia="Times New Roman" w:hAnsi="Arial" w:cs="Arial"/>
          <w:b/>
          <w:bCs/>
          <w:lang w:val="en-001" w:eastAsia="en-GB"/>
        </w:rPr>
        <w:t>Data on Leadership Effectiveness</w:t>
      </w:r>
    </w:p>
    <w:p w14:paraId="4D88A890" w14:textId="7C34F0D0" w:rsidR="00E072EE" w:rsidRPr="00F16502" w:rsidRDefault="00E072EE" w:rsidP="007819EC">
      <w:pPr>
        <w:spacing w:before="100" w:beforeAutospacing="1" w:after="100" w:afterAutospacing="1" w:line="360" w:lineRule="auto"/>
        <w:rPr>
          <w:rFonts w:ascii="Arial" w:hAnsi="Arial" w:cs="Arial"/>
          <w:lang w:val="en-001" w:eastAsia="en-GB"/>
        </w:rPr>
      </w:pPr>
      <w:r w:rsidRPr="00F16502">
        <w:rPr>
          <w:rFonts w:ascii="Arial" w:hAnsi="Arial" w:cs="Arial"/>
          <w:lang w:val="en-001" w:eastAsia="en-GB"/>
        </w:rPr>
        <w:t>Recent systematic reviews establish that transformational leadership generally has a positive and direct impact on safety culture dimensions including teamwork, communication openness, organizational learning, and non</w:t>
      </w:r>
      <w:r w:rsidRPr="00F16502">
        <w:rPr>
          <w:rFonts w:ascii="Arial" w:hAnsi="Arial" w:cs="Arial"/>
          <w:lang w:val="en-001" w:eastAsia="en-GB"/>
        </w:rPr>
        <w:noBreakHyphen/>
        <w:t>punitive responses to error (Althobaiti, 2026). These dimensions are precisely those that were lacking in Lewis’s care: breakdowns in communication across shifts, absence of upward escalation, and punitive or dismissive interpretations of family concerns</w:t>
      </w:r>
      <w:r w:rsidR="0009113B" w:rsidRPr="0009113B">
        <w:rPr>
          <w:rFonts w:ascii="Arial" w:hAnsi="Arial" w:cs="Arial"/>
          <w:lang w:val="en-001" w:eastAsia="en-GB"/>
        </w:rPr>
        <w:t xml:space="preserve"> (Labrague et al., 2024). </w:t>
      </w:r>
    </w:p>
    <w:p w14:paraId="327582B9" w14:textId="6D8C5302" w:rsidR="00E072EE" w:rsidRPr="00F16502" w:rsidRDefault="00E072EE" w:rsidP="007819EC">
      <w:pPr>
        <w:spacing w:before="100" w:beforeAutospacing="1" w:after="100" w:afterAutospacing="1" w:line="360" w:lineRule="auto"/>
        <w:rPr>
          <w:rFonts w:ascii="Arial" w:hAnsi="Arial" w:cs="Arial"/>
          <w:lang w:val="en-001" w:eastAsia="en-GB"/>
        </w:rPr>
      </w:pPr>
      <w:r w:rsidRPr="00F16502">
        <w:rPr>
          <w:rFonts w:ascii="Arial" w:hAnsi="Arial" w:cs="Arial"/>
          <w:lang w:val="en-001" w:eastAsia="en-GB"/>
        </w:rPr>
        <w:t>Transactional leadership, while sometimes helpful in ensuring checklist adherence, does not reliably produce the staff engagement and critical thinking required to detect complex deterioration patterns (Al</w:t>
      </w:r>
      <w:r w:rsidRPr="00F16502">
        <w:rPr>
          <w:rFonts w:ascii="Arial" w:hAnsi="Arial" w:cs="Arial"/>
          <w:lang w:val="en-001" w:eastAsia="en-GB"/>
        </w:rPr>
        <w:noBreakHyphen/>
        <w:t>Rjoub et al., 2024</w:t>
      </w:r>
      <w:r w:rsidR="00646546">
        <w:rPr>
          <w:rFonts w:ascii="Arial" w:hAnsi="Arial" w:cs="Arial"/>
          <w:lang w:val="en-001" w:eastAsia="en-GB"/>
        </w:rPr>
        <w:t>).</w:t>
      </w:r>
      <w:r w:rsidRPr="00F16502">
        <w:rPr>
          <w:rFonts w:ascii="Arial" w:hAnsi="Arial" w:cs="Arial"/>
          <w:lang w:val="en-001" w:eastAsia="en-GB"/>
        </w:rPr>
        <w:t>. Situational leadership might mitigate this by adapting leadership intensity in crisis, but requires baseline supportive cultures</w:t>
      </w:r>
      <w:r w:rsidR="007A1109">
        <w:rPr>
          <w:rFonts w:ascii="Arial" w:hAnsi="Arial" w:cs="Arial"/>
          <w:lang w:val="en-001" w:eastAsia="en-GB"/>
        </w:rPr>
        <w:t xml:space="preserve"> </w:t>
      </w:r>
      <w:r w:rsidRPr="00F16502">
        <w:rPr>
          <w:rFonts w:ascii="Arial" w:hAnsi="Arial" w:cs="Arial"/>
          <w:lang w:val="en-001" w:eastAsia="en-GB"/>
        </w:rPr>
        <w:t>which were absent</w:t>
      </w:r>
      <w:r w:rsidR="00646546">
        <w:rPr>
          <w:rFonts w:ascii="Arial" w:hAnsi="Arial" w:cs="Arial"/>
          <w:lang w:val="en-001" w:eastAsia="en-GB"/>
        </w:rPr>
        <w:t xml:space="preserve"> (</w:t>
      </w:r>
      <w:r w:rsidR="00646546" w:rsidRPr="00F16502">
        <w:rPr>
          <w:rFonts w:ascii="Arial" w:hAnsi="Arial" w:cs="Arial"/>
          <w:lang w:val="en-001" w:eastAsia="en-GB"/>
        </w:rPr>
        <w:t>Althobaiti, 2026)</w:t>
      </w:r>
      <w:r w:rsidR="00646546">
        <w:rPr>
          <w:rFonts w:ascii="Arial" w:hAnsi="Arial" w:cs="Arial"/>
          <w:lang w:val="en-001" w:eastAsia="en-GB"/>
        </w:rPr>
        <w:t>.</w:t>
      </w:r>
    </w:p>
    <w:p w14:paraId="5CC3EC8E" w14:textId="05851661" w:rsidR="00E072EE" w:rsidRPr="00C61C88" w:rsidRDefault="00E072EE" w:rsidP="00C61C88">
      <w:pPr>
        <w:spacing w:before="100" w:beforeAutospacing="1" w:after="100" w:afterAutospacing="1" w:line="360" w:lineRule="auto"/>
        <w:outlineLvl w:val="2"/>
        <w:rPr>
          <w:rFonts w:ascii="Arial" w:eastAsia="Times New Roman" w:hAnsi="Arial" w:cs="Arial"/>
          <w:b/>
          <w:bCs/>
          <w:lang w:val="en-001" w:eastAsia="en-GB"/>
        </w:rPr>
      </w:pPr>
      <w:r w:rsidRPr="00F16502">
        <w:rPr>
          <w:rFonts w:ascii="Arial" w:eastAsia="Times New Roman" w:hAnsi="Arial" w:cs="Arial"/>
          <w:b/>
          <w:bCs/>
          <w:lang w:val="en-001" w:eastAsia="en-GB"/>
        </w:rPr>
        <w:t>What Could Have Been Done Differently?</w:t>
      </w:r>
    </w:p>
    <w:p w14:paraId="181FFD43" w14:textId="4C7AEE51" w:rsidR="00E072EE" w:rsidRPr="00F16502" w:rsidRDefault="00E072EE" w:rsidP="007819EC">
      <w:pPr>
        <w:spacing w:before="100" w:beforeAutospacing="1" w:after="100" w:afterAutospacing="1" w:line="360" w:lineRule="auto"/>
        <w:rPr>
          <w:rFonts w:ascii="Arial" w:hAnsi="Arial" w:cs="Arial"/>
          <w:lang w:val="en-001" w:eastAsia="en-GB"/>
        </w:rPr>
      </w:pPr>
      <w:r w:rsidRPr="00F16502">
        <w:rPr>
          <w:rFonts w:ascii="Arial" w:hAnsi="Arial" w:cs="Arial"/>
          <w:lang w:val="en-001" w:eastAsia="en-GB"/>
        </w:rPr>
        <w:t>The Blackman case underscores the need for distributed leadership, where frontline workers are empowered to act on safety concerns, supported by senior clinical leaders who model transformational behaviours. Leaders should foster open communication, flatten hierarchies that inhibit escalation, and ensure mentorship and supervision for less experienced clinicians. Training in transformational and situational competencies could equip leaders at all levels to sense early warning signs, escalate appropriately, and coordinate multidisciplinary responses.</w:t>
      </w:r>
    </w:p>
    <w:p w14:paraId="1E43AE63" w14:textId="2D1E41FB" w:rsidR="00E072EE" w:rsidRPr="00F16502" w:rsidRDefault="00E072EE" w:rsidP="007819EC">
      <w:pPr>
        <w:spacing w:before="100" w:beforeAutospacing="1" w:after="100" w:afterAutospacing="1" w:line="360" w:lineRule="auto"/>
        <w:rPr>
          <w:rFonts w:ascii="Arial" w:hAnsi="Arial" w:cs="Arial"/>
          <w:lang w:val="en-001" w:eastAsia="en-GB"/>
        </w:rPr>
      </w:pPr>
      <w:r w:rsidRPr="00F16502">
        <w:rPr>
          <w:rFonts w:ascii="Arial" w:hAnsi="Arial" w:cs="Arial"/>
          <w:lang w:val="en-001" w:eastAsia="en-GB"/>
        </w:rPr>
        <w:t>Embedding leadership development within clinical safety frameworks</w:t>
      </w:r>
      <w:r w:rsidR="00991624">
        <w:rPr>
          <w:rFonts w:ascii="Arial" w:hAnsi="Arial" w:cs="Arial"/>
          <w:lang w:val="en-001" w:eastAsia="en-GB"/>
        </w:rPr>
        <w:t xml:space="preserve"> </w:t>
      </w:r>
      <w:r w:rsidRPr="00F16502">
        <w:rPr>
          <w:rFonts w:ascii="Arial" w:hAnsi="Arial" w:cs="Arial"/>
          <w:lang w:val="en-001" w:eastAsia="en-GB"/>
        </w:rPr>
        <w:t>including regular training, reflective practice, incident learning systems, and psychological safety interventions</w:t>
      </w:r>
      <w:r w:rsidR="00991624">
        <w:rPr>
          <w:rFonts w:ascii="Arial" w:hAnsi="Arial" w:cs="Arial"/>
          <w:lang w:val="en-001" w:eastAsia="en-GB"/>
        </w:rPr>
        <w:t xml:space="preserve"> </w:t>
      </w:r>
      <w:r w:rsidRPr="00F16502">
        <w:rPr>
          <w:rFonts w:ascii="Arial" w:hAnsi="Arial" w:cs="Arial"/>
          <w:lang w:val="en-001" w:eastAsia="en-GB"/>
        </w:rPr>
        <w:t>could create resilient team cultures. These cultures are more likely to encourage reporting concerns, challenge rigid protocols, and adapt leadership styles according to patient needs</w:t>
      </w:r>
      <w:r w:rsidR="00F92905" w:rsidRPr="00F92905">
        <w:rPr>
          <w:rFonts w:ascii="Arial" w:hAnsi="Arial" w:cs="Arial"/>
          <w:lang w:val="en-001" w:eastAsia="en-GB"/>
        </w:rPr>
        <w:t xml:space="preserve"> (He et al., 2023)</w:t>
      </w:r>
      <w:r w:rsidRPr="00F16502">
        <w:rPr>
          <w:rFonts w:ascii="Arial" w:hAnsi="Arial" w:cs="Arial"/>
          <w:lang w:val="en-001" w:eastAsia="en-GB"/>
        </w:rPr>
        <w:t>.</w:t>
      </w:r>
    </w:p>
    <w:p w14:paraId="1050F032" w14:textId="502E76F9" w:rsidR="005F0A4E" w:rsidRPr="00991624" w:rsidRDefault="005F0A4E" w:rsidP="00991624">
      <w:pPr>
        <w:spacing w:before="100" w:beforeAutospacing="1" w:after="100" w:afterAutospacing="1" w:line="360" w:lineRule="auto"/>
        <w:outlineLvl w:val="1"/>
        <w:rPr>
          <w:rFonts w:ascii="Arial" w:eastAsia="Times New Roman" w:hAnsi="Arial" w:cs="Arial"/>
          <w:b/>
          <w:bCs/>
          <w:lang w:val="en-001" w:eastAsia="en-GB"/>
        </w:rPr>
      </w:pPr>
      <w:r w:rsidRPr="00F16502">
        <w:rPr>
          <w:rFonts w:ascii="Arial" w:eastAsia="Times New Roman" w:hAnsi="Arial" w:cs="Arial"/>
          <w:b/>
          <w:bCs/>
          <w:lang w:val="en-001" w:eastAsia="en-GB"/>
        </w:rPr>
        <w:t>Improvement and Lessons Learned</w:t>
      </w:r>
    </w:p>
    <w:p w14:paraId="6BB5248D" w14:textId="0C7FA3C2" w:rsidR="008F4184" w:rsidRDefault="005F0A4E" w:rsidP="007819EC">
      <w:pPr>
        <w:spacing w:before="100" w:beforeAutospacing="1" w:after="100" w:afterAutospacing="1" w:line="360" w:lineRule="auto"/>
        <w:rPr>
          <w:rFonts w:ascii="Arial" w:hAnsi="Arial" w:cs="Arial"/>
          <w:lang w:val="en-001" w:eastAsia="en-GB"/>
        </w:rPr>
      </w:pPr>
      <w:r w:rsidRPr="00F16502">
        <w:rPr>
          <w:rFonts w:ascii="Arial" w:hAnsi="Arial" w:cs="Arial"/>
          <w:lang w:val="en-001" w:eastAsia="en-GB"/>
        </w:rPr>
        <w:t>The case of Lewis Blackman exposes systemic, leadership, and governance failures that culminated in a preventable death. Critically evaluating these failures reveals both missed opportunities for intervention and evidence-based strategies for improvement. This section applies insights from systems thinking, leadership theory, and governance frameworks to identify actionable lessons for health organizations, drawing on global and national data from the past five years</w:t>
      </w:r>
      <w:r w:rsidR="008F4184">
        <w:rPr>
          <w:rFonts w:ascii="Arial" w:hAnsi="Arial" w:cs="Arial"/>
          <w:lang w:val="en-001" w:eastAsia="en-GB"/>
        </w:rPr>
        <w:t xml:space="preserve"> </w:t>
      </w:r>
      <w:r w:rsidR="008F4184" w:rsidRPr="008F4184">
        <w:rPr>
          <w:rFonts w:ascii="Arial" w:hAnsi="Arial" w:cs="Arial"/>
          <w:lang w:val="en-001" w:eastAsia="en-GB"/>
        </w:rPr>
        <w:t>(OECD, 2021)</w:t>
      </w:r>
      <w:r w:rsidR="008F4184">
        <w:rPr>
          <w:rFonts w:ascii="Arial" w:hAnsi="Arial" w:cs="Arial"/>
          <w:lang w:val="en-001" w:eastAsia="en-GB"/>
        </w:rPr>
        <w:t>.</w:t>
      </w:r>
    </w:p>
    <w:p w14:paraId="2F8FAFD9" w14:textId="77777777" w:rsidR="008F4184" w:rsidRDefault="008F4184" w:rsidP="007819EC">
      <w:pPr>
        <w:spacing w:before="100" w:beforeAutospacing="1" w:after="100" w:afterAutospacing="1" w:line="360" w:lineRule="auto"/>
        <w:rPr>
          <w:rFonts w:ascii="Arial" w:hAnsi="Arial" w:cs="Arial"/>
          <w:lang w:val="en-001" w:eastAsia="en-GB"/>
        </w:rPr>
      </w:pPr>
    </w:p>
    <w:p w14:paraId="3E0DA50F" w14:textId="6A68B4ED" w:rsidR="005F0A4E" w:rsidRPr="00991624" w:rsidRDefault="005F0A4E" w:rsidP="00991624">
      <w:pPr>
        <w:spacing w:before="100" w:beforeAutospacing="1" w:after="100" w:afterAutospacing="1" w:line="360" w:lineRule="auto"/>
        <w:outlineLvl w:val="2"/>
        <w:rPr>
          <w:rFonts w:ascii="Arial" w:eastAsia="Times New Roman" w:hAnsi="Arial" w:cs="Arial"/>
          <w:b/>
          <w:bCs/>
          <w:lang w:val="en-001" w:eastAsia="en-GB"/>
        </w:rPr>
      </w:pPr>
      <w:r w:rsidRPr="00F16502">
        <w:rPr>
          <w:rFonts w:ascii="Arial" w:eastAsia="Times New Roman" w:hAnsi="Arial" w:cs="Arial"/>
          <w:b/>
          <w:bCs/>
          <w:lang w:val="en-001" w:eastAsia="en-GB"/>
        </w:rPr>
        <w:t>Systems-Level Failures and Missed Opportunities</w:t>
      </w:r>
    </w:p>
    <w:p w14:paraId="2C81FA1B" w14:textId="77777777" w:rsidR="005F0A4E" w:rsidRPr="00F16502" w:rsidRDefault="005F0A4E" w:rsidP="007819EC">
      <w:pPr>
        <w:spacing w:before="100" w:beforeAutospacing="1" w:after="100" w:afterAutospacing="1" w:line="360" w:lineRule="auto"/>
        <w:rPr>
          <w:rFonts w:ascii="Arial" w:hAnsi="Arial" w:cs="Arial"/>
          <w:lang w:val="en-001" w:eastAsia="en-GB"/>
        </w:rPr>
      </w:pPr>
      <w:r w:rsidRPr="00F16502">
        <w:rPr>
          <w:rFonts w:ascii="Arial" w:hAnsi="Arial" w:cs="Arial"/>
          <w:lang w:val="en-001" w:eastAsia="en-GB"/>
        </w:rPr>
        <w:t>Lewis’s death was the result of multiple interacting failures, consistent with patterns seen in both national and international patient safety data. Key systemic weaknesses included:</w:t>
      </w:r>
    </w:p>
    <w:p w14:paraId="1164A67E" w14:textId="28518A11" w:rsidR="005F0A4E" w:rsidRPr="00F16502" w:rsidRDefault="005F0A4E" w:rsidP="00791CB2">
      <w:pPr>
        <w:numPr>
          <w:ilvl w:val="0"/>
          <w:numId w:val="32"/>
        </w:numPr>
        <w:spacing w:before="100" w:beforeAutospacing="1" w:after="100" w:afterAutospacing="1" w:line="360" w:lineRule="auto"/>
        <w:rPr>
          <w:rFonts w:ascii="Arial" w:hAnsi="Arial" w:cs="Arial"/>
          <w:lang w:val="en-001" w:eastAsia="en-GB"/>
        </w:rPr>
      </w:pPr>
      <w:r w:rsidRPr="00F16502">
        <w:rPr>
          <w:rFonts w:ascii="Arial" w:hAnsi="Arial" w:cs="Arial"/>
          <w:lang w:val="en-001" w:eastAsia="en-GB"/>
        </w:rPr>
        <w:t>Delayed Recognition of Clinical Deterioration</w:t>
      </w:r>
      <w:r w:rsidR="00181D4E">
        <w:rPr>
          <w:rFonts w:ascii="Arial" w:hAnsi="Arial" w:cs="Arial"/>
          <w:lang w:val="en-001" w:eastAsia="en-GB"/>
        </w:rPr>
        <w:t>:</w:t>
      </w:r>
      <w:r w:rsidRPr="00F16502">
        <w:rPr>
          <w:rFonts w:ascii="Arial" w:hAnsi="Arial" w:cs="Arial"/>
          <w:lang w:val="en-001" w:eastAsia="en-GB"/>
        </w:rPr>
        <w:t xml:space="preserve"> Despite objective vital signs indicating hypoxia and abdominal distress, there was no timely escalation to attending physicians</w:t>
      </w:r>
      <w:r w:rsidR="00A201B2" w:rsidRPr="00A201B2">
        <w:rPr>
          <w:rFonts w:ascii="Arial" w:hAnsi="Arial" w:cs="Arial"/>
          <w:lang w:val="en-001" w:eastAsia="en-GB"/>
        </w:rPr>
        <w:t xml:space="preserve"> </w:t>
      </w:r>
      <w:r w:rsidR="00A201B2" w:rsidRPr="00F16502">
        <w:rPr>
          <w:rFonts w:ascii="Arial" w:hAnsi="Arial" w:cs="Arial"/>
          <w:lang w:val="en-001" w:eastAsia="en-GB"/>
        </w:rPr>
        <w:t>NHS</w:t>
      </w:r>
      <w:r w:rsidR="00A201B2">
        <w:rPr>
          <w:rFonts w:ascii="Arial" w:hAnsi="Arial" w:cs="Arial"/>
          <w:lang w:val="en-001" w:eastAsia="en-GB"/>
        </w:rPr>
        <w:t xml:space="preserve">, </w:t>
      </w:r>
      <w:r w:rsidR="00A201B2" w:rsidRPr="00F16502">
        <w:rPr>
          <w:rFonts w:ascii="Arial" w:hAnsi="Arial" w:cs="Arial"/>
          <w:lang w:val="en-001" w:eastAsia="en-GB"/>
        </w:rPr>
        <w:t>2024)</w:t>
      </w:r>
      <w:r w:rsidRPr="00F16502">
        <w:rPr>
          <w:rFonts w:ascii="Arial" w:hAnsi="Arial" w:cs="Arial"/>
          <w:lang w:val="en-001" w:eastAsia="en-GB"/>
        </w:rPr>
        <w:t>. Recent WHO patient safety data indicate that delayed recognition and escalation contribute to 30–50% of preventable hospital deaths globally (WHO, 2023</w:t>
      </w:r>
      <w:r w:rsidR="00FB4016">
        <w:rPr>
          <w:rFonts w:ascii="Arial" w:hAnsi="Arial" w:cs="Arial"/>
          <w:lang w:val="en-001" w:eastAsia="en-GB"/>
        </w:rPr>
        <w:t>)</w:t>
      </w:r>
      <w:r w:rsidR="00A201B2">
        <w:rPr>
          <w:rFonts w:ascii="Arial" w:hAnsi="Arial" w:cs="Arial"/>
          <w:lang w:val="en-001" w:eastAsia="en-GB"/>
        </w:rPr>
        <w:t xml:space="preserve"> </w:t>
      </w:r>
      <w:r w:rsidRPr="00F16502">
        <w:rPr>
          <w:rFonts w:ascii="Arial" w:hAnsi="Arial" w:cs="Arial"/>
          <w:lang w:val="en-001" w:eastAsia="en-GB"/>
        </w:rPr>
        <w:t>reports that among adverse events in pediatric care, failure to act on abnormal vital signs remains the leading cause of avoidable harm.</w:t>
      </w:r>
    </w:p>
    <w:p w14:paraId="5D53EA97" w14:textId="5B2A63AC" w:rsidR="005F0A4E" w:rsidRPr="00F16502" w:rsidRDefault="005F0A4E" w:rsidP="00791CB2">
      <w:pPr>
        <w:numPr>
          <w:ilvl w:val="0"/>
          <w:numId w:val="32"/>
        </w:numPr>
        <w:spacing w:before="100" w:beforeAutospacing="1" w:after="100" w:afterAutospacing="1" w:line="360" w:lineRule="auto"/>
        <w:rPr>
          <w:rFonts w:ascii="Arial" w:hAnsi="Arial" w:cs="Arial"/>
          <w:lang w:val="en-001" w:eastAsia="en-GB"/>
        </w:rPr>
      </w:pPr>
      <w:r w:rsidRPr="00F16502">
        <w:rPr>
          <w:rFonts w:ascii="Arial" w:hAnsi="Arial" w:cs="Arial"/>
          <w:lang w:val="en-001" w:eastAsia="en-GB"/>
        </w:rPr>
        <w:t>Medication Safety Failures</w:t>
      </w:r>
      <w:r w:rsidR="00663E6E">
        <w:rPr>
          <w:rFonts w:ascii="Arial" w:hAnsi="Arial" w:cs="Arial"/>
          <w:lang w:val="en-001" w:eastAsia="en-GB"/>
        </w:rPr>
        <w:t xml:space="preserve">: </w:t>
      </w:r>
      <w:r w:rsidRPr="00F16502">
        <w:rPr>
          <w:rFonts w:ascii="Arial" w:hAnsi="Arial" w:cs="Arial"/>
          <w:lang w:val="en-001" w:eastAsia="en-GB"/>
        </w:rPr>
        <w:t xml:space="preserve"> The use of Toradol, known to increase the risk of gastrointestinal ulceration and perforation, was not accompanied by appropriate monitoring. </w:t>
      </w:r>
      <w:r w:rsidR="00A201B2">
        <w:rPr>
          <w:rFonts w:ascii="Arial" w:hAnsi="Arial" w:cs="Arial"/>
          <w:lang w:val="en-001" w:eastAsia="en-GB"/>
        </w:rPr>
        <w:t>(</w:t>
      </w:r>
      <w:r w:rsidRPr="00F16502">
        <w:rPr>
          <w:rFonts w:ascii="Arial" w:hAnsi="Arial" w:cs="Arial"/>
          <w:lang w:val="en-001" w:eastAsia="en-GB"/>
        </w:rPr>
        <w:t>OECD (2021) reports that adverse drug events remain the most common type of preventable harm in OECD hospitals, accounting for up to 20% of patient safety incidents. Failure to anticipate high-risk medication effects reflects gaps in both clinical governance and frontline leadership.</w:t>
      </w:r>
    </w:p>
    <w:p w14:paraId="775B933F" w14:textId="36C557D0" w:rsidR="005F0A4E" w:rsidRPr="00F16502" w:rsidRDefault="005F0A4E" w:rsidP="00791CB2">
      <w:pPr>
        <w:numPr>
          <w:ilvl w:val="0"/>
          <w:numId w:val="32"/>
        </w:numPr>
        <w:spacing w:before="100" w:beforeAutospacing="1" w:after="100" w:afterAutospacing="1" w:line="360" w:lineRule="auto"/>
        <w:rPr>
          <w:rFonts w:ascii="Arial" w:hAnsi="Arial" w:cs="Arial"/>
          <w:lang w:val="en-001" w:eastAsia="en-GB"/>
        </w:rPr>
      </w:pPr>
      <w:r w:rsidRPr="00F16502">
        <w:rPr>
          <w:rFonts w:ascii="Arial" w:hAnsi="Arial" w:cs="Arial"/>
          <w:lang w:val="en-001" w:eastAsia="en-GB"/>
        </w:rPr>
        <w:t>Inadequate Leadership and Accountability</w:t>
      </w:r>
      <w:r w:rsidR="00663E6E">
        <w:rPr>
          <w:rFonts w:ascii="Arial" w:hAnsi="Arial" w:cs="Arial"/>
          <w:lang w:val="en-001" w:eastAsia="en-GB"/>
        </w:rPr>
        <w:t xml:space="preserve">: </w:t>
      </w:r>
      <w:r w:rsidRPr="00F16502">
        <w:rPr>
          <w:rFonts w:ascii="Arial" w:hAnsi="Arial" w:cs="Arial"/>
          <w:lang w:val="en-001" w:eastAsia="en-GB"/>
        </w:rPr>
        <w:t xml:space="preserve">Junior staff were left to manage critical situations without attending oversight, highlighting leadership gaps. Evidence suggests that distributed, transformational leadership increases reporting of safety concerns and adherence to escalation protocols (Althobaiti, 2026). Conversely, hierarchical, rigid structures can suppress proactive staff action </w:t>
      </w:r>
      <w:r w:rsidR="00A201B2">
        <w:rPr>
          <w:rFonts w:ascii="Arial" w:hAnsi="Arial" w:cs="Arial"/>
          <w:lang w:val="en-001" w:eastAsia="en-GB"/>
        </w:rPr>
        <w:t>(</w:t>
      </w:r>
      <w:r w:rsidR="00A201B2" w:rsidRPr="00F16502">
        <w:rPr>
          <w:rFonts w:ascii="Arial" w:hAnsi="Arial" w:cs="Arial"/>
          <w:lang w:val="en-001" w:eastAsia="en-GB"/>
        </w:rPr>
        <w:t>NHS</w:t>
      </w:r>
      <w:r w:rsidR="00A201B2">
        <w:rPr>
          <w:rFonts w:ascii="Arial" w:hAnsi="Arial" w:cs="Arial"/>
          <w:lang w:val="en-001" w:eastAsia="en-GB"/>
        </w:rPr>
        <w:t xml:space="preserve">, </w:t>
      </w:r>
      <w:r w:rsidR="00A201B2" w:rsidRPr="00F16502">
        <w:rPr>
          <w:rFonts w:ascii="Arial" w:hAnsi="Arial" w:cs="Arial"/>
          <w:lang w:val="en-001" w:eastAsia="en-GB"/>
        </w:rPr>
        <w:t>2024)</w:t>
      </w:r>
      <w:r w:rsidR="00A201B2">
        <w:rPr>
          <w:rFonts w:ascii="Arial" w:hAnsi="Arial" w:cs="Arial"/>
          <w:lang w:val="en-001" w:eastAsia="en-GB"/>
        </w:rPr>
        <w:t>.</w:t>
      </w:r>
    </w:p>
    <w:p w14:paraId="43515FCC" w14:textId="4BC68FC4" w:rsidR="005F0A4E" w:rsidRPr="00791CB2" w:rsidRDefault="005F0A4E" w:rsidP="007819EC">
      <w:pPr>
        <w:numPr>
          <w:ilvl w:val="0"/>
          <w:numId w:val="32"/>
        </w:numPr>
        <w:spacing w:before="100" w:beforeAutospacing="1" w:after="100" w:afterAutospacing="1" w:line="360" w:lineRule="auto"/>
        <w:rPr>
          <w:rFonts w:ascii="Arial" w:hAnsi="Arial" w:cs="Arial"/>
          <w:lang w:val="en-001" w:eastAsia="en-GB"/>
        </w:rPr>
      </w:pPr>
      <w:r w:rsidRPr="00F16502">
        <w:rPr>
          <w:rFonts w:ascii="Arial" w:hAnsi="Arial" w:cs="Arial"/>
          <w:lang w:val="en-001" w:eastAsia="en-GB"/>
        </w:rPr>
        <w:t>Communication Failures</w:t>
      </w:r>
      <w:r w:rsidR="002171F4">
        <w:rPr>
          <w:rFonts w:ascii="Arial" w:hAnsi="Arial" w:cs="Arial"/>
          <w:lang w:val="en-001" w:eastAsia="en-GB"/>
        </w:rPr>
        <w:t xml:space="preserve">: </w:t>
      </w:r>
      <w:r w:rsidRPr="00F16502">
        <w:rPr>
          <w:rFonts w:ascii="Arial" w:hAnsi="Arial" w:cs="Arial"/>
          <w:lang w:val="en-001" w:eastAsia="en-GB"/>
        </w:rPr>
        <w:t xml:space="preserve"> Lack of structured handovers and inconsistent documentation prevented team situational awareness. A 2022 NHS review found that communication breakdowns contributed to 38% of reported patient safety incidents in hospitals (NHS, 2024).</w:t>
      </w:r>
    </w:p>
    <w:p w14:paraId="39D45DFA" w14:textId="767177FF" w:rsidR="005F0A4E" w:rsidRPr="00F16502" w:rsidRDefault="005F0A4E" w:rsidP="007819EC">
      <w:pPr>
        <w:spacing w:before="100" w:beforeAutospacing="1" w:after="100" w:afterAutospacing="1" w:line="360" w:lineRule="auto"/>
        <w:rPr>
          <w:rFonts w:ascii="Arial" w:hAnsi="Arial" w:cs="Arial"/>
          <w:lang w:val="en-001" w:eastAsia="en-GB"/>
        </w:rPr>
      </w:pPr>
      <w:r w:rsidRPr="00F16502">
        <w:rPr>
          <w:rFonts w:ascii="Arial" w:hAnsi="Arial" w:cs="Arial"/>
          <w:lang w:val="en-001" w:eastAsia="en-GB"/>
        </w:rPr>
        <w:t>These failures illustrate how system, human, and organizational factors interact, emphasizing the need for comprehensive improvement strategies rather than isolated interventions.</w:t>
      </w:r>
    </w:p>
    <w:p w14:paraId="07939B7E" w14:textId="11D29109" w:rsidR="005F0A4E" w:rsidRPr="00791CB2" w:rsidRDefault="005F0A4E" w:rsidP="00791CB2">
      <w:pPr>
        <w:spacing w:before="100" w:beforeAutospacing="1" w:after="100" w:afterAutospacing="1" w:line="360" w:lineRule="auto"/>
        <w:outlineLvl w:val="2"/>
        <w:rPr>
          <w:rFonts w:ascii="Arial" w:eastAsia="Times New Roman" w:hAnsi="Arial" w:cs="Arial"/>
          <w:b/>
          <w:bCs/>
          <w:lang w:val="en-001" w:eastAsia="en-GB"/>
        </w:rPr>
      </w:pPr>
      <w:r w:rsidRPr="00F16502">
        <w:rPr>
          <w:rFonts w:ascii="Arial" w:eastAsia="Times New Roman" w:hAnsi="Arial" w:cs="Arial"/>
          <w:b/>
          <w:bCs/>
          <w:lang w:val="en-001" w:eastAsia="en-GB"/>
        </w:rPr>
        <w:t>Evidence-Based Improvements</w:t>
      </w:r>
    </w:p>
    <w:p w14:paraId="37FB51AC" w14:textId="16053150" w:rsidR="005F0A4E" w:rsidRPr="00F16502" w:rsidRDefault="005F0A4E" w:rsidP="007819EC">
      <w:pPr>
        <w:spacing w:before="100" w:beforeAutospacing="1" w:after="100" w:afterAutospacing="1" w:line="360" w:lineRule="auto"/>
        <w:rPr>
          <w:rFonts w:ascii="Arial" w:hAnsi="Arial" w:cs="Arial"/>
          <w:lang w:val="en-001" w:eastAsia="en-GB"/>
        </w:rPr>
      </w:pPr>
      <w:r w:rsidRPr="00F16502">
        <w:rPr>
          <w:rFonts w:ascii="Arial" w:hAnsi="Arial" w:cs="Arial"/>
          <w:lang w:val="en-001" w:eastAsia="en-GB"/>
        </w:rPr>
        <w:t>Applying contemporary evidence-based approaches, several improvements could have prevented the outcomes observed:</w:t>
      </w:r>
    </w:p>
    <w:p w14:paraId="3F78FF9D" w14:textId="0183D786" w:rsidR="005F0A4E" w:rsidRPr="00F16502" w:rsidRDefault="005F0A4E" w:rsidP="007819EC">
      <w:pPr>
        <w:spacing w:before="100" w:beforeAutospacing="1" w:after="100" w:afterAutospacing="1" w:line="360" w:lineRule="auto"/>
        <w:outlineLvl w:val="3"/>
        <w:rPr>
          <w:rFonts w:ascii="Arial" w:eastAsia="Times New Roman" w:hAnsi="Arial" w:cs="Arial"/>
          <w:b/>
          <w:bCs/>
          <w:lang w:val="en-001" w:eastAsia="en-GB"/>
        </w:rPr>
      </w:pPr>
      <w:r w:rsidRPr="00F16502">
        <w:rPr>
          <w:rFonts w:ascii="Arial" w:eastAsia="Times New Roman" w:hAnsi="Arial" w:cs="Arial"/>
          <w:b/>
          <w:bCs/>
          <w:lang w:val="en-001" w:eastAsia="en-GB"/>
        </w:rPr>
        <w:t>Strengthening Early Warning and Escalation Systems</w:t>
      </w:r>
    </w:p>
    <w:p w14:paraId="1FF2F27E" w14:textId="77777777" w:rsidR="005F0A4E" w:rsidRPr="00F16502" w:rsidRDefault="005F0A4E" w:rsidP="00791CB2">
      <w:pPr>
        <w:numPr>
          <w:ilvl w:val="0"/>
          <w:numId w:val="20"/>
        </w:numPr>
        <w:tabs>
          <w:tab w:val="clear" w:pos="720"/>
          <w:tab w:val="num" w:pos="360"/>
        </w:tabs>
        <w:spacing w:before="100" w:beforeAutospacing="1" w:after="100" w:afterAutospacing="1" w:line="360" w:lineRule="auto"/>
        <w:ind w:left="360"/>
        <w:rPr>
          <w:rFonts w:ascii="Arial" w:hAnsi="Arial" w:cs="Arial"/>
          <w:lang w:val="en-001" w:eastAsia="en-GB"/>
        </w:rPr>
      </w:pPr>
      <w:r w:rsidRPr="00F16502">
        <w:rPr>
          <w:rFonts w:ascii="Arial" w:hAnsi="Arial" w:cs="Arial"/>
          <w:lang w:val="en-001" w:eastAsia="en-GB"/>
        </w:rPr>
        <w:t>Implementation of standardized early warning score systems, coupled with real-time electronic monitoring, ensures timely identification of deteriorating patients (WHO, 2023).</w:t>
      </w:r>
    </w:p>
    <w:p w14:paraId="464D980D" w14:textId="77777777" w:rsidR="005F0A4E" w:rsidRPr="00F16502" w:rsidRDefault="005F0A4E" w:rsidP="00791CB2">
      <w:pPr>
        <w:numPr>
          <w:ilvl w:val="0"/>
          <w:numId w:val="20"/>
        </w:numPr>
        <w:tabs>
          <w:tab w:val="clear" w:pos="720"/>
          <w:tab w:val="num" w:pos="360"/>
        </w:tabs>
        <w:spacing w:before="100" w:beforeAutospacing="1" w:after="100" w:afterAutospacing="1" w:line="360" w:lineRule="auto"/>
        <w:ind w:left="360"/>
        <w:rPr>
          <w:rFonts w:ascii="Arial" w:hAnsi="Arial" w:cs="Arial"/>
          <w:lang w:val="en-001" w:eastAsia="en-GB"/>
        </w:rPr>
      </w:pPr>
      <w:r w:rsidRPr="00F16502">
        <w:rPr>
          <w:rFonts w:ascii="Arial" w:hAnsi="Arial" w:cs="Arial"/>
          <w:lang w:val="en-001" w:eastAsia="en-GB"/>
        </w:rPr>
        <w:t>Automatic escalation protocols should include mandatory attending physician review when vital signs breach critical thresholds (OECD, 2021).</w:t>
      </w:r>
    </w:p>
    <w:p w14:paraId="056A9FF0" w14:textId="4A4C7F76" w:rsidR="005F0A4E" w:rsidRPr="001B59B4" w:rsidRDefault="005F0A4E" w:rsidP="00791CB2">
      <w:pPr>
        <w:numPr>
          <w:ilvl w:val="0"/>
          <w:numId w:val="20"/>
        </w:numPr>
        <w:tabs>
          <w:tab w:val="clear" w:pos="720"/>
          <w:tab w:val="num" w:pos="360"/>
        </w:tabs>
        <w:spacing w:before="100" w:beforeAutospacing="1" w:after="100" w:afterAutospacing="1" w:line="360" w:lineRule="auto"/>
        <w:ind w:left="360"/>
        <w:rPr>
          <w:rFonts w:ascii="Arial" w:hAnsi="Arial" w:cs="Arial"/>
          <w:lang w:val="en-001" w:eastAsia="en-GB"/>
        </w:rPr>
      </w:pPr>
      <w:r w:rsidRPr="00F16502">
        <w:rPr>
          <w:rFonts w:ascii="Arial" w:hAnsi="Arial" w:cs="Arial"/>
          <w:lang w:val="en-001" w:eastAsia="en-GB"/>
        </w:rPr>
        <w:t>Integrating predictive analytics in hospital systems can anticipate complications from high-risk medications, enabling proactive interventions (Al</w:t>
      </w:r>
      <w:r w:rsidRPr="00F16502">
        <w:rPr>
          <w:rFonts w:ascii="Arial" w:hAnsi="Arial" w:cs="Arial"/>
          <w:lang w:val="en-001" w:eastAsia="en-GB"/>
        </w:rPr>
        <w:noBreakHyphen/>
        <w:t>Rjoub et al., 2024).</w:t>
      </w:r>
    </w:p>
    <w:p w14:paraId="66866AF7" w14:textId="5AB4AC7A" w:rsidR="005F0A4E" w:rsidRPr="00F16502" w:rsidRDefault="005F0A4E" w:rsidP="007819EC">
      <w:pPr>
        <w:spacing w:before="100" w:beforeAutospacing="1" w:after="100" w:afterAutospacing="1" w:line="360" w:lineRule="auto"/>
        <w:outlineLvl w:val="3"/>
        <w:rPr>
          <w:rFonts w:ascii="Arial" w:eastAsia="Times New Roman" w:hAnsi="Arial" w:cs="Arial"/>
          <w:b/>
          <w:bCs/>
          <w:lang w:val="en-001" w:eastAsia="en-GB"/>
        </w:rPr>
      </w:pPr>
      <w:r w:rsidRPr="00F16502">
        <w:rPr>
          <w:rFonts w:ascii="Arial" w:eastAsia="Times New Roman" w:hAnsi="Arial" w:cs="Arial"/>
          <w:b/>
          <w:bCs/>
          <w:lang w:val="en-001" w:eastAsia="en-GB"/>
        </w:rPr>
        <w:t>Enhancing Leadership Capacity</w:t>
      </w:r>
    </w:p>
    <w:p w14:paraId="4DC26916" w14:textId="188178DA" w:rsidR="005F0A4E" w:rsidRPr="00F16502" w:rsidRDefault="005F0A4E" w:rsidP="007819EC">
      <w:pPr>
        <w:numPr>
          <w:ilvl w:val="0"/>
          <w:numId w:val="21"/>
        </w:numPr>
        <w:spacing w:before="100" w:beforeAutospacing="1" w:after="100" w:afterAutospacing="1" w:line="360" w:lineRule="auto"/>
        <w:rPr>
          <w:rFonts w:ascii="Arial" w:hAnsi="Arial" w:cs="Arial"/>
          <w:lang w:val="en-001" w:eastAsia="en-GB"/>
        </w:rPr>
      </w:pPr>
      <w:r w:rsidRPr="00F16502">
        <w:rPr>
          <w:rFonts w:ascii="Arial" w:hAnsi="Arial" w:cs="Arial"/>
          <w:lang w:val="en-001" w:eastAsia="en-GB"/>
        </w:rPr>
        <w:t>Transformational and situational leadership training for clinicians at all levels fosters proactive decision-making, adaptive responses, and psychological safety (Althobaiti, 202</w:t>
      </w:r>
      <w:r w:rsidR="002171F4">
        <w:rPr>
          <w:rFonts w:ascii="Arial" w:hAnsi="Arial" w:cs="Arial"/>
          <w:lang w:val="en-001" w:eastAsia="en-GB"/>
        </w:rPr>
        <w:t>6 and</w:t>
      </w:r>
      <w:r w:rsidRPr="00F16502">
        <w:rPr>
          <w:rFonts w:ascii="Arial" w:hAnsi="Arial" w:cs="Arial"/>
          <w:lang w:val="en-001" w:eastAsia="en-GB"/>
        </w:rPr>
        <w:t xml:space="preserve"> Wu, 2024).</w:t>
      </w:r>
    </w:p>
    <w:p w14:paraId="3646454A" w14:textId="77777777" w:rsidR="005F0A4E" w:rsidRPr="00F16502" w:rsidRDefault="005F0A4E" w:rsidP="007819EC">
      <w:pPr>
        <w:numPr>
          <w:ilvl w:val="0"/>
          <w:numId w:val="21"/>
        </w:numPr>
        <w:spacing w:before="100" w:beforeAutospacing="1" w:after="100" w:afterAutospacing="1" w:line="360" w:lineRule="auto"/>
        <w:rPr>
          <w:rFonts w:ascii="Arial" w:hAnsi="Arial" w:cs="Arial"/>
          <w:lang w:val="en-001" w:eastAsia="en-GB"/>
        </w:rPr>
      </w:pPr>
      <w:r w:rsidRPr="00F16502">
        <w:rPr>
          <w:rFonts w:ascii="Arial" w:hAnsi="Arial" w:cs="Arial"/>
          <w:lang w:val="en-001" w:eastAsia="en-GB"/>
        </w:rPr>
        <w:t>Distributed leadership models empower frontline staff to escalate concerns without waiting for senior authorisation, improving response time to critical deterioration (Gilson et al., 2022).</w:t>
      </w:r>
    </w:p>
    <w:p w14:paraId="40DCE89F" w14:textId="77777777" w:rsidR="005F0A4E" w:rsidRPr="00F16502" w:rsidRDefault="005F0A4E" w:rsidP="007819EC">
      <w:pPr>
        <w:numPr>
          <w:ilvl w:val="0"/>
          <w:numId w:val="21"/>
        </w:numPr>
        <w:spacing w:before="100" w:beforeAutospacing="1" w:after="100" w:afterAutospacing="1" w:line="360" w:lineRule="auto"/>
        <w:rPr>
          <w:rFonts w:ascii="Arial" w:hAnsi="Arial" w:cs="Arial"/>
          <w:lang w:val="en-001" w:eastAsia="en-GB"/>
        </w:rPr>
      </w:pPr>
      <w:r w:rsidRPr="00F16502">
        <w:rPr>
          <w:rFonts w:ascii="Arial" w:hAnsi="Arial" w:cs="Arial"/>
          <w:lang w:val="en-001" w:eastAsia="en-GB"/>
        </w:rPr>
        <w:t>Regular leadership audits and 360-degree feedback help ensure leaders are held accountable for patient outcomes and team performance (NHS Confederation, 2024).</w:t>
      </w:r>
    </w:p>
    <w:p w14:paraId="0582EAC2" w14:textId="6E57B5B3" w:rsidR="005F0A4E" w:rsidRPr="00F16502" w:rsidRDefault="005F0A4E" w:rsidP="007819EC">
      <w:pPr>
        <w:spacing w:before="100" w:beforeAutospacing="1" w:after="100" w:afterAutospacing="1" w:line="360" w:lineRule="auto"/>
        <w:outlineLvl w:val="3"/>
        <w:rPr>
          <w:rFonts w:ascii="Arial" w:eastAsia="Times New Roman" w:hAnsi="Arial" w:cs="Arial"/>
          <w:b/>
          <w:bCs/>
          <w:lang w:val="en-001" w:eastAsia="en-GB"/>
        </w:rPr>
      </w:pPr>
      <w:r w:rsidRPr="00F16502">
        <w:rPr>
          <w:rFonts w:ascii="Arial" w:eastAsia="Times New Roman" w:hAnsi="Arial" w:cs="Arial"/>
          <w:b/>
          <w:bCs/>
          <w:lang w:val="en-001" w:eastAsia="en-GB"/>
        </w:rPr>
        <w:t>Strengthening Governance and Accountability</w:t>
      </w:r>
    </w:p>
    <w:p w14:paraId="0A74D84A" w14:textId="77777777" w:rsidR="005F0A4E" w:rsidRPr="00F16502" w:rsidRDefault="005F0A4E" w:rsidP="007819EC">
      <w:pPr>
        <w:numPr>
          <w:ilvl w:val="0"/>
          <w:numId w:val="22"/>
        </w:numPr>
        <w:spacing w:before="100" w:beforeAutospacing="1" w:after="100" w:afterAutospacing="1" w:line="360" w:lineRule="auto"/>
        <w:rPr>
          <w:rFonts w:ascii="Arial" w:hAnsi="Arial" w:cs="Arial"/>
          <w:lang w:val="en-001" w:eastAsia="en-GB"/>
        </w:rPr>
      </w:pPr>
      <w:r w:rsidRPr="00F16502">
        <w:rPr>
          <w:rFonts w:ascii="Arial" w:hAnsi="Arial" w:cs="Arial"/>
          <w:lang w:val="en-001" w:eastAsia="en-GB"/>
        </w:rPr>
        <w:t>Implementing robust clinical governance frameworks that integrate auditing, reporting, and feedback loops reduces system vulnerabilities (NHS England, 2024).</w:t>
      </w:r>
    </w:p>
    <w:p w14:paraId="3F9A511F" w14:textId="77777777" w:rsidR="005F0A4E" w:rsidRPr="00F16502" w:rsidRDefault="005F0A4E" w:rsidP="007819EC">
      <w:pPr>
        <w:numPr>
          <w:ilvl w:val="0"/>
          <w:numId w:val="22"/>
        </w:numPr>
        <w:spacing w:before="100" w:beforeAutospacing="1" w:after="100" w:afterAutospacing="1" w:line="360" w:lineRule="auto"/>
        <w:rPr>
          <w:rFonts w:ascii="Arial" w:hAnsi="Arial" w:cs="Arial"/>
          <w:lang w:val="en-001" w:eastAsia="en-GB"/>
        </w:rPr>
      </w:pPr>
      <w:r w:rsidRPr="00F16502">
        <w:rPr>
          <w:rFonts w:ascii="Arial" w:hAnsi="Arial" w:cs="Arial"/>
          <w:lang w:val="en-001" w:eastAsia="en-GB"/>
        </w:rPr>
        <w:t>Digital incident reporting platforms with real-time analytics ensure transparent documentation and rapid review of adverse events (Patient Safety Learning, 2022).</w:t>
      </w:r>
    </w:p>
    <w:p w14:paraId="53C40F91" w14:textId="6166CEA6" w:rsidR="005F0A4E" w:rsidRPr="001B59B4" w:rsidRDefault="005F0A4E" w:rsidP="007819EC">
      <w:pPr>
        <w:numPr>
          <w:ilvl w:val="0"/>
          <w:numId w:val="22"/>
        </w:numPr>
        <w:spacing w:before="100" w:beforeAutospacing="1" w:after="100" w:afterAutospacing="1" w:line="360" w:lineRule="auto"/>
        <w:rPr>
          <w:rFonts w:ascii="Arial" w:hAnsi="Arial" w:cs="Arial"/>
          <w:lang w:val="en-001" w:eastAsia="en-GB"/>
        </w:rPr>
      </w:pPr>
      <w:r w:rsidRPr="00F16502">
        <w:rPr>
          <w:rFonts w:ascii="Arial" w:hAnsi="Arial" w:cs="Arial"/>
          <w:lang w:val="en-001" w:eastAsia="en-GB"/>
        </w:rPr>
        <w:t>Encouraging family involvement in care escalation can provide an additional safety layer, ensuring patient concerns are heard and acted upon (OECD, 2021).</w:t>
      </w:r>
    </w:p>
    <w:p w14:paraId="23961F58" w14:textId="2B1B9EB2" w:rsidR="005F0A4E" w:rsidRPr="00F16502" w:rsidRDefault="005F0A4E" w:rsidP="007819EC">
      <w:pPr>
        <w:spacing w:before="100" w:beforeAutospacing="1" w:after="100" w:afterAutospacing="1" w:line="360" w:lineRule="auto"/>
        <w:outlineLvl w:val="3"/>
        <w:rPr>
          <w:rFonts w:ascii="Arial" w:eastAsia="Times New Roman" w:hAnsi="Arial" w:cs="Arial"/>
          <w:b/>
          <w:bCs/>
          <w:lang w:val="en-001" w:eastAsia="en-GB"/>
        </w:rPr>
      </w:pPr>
      <w:r w:rsidRPr="00F16502">
        <w:rPr>
          <w:rFonts w:ascii="Arial" w:eastAsia="Times New Roman" w:hAnsi="Arial" w:cs="Arial"/>
          <w:b/>
          <w:bCs/>
          <w:lang w:val="en-001" w:eastAsia="en-GB"/>
        </w:rPr>
        <w:t>Improving Communication and Systems Integration</w:t>
      </w:r>
    </w:p>
    <w:p w14:paraId="513D3B80" w14:textId="22044DE4" w:rsidR="005F0A4E" w:rsidRPr="00F16502" w:rsidRDefault="005F0A4E" w:rsidP="007819EC">
      <w:pPr>
        <w:numPr>
          <w:ilvl w:val="0"/>
          <w:numId w:val="23"/>
        </w:numPr>
        <w:spacing w:before="100" w:beforeAutospacing="1" w:after="100" w:afterAutospacing="1" w:line="360" w:lineRule="auto"/>
        <w:rPr>
          <w:rFonts w:ascii="Arial" w:hAnsi="Arial" w:cs="Arial"/>
          <w:lang w:val="en-001" w:eastAsia="en-GB"/>
        </w:rPr>
      </w:pPr>
      <w:r w:rsidRPr="00F16502">
        <w:rPr>
          <w:rFonts w:ascii="Arial" w:hAnsi="Arial" w:cs="Arial"/>
          <w:lang w:val="en-001" w:eastAsia="en-GB"/>
        </w:rPr>
        <w:t>Structured handover tools (e.g., SBAR</w:t>
      </w:r>
      <w:r w:rsidR="00144BDA">
        <w:rPr>
          <w:rFonts w:ascii="Arial" w:hAnsi="Arial" w:cs="Arial"/>
          <w:lang w:val="en-001" w:eastAsia="en-GB"/>
        </w:rPr>
        <w:t xml:space="preserve"> </w:t>
      </w:r>
      <w:r w:rsidRPr="00F16502">
        <w:rPr>
          <w:rFonts w:ascii="Arial" w:hAnsi="Arial" w:cs="Arial"/>
          <w:lang w:val="en-001" w:eastAsia="en-GB"/>
        </w:rPr>
        <w:t>Situation, Background, Assessment, Recommendation) can reduce information gaps across shifts and teams (Al</w:t>
      </w:r>
      <w:r w:rsidRPr="00F16502">
        <w:rPr>
          <w:rFonts w:ascii="Arial" w:hAnsi="Arial" w:cs="Arial"/>
          <w:lang w:val="en-001" w:eastAsia="en-GB"/>
        </w:rPr>
        <w:noBreakHyphen/>
        <w:t>Rjoub et al., 2024).</w:t>
      </w:r>
    </w:p>
    <w:p w14:paraId="389221A9" w14:textId="513FBE58" w:rsidR="005F0A4E" w:rsidRPr="002B4314" w:rsidRDefault="005F0A4E" w:rsidP="002B4314">
      <w:pPr>
        <w:numPr>
          <w:ilvl w:val="0"/>
          <w:numId w:val="23"/>
        </w:numPr>
        <w:spacing w:before="100" w:beforeAutospacing="1" w:after="100" w:afterAutospacing="1" w:line="360" w:lineRule="auto"/>
        <w:rPr>
          <w:rFonts w:ascii="Arial" w:hAnsi="Arial" w:cs="Arial"/>
          <w:lang w:val="en-001" w:eastAsia="en-GB"/>
        </w:rPr>
      </w:pPr>
      <w:r w:rsidRPr="00F16502">
        <w:rPr>
          <w:rFonts w:ascii="Arial" w:hAnsi="Arial" w:cs="Arial"/>
          <w:lang w:val="en-001" w:eastAsia="en-GB"/>
        </w:rPr>
        <w:t xml:space="preserve">Interdisciplinary rounds and integrated care pathways improve team situational awareness, fostering a culture of shared responsibility </w:t>
      </w:r>
      <w:r w:rsidR="002B4314" w:rsidRPr="00F16502">
        <w:rPr>
          <w:rFonts w:ascii="Arial" w:hAnsi="Arial" w:cs="Arial"/>
          <w:lang w:val="en-001" w:eastAsia="en-GB"/>
        </w:rPr>
        <w:t>(Al</w:t>
      </w:r>
      <w:r w:rsidR="002B4314" w:rsidRPr="00F16502">
        <w:rPr>
          <w:rFonts w:ascii="Arial" w:hAnsi="Arial" w:cs="Arial"/>
          <w:lang w:val="en-001" w:eastAsia="en-GB"/>
        </w:rPr>
        <w:noBreakHyphen/>
        <w:t>Rjoub et al., 2024).</w:t>
      </w:r>
    </w:p>
    <w:p w14:paraId="0B84F676" w14:textId="4A4F9088" w:rsidR="005F0A4E" w:rsidRPr="00144BDA" w:rsidRDefault="005F0A4E" w:rsidP="00144BDA">
      <w:pPr>
        <w:spacing w:before="100" w:beforeAutospacing="1" w:after="100" w:afterAutospacing="1" w:line="360" w:lineRule="auto"/>
        <w:outlineLvl w:val="2"/>
        <w:rPr>
          <w:rFonts w:ascii="Arial" w:eastAsia="Times New Roman" w:hAnsi="Arial" w:cs="Arial"/>
          <w:b/>
          <w:bCs/>
          <w:lang w:val="en-001" w:eastAsia="en-GB"/>
        </w:rPr>
      </w:pPr>
      <w:r w:rsidRPr="00F16502">
        <w:rPr>
          <w:rFonts w:ascii="Arial" w:eastAsia="Times New Roman" w:hAnsi="Arial" w:cs="Arial"/>
          <w:b/>
          <w:bCs/>
          <w:lang w:val="en-001" w:eastAsia="en-GB"/>
        </w:rPr>
        <w:t>Lessons Learned</w:t>
      </w:r>
    </w:p>
    <w:p w14:paraId="06EFB542" w14:textId="77777777" w:rsidR="005F0A4E" w:rsidRPr="00F16502" w:rsidRDefault="005F0A4E" w:rsidP="007819EC">
      <w:pPr>
        <w:spacing w:before="100" w:beforeAutospacing="1" w:after="100" w:afterAutospacing="1" w:line="360" w:lineRule="auto"/>
        <w:rPr>
          <w:rFonts w:ascii="Arial" w:hAnsi="Arial" w:cs="Arial"/>
          <w:lang w:val="en-001" w:eastAsia="en-GB"/>
        </w:rPr>
      </w:pPr>
      <w:r w:rsidRPr="00F16502">
        <w:rPr>
          <w:rFonts w:ascii="Arial" w:hAnsi="Arial" w:cs="Arial"/>
          <w:lang w:val="en-001" w:eastAsia="en-GB"/>
        </w:rPr>
        <w:t>The Blackman case offers several transferable lessons for health systems globally:</w:t>
      </w:r>
    </w:p>
    <w:p w14:paraId="350954C8" w14:textId="0BAC6834" w:rsidR="005F0A4E" w:rsidRPr="00F16502" w:rsidRDefault="005F0A4E" w:rsidP="00A3300C">
      <w:pPr>
        <w:numPr>
          <w:ilvl w:val="0"/>
          <w:numId w:val="24"/>
        </w:numPr>
        <w:spacing w:before="100" w:beforeAutospacing="1" w:after="100" w:afterAutospacing="1" w:line="360" w:lineRule="auto"/>
        <w:rPr>
          <w:rFonts w:ascii="Arial" w:hAnsi="Arial" w:cs="Arial"/>
          <w:lang w:val="en-001" w:eastAsia="en-GB"/>
        </w:rPr>
      </w:pPr>
      <w:r w:rsidRPr="00F16502">
        <w:rPr>
          <w:rFonts w:ascii="Arial" w:hAnsi="Arial" w:cs="Arial"/>
          <w:lang w:val="en-001" w:eastAsia="en-GB"/>
        </w:rPr>
        <w:t>Leadership is central to safety culture  proactive, transformational leaders can mitigate risks and encourage frontline engagement in patient monitoring and escalation (Althobaiti, 2026).</w:t>
      </w:r>
    </w:p>
    <w:p w14:paraId="42065226" w14:textId="4D6BCF33" w:rsidR="005F0A4E" w:rsidRPr="00F16502" w:rsidRDefault="005F0A4E" w:rsidP="00A3300C">
      <w:pPr>
        <w:numPr>
          <w:ilvl w:val="0"/>
          <w:numId w:val="24"/>
        </w:numPr>
        <w:spacing w:before="100" w:beforeAutospacing="1" w:after="100" w:afterAutospacing="1" w:line="360" w:lineRule="auto"/>
        <w:rPr>
          <w:rFonts w:ascii="Arial" w:hAnsi="Arial" w:cs="Arial"/>
          <w:lang w:val="en-001" w:eastAsia="en-GB"/>
        </w:rPr>
      </w:pPr>
      <w:r w:rsidRPr="00F16502">
        <w:rPr>
          <w:rFonts w:ascii="Arial" w:hAnsi="Arial" w:cs="Arial"/>
          <w:lang w:val="en-001" w:eastAsia="en-GB"/>
        </w:rPr>
        <w:t>Systems thinking is critical adverse events often result from interacting failures</w:t>
      </w:r>
      <w:r w:rsidR="00D40DE8">
        <w:rPr>
          <w:rFonts w:ascii="Arial" w:hAnsi="Arial" w:cs="Arial"/>
          <w:lang w:val="en-001" w:eastAsia="en-GB"/>
        </w:rPr>
        <w:t xml:space="preserve">, </w:t>
      </w:r>
      <w:r w:rsidRPr="00F16502">
        <w:rPr>
          <w:rFonts w:ascii="Arial" w:hAnsi="Arial" w:cs="Arial"/>
          <w:lang w:val="en-001" w:eastAsia="en-GB"/>
        </w:rPr>
        <w:t>isolated interventions without addressing systemic feedback loops are insufficient (WHO, 2023).</w:t>
      </w:r>
    </w:p>
    <w:p w14:paraId="078A5F50" w14:textId="58EFFDD8" w:rsidR="005F0A4E" w:rsidRPr="00F16502" w:rsidRDefault="005F0A4E" w:rsidP="00A3300C">
      <w:pPr>
        <w:numPr>
          <w:ilvl w:val="0"/>
          <w:numId w:val="24"/>
        </w:numPr>
        <w:spacing w:before="100" w:beforeAutospacing="1" w:after="100" w:afterAutospacing="1" w:line="360" w:lineRule="auto"/>
        <w:rPr>
          <w:rFonts w:ascii="Arial" w:hAnsi="Arial" w:cs="Arial"/>
          <w:lang w:val="en-001" w:eastAsia="en-GB"/>
        </w:rPr>
      </w:pPr>
      <w:r w:rsidRPr="00F16502">
        <w:rPr>
          <w:rFonts w:ascii="Arial" w:hAnsi="Arial" w:cs="Arial"/>
          <w:lang w:val="en-001" w:eastAsia="en-GB"/>
        </w:rPr>
        <w:t>Balanced centralisation and decentralisation</w:t>
      </w:r>
      <w:r w:rsidR="005E3965">
        <w:rPr>
          <w:rFonts w:ascii="Arial" w:hAnsi="Arial" w:cs="Arial"/>
          <w:lang w:val="en-001" w:eastAsia="en-GB"/>
        </w:rPr>
        <w:t xml:space="preserve"> </w:t>
      </w:r>
      <w:r w:rsidRPr="00F16502">
        <w:rPr>
          <w:rFonts w:ascii="Arial" w:hAnsi="Arial" w:cs="Arial"/>
          <w:lang w:val="en-001" w:eastAsia="en-GB"/>
        </w:rPr>
        <w:t>centralised policy frameworks provide standards, but local empowerment ensures timely, context-sensitive responses (Ramsay et al., 2025</w:t>
      </w:r>
      <w:r w:rsidR="002B4314">
        <w:rPr>
          <w:rFonts w:ascii="Arial" w:hAnsi="Arial" w:cs="Arial"/>
          <w:lang w:val="en-001" w:eastAsia="en-GB"/>
        </w:rPr>
        <w:t>).</w:t>
      </w:r>
    </w:p>
    <w:p w14:paraId="1342F853" w14:textId="24F24590" w:rsidR="005F0A4E" w:rsidRPr="00A3300C" w:rsidRDefault="005F0A4E" w:rsidP="007819EC">
      <w:pPr>
        <w:numPr>
          <w:ilvl w:val="0"/>
          <w:numId w:val="24"/>
        </w:numPr>
        <w:spacing w:before="100" w:beforeAutospacing="1" w:after="100" w:afterAutospacing="1" w:line="360" w:lineRule="auto"/>
        <w:rPr>
          <w:rFonts w:ascii="Arial" w:hAnsi="Arial" w:cs="Arial"/>
          <w:lang w:val="en-001" w:eastAsia="en-GB"/>
        </w:rPr>
      </w:pPr>
      <w:r w:rsidRPr="00F16502">
        <w:rPr>
          <w:rFonts w:ascii="Arial" w:hAnsi="Arial" w:cs="Arial"/>
          <w:lang w:val="en-001" w:eastAsia="en-GB"/>
        </w:rPr>
        <w:t>Data-driven continuous improvement  leveraging national safety data (NHS, OECD) and hospital-level metrics allows organizations to identify patterns, implement preventive strategies, and evaluate interventions over time (OECD, 2021).</w:t>
      </w:r>
    </w:p>
    <w:p w14:paraId="0B3D39FC" w14:textId="2549491C" w:rsidR="005F0A4E" w:rsidRPr="00F16502" w:rsidRDefault="005F0A4E" w:rsidP="007819EC">
      <w:pPr>
        <w:spacing w:before="100" w:beforeAutospacing="1" w:after="100" w:afterAutospacing="1" w:line="360" w:lineRule="auto"/>
        <w:rPr>
          <w:rFonts w:ascii="Arial" w:hAnsi="Arial" w:cs="Arial"/>
          <w:lang w:val="en-001" w:eastAsia="en-GB"/>
        </w:rPr>
      </w:pPr>
      <w:r w:rsidRPr="00F16502">
        <w:rPr>
          <w:rFonts w:ascii="Arial" w:hAnsi="Arial" w:cs="Arial"/>
          <w:lang w:val="en-001" w:eastAsia="en-GB"/>
        </w:rPr>
        <w:t>By addressing gaps in leadership, governance, communication, and early warning systems, healthcare organizations can create resilient, patient-centered environments that reduce preventable harm and improve outcomes for vulnerable populations</w:t>
      </w:r>
      <w:r w:rsidR="00D15A8C" w:rsidRPr="00D15A8C">
        <w:rPr>
          <w:rFonts w:ascii="Arial" w:hAnsi="Arial" w:cs="Arial"/>
          <w:lang w:val="en-001" w:eastAsia="en-GB"/>
        </w:rPr>
        <w:t xml:space="preserve"> (Ramos </w:t>
      </w:r>
      <w:r w:rsidR="00D15A8C">
        <w:rPr>
          <w:rFonts w:ascii="Arial" w:hAnsi="Arial" w:cs="Arial"/>
          <w:lang w:val="en-001" w:eastAsia="en-GB"/>
        </w:rPr>
        <w:t xml:space="preserve">and </w:t>
      </w:r>
      <w:r w:rsidR="00D15A8C" w:rsidRPr="00D15A8C">
        <w:rPr>
          <w:rFonts w:ascii="Arial" w:hAnsi="Arial" w:cs="Arial"/>
          <w:lang w:val="en-001" w:eastAsia="en-GB"/>
        </w:rPr>
        <w:t>Abós, 2024)</w:t>
      </w:r>
      <w:r w:rsidRPr="00F16502">
        <w:rPr>
          <w:rFonts w:ascii="Arial" w:hAnsi="Arial" w:cs="Arial"/>
          <w:lang w:val="en-001" w:eastAsia="en-GB"/>
        </w:rPr>
        <w:t>.</w:t>
      </w:r>
    </w:p>
    <w:p w14:paraId="5B5D6531" w14:textId="3F85039E" w:rsidR="00C52746" w:rsidRPr="00A3300C" w:rsidRDefault="00C52746" w:rsidP="00A3300C">
      <w:pPr>
        <w:spacing w:before="100" w:beforeAutospacing="1" w:after="100" w:afterAutospacing="1" w:line="360" w:lineRule="auto"/>
        <w:outlineLvl w:val="1"/>
        <w:rPr>
          <w:rFonts w:ascii="Arial" w:eastAsia="Times New Roman" w:hAnsi="Arial" w:cs="Arial"/>
          <w:b/>
          <w:bCs/>
          <w:lang w:val="en-001" w:eastAsia="en-GB"/>
        </w:rPr>
      </w:pPr>
      <w:r w:rsidRPr="00F16502">
        <w:rPr>
          <w:rFonts w:ascii="Arial" w:eastAsia="Times New Roman" w:hAnsi="Arial" w:cs="Arial"/>
          <w:b/>
          <w:bCs/>
          <w:lang w:val="en-001" w:eastAsia="en-GB"/>
        </w:rPr>
        <w:t>Recommendation</w:t>
      </w:r>
    </w:p>
    <w:p w14:paraId="7D38ED24" w14:textId="1DCF2255" w:rsidR="00C52746" w:rsidRPr="00F16502" w:rsidRDefault="00C52746" w:rsidP="007819EC">
      <w:pPr>
        <w:spacing w:before="100" w:beforeAutospacing="1" w:after="100" w:afterAutospacing="1" w:line="360" w:lineRule="auto"/>
        <w:rPr>
          <w:rFonts w:ascii="Arial" w:hAnsi="Arial" w:cs="Arial"/>
          <w:lang w:val="en-001" w:eastAsia="en-GB"/>
        </w:rPr>
      </w:pPr>
      <w:r w:rsidRPr="00F16502">
        <w:rPr>
          <w:rFonts w:ascii="Arial" w:hAnsi="Arial" w:cs="Arial"/>
          <w:lang w:val="en-001" w:eastAsia="en-GB"/>
        </w:rPr>
        <w:t>The tragic death of Lewis Blackman highlights systemic, leadership, and governance failures that demand evidence-based interventions. Recommendations for improvement focus on leadership enhancement, governance strengthening, systems integration, technical efficiency, and continuous learning, all of which are supported by contemporary research on healthcare safety and organizational performance (WHO, 2023</w:t>
      </w:r>
      <w:r w:rsidR="002B4314">
        <w:rPr>
          <w:rFonts w:ascii="Arial" w:hAnsi="Arial" w:cs="Arial"/>
          <w:lang w:val="en-001" w:eastAsia="en-GB"/>
        </w:rPr>
        <w:t>)</w:t>
      </w:r>
    </w:p>
    <w:p w14:paraId="0BEE7C56" w14:textId="4267154D" w:rsidR="00C52746" w:rsidRPr="00F16502" w:rsidRDefault="00C52746" w:rsidP="007819EC">
      <w:pPr>
        <w:spacing w:before="100" w:beforeAutospacing="1" w:after="100" w:afterAutospacing="1" w:line="360" w:lineRule="auto"/>
        <w:outlineLvl w:val="2"/>
        <w:rPr>
          <w:rFonts w:ascii="Arial" w:eastAsia="Times New Roman" w:hAnsi="Arial" w:cs="Arial"/>
          <w:b/>
          <w:bCs/>
          <w:lang w:val="en-001" w:eastAsia="en-GB"/>
        </w:rPr>
      </w:pPr>
      <w:r w:rsidRPr="00F16502">
        <w:rPr>
          <w:rFonts w:ascii="Arial" w:eastAsia="Times New Roman" w:hAnsi="Arial" w:cs="Arial"/>
          <w:b/>
          <w:bCs/>
          <w:lang w:val="en-001" w:eastAsia="en-GB"/>
        </w:rPr>
        <w:t>Leadership Recommendations</w:t>
      </w:r>
    </w:p>
    <w:p w14:paraId="5724A544" w14:textId="61789E37" w:rsidR="00C52746" w:rsidRPr="00F16502" w:rsidRDefault="00C52746" w:rsidP="00A3300C">
      <w:pPr>
        <w:numPr>
          <w:ilvl w:val="0"/>
          <w:numId w:val="25"/>
        </w:numPr>
        <w:spacing w:before="100" w:beforeAutospacing="1" w:after="100" w:afterAutospacing="1" w:line="360" w:lineRule="auto"/>
        <w:rPr>
          <w:rFonts w:ascii="Arial" w:hAnsi="Arial" w:cs="Arial"/>
          <w:lang w:val="en-001" w:eastAsia="en-GB"/>
        </w:rPr>
      </w:pPr>
      <w:r w:rsidRPr="00F16502">
        <w:rPr>
          <w:rFonts w:ascii="Arial" w:hAnsi="Arial" w:cs="Arial"/>
          <w:lang w:val="en-001" w:eastAsia="en-GB"/>
        </w:rPr>
        <w:t>Adopt Transformational and Situational Leadership Approaches: Evidence consistently demonstrates that transformational leadership enhances patient safety, staff engagement, and communication openness (Althobaiti, 202</w:t>
      </w:r>
      <w:r w:rsidR="001051C1">
        <w:rPr>
          <w:rFonts w:ascii="Arial" w:hAnsi="Arial" w:cs="Arial"/>
          <w:lang w:val="en-001" w:eastAsia="en-GB"/>
        </w:rPr>
        <w:t>6</w:t>
      </w:r>
      <w:r w:rsidRPr="00F16502">
        <w:rPr>
          <w:rFonts w:ascii="Arial" w:hAnsi="Arial" w:cs="Arial"/>
          <w:lang w:val="en-001" w:eastAsia="en-GB"/>
        </w:rPr>
        <w:t>). Leaders should be trained to inspire, motivate, and empower teams while adapting situationally to clinical crises, such as postoperative deterioration or adverse drug events.</w:t>
      </w:r>
    </w:p>
    <w:p w14:paraId="33E4FA1F" w14:textId="77777777" w:rsidR="00C52746" w:rsidRPr="00F16502" w:rsidRDefault="00C52746" w:rsidP="00A3300C">
      <w:pPr>
        <w:numPr>
          <w:ilvl w:val="0"/>
          <w:numId w:val="25"/>
        </w:numPr>
        <w:spacing w:before="100" w:beforeAutospacing="1" w:after="100" w:afterAutospacing="1" w:line="360" w:lineRule="auto"/>
        <w:rPr>
          <w:rFonts w:ascii="Arial" w:hAnsi="Arial" w:cs="Arial"/>
          <w:lang w:val="en-001" w:eastAsia="en-GB"/>
        </w:rPr>
      </w:pPr>
      <w:r w:rsidRPr="00F16502">
        <w:rPr>
          <w:rFonts w:ascii="Arial" w:hAnsi="Arial" w:cs="Arial"/>
          <w:lang w:val="en-001" w:eastAsia="en-GB"/>
        </w:rPr>
        <w:t>Distributed Leadership Model: Empower frontline staff with authority and responsibility to escalate care without delay. Distributed leadership encourages ownership and timely action, reducing reliance on reactive hierarchical decision-making (Gilson et al., 2022).</w:t>
      </w:r>
    </w:p>
    <w:p w14:paraId="56CED016" w14:textId="0F69FAF8" w:rsidR="00C52746" w:rsidRPr="00A3300C" w:rsidRDefault="00C52746" w:rsidP="00A3300C">
      <w:pPr>
        <w:numPr>
          <w:ilvl w:val="0"/>
          <w:numId w:val="25"/>
        </w:numPr>
        <w:spacing w:before="100" w:beforeAutospacing="1" w:after="100" w:afterAutospacing="1" w:line="360" w:lineRule="auto"/>
        <w:rPr>
          <w:rFonts w:ascii="Arial" w:hAnsi="Arial" w:cs="Arial"/>
          <w:lang w:val="en-001" w:eastAsia="en-GB"/>
        </w:rPr>
      </w:pPr>
      <w:r w:rsidRPr="00F16502">
        <w:rPr>
          <w:rFonts w:ascii="Arial" w:hAnsi="Arial" w:cs="Arial"/>
          <w:lang w:val="en-001" w:eastAsia="en-GB"/>
        </w:rPr>
        <w:t>Leadership Training and Mentorship: Establish structured programs for both junior and senior staff, focusing on clinical supervision, decision-making under pressure, ethical leadership, and emotional intelligence</w:t>
      </w:r>
      <w:r w:rsidR="006134B0" w:rsidRPr="006134B0">
        <w:rPr>
          <w:rFonts w:ascii="Arial" w:hAnsi="Arial" w:cs="Arial"/>
          <w:lang w:val="en-001" w:eastAsia="en-GB"/>
        </w:rPr>
        <w:t xml:space="preserve"> (Shishkin et al., 2025)</w:t>
      </w:r>
      <w:r w:rsidR="006134B0">
        <w:rPr>
          <w:rFonts w:ascii="Arial" w:hAnsi="Arial" w:cs="Arial"/>
          <w:lang w:val="en-001" w:eastAsia="en-GB"/>
        </w:rPr>
        <w:t xml:space="preserve">. </w:t>
      </w:r>
      <w:r w:rsidRPr="00F16502">
        <w:rPr>
          <w:rFonts w:ascii="Arial" w:hAnsi="Arial" w:cs="Arial"/>
          <w:lang w:val="en-001" w:eastAsia="en-GB"/>
        </w:rPr>
        <w:t>Mentorship strengthens confidence in escalation and reinforces adherence to safety protocols.</w:t>
      </w:r>
    </w:p>
    <w:p w14:paraId="5711C976" w14:textId="37E6C560" w:rsidR="00C52746" w:rsidRPr="00F16502" w:rsidRDefault="00C52746" w:rsidP="007819EC">
      <w:pPr>
        <w:spacing w:before="100" w:beforeAutospacing="1" w:after="100" w:afterAutospacing="1" w:line="360" w:lineRule="auto"/>
        <w:outlineLvl w:val="2"/>
        <w:rPr>
          <w:rFonts w:ascii="Arial" w:eastAsia="Times New Roman" w:hAnsi="Arial" w:cs="Arial"/>
          <w:b/>
          <w:bCs/>
          <w:lang w:val="en-001" w:eastAsia="en-GB"/>
        </w:rPr>
      </w:pPr>
      <w:r w:rsidRPr="00F16502">
        <w:rPr>
          <w:rFonts w:ascii="Arial" w:eastAsia="Times New Roman" w:hAnsi="Arial" w:cs="Arial"/>
          <w:b/>
          <w:bCs/>
          <w:lang w:val="en-001" w:eastAsia="en-GB"/>
        </w:rPr>
        <w:t>Governance and Accountability</w:t>
      </w:r>
    </w:p>
    <w:p w14:paraId="606A9C2A" w14:textId="77777777" w:rsidR="00C52746" w:rsidRPr="00F16502" w:rsidRDefault="00C52746" w:rsidP="003B0B7F">
      <w:pPr>
        <w:numPr>
          <w:ilvl w:val="0"/>
          <w:numId w:val="26"/>
        </w:numPr>
        <w:spacing w:before="100" w:beforeAutospacing="1" w:after="100" w:afterAutospacing="1" w:line="360" w:lineRule="auto"/>
        <w:rPr>
          <w:rFonts w:ascii="Arial" w:hAnsi="Arial" w:cs="Arial"/>
          <w:lang w:val="en-001" w:eastAsia="en-GB"/>
        </w:rPr>
      </w:pPr>
      <w:r w:rsidRPr="00F16502">
        <w:rPr>
          <w:rFonts w:ascii="Arial" w:hAnsi="Arial" w:cs="Arial"/>
          <w:lang w:val="en-001" w:eastAsia="en-GB"/>
        </w:rPr>
        <w:t>Strengthen Clinical Governance Frameworks: Ensure robust policies for escalation, monitoring, documentation, and medication safety, with clearly defined accountability for each level of care (NHS England, 2024).</w:t>
      </w:r>
    </w:p>
    <w:p w14:paraId="74F5F177" w14:textId="77777777" w:rsidR="00C52746" w:rsidRPr="00F16502" w:rsidRDefault="00C52746" w:rsidP="003B0B7F">
      <w:pPr>
        <w:numPr>
          <w:ilvl w:val="0"/>
          <w:numId w:val="26"/>
        </w:numPr>
        <w:spacing w:before="100" w:beforeAutospacing="1" w:after="100" w:afterAutospacing="1" w:line="360" w:lineRule="auto"/>
        <w:rPr>
          <w:rFonts w:ascii="Arial" w:hAnsi="Arial" w:cs="Arial"/>
          <w:lang w:val="en-001" w:eastAsia="en-GB"/>
        </w:rPr>
      </w:pPr>
      <w:r w:rsidRPr="00F16502">
        <w:rPr>
          <w:rFonts w:ascii="Arial" w:hAnsi="Arial" w:cs="Arial"/>
          <w:lang w:val="en-001" w:eastAsia="en-GB"/>
        </w:rPr>
        <w:t>Digital Incident Reporting Systems: Implement real-time reporting and analytics to detect adverse events and near misses, facilitating immediate corrective actions and institutional learning (Patient Safety Learning, 2022).</w:t>
      </w:r>
    </w:p>
    <w:p w14:paraId="3BAEDF45" w14:textId="38333BF5" w:rsidR="00C52746" w:rsidRPr="003B0B7F" w:rsidRDefault="00C52746" w:rsidP="007819EC">
      <w:pPr>
        <w:numPr>
          <w:ilvl w:val="0"/>
          <w:numId w:val="26"/>
        </w:numPr>
        <w:spacing w:before="100" w:beforeAutospacing="1" w:after="100" w:afterAutospacing="1" w:line="360" w:lineRule="auto"/>
        <w:rPr>
          <w:rFonts w:ascii="Arial" w:hAnsi="Arial" w:cs="Arial"/>
          <w:lang w:val="en-001" w:eastAsia="en-GB"/>
        </w:rPr>
      </w:pPr>
      <w:r w:rsidRPr="00F16502">
        <w:rPr>
          <w:rFonts w:ascii="Arial" w:hAnsi="Arial" w:cs="Arial"/>
          <w:lang w:val="en-001" w:eastAsia="en-GB"/>
        </w:rPr>
        <w:t>Family and Patient Engagement: Integrate families into safety processes, providing avenues for raising concerns, which has been shown to reduce errors and improve patient outcomes (OECD, 2021).</w:t>
      </w:r>
    </w:p>
    <w:p w14:paraId="3EB830AF" w14:textId="4934381B" w:rsidR="00C52746" w:rsidRPr="00F16502" w:rsidRDefault="00C52746" w:rsidP="007819EC">
      <w:pPr>
        <w:spacing w:before="100" w:beforeAutospacing="1" w:after="100" w:afterAutospacing="1" w:line="360" w:lineRule="auto"/>
        <w:outlineLvl w:val="2"/>
        <w:rPr>
          <w:rFonts w:ascii="Arial" w:eastAsia="Times New Roman" w:hAnsi="Arial" w:cs="Arial"/>
          <w:b/>
          <w:bCs/>
          <w:lang w:val="en-001" w:eastAsia="en-GB"/>
        </w:rPr>
      </w:pPr>
      <w:r w:rsidRPr="00F16502">
        <w:rPr>
          <w:rFonts w:ascii="Arial" w:eastAsia="Times New Roman" w:hAnsi="Arial" w:cs="Arial"/>
          <w:b/>
          <w:bCs/>
          <w:lang w:val="en-001" w:eastAsia="en-GB"/>
        </w:rPr>
        <w:t>Communication and Systems Integration</w:t>
      </w:r>
    </w:p>
    <w:p w14:paraId="3B308284" w14:textId="77777777" w:rsidR="00C52746" w:rsidRPr="00F16502" w:rsidRDefault="00C52746" w:rsidP="003B0B7F">
      <w:pPr>
        <w:numPr>
          <w:ilvl w:val="0"/>
          <w:numId w:val="27"/>
        </w:numPr>
        <w:spacing w:before="100" w:beforeAutospacing="1" w:after="100" w:afterAutospacing="1" w:line="360" w:lineRule="auto"/>
        <w:rPr>
          <w:rFonts w:ascii="Arial" w:hAnsi="Arial" w:cs="Arial"/>
          <w:lang w:val="en-001" w:eastAsia="en-GB"/>
        </w:rPr>
      </w:pPr>
      <w:r w:rsidRPr="00F16502">
        <w:rPr>
          <w:rFonts w:ascii="Arial" w:hAnsi="Arial" w:cs="Arial"/>
          <w:lang w:val="en-001" w:eastAsia="en-GB"/>
        </w:rPr>
        <w:t>Structured Handovers: Employ standardized communication tools such as SBAR (Situation, Background, Assessment, Recommendation) to ensure continuity across shifts and multidisciplinary teams (Al</w:t>
      </w:r>
      <w:r w:rsidRPr="00F16502">
        <w:rPr>
          <w:rFonts w:ascii="Arial" w:hAnsi="Arial" w:cs="Arial"/>
          <w:lang w:val="en-001" w:eastAsia="en-GB"/>
        </w:rPr>
        <w:noBreakHyphen/>
        <w:t>Rjoub et al., 2024).</w:t>
      </w:r>
    </w:p>
    <w:p w14:paraId="4F0BCCBB" w14:textId="564DB331" w:rsidR="00C52746" w:rsidRPr="00F16502" w:rsidRDefault="00C52746" w:rsidP="003B0B7F">
      <w:pPr>
        <w:numPr>
          <w:ilvl w:val="0"/>
          <w:numId w:val="27"/>
        </w:numPr>
        <w:spacing w:before="100" w:beforeAutospacing="1" w:after="100" w:afterAutospacing="1" w:line="360" w:lineRule="auto"/>
        <w:rPr>
          <w:rFonts w:ascii="Arial" w:hAnsi="Arial" w:cs="Arial"/>
          <w:lang w:val="en-001" w:eastAsia="en-GB"/>
        </w:rPr>
      </w:pPr>
      <w:r w:rsidRPr="00F16502">
        <w:rPr>
          <w:rFonts w:ascii="Arial" w:hAnsi="Arial" w:cs="Arial"/>
          <w:lang w:val="en-001" w:eastAsia="en-GB"/>
        </w:rPr>
        <w:t xml:space="preserve">Multidisciplinary Rounds: Encourage collaborative reviews involving nurses, residents, and attending physicians to share situational awareness and reinforce escalation pathways </w:t>
      </w:r>
      <w:r w:rsidR="006134B0" w:rsidRPr="006134B0">
        <w:rPr>
          <w:rFonts w:ascii="Arial" w:hAnsi="Arial" w:cs="Arial"/>
          <w:lang w:val="en-001" w:eastAsia="en-GB"/>
        </w:rPr>
        <w:t xml:space="preserve"> (Shishkin et al., 2025)</w:t>
      </w:r>
      <w:r w:rsidR="006134B0">
        <w:rPr>
          <w:rFonts w:ascii="Arial" w:hAnsi="Arial" w:cs="Arial"/>
          <w:lang w:val="en-001" w:eastAsia="en-GB"/>
        </w:rPr>
        <w:t>.</w:t>
      </w:r>
    </w:p>
    <w:p w14:paraId="0594DA3E" w14:textId="22D84B8F" w:rsidR="00C52746" w:rsidRPr="003B0B7F" w:rsidRDefault="00C52746" w:rsidP="007819EC">
      <w:pPr>
        <w:numPr>
          <w:ilvl w:val="0"/>
          <w:numId w:val="27"/>
        </w:numPr>
        <w:spacing w:before="100" w:beforeAutospacing="1" w:after="100" w:afterAutospacing="1" w:line="360" w:lineRule="auto"/>
        <w:rPr>
          <w:rFonts w:ascii="Arial" w:hAnsi="Arial" w:cs="Arial"/>
          <w:lang w:val="en-001" w:eastAsia="en-GB"/>
        </w:rPr>
      </w:pPr>
      <w:r w:rsidRPr="00F16502">
        <w:rPr>
          <w:rFonts w:ascii="Arial" w:hAnsi="Arial" w:cs="Arial"/>
          <w:lang w:val="en-001" w:eastAsia="en-GB"/>
        </w:rPr>
        <w:t>Feedback Loops: Establish continuous feedback mechanisms to monitor adherence to safety standards and identify emerging risks promptly (WHO, 2023).</w:t>
      </w:r>
    </w:p>
    <w:p w14:paraId="3A8525CF" w14:textId="7CED0018" w:rsidR="00C52746" w:rsidRPr="00F16502" w:rsidRDefault="00C52746" w:rsidP="007819EC">
      <w:pPr>
        <w:spacing w:before="100" w:beforeAutospacing="1" w:after="100" w:afterAutospacing="1" w:line="360" w:lineRule="auto"/>
        <w:outlineLvl w:val="2"/>
        <w:rPr>
          <w:rFonts w:ascii="Arial" w:eastAsia="Times New Roman" w:hAnsi="Arial" w:cs="Arial"/>
          <w:b/>
          <w:bCs/>
          <w:lang w:val="en-001" w:eastAsia="en-GB"/>
        </w:rPr>
      </w:pPr>
      <w:r w:rsidRPr="00F16502">
        <w:rPr>
          <w:rFonts w:ascii="Arial" w:eastAsia="Times New Roman" w:hAnsi="Arial" w:cs="Arial"/>
          <w:b/>
          <w:bCs/>
          <w:lang w:val="en-001" w:eastAsia="en-GB"/>
        </w:rPr>
        <w:t>Technical and Allocative Efficiency</w:t>
      </w:r>
    </w:p>
    <w:p w14:paraId="21085343" w14:textId="7D42FADF" w:rsidR="00C52746" w:rsidRPr="003B0B7F" w:rsidRDefault="00C52746" w:rsidP="003B0B7F">
      <w:pPr>
        <w:pStyle w:val="ListParagraph"/>
        <w:numPr>
          <w:ilvl w:val="0"/>
          <w:numId w:val="33"/>
        </w:numPr>
        <w:spacing w:before="100" w:beforeAutospacing="1" w:after="100" w:afterAutospacing="1" w:line="360" w:lineRule="auto"/>
        <w:rPr>
          <w:rFonts w:ascii="Arial" w:hAnsi="Arial" w:cs="Arial"/>
          <w:lang w:val="en-001" w:eastAsia="en-GB"/>
        </w:rPr>
      </w:pPr>
      <w:r w:rsidRPr="003B0B7F">
        <w:rPr>
          <w:rFonts w:ascii="Arial" w:hAnsi="Arial" w:cs="Arial"/>
          <w:lang w:val="en-001" w:eastAsia="en-GB"/>
        </w:rPr>
        <w:t>Evidence-Based Medication Protocols: Ensure high-risk medications, such as NSAIDs and opioids, are administered with strict monitoring and regular risk assessment, informed by current research on adverse drug effects (</w:t>
      </w:r>
      <w:r w:rsidR="006134B0" w:rsidRPr="006134B0">
        <w:rPr>
          <w:rFonts w:ascii="Arial" w:hAnsi="Arial" w:cs="Arial"/>
          <w:lang w:val="en-001" w:eastAsia="en-GB"/>
        </w:rPr>
        <w:t>Shishkin et al., 2025)</w:t>
      </w:r>
      <w:r w:rsidR="006134B0">
        <w:rPr>
          <w:rFonts w:ascii="Arial" w:hAnsi="Arial" w:cs="Arial"/>
          <w:lang w:val="en-001" w:eastAsia="en-GB"/>
        </w:rPr>
        <w:t>.</w:t>
      </w:r>
    </w:p>
    <w:p w14:paraId="576EFBBE" w14:textId="77777777" w:rsidR="00C52746" w:rsidRPr="003B0B7F" w:rsidRDefault="00C52746" w:rsidP="003B0B7F">
      <w:pPr>
        <w:pStyle w:val="ListParagraph"/>
        <w:numPr>
          <w:ilvl w:val="0"/>
          <w:numId w:val="33"/>
        </w:numPr>
        <w:spacing w:before="100" w:beforeAutospacing="1" w:after="100" w:afterAutospacing="1" w:line="360" w:lineRule="auto"/>
        <w:rPr>
          <w:rFonts w:ascii="Arial" w:hAnsi="Arial" w:cs="Arial"/>
          <w:lang w:val="en-001" w:eastAsia="en-GB"/>
        </w:rPr>
      </w:pPr>
      <w:r w:rsidRPr="003B0B7F">
        <w:rPr>
          <w:rFonts w:ascii="Arial" w:hAnsi="Arial" w:cs="Arial"/>
          <w:lang w:val="en-001" w:eastAsia="en-GB"/>
        </w:rPr>
        <w:t>Resource Optimization: Align staffing ratios, skill mix, and supervisory support to patient acuity levels, reducing gaps in clinical oversight and ensuring timely interventions (OECD, 2021).</w:t>
      </w:r>
    </w:p>
    <w:p w14:paraId="57BC9006" w14:textId="77777777" w:rsidR="00C52746" w:rsidRPr="003B0B7F" w:rsidRDefault="00C52746" w:rsidP="003B0B7F">
      <w:pPr>
        <w:pStyle w:val="ListParagraph"/>
        <w:numPr>
          <w:ilvl w:val="0"/>
          <w:numId w:val="33"/>
        </w:numPr>
        <w:spacing w:before="100" w:beforeAutospacing="1" w:after="100" w:afterAutospacing="1" w:line="360" w:lineRule="auto"/>
        <w:rPr>
          <w:rFonts w:ascii="Arial" w:hAnsi="Arial" w:cs="Arial"/>
          <w:lang w:val="en-001" w:eastAsia="en-GB"/>
        </w:rPr>
      </w:pPr>
      <w:r w:rsidRPr="003B0B7F">
        <w:rPr>
          <w:rFonts w:ascii="Arial" w:hAnsi="Arial" w:cs="Arial"/>
          <w:lang w:val="en-001" w:eastAsia="en-GB"/>
        </w:rPr>
        <w:t>Early Warning Systems Integration: Adopt predictive monitoring tools to identify deterioration trends, integrating centralised policies with local autonomy for timely action (WHO, 2023).</w:t>
      </w:r>
    </w:p>
    <w:p w14:paraId="0395D9BC" w14:textId="0F2298EE" w:rsidR="00C52746" w:rsidRPr="00F16502" w:rsidRDefault="00C52746" w:rsidP="007819EC">
      <w:pPr>
        <w:spacing w:before="100" w:beforeAutospacing="1" w:after="100" w:afterAutospacing="1" w:line="360" w:lineRule="auto"/>
        <w:outlineLvl w:val="2"/>
        <w:rPr>
          <w:rFonts w:ascii="Arial" w:eastAsia="Times New Roman" w:hAnsi="Arial" w:cs="Arial"/>
          <w:b/>
          <w:bCs/>
          <w:lang w:val="en-001" w:eastAsia="en-GB"/>
        </w:rPr>
      </w:pPr>
      <w:r w:rsidRPr="00F16502">
        <w:rPr>
          <w:rFonts w:ascii="Arial" w:eastAsia="Times New Roman" w:hAnsi="Arial" w:cs="Arial"/>
          <w:b/>
          <w:bCs/>
          <w:lang w:val="en-001" w:eastAsia="en-GB"/>
        </w:rPr>
        <w:t>Continuous Learning and Quality Improvement</w:t>
      </w:r>
    </w:p>
    <w:p w14:paraId="26CEA33E" w14:textId="77777777" w:rsidR="00C52746" w:rsidRPr="00F16502" w:rsidRDefault="00C52746" w:rsidP="003B0B7F">
      <w:pPr>
        <w:numPr>
          <w:ilvl w:val="0"/>
          <w:numId w:val="29"/>
        </w:numPr>
        <w:spacing w:before="100" w:beforeAutospacing="1" w:after="100" w:afterAutospacing="1" w:line="360" w:lineRule="auto"/>
        <w:rPr>
          <w:rFonts w:ascii="Arial" w:hAnsi="Arial" w:cs="Arial"/>
          <w:lang w:val="en-001" w:eastAsia="en-GB"/>
        </w:rPr>
      </w:pPr>
      <w:r w:rsidRPr="00F16502">
        <w:rPr>
          <w:rFonts w:ascii="Arial" w:hAnsi="Arial" w:cs="Arial"/>
          <w:lang w:val="en-001" w:eastAsia="en-GB"/>
        </w:rPr>
        <w:t>Simulation-Based Training: Use scenario-based training to enhance staff readiness for rapid deterioration events, including team communication, escalation, and crisis decision-making (Althobaiti, 2026).</w:t>
      </w:r>
    </w:p>
    <w:p w14:paraId="60593FDD" w14:textId="77777777" w:rsidR="00C52746" w:rsidRPr="00F16502" w:rsidRDefault="00C52746" w:rsidP="003B0B7F">
      <w:pPr>
        <w:numPr>
          <w:ilvl w:val="0"/>
          <w:numId w:val="29"/>
        </w:numPr>
        <w:spacing w:before="100" w:beforeAutospacing="1" w:after="100" w:afterAutospacing="1" w:line="360" w:lineRule="auto"/>
        <w:rPr>
          <w:rFonts w:ascii="Arial" w:hAnsi="Arial" w:cs="Arial"/>
          <w:lang w:val="en-001" w:eastAsia="en-GB"/>
        </w:rPr>
      </w:pPr>
      <w:r w:rsidRPr="00F16502">
        <w:rPr>
          <w:rFonts w:ascii="Arial" w:hAnsi="Arial" w:cs="Arial"/>
          <w:lang w:val="en-001" w:eastAsia="en-GB"/>
        </w:rPr>
        <w:t>Regular Audits and Outcome Reviews: Conduct periodic audits of patient safety incidents, vital sign monitoring, and escalation adherence to identify systemic weaknesses (NHS England, 2024).</w:t>
      </w:r>
    </w:p>
    <w:p w14:paraId="5AF3DFEB" w14:textId="2FFD9B9F" w:rsidR="00C52746" w:rsidRPr="006134B0" w:rsidRDefault="00C52746" w:rsidP="006134B0">
      <w:pPr>
        <w:numPr>
          <w:ilvl w:val="0"/>
          <w:numId w:val="29"/>
        </w:numPr>
        <w:spacing w:before="100" w:beforeAutospacing="1" w:after="100" w:afterAutospacing="1" w:line="360" w:lineRule="auto"/>
        <w:rPr>
          <w:rFonts w:ascii="Arial" w:hAnsi="Arial" w:cs="Arial"/>
          <w:lang w:val="en-001" w:eastAsia="en-GB"/>
        </w:rPr>
      </w:pPr>
      <w:r w:rsidRPr="00F16502">
        <w:rPr>
          <w:rFonts w:ascii="Arial" w:hAnsi="Arial" w:cs="Arial"/>
          <w:lang w:val="en-001" w:eastAsia="en-GB"/>
        </w:rPr>
        <w:t xml:space="preserve">Culture of Psychological Safety: Foster an environment where staff feel safe to report errors, challenge decisions, and escalate concerns without fear of punitive action </w:t>
      </w:r>
      <w:r w:rsidR="006627E1" w:rsidRPr="006134B0">
        <w:rPr>
          <w:rFonts w:ascii="Arial" w:hAnsi="Arial" w:cs="Arial"/>
          <w:lang w:val="en-001" w:eastAsia="en-GB"/>
        </w:rPr>
        <w:t xml:space="preserve"> </w:t>
      </w:r>
      <w:r w:rsidR="006134B0">
        <w:rPr>
          <w:rFonts w:ascii="Arial" w:hAnsi="Arial" w:cs="Arial"/>
          <w:lang w:val="en-001" w:eastAsia="en-GB"/>
        </w:rPr>
        <w:t>(</w:t>
      </w:r>
      <w:r w:rsidRPr="006134B0">
        <w:rPr>
          <w:rFonts w:ascii="Arial" w:hAnsi="Arial" w:cs="Arial"/>
          <w:lang w:val="en-001" w:eastAsia="en-GB"/>
        </w:rPr>
        <w:t>Gilson et al., 2022).</w:t>
      </w:r>
    </w:p>
    <w:p w14:paraId="768CB200" w14:textId="5F43376D" w:rsidR="00C52746" w:rsidRPr="00F16502" w:rsidRDefault="00C52746" w:rsidP="007819EC">
      <w:pPr>
        <w:spacing w:before="100" w:beforeAutospacing="1" w:after="100" w:afterAutospacing="1" w:line="360" w:lineRule="auto"/>
        <w:outlineLvl w:val="2"/>
        <w:rPr>
          <w:rFonts w:ascii="Arial" w:eastAsia="Times New Roman" w:hAnsi="Arial" w:cs="Arial"/>
          <w:b/>
          <w:bCs/>
          <w:lang w:val="en-001" w:eastAsia="en-GB"/>
        </w:rPr>
      </w:pPr>
      <w:r w:rsidRPr="00F16502">
        <w:rPr>
          <w:rFonts w:ascii="Arial" w:eastAsia="Times New Roman" w:hAnsi="Arial" w:cs="Arial"/>
          <w:b/>
          <w:bCs/>
          <w:lang w:val="en-001" w:eastAsia="en-GB"/>
        </w:rPr>
        <w:t>Stakeholder Engagement and Co-Production</w:t>
      </w:r>
    </w:p>
    <w:p w14:paraId="0E959035" w14:textId="1F1E7894" w:rsidR="00C52746" w:rsidRPr="00F16502" w:rsidRDefault="00C52746" w:rsidP="007819EC">
      <w:pPr>
        <w:numPr>
          <w:ilvl w:val="0"/>
          <w:numId w:val="30"/>
        </w:numPr>
        <w:spacing w:before="100" w:beforeAutospacing="1" w:after="100" w:afterAutospacing="1" w:line="360" w:lineRule="auto"/>
        <w:rPr>
          <w:rFonts w:ascii="Arial" w:hAnsi="Arial" w:cs="Arial"/>
          <w:lang w:val="en-001" w:eastAsia="en-GB"/>
        </w:rPr>
      </w:pPr>
      <w:r w:rsidRPr="00F16502">
        <w:rPr>
          <w:rFonts w:ascii="Arial" w:hAnsi="Arial" w:cs="Arial"/>
          <w:lang w:val="en-001" w:eastAsia="en-GB"/>
        </w:rPr>
        <w:t>Engage all stakeholders</w:t>
      </w:r>
      <w:r w:rsidR="003B0B7F">
        <w:rPr>
          <w:rFonts w:ascii="Arial" w:hAnsi="Arial" w:cs="Arial"/>
          <w:lang w:val="en-001" w:eastAsia="en-GB"/>
        </w:rPr>
        <w:t xml:space="preserve"> </w:t>
      </w:r>
      <w:r w:rsidRPr="00F16502">
        <w:rPr>
          <w:rFonts w:ascii="Arial" w:hAnsi="Arial" w:cs="Arial"/>
          <w:lang w:val="en-001" w:eastAsia="en-GB"/>
        </w:rPr>
        <w:t>including clinicians, managers, regulators, patients, and families</w:t>
      </w:r>
      <w:r w:rsidR="003B0B7F">
        <w:rPr>
          <w:rFonts w:ascii="Arial" w:hAnsi="Arial" w:cs="Arial"/>
          <w:lang w:val="en-001" w:eastAsia="en-GB"/>
        </w:rPr>
        <w:t xml:space="preserve"> </w:t>
      </w:r>
      <w:r w:rsidRPr="00F16502">
        <w:rPr>
          <w:rFonts w:ascii="Arial" w:hAnsi="Arial" w:cs="Arial"/>
          <w:lang w:val="en-001" w:eastAsia="en-GB"/>
        </w:rPr>
        <w:t>in co-designing safety interventions to ensure feasibility, acceptability, and adherence (OECD, 2021).</w:t>
      </w:r>
    </w:p>
    <w:p w14:paraId="4C7D7841" w14:textId="5972BAD5" w:rsidR="00C52746" w:rsidRPr="003B0B7F" w:rsidRDefault="00C52746" w:rsidP="007819EC">
      <w:pPr>
        <w:numPr>
          <w:ilvl w:val="0"/>
          <w:numId w:val="30"/>
        </w:numPr>
        <w:spacing w:before="100" w:beforeAutospacing="1" w:after="100" w:afterAutospacing="1" w:line="360" w:lineRule="auto"/>
        <w:rPr>
          <w:rFonts w:ascii="Arial" w:hAnsi="Arial" w:cs="Arial"/>
          <w:lang w:val="en-001" w:eastAsia="en-GB"/>
        </w:rPr>
      </w:pPr>
      <w:r w:rsidRPr="00F16502">
        <w:rPr>
          <w:rFonts w:ascii="Arial" w:hAnsi="Arial" w:cs="Arial"/>
          <w:lang w:val="en-001" w:eastAsia="en-GB"/>
        </w:rPr>
        <w:t>Continuous engagement strengthens accountability and creates a culture of shared responsibility for patient safety</w:t>
      </w:r>
      <w:r w:rsidR="00AA50BF">
        <w:rPr>
          <w:rFonts w:ascii="Arial" w:hAnsi="Arial" w:cs="Arial"/>
          <w:lang w:val="en-001" w:eastAsia="en-GB"/>
        </w:rPr>
        <w:t xml:space="preserve"> </w:t>
      </w:r>
      <w:r w:rsidR="00AA50BF" w:rsidRPr="00AA50BF">
        <w:rPr>
          <w:rFonts w:ascii="Arial" w:hAnsi="Arial" w:cs="Arial"/>
          <w:lang w:val="en-001" w:eastAsia="en-GB"/>
        </w:rPr>
        <w:t>(Sapkota et al., 2023)</w:t>
      </w:r>
      <w:r w:rsidRPr="00F16502">
        <w:rPr>
          <w:rFonts w:ascii="Arial" w:hAnsi="Arial" w:cs="Arial"/>
          <w:lang w:val="en-001" w:eastAsia="en-GB"/>
        </w:rPr>
        <w:t>.</w:t>
      </w:r>
    </w:p>
    <w:p w14:paraId="047B421D" w14:textId="7AB78A14" w:rsidR="00C52746" w:rsidRPr="00F16502" w:rsidRDefault="00C52746" w:rsidP="007819EC">
      <w:pPr>
        <w:spacing w:before="100" w:beforeAutospacing="1" w:after="100" w:afterAutospacing="1" w:line="360" w:lineRule="auto"/>
        <w:rPr>
          <w:rFonts w:ascii="Arial" w:hAnsi="Arial" w:cs="Arial"/>
          <w:lang w:val="en-001" w:eastAsia="en-GB"/>
        </w:rPr>
      </w:pPr>
      <w:r w:rsidRPr="00F16502">
        <w:rPr>
          <w:rFonts w:ascii="Arial" w:hAnsi="Arial" w:cs="Arial"/>
          <w:lang w:val="en-001" w:eastAsia="en-GB"/>
        </w:rPr>
        <w:t>Implementing these recommendations requires a hybrid system that balances centralised governance with decentralised empowerment, supported by transformational leadership, structured communication, evidence-based protocols, and continuous monitoring</w:t>
      </w:r>
      <w:r w:rsidR="007156F8" w:rsidRPr="007156F8">
        <w:rPr>
          <w:rFonts w:ascii="Arial" w:hAnsi="Arial" w:cs="Arial"/>
          <w:lang w:val="en-001" w:eastAsia="en-GB"/>
        </w:rPr>
        <w:t xml:space="preserve"> (Hunt, 2025)</w:t>
      </w:r>
      <w:r w:rsidRPr="00F16502">
        <w:rPr>
          <w:rFonts w:ascii="Arial" w:hAnsi="Arial" w:cs="Arial"/>
          <w:lang w:val="en-001" w:eastAsia="en-GB"/>
        </w:rPr>
        <w:t>. By embedding these strategies, hospitals can create resilient, patient-centered systems, mitigating preventable harm and improving outcomes for vulnerable populations.</w:t>
      </w:r>
    </w:p>
    <w:p w14:paraId="74E4CB3E" w14:textId="0D9A1CB1" w:rsidR="009F2152" w:rsidRPr="003B0B7F" w:rsidRDefault="009F2152" w:rsidP="003B0B7F">
      <w:pPr>
        <w:spacing w:before="100" w:beforeAutospacing="1" w:after="100" w:afterAutospacing="1" w:line="360" w:lineRule="auto"/>
        <w:outlineLvl w:val="1"/>
        <w:rPr>
          <w:rFonts w:ascii="Arial" w:eastAsia="Times New Roman" w:hAnsi="Arial" w:cs="Arial"/>
          <w:b/>
          <w:bCs/>
          <w:lang w:val="en-001" w:eastAsia="en-GB"/>
        </w:rPr>
      </w:pPr>
      <w:r w:rsidRPr="00F16502">
        <w:rPr>
          <w:rFonts w:ascii="Arial" w:eastAsia="Times New Roman" w:hAnsi="Arial" w:cs="Arial"/>
          <w:b/>
          <w:bCs/>
          <w:lang w:val="en-001" w:eastAsia="en-GB"/>
        </w:rPr>
        <w:t>Conclusion</w:t>
      </w:r>
    </w:p>
    <w:p w14:paraId="67EDF43F" w14:textId="74723E5D" w:rsidR="009F2152" w:rsidRPr="00F16502" w:rsidRDefault="009F2152" w:rsidP="007819EC">
      <w:pPr>
        <w:spacing w:before="100" w:beforeAutospacing="1" w:after="100" w:afterAutospacing="1" w:line="360" w:lineRule="auto"/>
        <w:rPr>
          <w:rFonts w:ascii="Arial" w:hAnsi="Arial" w:cs="Arial"/>
          <w:lang w:val="en-001" w:eastAsia="en-GB"/>
        </w:rPr>
      </w:pPr>
      <w:r w:rsidRPr="00F16502">
        <w:rPr>
          <w:rFonts w:ascii="Arial" w:hAnsi="Arial" w:cs="Arial"/>
          <w:lang w:val="en-001" w:eastAsia="en-GB"/>
        </w:rPr>
        <w:t>The case of Lewis Blackman illustrates the catastrophic consequences of systemic, leadership, and governance failures in healthcare. Despite undergoing a routine surgical procedure, Lewis experienced preventable complications resulting from inadequate monitoring, delayed escalation, miscommunication, and insufficient supervision. This case underscores that even high-performing healthcare systems remain vulnerable to failures when leadership, organizational structure, and safety culture are not aligned (WHO, 2023).</w:t>
      </w:r>
    </w:p>
    <w:p w14:paraId="16CE295F" w14:textId="5E3D82C3" w:rsidR="009F2152" w:rsidRPr="00F16502" w:rsidRDefault="009F2152" w:rsidP="007819EC">
      <w:pPr>
        <w:spacing w:before="100" w:beforeAutospacing="1" w:after="100" w:afterAutospacing="1" w:line="360" w:lineRule="auto"/>
        <w:rPr>
          <w:rFonts w:ascii="Arial" w:hAnsi="Arial" w:cs="Arial"/>
          <w:lang w:val="en-001" w:eastAsia="en-GB"/>
        </w:rPr>
      </w:pPr>
      <w:r w:rsidRPr="00F16502">
        <w:rPr>
          <w:rFonts w:ascii="Arial" w:hAnsi="Arial" w:cs="Arial"/>
          <w:lang w:val="en-001" w:eastAsia="en-GB"/>
        </w:rPr>
        <w:t>Leadership is central to safeguarding patient outcomes. Transformational, situational, and distributed leadership styles have been shown to improve staff engagement, communication, and adherence to safety protocols, fostering proactive rather than reactive responses to patient deterioration (Althobaiti, 2026</w:t>
      </w:r>
      <w:r w:rsidR="00AA50BF">
        <w:rPr>
          <w:rFonts w:ascii="Arial" w:hAnsi="Arial" w:cs="Arial"/>
          <w:lang w:val="en-001" w:eastAsia="en-GB"/>
        </w:rPr>
        <w:t>)</w:t>
      </w:r>
      <w:r w:rsidRPr="00F16502">
        <w:rPr>
          <w:rFonts w:ascii="Arial" w:hAnsi="Arial" w:cs="Arial"/>
          <w:lang w:val="en-001" w:eastAsia="en-GB"/>
        </w:rPr>
        <w:t>. In the Blackman case, the absence of such leadership contributed to missed warning signs and delayed interventions, highlighting the critical role of leaders in creating a culture of accountability and vigilance</w:t>
      </w:r>
      <w:r w:rsidR="008B12B2" w:rsidRPr="008B12B2">
        <w:rPr>
          <w:rFonts w:ascii="Arial" w:hAnsi="Arial" w:cs="Arial"/>
          <w:lang w:val="en-001" w:eastAsia="en-GB"/>
        </w:rPr>
        <w:t xml:space="preserve"> (Sapkota et al., 2023)</w:t>
      </w:r>
      <w:r w:rsidRPr="00F16502">
        <w:rPr>
          <w:rFonts w:ascii="Arial" w:hAnsi="Arial" w:cs="Arial"/>
          <w:lang w:val="en-001" w:eastAsia="en-GB"/>
        </w:rPr>
        <w:t>.</w:t>
      </w:r>
    </w:p>
    <w:p w14:paraId="27989413" w14:textId="771C88C3" w:rsidR="009F2152" w:rsidRPr="00F16502" w:rsidRDefault="009F2152" w:rsidP="007819EC">
      <w:pPr>
        <w:spacing w:before="100" w:beforeAutospacing="1" w:after="100" w:afterAutospacing="1" w:line="360" w:lineRule="auto"/>
        <w:rPr>
          <w:rFonts w:ascii="Arial" w:hAnsi="Arial" w:cs="Arial"/>
          <w:lang w:val="en-001" w:eastAsia="en-GB"/>
        </w:rPr>
      </w:pPr>
      <w:r w:rsidRPr="00F16502">
        <w:rPr>
          <w:rFonts w:ascii="Arial" w:hAnsi="Arial" w:cs="Arial"/>
          <w:lang w:val="en-001" w:eastAsia="en-GB"/>
        </w:rPr>
        <w:t>Similarly, governance and organizational structure must balance centralised policies with local autonomy to empower frontline staff while maintaining accountability</w:t>
      </w:r>
      <w:r w:rsidR="00AA50BF" w:rsidRPr="00AA50BF">
        <w:rPr>
          <w:rFonts w:ascii="Arial" w:hAnsi="Arial" w:cs="Arial"/>
          <w:lang w:val="en-001" w:eastAsia="en-GB"/>
        </w:rPr>
        <w:t xml:space="preserve"> </w:t>
      </w:r>
      <w:r w:rsidR="00AA50BF" w:rsidRPr="00F16502">
        <w:rPr>
          <w:rFonts w:ascii="Arial" w:hAnsi="Arial" w:cs="Arial"/>
          <w:lang w:val="en-001" w:eastAsia="en-GB"/>
        </w:rPr>
        <w:t>OECD, 2021</w:t>
      </w:r>
      <w:r w:rsidRPr="00F16502">
        <w:rPr>
          <w:rFonts w:ascii="Arial" w:hAnsi="Arial" w:cs="Arial"/>
          <w:lang w:val="en-001" w:eastAsia="en-GB"/>
        </w:rPr>
        <w:t>. Centralised frameworks provide standardisation and guidance, whereas decentralisation allows timely, context-sensitive decisions. The Blackman case demonstrates that without this balance, neither approach alone is sufficient to prevent harm (Ramsay et al., 2025).</w:t>
      </w:r>
    </w:p>
    <w:p w14:paraId="6911CE75" w14:textId="1D593F2B" w:rsidR="009F2152" w:rsidRPr="00F16502" w:rsidRDefault="009F2152" w:rsidP="007819EC">
      <w:pPr>
        <w:spacing w:before="100" w:beforeAutospacing="1" w:after="100" w:afterAutospacing="1" w:line="360" w:lineRule="auto"/>
        <w:rPr>
          <w:rFonts w:ascii="Arial" w:hAnsi="Arial" w:cs="Arial"/>
          <w:lang w:val="en-001" w:eastAsia="en-GB"/>
        </w:rPr>
      </w:pPr>
      <w:r w:rsidRPr="00F16502">
        <w:rPr>
          <w:rFonts w:ascii="Arial" w:hAnsi="Arial" w:cs="Arial"/>
          <w:lang w:val="en-001" w:eastAsia="en-GB"/>
        </w:rPr>
        <w:t>Finally, adopting a systems thinking approach</w:t>
      </w:r>
      <w:r w:rsidR="003B0B7F">
        <w:rPr>
          <w:rFonts w:ascii="Arial" w:hAnsi="Arial" w:cs="Arial"/>
          <w:lang w:val="en-001" w:eastAsia="en-GB"/>
        </w:rPr>
        <w:t xml:space="preserve"> </w:t>
      </w:r>
      <w:r w:rsidRPr="00F16502">
        <w:rPr>
          <w:rFonts w:ascii="Arial" w:hAnsi="Arial" w:cs="Arial"/>
          <w:lang w:val="en-001" w:eastAsia="en-GB"/>
        </w:rPr>
        <w:t>integrating monitoring, escalation, communication, and continuous learning</w:t>
      </w:r>
      <w:r w:rsidR="003B0B7F">
        <w:rPr>
          <w:rFonts w:ascii="Arial" w:hAnsi="Arial" w:cs="Arial"/>
          <w:lang w:val="en-001" w:eastAsia="en-GB"/>
        </w:rPr>
        <w:t xml:space="preserve"> </w:t>
      </w:r>
      <w:r w:rsidRPr="00F16502">
        <w:rPr>
          <w:rFonts w:ascii="Arial" w:hAnsi="Arial" w:cs="Arial"/>
          <w:lang w:val="en-001" w:eastAsia="en-GB"/>
        </w:rPr>
        <w:t>is essential for patient safety. Lessons from Lewis Blackman’s case advocate for evidence-based improvements, including robust early warning systems, structured handovers, continuous leadership training, and active family engagement. These interventions, supported by contemporary research, can reduce preventable adverse events and create resilient, patient-centred healthcare systems (</w:t>
      </w:r>
      <w:r w:rsidR="00510642">
        <w:rPr>
          <w:rFonts w:ascii="Arial" w:hAnsi="Arial" w:cs="Arial"/>
          <w:lang w:val="en-001" w:eastAsia="en-GB"/>
        </w:rPr>
        <w:t xml:space="preserve"> </w:t>
      </w:r>
      <w:r w:rsidRPr="00F16502">
        <w:rPr>
          <w:rFonts w:ascii="Arial" w:hAnsi="Arial" w:cs="Arial"/>
          <w:lang w:val="en-001" w:eastAsia="en-GB"/>
        </w:rPr>
        <w:t>Patient Safety Learning, 2022).</w:t>
      </w:r>
    </w:p>
    <w:p w14:paraId="6B2A45FA" w14:textId="77777777" w:rsidR="009F2152" w:rsidRDefault="009F2152" w:rsidP="007819EC">
      <w:pPr>
        <w:spacing w:before="100" w:beforeAutospacing="1" w:after="100" w:afterAutospacing="1" w:line="360" w:lineRule="auto"/>
        <w:rPr>
          <w:rFonts w:ascii="Arial" w:hAnsi="Arial" w:cs="Arial"/>
          <w:lang w:val="en-001" w:eastAsia="en-GB"/>
        </w:rPr>
      </w:pPr>
      <w:r w:rsidRPr="00F16502">
        <w:rPr>
          <w:rFonts w:ascii="Arial" w:hAnsi="Arial" w:cs="Arial"/>
          <w:lang w:val="en-001" w:eastAsia="en-GB"/>
        </w:rPr>
        <w:t>In conclusion, the Lewis Blackman case emphasizes that effective leadership, strong governance, and systems thinking are not optional but essential for safe, high-quality healthcare. Health organizations must implement evidence-based strategies to prevent recurrence, ensuring that every patient benefits from timely, competent, and compassionate care.</w:t>
      </w:r>
    </w:p>
    <w:p w14:paraId="41C1189C" w14:textId="77777777" w:rsidR="007D698B" w:rsidRDefault="007D698B" w:rsidP="007819EC">
      <w:pPr>
        <w:spacing w:before="100" w:beforeAutospacing="1" w:after="100" w:afterAutospacing="1" w:line="360" w:lineRule="auto"/>
        <w:rPr>
          <w:rFonts w:ascii="Arial" w:hAnsi="Arial" w:cs="Arial"/>
          <w:lang w:val="en-001" w:eastAsia="en-GB"/>
        </w:rPr>
      </w:pPr>
    </w:p>
    <w:p w14:paraId="6EA9A3BA" w14:textId="17BAE986" w:rsidR="007D698B" w:rsidRDefault="00B25596" w:rsidP="007819EC">
      <w:pPr>
        <w:spacing w:before="100" w:beforeAutospacing="1" w:after="100" w:afterAutospacing="1" w:line="360" w:lineRule="auto"/>
        <w:rPr>
          <w:rFonts w:ascii="Arial" w:hAnsi="Arial" w:cs="Arial"/>
          <w:lang w:val="en-001" w:eastAsia="en-GB"/>
        </w:rPr>
      </w:pPr>
      <w:r>
        <w:rPr>
          <w:rFonts w:ascii="Arial" w:hAnsi="Arial" w:cs="Arial"/>
          <w:lang w:val="en-001" w:eastAsia="en-GB"/>
        </w:rPr>
        <w:t xml:space="preserve">Reference </w:t>
      </w:r>
    </w:p>
    <w:p w14:paraId="783836D9" w14:textId="2EFF5AB8" w:rsidR="006332F9" w:rsidRDefault="006332F9" w:rsidP="006332F9">
      <w:pPr>
        <w:pStyle w:val="p1"/>
      </w:pPr>
      <w:r>
        <w:rPr>
          <w:rStyle w:val="s1"/>
        </w:rPr>
        <w:t>Al</w:t>
      </w:r>
      <w:r>
        <w:rPr>
          <w:rStyle w:val="s1"/>
        </w:rPr>
        <w:noBreakHyphen/>
        <w:t>Rjoub, S., et al.</w:t>
      </w:r>
      <w:r>
        <w:rPr>
          <w:rStyle w:val="s2"/>
        </w:rPr>
        <w:t xml:space="preserve"> (2024) ‘Exploring the impact of transformational and transactional leadership on nursing care performance and patient outcomes’, </w:t>
      </w:r>
      <w:r>
        <w:rPr>
          <w:rStyle w:val="s3"/>
        </w:rPr>
        <w:t>Journal of Healthcare Leadership</w:t>
      </w:r>
      <w:r>
        <w:rPr>
          <w:rStyle w:val="s2"/>
        </w:rPr>
        <w:t>, 16, pp. 557–568.</w:t>
      </w:r>
    </w:p>
    <w:p w14:paraId="68C933DC" w14:textId="0482D05D" w:rsidR="006332F9" w:rsidRDefault="006332F9" w:rsidP="006332F9">
      <w:pPr>
        <w:pStyle w:val="p1"/>
      </w:pPr>
      <w:r>
        <w:rPr>
          <w:rStyle w:val="s1"/>
        </w:rPr>
        <w:t>Althobaiti, F.M.</w:t>
      </w:r>
      <w:r>
        <w:rPr>
          <w:rStyle w:val="s2"/>
        </w:rPr>
        <w:t xml:space="preserve"> (2026) ‘The effects of leadership on patient safety culture in health care: a systematic review’, </w:t>
      </w:r>
      <w:r>
        <w:rPr>
          <w:rStyle w:val="s3"/>
        </w:rPr>
        <w:t>BMC Nursing</w:t>
      </w:r>
      <w:r>
        <w:rPr>
          <w:rStyle w:val="s2"/>
        </w:rPr>
        <w:t>, 25(1), p.125. doi:10.1186/s12912-025-04263-7.</w:t>
      </w:r>
    </w:p>
    <w:p w14:paraId="2B2C20B0" w14:textId="17595BE8" w:rsidR="006332F9" w:rsidRDefault="006332F9" w:rsidP="006332F9">
      <w:pPr>
        <w:pStyle w:val="p1"/>
      </w:pPr>
      <w:r>
        <w:rPr>
          <w:rStyle w:val="s1"/>
        </w:rPr>
        <w:t>Braithwaite, J., Vincent, C., Garcia</w:t>
      </w:r>
      <w:r>
        <w:rPr>
          <w:rStyle w:val="s1"/>
        </w:rPr>
        <w:noBreakHyphen/>
        <w:t>Elorrio, E., Imanaka, Y., Nicklin, W., Sodzi</w:t>
      </w:r>
      <w:r>
        <w:rPr>
          <w:rStyle w:val="s1"/>
        </w:rPr>
        <w:noBreakHyphen/>
        <w:t>Tettey, S., Bates, D.W. et al.</w:t>
      </w:r>
      <w:r>
        <w:rPr>
          <w:rStyle w:val="s2"/>
        </w:rPr>
        <w:t xml:space="preserve"> (2020) </w:t>
      </w:r>
      <w:r>
        <w:rPr>
          <w:rStyle w:val="s3"/>
        </w:rPr>
        <w:t>Transformational improvement in quality care and health systems: the next decade</w:t>
      </w:r>
      <w:r>
        <w:rPr>
          <w:rStyle w:val="s2"/>
        </w:rPr>
        <w:t xml:space="preserve">. </w:t>
      </w:r>
      <w:r>
        <w:rPr>
          <w:rStyle w:val="s3"/>
        </w:rPr>
        <w:t>BMC Medicine</w:t>
      </w:r>
      <w:r>
        <w:rPr>
          <w:rStyle w:val="s2"/>
        </w:rPr>
        <w:t>, 18, Article 340. doi:10.1186/s12916-020-01739-y.</w:t>
      </w:r>
    </w:p>
    <w:p w14:paraId="202EC69E" w14:textId="3599F243" w:rsidR="006332F9" w:rsidRDefault="006332F9" w:rsidP="006332F9">
      <w:pPr>
        <w:pStyle w:val="p1"/>
      </w:pPr>
      <w:r>
        <w:rPr>
          <w:rStyle w:val="s1"/>
        </w:rPr>
        <w:t>Britteon, P., Fatimah, A., Gillibrand, S., Lau, Y</w:t>
      </w:r>
      <w:r>
        <w:rPr>
          <w:rStyle w:val="s1"/>
        </w:rPr>
        <w:noBreakHyphen/>
        <w:t>S., Anselmi, L., Wilson, P., Sutton, M. &amp; Turner, A.J.</w:t>
      </w:r>
      <w:r>
        <w:rPr>
          <w:rStyle w:val="s2"/>
        </w:rPr>
        <w:t xml:space="preserve"> (2024) ‘The impact of devolution on local health systems: Evidence from Greater Manchester, England’, </w:t>
      </w:r>
      <w:r>
        <w:rPr>
          <w:rStyle w:val="s3"/>
        </w:rPr>
        <w:t>Social Science &amp; Medicine</w:t>
      </w:r>
      <w:r>
        <w:rPr>
          <w:rStyle w:val="s2"/>
        </w:rPr>
        <w:t>, 348, p.116801. doi:10.1016/j.socscimed.2024.116801.</w:t>
      </w:r>
    </w:p>
    <w:p w14:paraId="69C55CE8" w14:textId="24ECA17E" w:rsidR="006332F9" w:rsidRDefault="006332F9" w:rsidP="006332F9">
      <w:pPr>
        <w:pStyle w:val="p1"/>
      </w:pPr>
      <w:r>
        <w:rPr>
          <w:rStyle w:val="s1"/>
        </w:rPr>
        <w:t>Department of Health and Social Care</w:t>
      </w:r>
      <w:r>
        <w:rPr>
          <w:rStyle w:val="s2"/>
        </w:rPr>
        <w:t xml:space="preserve"> (2023) </w:t>
      </w:r>
      <w:r>
        <w:rPr>
          <w:rStyle w:val="s3"/>
        </w:rPr>
        <w:t>Review of Patient Safety Across the Health and Care Landscape</w:t>
      </w:r>
      <w:r>
        <w:rPr>
          <w:rStyle w:val="s2"/>
        </w:rPr>
        <w:t>. Available at: https://www.gov.uk/government/publications/review-of-patient-safety-across-the-health-and-care-landscape/review-of-patient-safety-across-the-health-and-care-landscape (Accessed: 27/03/ 2026).</w:t>
      </w:r>
    </w:p>
    <w:p w14:paraId="77A97442" w14:textId="1B3D685B" w:rsidR="006332F9" w:rsidRDefault="006332F9" w:rsidP="006332F9">
      <w:pPr>
        <w:pStyle w:val="p1"/>
      </w:pPr>
      <w:r>
        <w:rPr>
          <w:rStyle w:val="s1"/>
        </w:rPr>
        <w:t>Drugs.com</w:t>
      </w:r>
      <w:r>
        <w:rPr>
          <w:rStyle w:val="s2"/>
        </w:rPr>
        <w:t xml:space="preserve"> (2024) </w:t>
      </w:r>
      <w:r>
        <w:rPr>
          <w:rStyle w:val="s3"/>
        </w:rPr>
        <w:t>Toradol Side Effects</w:t>
      </w:r>
      <w:r>
        <w:rPr>
          <w:rStyle w:val="s2"/>
        </w:rPr>
        <w:t>. Available at: https://www.drugs.com/sfx/toradol-side-effects.html (Accessed: 26/03/2026).</w:t>
      </w:r>
    </w:p>
    <w:p w14:paraId="729F01DF" w14:textId="279BF399" w:rsidR="006332F9" w:rsidRDefault="006332F9" w:rsidP="006332F9">
      <w:pPr>
        <w:pStyle w:val="p1"/>
      </w:pPr>
      <w:r>
        <w:rPr>
          <w:rStyle w:val="s1"/>
        </w:rPr>
        <w:t>Frontiers Health Services</w:t>
      </w:r>
      <w:r>
        <w:rPr>
          <w:rStyle w:val="s2"/>
        </w:rPr>
        <w:t xml:space="preserve"> (2025) ‘The impact of centralization on structural changes in healthcare: when it works’, </w:t>
      </w:r>
      <w:r>
        <w:rPr>
          <w:rStyle w:val="s3"/>
        </w:rPr>
        <w:t>Frontiers in Health Services</w:t>
      </w:r>
      <w:r>
        <w:rPr>
          <w:rStyle w:val="s2"/>
        </w:rPr>
        <w:t>. doi:10.3389/frhs.2025.1484225.</w:t>
      </w:r>
    </w:p>
    <w:p w14:paraId="7FC4DF05" w14:textId="63964618" w:rsidR="006332F9" w:rsidRDefault="006332F9" w:rsidP="006332F9">
      <w:pPr>
        <w:pStyle w:val="p1"/>
      </w:pPr>
      <w:r>
        <w:rPr>
          <w:rStyle w:val="s1"/>
        </w:rPr>
        <w:t>Gilson, L., et al.</w:t>
      </w:r>
      <w:r>
        <w:rPr>
          <w:rStyle w:val="s2"/>
        </w:rPr>
        <w:t xml:space="preserve"> (2022) </w:t>
      </w:r>
      <w:r>
        <w:rPr>
          <w:rStyle w:val="s3"/>
        </w:rPr>
        <w:t>The impact of decentralisation on health systems: a systematic review</w:t>
      </w:r>
      <w:r>
        <w:rPr>
          <w:rStyle w:val="s2"/>
        </w:rPr>
        <w:t>, PMC. Available at: https://pmc.ncbi.nlm.nih.gov/articles/PMC10749071 (Accessed: 26/03/2026).</w:t>
      </w:r>
    </w:p>
    <w:p w14:paraId="0566411F" w14:textId="53185680" w:rsidR="006332F9" w:rsidRDefault="006332F9" w:rsidP="006332F9">
      <w:pPr>
        <w:pStyle w:val="p1"/>
      </w:pPr>
      <w:r>
        <w:rPr>
          <w:rStyle w:val="s1"/>
        </w:rPr>
        <w:t>He, H., Chen, X., Tian, L., Long, Y., Li, L., Yang, N. &amp; Tang, S.</w:t>
      </w:r>
      <w:r>
        <w:rPr>
          <w:rStyle w:val="s2"/>
        </w:rPr>
        <w:t xml:space="preserve"> (2023) ‘Perceived patient safety culture and its associated factors among clinical managers of tertiary hospitals: a cross-sectional survey’, </w:t>
      </w:r>
      <w:r>
        <w:rPr>
          <w:rStyle w:val="s3"/>
        </w:rPr>
        <w:t>BMC Nursing</w:t>
      </w:r>
      <w:r>
        <w:rPr>
          <w:rStyle w:val="s2"/>
        </w:rPr>
        <w:t>, 22:329. doi:10.1186/s12912-023-01494-4.</w:t>
      </w:r>
    </w:p>
    <w:p w14:paraId="3D05CE42" w14:textId="55C4804E" w:rsidR="006332F9" w:rsidRDefault="006332F9" w:rsidP="006332F9">
      <w:pPr>
        <w:pStyle w:val="p1"/>
      </w:pPr>
      <w:r>
        <w:rPr>
          <w:rStyle w:val="s1"/>
        </w:rPr>
        <w:t>Hunt, J.</w:t>
      </w:r>
      <w:r>
        <w:rPr>
          <w:rStyle w:val="s2"/>
        </w:rPr>
        <w:t xml:space="preserve"> (2025) ‘Thirty</w:t>
      </w:r>
      <w:r>
        <w:rPr>
          <w:rStyle w:val="s2"/>
        </w:rPr>
        <w:noBreakHyphen/>
        <w:t xml:space="preserve">seven patients die needlessly each day in the NHS. Change is good, but patient safety must come first’, </w:t>
      </w:r>
      <w:r>
        <w:rPr>
          <w:rStyle w:val="s3"/>
        </w:rPr>
        <w:t>The Guardian</w:t>
      </w:r>
      <w:r>
        <w:rPr>
          <w:rStyle w:val="s2"/>
        </w:rPr>
        <w:t>, 24 March. Available at: https://www.theguardian.com/commentisfree/2025/mar/24/nhs-reform-wes-streeting-labour-jeremy-hunt (Accessed: 26/03/2026).</w:t>
      </w:r>
    </w:p>
    <w:p w14:paraId="33AF124D" w14:textId="63763FF5" w:rsidR="006332F9" w:rsidRDefault="006332F9" w:rsidP="006332F9">
      <w:pPr>
        <w:pStyle w:val="p1"/>
      </w:pPr>
      <w:r>
        <w:rPr>
          <w:rStyle w:val="s1"/>
        </w:rPr>
        <w:t>Imperial College London</w:t>
      </w:r>
      <w:r>
        <w:rPr>
          <w:rStyle w:val="s2"/>
        </w:rPr>
        <w:t xml:space="preserve"> (2024) </w:t>
      </w:r>
      <w:r>
        <w:rPr>
          <w:rStyle w:val="s3"/>
        </w:rPr>
        <w:t>National State of Patient Safety 2024: Prioritising improvement efforts in a system under stress</w:t>
      </w:r>
      <w:r>
        <w:rPr>
          <w:rStyle w:val="s2"/>
        </w:rPr>
        <w:t>. Available at: https://www.imperial.ac.uk/Stories/National-State-Patient-Safety-2024/ (Accessed: 26/03/2026).</w:t>
      </w:r>
    </w:p>
    <w:p w14:paraId="5448386F" w14:textId="0EEE1303" w:rsidR="006332F9" w:rsidRDefault="006332F9" w:rsidP="006332F9">
      <w:pPr>
        <w:pStyle w:val="p1"/>
      </w:pPr>
      <w:r>
        <w:rPr>
          <w:rStyle w:val="s1"/>
        </w:rPr>
        <w:t>Kim, B. &amp; Yu, S.</w:t>
      </w:r>
      <w:r>
        <w:rPr>
          <w:rStyle w:val="s2"/>
        </w:rPr>
        <w:t xml:space="preserve"> (2024) ‘Factors affecting the patient safety activities of hospital nurses: A cross-sectional study focusing on shared leadership’, </w:t>
      </w:r>
      <w:r>
        <w:rPr>
          <w:rStyle w:val="s3"/>
        </w:rPr>
        <w:t>Safety Science</w:t>
      </w:r>
      <w:r>
        <w:rPr>
          <w:rStyle w:val="s2"/>
        </w:rPr>
        <w:t>, 174, Article 106460. doi:10.1016/j.ssci.2024.106460.</w:t>
      </w:r>
    </w:p>
    <w:p w14:paraId="1A2C0D38" w14:textId="30D51355" w:rsidR="006332F9" w:rsidRDefault="006332F9" w:rsidP="006332F9">
      <w:pPr>
        <w:pStyle w:val="p1"/>
      </w:pPr>
      <w:r>
        <w:rPr>
          <w:rStyle w:val="s1"/>
        </w:rPr>
        <w:t>Labrague, L.J., et al.</w:t>
      </w:r>
      <w:r>
        <w:rPr>
          <w:rStyle w:val="s2"/>
        </w:rPr>
        <w:t xml:space="preserve"> (2024) ‘Relationship between transformational leadership, work satisfaction, adverse patient events and care quality among emergency nurses’, </w:t>
      </w:r>
      <w:r>
        <w:rPr>
          <w:rStyle w:val="s3"/>
        </w:rPr>
        <w:t>Journal of Emergency Nursing</w:t>
      </w:r>
      <w:r>
        <w:rPr>
          <w:rStyle w:val="s2"/>
        </w:rPr>
        <w:t>, 50(2), pp. 123</w:t>
      </w:r>
      <w:r>
        <w:rPr>
          <w:rStyle w:val="s2"/>
        </w:rPr>
        <w:noBreakHyphen/>
        <w:t>131. doi:10.1016/j.jen.2023.10.005.</w:t>
      </w:r>
    </w:p>
    <w:p w14:paraId="598E4D07" w14:textId="2A981525" w:rsidR="006332F9" w:rsidRDefault="006332F9" w:rsidP="006332F9">
      <w:pPr>
        <w:pStyle w:val="p1"/>
      </w:pPr>
      <w:r>
        <w:rPr>
          <w:rStyle w:val="s1"/>
        </w:rPr>
        <w:t>NCBI StatPearls</w:t>
      </w:r>
      <w:r>
        <w:rPr>
          <w:rStyle w:val="s2"/>
        </w:rPr>
        <w:t xml:space="preserve"> (2024) ‘Ketorolac – GI Risks’. Available at: https://www.ncbi.nlm.nih.gov/books/NBK545172/ (Accessed: 26/03/2026).</w:t>
      </w:r>
    </w:p>
    <w:p w14:paraId="5349B3FA" w14:textId="569FEB5E" w:rsidR="006332F9" w:rsidRDefault="006332F9" w:rsidP="006332F9">
      <w:pPr>
        <w:pStyle w:val="p1"/>
      </w:pPr>
      <w:r>
        <w:rPr>
          <w:rStyle w:val="s1"/>
        </w:rPr>
        <w:t>NHS Confederation</w:t>
      </w:r>
      <w:r>
        <w:rPr>
          <w:rStyle w:val="s2"/>
        </w:rPr>
        <w:t xml:space="preserve"> (2024) </w:t>
      </w:r>
      <w:r>
        <w:rPr>
          <w:rStyle w:val="s3"/>
        </w:rPr>
        <w:t>NHS leadership, performance and patient safety: evidence to the House of Commons Health and Social Care Select Committee inquiry</w:t>
      </w:r>
      <w:r>
        <w:rPr>
          <w:rStyle w:val="s2"/>
        </w:rPr>
        <w:t>. Available at: https://www.nhsconfed.org/publications/nhs-leadership-performance-and-patient-safety (Accessed: 26/03/2026).</w:t>
      </w:r>
    </w:p>
    <w:p w14:paraId="51ECA210" w14:textId="511A70B6" w:rsidR="006332F9" w:rsidRDefault="006332F9" w:rsidP="006332F9">
      <w:pPr>
        <w:pStyle w:val="p1"/>
      </w:pPr>
      <w:r>
        <w:rPr>
          <w:rStyle w:val="s1"/>
        </w:rPr>
        <w:t>NHS England</w:t>
      </w:r>
      <w:r>
        <w:rPr>
          <w:rStyle w:val="s2"/>
        </w:rPr>
        <w:t xml:space="preserve"> (2024) </w:t>
      </w:r>
      <w:r>
        <w:rPr>
          <w:rStyle w:val="s3"/>
        </w:rPr>
        <w:t>Patient Safety Event Data</w:t>
      </w:r>
      <w:r>
        <w:rPr>
          <w:rStyle w:val="s2"/>
        </w:rPr>
        <w:t>. Available at: https://www.england.nhs.uk/statistics/statistical-work-areas/patient-safety-data/ (Accessed: 26/03/2026).</w:t>
      </w:r>
    </w:p>
    <w:p w14:paraId="17D0A8F2" w14:textId="6D47594E" w:rsidR="006332F9" w:rsidRDefault="006332F9" w:rsidP="006332F9">
      <w:pPr>
        <w:pStyle w:val="p1"/>
      </w:pPr>
      <w:r>
        <w:rPr>
          <w:rStyle w:val="s1"/>
        </w:rPr>
        <w:t>O’Brien, W.J., Schweizer, M.L., Strymish, J., et al.</w:t>
      </w:r>
      <w:r>
        <w:rPr>
          <w:rStyle w:val="s2"/>
        </w:rPr>
        <w:t xml:space="preserve"> (2024) ‘Propensity score</w:t>
      </w:r>
      <w:r>
        <w:rPr>
          <w:rStyle w:val="s2"/>
        </w:rPr>
        <w:noBreakHyphen/>
        <w:t xml:space="preserve">weighted analysis of postoperative infection in patients with and without preoperative urine culture’, </w:t>
      </w:r>
      <w:r>
        <w:rPr>
          <w:rStyle w:val="s3"/>
        </w:rPr>
        <w:t>JAMA Network Open</w:t>
      </w:r>
      <w:r>
        <w:rPr>
          <w:rStyle w:val="s2"/>
        </w:rPr>
        <w:t>, 7(3), e240900. doi:10.1001/jamanetworkopen.2024.0900.</w:t>
      </w:r>
    </w:p>
    <w:p w14:paraId="5959DAC1" w14:textId="1E34EE47" w:rsidR="006332F9" w:rsidRDefault="006332F9" w:rsidP="006332F9">
      <w:pPr>
        <w:pStyle w:val="p1"/>
      </w:pPr>
      <w:r>
        <w:rPr>
          <w:rStyle w:val="s1"/>
        </w:rPr>
        <w:t>OECD</w:t>
      </w:r>
      <w:r>
        <w:rPr>
          <w:rStyle w:val="s2"/>
        </w:rPr>
        <w:t xml:space="preserve"> (2021) </w:t>
      </w:r>
      <w:r>
        <w:rPr>
          <w:rStyle w:val="s3"/>
        </w:rPr>
        <w:t>Patient Safety in Hospitals</w:t>
      </w:r>
      <w:r>
        <w:rPr>
          <w:rStyle w:val="s2"/>
        </w:rPr>
        <w:t>. Available at: https://www.oecd.org/health/patient-safety-in-hospitals.htm (Accessed: 26/03/2026).</w:t>
      </w:r>
    </w:p>
    <w:p w14:paraId="530B3B6E" w14:textId="506423C2" w:rsidR="006332F9" w:rsidRDefault="006332F9" w:rsidP="006332F9">
      <w:pPr>
        <w:pStyle w:val="p1"/>
      </w:pPr>
      <w:r>
        <w:rPr>
          <w:rStyle w:val="s1"/>
        </w:rPr>
        <w:t>Organisation for Economic Co</w:t>
      </w:r>
      <w:r>
        <w:rPr>
          <w:rStyle w:val="s1"/>
        </w:rPr>
        <w:noBreakHyphen/>
        <w:t>operation and Development (OECD)</w:t>
      </w:r>
      <w:r>
        <w:rPr>
          <w:rStyle w:val="s2"/>
        </w:rPr>
        <w:t xml:space="preserve"> (2021) </w:t>
      </w:r>
      <w:r>
        <w:rPr>
          <w:rStyle w:val="s3"/>
        </w:rPr>
        <w:t>Patient safety</w:t>
      </w:r>
      <w:r>
        <w:rPr>
          <w:rStyle w:val="s2"/>
        </w:rPr>
        <w:t>. Available at: https://www.oecd.org/en/topics/patient-safety.html (Accessed: 26/03/2026).</w:t>
      </w:r>
    </w:p>
    <w:p w14:paraId="51EBC87D" w14:textId="1C82349E" w:rsidR="006332F9" w:rsidRDefault="006332F9" w:rsidP="006332F9">
      <w:pPr>
        <w:pStyle w:val="p1"/>
      </w:pPr>
      <w:r>
        <w:rPr>
          <w:rStyle w:val="s1"/>
        </w:rPr>
        <w:t>Oliveira, R., Santinha, G. &amp; Sá Marques, T.</w:t>
      </w:r>
      <w:r>
        <w:rPr>
          <w:rStyle w:val="s2"/>
        </w:rPr>
        <w:t xml:space="preserve"> (2024) ‘The impacts of health decentralization on equity, efficiency, and effectiveness: a scoping review’, </w:t>
      </w:r>
      <w:r>
        <w:rPr>
          <w:rStyle w:val="s3"/>
        </w:rPr>
        <w:t>Sustainability</w:t>
      </w:r>
      <w:r>
        <w:rPr>
          <w:rStyle w:val="s2"/>
        </w:rPr>
        <w:t>, 16(1), 386. doi:10.3390/su16010386.</w:t>
      </w:r>
    </w:p>
    <w:p w14:paraId="45CE2B62" w14:textId="65D190D2" w:rsidR="006332F9" w:rsidRDefault="006332F9" w:rsidP="006332F9">
      <w:pPr>
        <w:pStyle w:val="p1"/>
      </w:pPr>
      <w:r>
        <w:rPr>
          <w:rStyle w:val="s1"/>
        </w:rPr>
        <w:t>Patient Safety Learning</w:t>
      </w:r>
      <w:r>
        <w:rPr>
          <w:rStyle w:val="s2"/>
        </w:rPr>
        <w:t xml:space="preserve"> (2022) </w:t>
      </w:r>
      <w:r>
        <w:rPr>
          <w:rStyle w:val="s3"/>
        </w:rPr>
        <w:t>Patient safety implementation gap</w:t>
      </w:r>
      <w:r>
        <w:rPr>
          <w:rStyle w:val="s2"/>
        </w:rPr>
        <w:t>. Available at: https://www.patientsafetylearning.org (Accessed: 26/03/2026).</w:t>
      </w:r>
    </w:p>
    <w:p w14:paraId="23F0CA47" w14:textId="564BCF4C" w:rsidR="006332F9" w:rsidRDefault="006332F9" w:rsidP="006332F9">
      <w:pPr>
        <w:pStyle w:val="p1"/>
      </w:pPr>
      <w:r>
        <w:rPr>
          <w:rStyle w:val="s1"/>
        </w:rPr>
        <w:t>Ramos, M.J.R. &amp; Abós, S.C.</w:t>
      </w:r>
      <w:r>
        <w:rPr>
          <w:rStyle w:val="s2"/>
        </w:rPr>
        <w:t xml:space="preserve"> (2024) ‘Patient safety culture: nurses’ perspective in the hospital setting’, </w:t>
      </w:r>
      <w:r>
        <w:rPr>
          <w:rStyle w:val="s3"/>
        </w:rPr>
        <w:t>Healthcare</w:t>
      </w:r>
      <w:r>
        <w:rPr>
          <w:rStyle w:val="s2"/>
        </w:rPr>
        <w:t>, 12(10), p.1010. doi:10.3390/healthcare12101010.</w:t>
      </w:r>
    </w:p>
    <w:p w14:paraId="1E448B60" w14:textId="008F242C" w:rsidR="006332F9" w:rsidRDefault="006332F9" w:rsidP="006332F9">
      <w:pPr>
        <w:pStyle w:val="p1"/>
      </w:pPr>
      <w:r>
        <w:rPr>
          <w:rStyle w:val="s1"/>
        </w:rPr>
        <w:t>Ramsay, A.I.G., Tomini, S.M., Gandhi, S., Fulop, N.J. &amp; Morris, S.</w:t>
      </w:r>
      <w:r>
        <w:rPr>
          <w:rStyle w:val="s2"/>
        </w:rPr>
        <w:t xml:space="preserve"> (2025) </w:t>
      </w:r>
      <w:r>
        <w:rPr>
          <w:rStyle w:val="s3"/>
        </w:rPr>
        <w:t>Centralisation of specialised healthcare services: a scoping review of definitions, types, and impact on outcomes</w:t>
      </w:r>
      <w:r>
        <w:rPr>
          <w:rStyle w:val="s2"/>
        </w:rPr>
        <w:t>. Available at: https://www.ncbi.nlm.nih.gov/books/NBK617419/ (Accessed: 25/03/2026).</w:t>
      </w:r>
    </w:p>
    <w:p w14:paraId="10DE3EBE" w14:textId="2DDF6EB2" w:rsidR="006332F9" w:rsidRDefault="006332F9" w:rsidP="006332F9">
      <w:pPr>
        <w:pStyle w:val="p1"/>
      </w:pPr>
      <w:r>
        <w:rPr>
          <w:rStyle w:val="s1"/>
        </w:rPr>
        <w:t>Sadeghi, R., Naderi, Z. &amp; Yusefi, A.R.</w:t>
      </w:r>
      <w:r>
        <w:rPr>
          <w:rStyle w:val="s2"/>
        </w:rPr>
        <w:t xml:space="preserve"> (2025) ‘How patient safety culture influences nurses’ responsibility: a structural equation modelling study’, </w:t>
      </w:r>
      <w:r>
        <w:rPr>
          <w:rStyle w:val="s3"/>
        </w:rPr>
        <w:t>BMC Nursing</w:t>
      </w:r>
      <w:r>
        <w:rPr>
          <w:rStyle w:val="s2"/>
        </w:rPr>
        <w:t>, 24:1414. doi:10.1186/s12912-025-04072-y.</w:t>
      </w:r>
    </w:p>
    <w:p w14:paraId="2D514299" w14:textId="1A195807" w:rsidR="006332F9" w:rsidRDefault="006332F9" w:rsidP="006332F9">
      <w:pPr>
        <w:pStyle w:val="p1"/>
      </w:pPr>
      <w:r>
        <w:rPr>
          <w:rStyle w:val="s1"/>
        </w:rPr>
        <w:t>Sapkota, S., Dhakal, A., Rushton, S., van Teijlingen, E., Marahatta, S.B., Balen, J., Lee, A.C.K. et al.</w:t>
      </w:r>
      <w:r>
        <w:rPr>
          <w:rStyle w:val="s2"/>
        </w:rPr>
        <w:t xml:space="preserve"> (2023) ‘The impact of decentralisation on health systems: A systematic review of reviews’, </w:t>
      </w:r>
      <w:r>
        <w:rPr>
          <w:rStyle w:val="s3"/>
        </w:rPr>
        <w:t>BMJ Global Health</w:t>
      </w:r>
      <w:r>
        <w:rPr>
          <w:rStyle w:val="s2"/>
        </w:rPr>
        <w:t>, 8(12), e013317. doi:10.1136/bmjgh-2023-013317.</w:t>
      </w:r>
    </w:p>
    <w:p w14:paraId="17D99626" w14:textId="3524F522" w:rsidR="006332F9" w:rsidRDefault="006332F9" w:rsidP="006332F9">
      <w:pPr>
        <w:pStyle w:val="p1"/>
      </w:pPr>
      <w:r>
        <w:rPr>
          <w:rStyle w:val="s1"/>
        </w:rPr>
        <w:t>Shishkin, S.S., Sheiman, I., Potapchik, E., Vlassov, V. &amp; Sazhina, S.</w:t>
      </w:r>
      <w:r>
        <w:rPr>
          <w:rStyle w:val="s2"/>
        </w:rPr>
        <w:t xml:space="preserve"> (2025) ‘The impact of centralization on structural changes in healthcare: When it works’, </w:t>
      </w:r>
      <w:r>
        <w:rPr>
          <w:rStyle w:val="s3"/>
        </w:rPr>
        <w:t>Frontiers in Health Services</w:t>
      </w:r>
      <w:r>
        <w:rPr>
          <w:rStyle w:val="s2"/>
        </w:rPr>
        <w:t>, 5, 1484225. doi:10.3389/frhs.2025.1484225.</w:t>
      </w:r>
    </w:p>
    <w:p w14:paraId="76782EDF" w14:textId="66D7EEED" w:rsidR="006332F9" w:rsidRDefault="006332F9" w:rsidP="006332F9">
      <w:pPr>
        <w:pStyle w:val="p1"/>
      </w:pPr>
      <w:r>
        <w:rPr>
          <w:rStyle w:val="s1"/>
        </w:rPr>
        <w:t>Stanikzai, M.E. &amp; Mittal, E.</w:t>
      </w:r>
      <w:r>
        <w:rPr>
          <w:rStyle w:val="s2"/>
        </w:rPr>
        <w:t xml:space="preserve"> (2025) ‘Strategic alignment of organizational structure based on decisions for sustainable organizational performance: A bibliometric-systematic literature review’, </w:t>
      </w:r>
      <w:r>
        <w:rPr>
          <w:rStyle w:val="s3"/>
        </w:rPr>
        <w:t>Cogent Business &amp; Management</w:t>
      </w:r>
      <w:r>
        <w:rPr>
          <w:rStyle w:val="s2"/>
        </w:rPr>
        <w:t>, 12(1), 2560650. doi:10.1080/23311975.2025.2560650.</w:t>
      </w:r>
    </w:p>
    <w:p w14:paraId="6FDE0473" w14:textId="4934793C" w:rsidR="006332F9" w:rsidRDefault="006332F9" w:rsidP="006332F9">
      <w:pPr>
        <w:pStyle w:val="p1"/>
      </w:pPr>
      <w:r>
        <w:rPr>
          <w:rStyle w:val="s1"/>
        </w:rPr>
        <w:t>Vehviläinen, E., Sainsbury, J., Stacey, G. &amp; Westwood, G.</w:t>
      </w:r>
      <w:r>
        <w:rPr>
          <w:rStyle w:val="s2"/>
        </w:rPr>
        <w:t xml:space="preserve"> (2024) ‘Influences of leadership, organisational culture, and hierarchy on raising concerns about patient deterioration’, </w:t>
      </w:r>
      <w:r>
        <w:rPr>
          <w:rStyle w:val="s3"/>
        </w:rPr>
        <w:t>Journal of Patient Safety</w:t>
      </w:r>
      <w:r>
        <w:rPr>
          <w:rStyle w:val="s2"/>
        </w:rPr>
        <w:t>, 20(5), e73–e77. doi:10.1097/PTS.0000000000001234.</w:t>
      </w:r>
    </w:p>
    <w:p w14:paraId="282A307D" w14:textId="3134625F" w:rsidR="006332F9" w:rsidRDefault="006332F9" w:rsidP="006332F9">
      <w:pPr>
        <w:pStyle w:val="p1"/>
      </w:pPr>
      <w:r>
        <w:rPr>
          <w:rStyle w:val="s1"/>
        </w:rPr>
        <w:t>WHO</w:t>
      </w:r>
      <w:r>
        <w:rPr>
          <w:rStyle w:val="s2"/>
        </w:rPr>
        <w:t xml:space="preserve"> (2023) </w:t>
      </w:r>
      <w:r>
        <w:rPr>
          <w:rStyle w:val="s3"/>
        </w:rPr>
        <w:t>Patient Safety Fact Sheet</w:t>
      </w:r>
      <w:r>
        <w:rPr>
          <w:rStyle w:val="s2"/>
        </w:rPr>
        <w:t>. Available at: https://www.who.int/news-room/fact-sheets/detail/patient-safety (Accessed: 26/03/2026).</w:t>
      </w:r>
    </w:p>
    <w:p w14:paraId="23546466" w14:textId="56AF84C3" w:rsidR="006332F9" w:rsidRDefault="006332F9" w:rsidP="006332F9">
      <w:pPr>
        <w:pStyle w:val="p1"/>
      </w:pPr>
      <w:r>
        <w:rPr>
          <w:rStyle w:val="s1"/>
        </w:rPr>
        <w:t>Williams, B.</w:t>
      </w:r>
      <w:r>
        <w:rPr>
          <w:rStyle w:val="s2"/>
        </w:rPr>
        <w:t xml:space="preserve"> (2022) ‘The National Early Warning Score: from concept to NHS implementation’, </w:t>
      </w:r>
      <w:r>
        <w:rPr>
          <w:rStyle w:val="s3"/>
        </w:rPr>
        <w:t>Clinical Medicine</w:t>
      </w:r>
      <w:r>
        <w:rPr>
          <w:rStyle w:val="s2"/>
        </w:rPr>
        <w:t>, 22(6), pp. 499</w:t>
      </w:r>
      <w:r>
        <w:rPr>
          <w:rStyle w:val="s2"/>
        </w:rPr>
        <w:noBreakHyphen/>
        <w:t>505. Available at: https://pubmed.ncbi.nlm.nih.gov/36427887/ (Accessed: 27/03/2026).</w:t>
      </w:r>
    </w:p>
    <w:p w14:paraId="779C6B0D" w14:textId="6AC282C2" w:rsidR="006332F9" w:rsidRDefault="006332F9">
      <w:pPr>
        <w:pStyle w:val="p1"/>
      </w:pPr>
      <w:r>
        <w:rPr>
          <w:rStyle w:val="s1"/>
        </w:rPr>
        <w:t>Wu, Y., Awang, S.R., Ahmad, T. &amp; You, C.</w:t>
      </w:r>
      <w:r>
        <w:rPr>
          <w:rStyle w:val="s2"/>
        </w:rPr>
        <w:t xml:space="preserve"> (2024) ‘A systematic review of leadership styles in healthcare sector: Insights and future directions’, </w:t>
      </w:r>
      <w:r>
        <w:rPr>
          <w:rStyle w:val="s3"/>
        </w:rPr>
        <w:t>Geriatric Nursing</w:t>
      </w:r>
      <w:r>
        <w:rPr>
          <w:rStyle w:val="s2"/>
        </w:rPr>
        <w:t>, 59, pp. 48</w:t>
      </w:r>
      <w:r>
        <w:rPr>
          <w:rStyle w:val="s2"/>
        </w:rPr>
        <w:noBreakHyphen/>
        <w:t>59. Available at: https://www.sciencedirect.com/science/article/abs/pii/S0197457224001794 (Accessed: 25/03/2026).</w:t>
      </w:r>
    </w:p>
    <w:p w14:paraId="2B7E9E77" w14:textId="77777777" w:rsidR="00531FB6" w:rsidRPr="00021A9F" w:rsidRDefault="00531FB6" w:rsidP="00021A9F">
      <w:pPr>
        <w:spacing w:after="0" w:line="240" w:lineRule="auto"/>
        <w:rPr>
          <w:rFonts w:ascii=".AppleSystemUIFont" w:hAnsi=".AppleSystemUIFont" w:cs="Times New Roman"/>
          <w:sz w:val="26"/>
          <w:szCs w:val="26"/>
          <w:lang w:val="en-001" w:eastAsia="en-GB"/>
        </w:rPr>
      </w:pPr>
    </w:p>
    <w:sectPr w:rsidR="00531FB6" w:rsidRPr="00021A9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pleSystemUIFont">
    <w:altName w:val="Cambria"/>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4C013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3C1EB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92126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497C3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E04431A"/>
    <w:multiLevelType w:val="hybridMultilevel"/>
    <w:tmpl w:val="E474FD4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284E60A8"/>
    <w:multiLevelType w:val="multilevel"/>
    <w:tmpl w:val="FFFFFFFF"/>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6" w15:restartNumberingAfterBreak="0">
    <w:nsid w:val="29891F8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0C40FD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0F398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2BF085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40E4652"/>
    <w:multiLevelType w:val="multilevel"/>
    <w:tmpl w:val="5E6826D2"/>
    <w:lvl w:ilvl="0">
      <w:start w:val="1"/>
      <w:numFmt w:val="bullet"/>
      <w:lvlText w:val=""/>
      <w:lvlJc w:val="left"/>
      <w:pPr>
        <w:tabs>
          <w:tab w:val="num" w:pos="360"/>
        </w:tabs>
        <w:ind w:left="360" w:hanging="360"/>
      </w:pPr>
      <w:rPr>
        <w:rFonts w:ascii="Symbol" w:hAnsi="Symbol" w:hint="default"/>
      </w:r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1" w15:restartNumberingAfterBreak="0">
    <w:nsid w:val="364A7C35"/>
    <w:multiLevelType w:val="multilevel"/>
    <w:tmpl w:val="5E6826D2"/>
    <w:lvl w:ilvl="0">
      <w:start w:val="1"/>
      <w:numFmt w:val="bullet"/>
      <w:lvlText w:val=""/>
      <w:lvlJc w:val="left"/>
      <w:pPr>
        <w:tabs>
          <w:tab w:val="num" w:pos="360"/>
        </w:tabs>
        <w:ind w:left="360" w:hanging="360"/>
      </w:pPr>
      <w:rPr>
        <w:rFonts w:ascii="Symbol" w:hAnsi="Symbol" w:hint="default"/>
      </w:r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2" w15:restartNumberingAfterBreak="0">
    <w:nsid w:val="3739486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B6850B9"/>
    <w:multiLevelType w:val="multilevel"/>
    <w:tmpl w:val="5E6826D2"/>
    <w:lvl w:ilvl="0">
      <w:start w:val="1"/>
      <w:numFmt w:val="bullet"/>
      <w:lvlText w:val=""/>
      <w:lvlJc w:val="left"/>
      <w:pPr>
        <w:tabs>
          <w:tab w:val="num" w:pos="360"/>
        </w:tabs>
        <w:ind w:left="360" w:hanging="360"/>
      </w:pPr>
      <w:rPr>
        <w:rFonts w:ascii="Symbol" w:hAnsi="Symbol" w:hint="default"/>
      </w:r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4" w15:restartNumberingAfterBreak="0">
    <w:nsid w:val="3CD03227"/>
    <w:multiLevelType w:val="multilevel"/>
    <w:tmpl w:val="5E6826D2"/>
    <w:lvl w:ilvl="0">
      <w:start w:val="1"/>
      <w:numFmt w:val="bullet"/>
      <w:lvlText w:val=""/>
      <w:lvlJc w:val="left"/>
      <w:pPr>
        <w:tabs>
          <w:tab w:val="num" w:pos="360"/>
        </w:tabs>
        <w:ind w:left="360" w:hanging="360"/>
      </w:pPr>
      <w:rPr>
        <w:rFonts w:ascii="Symbol" w:hAnsi="Symbol" w:hint="default"/>
      </w:r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5" w15:restartNumberingAfterBreak="0">
    <w:nsid w:val="3F683E4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3055E9C"/>
    <w:multiLevelType w:val="multilevel"/>
    <w:tmpl w:val="FFFFFFFF"/>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7" w15:restartNumberingAfterBreak="0">
    <w:nsid w:val="45854F0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91277D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C687D2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D882C00"/>
    <w:multiLevelType w:val="multilevel"/>
    <w:tmpl w:val="FFFFFFFF"/>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1" w15:restartNumberingAfterBreak="0">
    <w:nsid w:val="60196380"/>
    <w:multiLevelType w:val="multilevel"/>
    <w:tmpl w:val="5E6826D2"/>
    <w:lvl w:ilvl="0">
      <w:start w:val="1"/>
      <w:numFmt w:val="bullet"/>
      <w:lvlText w:val=""/>
      <w:lvlJc w:val="left"/>
      <w:pPr>
        <w:tabs>
          <w:tab w:val="num" w:pos="360"/>
        </w:tabs>
        <w:ind w:left="360" w:hanging="360"/>
      </w:pPr>
      <w:rPr>
        <w:rFonts w:ascii="Symbol" w:hAnsi="Symbol" w:hint="default"/>
      </w:r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2" w15:restartNumberingAfterBreak="0">
    <w:nsid w:val="60851FF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0BA1332"/>
    <w:multiLevelType w:val="multilevel"/>
    <w:tmpl w:val="FFFFFFFF"/>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4" w15:restartNumberingAfterBreak="0">
    <w:nsid w:val="655657E4"/>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F822018"/>
    <w:multiLevelType w:val="multilevel"/>
    <w:tmpl w:val="5E6826D2"/>
    <w:lvl w:ilvl="0">
      <w:start w:val="1"/>
      <w:numFmt w:val="bullet"/>
      <w:lvlText w:val=""/>
      <w:lvlJc w:val="left"/>
      <w:pPr>
        <w:tabs>
          <w:tab w:val="num" w:pos="360"/>
        </w:tabs>
        <w:ind w:left="360" w:hanging="360"/>
      </w:pPr>
      <w:rPr>
        <w:rFonts w:ascii="Symbol" w:hAnsi="Symbol" w:hint="default"/>
      </w:r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6" w15:restartNumberingAfterBreak="0">
    <w:nsid w:val="70040DE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28C4526"/>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3B40877"/>
    <w:multiLevelType w:val="multilevel"/>
    <w:tmpl w:val="FFFFFFFF"/>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9" w15:restartNumberingAfterBreak="0">
    <w:nsid w:val="74566A94"/>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4C16DD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766632B"/>
    <w:multiLevelType w:val="multilevel"/>
    <w:tmpl w:val="5E6826D2"/>
    <w:lvl w:ilvl="0">
      <w:start w:val="1"/>
      <w:numFmt w:val="bullet"/>
      <w:lvlText w:val=""/>
      <w:lvlJc w:val="left"/>
      <w:pPr>
        <w:tabs>
          <w:tab w:val="num" w:pos="360"/>
        </w:tabs>
        <w:ind w:left="360" w:hanging="360"/>
      </w:pPr>
      <w:rPr>
        <w:rFonts w:ascii="Symbol" w:hAnsi="Symbol" w:hint="default"/>
      </w:rPr>
    </w:lvl>
    <w:lvl w:ilvl="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32" w15:restartNumberingAfterBreak="0">
    <w:nsid w:val="7E0A1F8F"/>
    <w:multiLevelType w:val="multilevel"/>
    <w:tmpl w:val="FFFFFFFF"/>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num w:numId="1" w16cid:durableId="1193421962">
    <w:abstractNumId w:val="17"/>
  </w:num>
  <w:num w:numId="2" w16cid:durableId="914821707">
    <w:abstractNumId w:val="26"/>
  </w:num>
  <w:num w:numId="3" w16cid:durableId="123618930">
    <w:abstractNumId w:val="30"/>
  </w:num>
  <w:num w:numId="4" w16cid:durableId="233590960">
    <w:abstractNumId w:val="19"/>
  </w:num>
  <w:num w:numId="5" w16cid:durableId="337579612">
    <w:abstractNumId w:val="18"/>
  </w:num>
  <w:num w:numId="6" w16cid:durableId="858785767">
    <w:abstractNumId w:val="3"/>
  </w:num>
  <w:num w:numId="7" w16cid:durableId="341670243">
    <w:abstractNumId w:val="22"/>
  </w:num>
  <w:num w:numId="8" w16cid:durableId="1209224161">
    <w:abstractNumId w:val="1"/>
  </w:num>
  <w:num w:numId="9" w16cid:durableId="1478573186">
    <w:abstractNumId w:val="8"/>
  </w:num>
  <w:num w:numId="10" w16cid:durableId="527184977">
    <w:abstractNumId w:val="2"/>
  </w:num>
  <w:num w:numId="11" w16cid:durableId="1180586486">
    <w:abstractNumId w:val="12"/>
  </w:num>
  <w:num w:numId="12" w16cid:durableId="47151255">
    <w:abstractNumId w:val="6"/>
  </w:num>
  <w:num w:numId="13" w16cid:durableId="982661019">
    <w:abstractNumId w:val="0"/>
  </w:num>
  <w:num w:numId="14" w16cid:durableId="238826761">
    <w:abstractNumId w:val="29"/>
  </w:num>
  <w:num w:numId="15" w16cid:durableId="669866424">
    <w:abstractNumId w:val="20"/>
  </w:num>
  <w:num w:numId="16" w16cid:durableId="739717537">
    <w:abstractNumId w:val="23"/>
  </w:num>
  <w:num w:numId="17" w16cid:durableId="1608998969">
    <w:abstractNumId w:val="7"/>
  </w:num>
  <w:num w:numId="18" w16cid:durableId="1437097242">
    <w:abstractNumId w:val="5"/>
  </w:num>
  <w:num w:numId="19" w16cid:durableId="2110616208">
    <w:abstractNumId w:val="27"/>
  </w:num>
  <w:num w:numId="20" w16cid:durableId="68042485">
    <w:abstractNumId w:val="15"/>
  </w:num>
  <w:num w:numId="21" w16cid:durableId="1809546708">
    <w:abstractNumId w:val="32"/>
  </w:num>
  <w:num w:numId="22" w16cid:durableId="1705405738">
    <w:abstractNumId w:val="28"/>
  </w:num>
  <w:num w:numId="23" w16cid:durableId="544220420">
    <w:abstractNumId w:val="9"/>
  </w:num>
  <w:num w:numId="24" w16cid:durableId="1922254258">
    <w:abstractNumId w:val="10"/>
  </w:num>
  <w:num w:numId="25" w16cid:durableId="1797287234">
    <w:abstractNumId w:val="21"/>
  </w:num>
  <w:num w:numId="26" w16cid:durableId="1131289684">
    <w:abstractNumId w:val="14"/>
  </w:num>
  <w:num w:numId="27" w16cid:durableId="2065059260">
    <w:abstractNumId w:val="25"/>
  </w:num>
  <w:num w:numId="28" w16cid:durableId="177163096">
    <w:abstractNumId w:val="24"/>
  </w:num>
  <w:num w:numId="29" w16cid:durableId="116605313">
    <w:abstractNumId w:val="13"/>
  </w:num>
  <w:num w:numId="30" w16cid:durableId="1588080419">
    <w:abstractNumId w:val="16"/>
  </w:num>
  <w:num w:numId="31" w16cid:durableId="1606184754">
    <w:abstractNumId w:val="4"/>
  </w:num>
  <w:num w:numId="32" w16cid:durableId="1493569674">
    <w:abstractNumId w:val="11"/>
  </w:num>
  <w:num w:numId="33" w16cid:durableId="513149698">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5A9DF31"/>
    <w:rsid w:val="00021A9F"/>
    <w:rsid w:val="00046751"/>
    <w:rsid w:val="000648A7"/>
    <w:rsid w:val="00066A31"/>
    <w:rsid w:val="0009113B"/>
    <w:rsid w:val="000966B5"/>
    <w:rsid w:val="000D6739"/>
    <w:rsid w:val="000F76D4"/>
    <w:rsid w:val="001051C1"/>
    <w:rsid w:val="0011188B"/>
    <w:rsid w:val="001218C1"/>
    <w:rsid w:val="00134FA5"/>
    <w:rsid w:val="00144BDA"/>
    <w:rsid w:val="00154F34"/>
    <w:rsid w:val="00181D4E"/>
    <w:rsid w:val="001A3573"/>
    <w:rsid w:val="001B10D3"/>
    <w:rsid w:val="001B4453"/>
    <w:rsid w:val="001B59B4"/>
    <w:rsid w:val="001E33C2"/>
    <w:rsid w:val="001E59B2"/>
    <w:rsid w:val="001E7842"/>
    <w:rsid w:val="002171F4"/>
    <w:rsid w:val="00244E57"/>
    <w:rsid w:val="00286403"/>
    <w:rsid w:val="002B4314"/>
    <w:rsid w:val="00312347"/>
    <w:rsid w:val="00313684"/>
    <w:rsid w:val="003A3BD6"/>
    <w:rsid w:val="003B0B7F"/>
    <w:rsid w:val="003C6336"/>
    <w:rsid w:val="003E75BB"/>
    <w:rsid w:val="003F6924"/>
    <w:rsid w:val="00423DF1"/>
    <w:rsid w:val="004C1B0E"/>
    <w:rsid w:val="004C2DD9"/>
    <w:rsid w:val="004C6C1F"/>
    <w:rsid w:val="004D058A"/>
    <w:rsid w:val="00510642"/>
    <w:rsid w:val="00531FB6"/>
    <w:rsid w:val="00541E7E"/>
    <w:rsid w:val="005A2CE8"/>
    <w:rsid w:val="005B4E7E"/>
    <w:rsid w:val="005E3965"/>
    <w:rsid w:val="005F0A4E"/>
    <w:rsid w:val="00601E3E"/>
    <w:rsid w:val="00605EBC"/>
    <w:rsid w:val="006134B0"/>
    <w:rsid w:val="0063305B"/>
    <w:rsid w:val="006332F9"/>
    <w:rsid w:val="00645FD2"/>
    <w:rsid w:val="00646546"/>
    <w:rsid w:val="0064765A"/>
    <w:rsid w:val="00656864"/>
    <w:rsid w:val="006627E1"/>
    <w:rsid w:val="00663E6E"/>
    <w:rsid w:val="006A2855"/>
    <w:rsid w:val="006D2D7B"/>
    <w:rsid w:val="007156F8"/>
    <w:rsid w:val="00730B18"/>
    <w:rsid w:val="00761DB7"/>
    <w:rsid w:val="00764400"/>
    <w:rsid w:val="00764EB9"/>
    <w:rsid w:val="00773F3E"/>
    <w:rsid w:val="007819EC"/>
    <w:rsid w:val="00791CB2"/>
    <w:rsid w:val="007920AF"/>
    <w:rsid w:val="007A1109"/>
    <w:rsid w:val="007B221B"/>
    <w:rsid w:val="007D5717"/>
    <w:rsid w:val="007D698B"/>
    <w:rsid w:val="008251EE"/>
    <w:rsid w:val="008616A4"/>
    <w:rsid w:val="008A1A79"/>
    <w:rsid w:val="008B12B2"/>
    <w:rsid w:val="008C7422"/>
    <w:rsid w:val="008E68F1"/>
    <w:rsid w:val="008F18BF"/>
    <w:rsid w:val="008F4184"/>
    <w:rsid w:val="00954E19"/>
    <w:rsid w:val="00991624"/>
    <w:rsid w:val="009E2084"/>
    <w:rsid w:val="009E317D"/>
    <w:rsid w:val="009F0576"/>
    <w:rsid w:val="009F2152"/>
    <w:rsid w:val="009F2B6E"/>
    <w:rsid w:val="00A201B2"/>
    <w:rsid w:val="00A2454C"/>
    <w:rsid w:val="00A3300C"/>
    <w:rsid w:val="00A34509"/>
    <w:rsid w:val="00A653BF"/>
    <w:rsid w:val="00A938B1"/>
    <w:rsid w:val="00AA03B6"/>
    <w:rsid w:val="00AA50BF"/>
    <w:rsid w:val="00AB7B89"/>
    <w:rsid w:val="00AC5B2F"/>
    <w:rsid w:val="00AE1655"/>
    <w:rsid w:val="00B00BD2"/>
    <w:rsid w:val="00B159C4"/>
    <w:rsid w:val="00B17599"/>
    <w:rsid w:val="00B21F18"/>
    <w:rsid w:val="00B25095"/>
    <w:rsid w:val="00B25596"/>
    <w:rsid w:val="00B5614F"/>
    <w:rsid w:val="00BA2235"/>
    <w:rsid w:val="00BA6087"/>
    <w:rsid w:val="00BC5585"/>
    <w:rsid w:val="00BF24EC"/>
    <w:rsid w:val="00C52746"/>
    <w:rsid w:val="00C61C88"/>
    <w:rsid w:val="00C903FA"/>
    <w:rsid w:val="00CA2B66"/>
    <w:rsid w:val="00CC1B30"/>
    <w:rsid w:val="00CD0F2F"/>
    <w:rsid w:val="00D10EB3"/>
    <w:rsid w:val="00D15A8C"/>
    <w:rsid w:val="00D17B00"/>
    <w:rsid w:val="00D17CDF"/>
    <w:rsid w:val="00D2552E"/>
    <w:rsid w:val="00D26185"/>
    <w:rsid w:val="00D3213E"/>
    <w:rsid w:val="00D351BE"/>
    <w:rsid w:val="00D40DE8"/>
    <w:rsid w:val="00D41801"/>
    <w:rsid w:val="00D713CD"/>
    <w:rsid w:val="00DD42AD"/>
    <w:rsid w:val="00E072EE"/>
    <w:rsid w:val="00E316A7"/>
    <w:rsid w:val="00E6582E"/>
    <w:rsid w:val="00E70DEA"/>
    <w:rsid w:val="00E94B6E"/>
    <w:rsid w:val="00EA3008"/>
    <w:rsid w:val="00ED1296"/>
    <w:rsid w:val="00ED3090"/>
    <w:rsid w:val="00F07256"/>
    <w:rsid w:val="00F10F5F"/>
    <w:rsid w:val="00F16502"/>
    <w:rsid w:val="00F61DD4"/>
    <w:rsid w:val="00F704F3"/>
    <w:rsid w:val="00F85F07"/>
    <w:rsid w:val="00F92905"/>
    <w:rsid w:val="00FA1DB0"/>
    <w:rsid w:val="00FB4016"/>
    <w:rsid w:val="00FC27D1"/>
    <w:rsid w:val="00FE7523"/>
    <w:rsid w:val="00FF2E5C"/>
    <w:rsid w:val="00FF4407"/>
    <w:rsid w:val="022AEBC7"/>
    <w:rsid w:val="03B7D08C"/>
    <w:rsid w:val="0DFABB4A"/>
    <w:rsid w:val="12A62860"/>
    <w:rsid w:val="15688B1E"/>
    <w:rsid w:val="17D33954"/>
    <w:rsid w:val="18A088A4"/>
    <w:rsid w:val="2AAFD73B"/>
    <w:rsid w:val="3E784F34"/>
    <w:rsid w:val="3E802D5D"/>
    <w:rsid w:val="402FC5A0"/>
    <w:rsid w:val="4159B945"/>
    <w:rsid w:val="429DA0B7"/>
    <w:rsid w:val="4603123B"/>
    <w:rsid w:val="4BF35784"/>
    <w:rsid w:val="5349FFBB"/>
    <w:rsid w:val="549FEC4C"/>
    <w:rsid w:val="55E89DFE"/>
    <w:rsid w:val="62C2B53E"/>
    <w:rsid w:val="678456CA"/>
    <w:rsid w:val="6BE148DE"/>
    <w:rsid w:val="6D6C2B10"/>
    <w:rsid w:val="75A9DF31"/>
    <w:rsid w:val="76D665F6"/>
    <w:rsid w:val="793914F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A9DF31"/>
  <w15:chartTrackingRefBased/>
  <w15:docId w15:val="{5FD20487-A1E9-44B6-998A-142D8671FC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423DF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23DF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E072EE"/>
    <w:pPr>
      <w:keepNext/>
      <w:keepLines/>
      <w:spacing w:before="80" w:after="40"/>
      <w:outlineLvl w:val="3"/>
    </w:pPr>
    <w:rPr>
      <w:rFonts w:eastAsiaTheme="majorEastAsia" w:cstheme="majorBidi"/>
      <w:i/>
      <w:iCs/>
      <w:color w:val="0F476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423DF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23DF1"/>
    <w:rPr>
      <w:rFonts w:eastAsiaTheme="majorEastAsia" w:cstheme="majorBidi"/>
      <w:color w:val="0F4761" w:themeColor="accent1" w:themeShade="BF"/>
      <w:sz w:val="28"/>
      <w:szCs w:val="28"/>
    </w:rPr>
  </w:style>
  <w:style w:type="paragraph" w:customStyle="1" w:styleId="p1">
    <w:name w:val="p1"/>
    <w:basedOn w:val="Normal"/>
    <w:rsid w:val="00423DF1"/>
    <w:pPr>
      <w:spacing w:before="100" w:beforeAutospacing="1" w:after="100" w:afterAutospacing="1" w:line="240" w:lineRule="auto"/>
    </w:pPr>
    <w:rPr>
      <w:rFonts w:ascii="Times New Roman" w:hAnsi="Times New Roman" w:cs="Times New Roman"/>
      <w:lang w:val="en-001" w:eastAsia="en-GB"/>
    </w:rPr>
  </w:style>
  <w:style w:type="character" w:customStyle="1" w:styleId="s1">
    <w:name w:val="s1"/>
    <w:basedOn w:val="DefaultParagraphFont"/>
    <w:rsid w:val="00423DF1"/>
  </w:style>
  <w:style w:type="paragraph" w:customStyle="1" w:styleId="p2">
    <w:name w:val="p2"/>
    <w:basedOn w:val="Normal"/>
    <w:rsid w:val="00423DF1"/>
    <w:pPr>
      <w:spacing w:before="100" w:beforeAutospacing="1" w:after="100" w:afterAutospacing="1" w:line="240" w:lineRule="auto"/>
    </w:pPr>
    <w:rPr>
      <w:rFonts w:ascii="Times New Roman" w:hAnsi="Times New Roman" w:cs="Times New Roman"/>
      <w:lang w:val="en-001" w:eastAsia="en-GB"/>
    </w:rPr>
  </w:style>
  <w:style w:type="character" w:customStyle="1" w:styleId="s2">
    <w:name w:val="s2"/>
    <w:basedOn w:val="DefaultParagraphFont"/>
    <w:rsid w:val="00423DF1"/>
  </w:style>
  <w:style w:type="paragraph" w:customStyle="1" w:styleId="p3">
    <w:name w:val="p3"/>
    <w:basedOn w:val="Normal"/>
    <w:rsid w:val="00423DF1"/>
    <w:pPr>
      <w:spacing w:before="100" w:beforeAutospacing="1" w:after="100" w:afterAutospacing="1" w:line="240" w:lineRule="auto"/>
    </w:pPr>
    <w:rPr>
      <w:rFonts w:ascii="Times New Roman" w:hAnsi="Times New Roman" w:cs="Times New Roman"/>
      <w:lang w:val="en-001" w:eastAsia="en-GB"/>
    </w:rPr>
  </w:style>
  <w:style w:type="character" w:customStyle="1" w:styleId="s3">
    <w:name w:val="s3"/>
    <w:basedOn w:val="DefaultParagraphFont"/>
    <w:rsid w:val="00423DF1"/>
  </w:style>
  <w:style w:type="character" w:customStyle="1" w:styleId="apple-converted-space">
    <w:name w:val="apple-converted-space"/>
    <w:basedOn w:val="DefaultParagraphFont"/>
    <w:rsid w:val="00E70DEA"/>
  </w:style>
  <w:style w:type="character" w:customStyle="1" w:styleId="s4">
    <w:name w:val="s4"/>
    <w:basedOn w:val="DefaultParagraphFont"/>
    <w:rsid w:val="001E33C2"/>
  </w:style>
  <w:style w:type="character" w:customStyle="1" w:styleId="Heading4Char">
    <w:name w:val="Heading 4 Char"/>
    <w:basedOn w:val="DefaultParagraphFont"/>
    <w:link w:val="Heading4"/>
    <w:uiPriority w:val="9"/>
    <w:semiHidden/>
    <w:rsid w:val="00E072EE"/>
    <w:rPr>
      <w:rFonts w:eastAsiaTheme="majorEastAsia" w:cstheme="majorBidi"/>
      <w:i/>
      <w:iCs/>
      <w:color w:val="0F4761" w:themeColor="accent1" w:themeShade="BF"/>
    </w:rPr>
  </w:style>
  <w:style w:type="paragraph" w:styleId="ListParagraph">
    <w:name w:val="List Paragraph"/>
    <w:basedOn w:val="Normal"/>
    <w:uiPriority w:val="34"/>
    <w:qFormat/>
    <w:rsid w:val="00313684"/>
    <w:pPr>
      <w:ind w:left="720"/>
      <w:contextualSpacing/>
    </w:pPr>
  </w:style>
  <w:style w:type="character" w:styleId="Hyperlink">
    <w:name w:val="Hyperlink"/>
    <w:basedOn w:val="DefaultParagraphFont"/>
    <w:uiPriority w:val="99"/>
    <w:semiHidden/>
    <w:unhideWhenUsed/>
    <w:rsid w:val="00D3213E"/>
    <w:rPr>
      <w:color w:val="0000FF"/>
      <w:u w:val="single"/>
    </w:rPr>
  </w:style>
  <w:style w:type="character" w:styleId="FollowedHyperlink">
    <w:name w:val="FollowedHyperlink"/>
    <w:basedOn w:val="DefaultParagraphFont"/>
    <w:uiPriority w:val="99"/>
    <w:semiHidden/>
    <w:unhideWhenUsed/>
    <w:rsid w:val="008E68F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382</TotalTime>
  <Pages>1</Pages>
  <Words>6832</Words>
  <Characters>38948</Characters>
  <Application>Microsoft Office Word</Application>
  <DocSecurity>0</DocSecurity>
  <Lines>324</Lines>
  <Paragraphs>91</Paragraphs>
  <ScaleCrop>false</ScaleCrop>
  <Company/>
  <LinksUpToDate>false</LinksUpToDate>
  <CharactersWithSpaces>45689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Carina Gomes (2222912)</dc:creator>
  <cp:keywords/>
  <dc:description/>
  <cp:lastModifiedBy>Carina Gomes (2222912)</cp:lastModifiedBy>
  <cp:revision>144</cp:revision>
  <dcterms:created xsi:type="dcterms:W3CDTF">2026-03-10T11:23:00Z</dcterms:created>
  <dcterms:modified xsi:type="dcterms:W3CDTF">2026-03-27T02:29:00Z</dcterms:modified>
</cp:coreProperties>
</file>