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contextualSpacing w:val="0"/>
        <w:jc w:val="left"/>
        <w:rPr>
          <w:rFonts w:ascii="Georgia" w:cs="Georgia" w:eastAsia="Georgia" w:hAnsi="Georgia"/>
          <w:b w:val="0"/>
          <w:i w:val="0"/>
          <w:smallCaps w:val="0"/>
          <w:strike w:val="0"/>
          <w:color w:val="000000"/>
          <w:sz w:val="21"/>
          <w:szCs w:val="21"/>
          <w:u w:val="none"/>
          <w:shd w:fill="auto" w:val="clear"/>
          <w:vertAlign w:val="baseline"/>
        </w:rPr>
      </w:pPr>
      <w:r w:rsidDel="00000000" w:rsidR="00000000" w:rsidRPr="00000000">
        <w:rPr>
          <w:rFonts w:ascii="Georgia" w:cs="Georgia" w:eastAsia="Georgia" w:hAnsi="Georgia"/>
          <w:b w:val="0"/>
          <w:i w:val="0"/>
          <w:smallCaps w:val="0"/>
          <w:strike w:val="0"/>
          <w:color w:val="000000"/>
          <w:sz w:val="21"/>
          <w:szCs w:val="21"/>
          <w:u w:val="none"/>
          <w:shd w:fill="auto" w:val="clear"/>
          <w:vertAlign w:val="baseline"/>
        </w:rPr>
        <w:drawing>
          <wp:inline distB="0" distT="0" distL="114300" distR="114300">
            <wp:extent cx="2058035" cy="856615"/>
            <wp:effectExtent b="0" l="0" r="0" t="0"/>
            <wp:docPr descr="C:\Users\ablettm\AppData\Local\Microsoft\Windows\Temporary Internet Files\Content.Outlook\R41HOZLM\UWTSD Logo.jpg" id="1" name="image2.jpg"/>
            <a:graphic>
              <a:graphicData uri="http://schemas.openxmlformats.org/drawingml/2006/picture">
                <pic:pic>
                  <pic:nvPicPr>
                    <pic:cNvPr descr="C:\Users\ablettm\AppData\Local\Microsoft\Windows\Temporary Internet Files\Content.Outlook\R41HOZLM\UWTSD Logo.jpg" id="0" name="image2.jpg"/>
                    <pic:cNvPicPr preferRelativeResize="0"/>
                  </pic:nvPicPr>
                  <pic:blipFill>
                    <a:blip r:embed="rId7"/>
                    <a:srcRect b="0" l="0" r="0" t="0"/>
                    <a:stretch>
                      <a:fillRect/>
                    </a:stretch>
                  </pic:blipFill>
                  <pic:spPr>
                    <a:xfrm>
                      <a:off x="0" y="0"/>
                      <a:ext cx="2058035" cy="856615"/>
                    </a:xfrm>
                    <a:prstGeom prst="rect"/>
                    <a:ln/>
                  </pic:spPr>
                </pic:pic>
              </a:graphicData>
            </a:graphic>
          </wp:inline>
        </w:drawing>
      </w:r>
      <w:r w:rsidDel="00000000" w:rsidR="00000000" w:rsidRPr="00000000">
        <w:rPr>
          <w:rtl w:val="0"/>
        </w:rPr>
      </w:r>
    </w:p>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contextualSpacing w:val="0"/>
        <w:jc w:val="left"/>
        <w:rPr>
          <w:rFonts w:ascii="Georgia" w:cs="Georgia" w:eastAsia="Georgia" w:hAnsi="Georgia"/>
          <w:b w:val="0"/>
          <w:i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contextualSpacing w:val="0"/>
        <w:jc w:val="left"/>
        <w:rPr>
          <w:rFonts w:ascii="Georgia" w:cs="Georgia" w:eastAsia="Georgia" w:hAnsi="Georgia"/>
          <w:b w:val="0"/>
          <w:i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contextualSpacing w:val="0"/>
        <w:jc w:val="center"/>
        <w:rPr>
          <w:rFonts w:ascii="Arial" w:cs="Arial" w:eastAsia="Arial" w:hAnsi="Arial"/>
          <w:b w:val="0"/>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Postgraduate/Distance Learning </w:t>
      </w:r>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contextualSpacing w:val="0"/>
        <w:jc w:val="center"/>
        <w:rPr>
          <w:rFonts w:ascii="Arial" w:cs="Arial" w:eastAsia="Arial" w:hAnsi="Arial"/>
          <w:b w:val="0"/>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Assignment coversheet &amp; feedback form</w:t>
      </w:r>
      <w:r w:rsidDel="00000000" w:rsidR="00000000" w:rsidRPr="00000000">
        <w:rPr>
          <w:rtl w:val="0"/>
        </w:rPr>
      </w:r>
    </w:p>
    <w:p w:rsidR="00000000" w:rsidDel="00000000" w:rsidP="00000000" w:rsidRDefault="00000000" w:rsidRPr="00000000" w14:paraId="00000005">
      <w:pPr>
        <w:contextualSpacing w:val="0"/>
        <w:rPr>
          <w:rFonts w:ascii="Arial" w:cs="Arial" w:eastAsia="Arial" w:hAnsi="Arial"/>
          <w:sz w:val="28"/>
          <w:szCs w:val="28"/>
          <w:vertAlign w:val="baseline"/>
        </w:rPr>
      </w:pPr>
      <w:r w:rsidDel="00000000" w:rsidR="00000000" w:rsidRPr="00000000">
        <w:rPr>
          <w:rtl w:val="0"/>
        </w:rPr>
      </w:r>
    </w:p>
    <w:p w:rsidR="00000000" w:rsidDel="00000000" w:rsidP="00000000" w:rsidRDefault="00000000" w:rsidRPr="00000000" w14:paraId="00000006">
      <w:pPr>
        <w:pStyle w:val="Heading3"/>
        <w:contextualSpacing w:val="0"/>
        <w:jc w:val="center"/>
        <w:rPr>
          <w:vertAlign w:val="baseline"/>
        </w:rPr>
      </w:pPr>
      <w:r w:rsidDel="00000000" w:rsidR="00000000" w:rsidRPr="00000000">
        <w:rPr>
          <w:b w:val="1"/>
          <w:vertAlign w:val="baseline"/>
          <w:rtl w:val="0"/>
        </w:rPr>
        <w:t xml:space="preserve">THIS SHEET MUST BE THE FIRST PAGE OF THE ASSIGNMENT YOU ARE SUBMITTING  (DO NOT SEND AS A SEPARATE FILE)</w:t>
      </w:r>
      <w:r w:rsidDel="00000000" w:rsidR="00000000" w:rsidRPr="00000000">
        <w:rPr>
          <w:rtl w:val="0"/>
        </w:rPr>
      </w:r>
    </w:p>
    <w:p w:rsidR="00000000" w:rsidDel="00000000" w:rsidP="00000000" w:rsidRDefault="00000000" w:rsidRPr="00000000" w14:paraId="00000007">
      <w:pPr>
        <w:pStyle w:val="Heading3"/>
        <w:contextualSpacing w:val="0"/>
        <w:jc w:val="center"/>
        <w:rPr>
          <w:rFonts w:ascii="Trebuchet MS" w:cs="Trebuchet MS" w:eastAsia="Trebuchet MS" w:hAnsi="Trebuchet MS"/>
          <w:vertAlign w:val="baseline"/>
        </w:rPr>
      </w:pPr>
      <w:r w:rsidDel="00000000" w:rsidR="00000000" w:rsidRPr="00000000">
        <w:rPr>
          <w:rtl w:val="0"/>
        </w:rPr>
      </w:r>
    </w:p>
    <w:tbl>
      <w:tblPr>
        <w:tblStyle w:val="Table2"/>
        <w:tblW w:w="885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788"/>
        <w:gridCol w:w="423"/>
        <w:gridCol w:w="1557"/>
        <w:gridCol w:w="286"/>
        <w:gridCol w:w="1802"/>
        <w:tblGridChange w:id="0">
          <w:tblGrid>
            <w:gridCol w:w="4788"/>
            <w:gridCol w:w="423"/>
            <w:gridCol w:w="1557"/>
            <w:gridCol w:w="286"/>
            <w:gridCol w:w="1802"/>
          </w:tblGrid>
        </w:tblGridChange>
      </w:tblGrid>
      <w:tr>
        <w:trPr>
          <w:trHeight w:val="600" w:hRule="atLeast"/>
        </w:trPr>
        <w:tc>
          <w:tcPr>
            <w:gridSpan w:val="5"/>
            <w:vAlign w:val="top"/>
          </w:tcPr>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For completion by the student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tc>
      </w:tr>
      <w:tr>
        <w:trPr>
          <w:trHeight w:val="700" w:hRule="atLeast"/>
        </w:trPr>
        <w:tc>
          <w:tcPr>
            <w:gridSpan w:val="5"/>
            <w:vAlign w:val="top"/>
          </w:tcPr>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Student Name: </w:t>
            </w:r>
            <w:r w:rsidDel="00000000" w:rsidR="00000000" w:rsidRPr="00000000">
              <w:rPr>
                <w:rFonts w:ascii="Arial" w:cs="Arial" w:eastAsia="Arial" w:hAnsi="Arial"/>
                <w:sz w:val="22"/>
                <w:szCs w:val="22"/>
                <w:rtl w:val="0"/>
              </w:rPr>
              <w:t xml:space="preserve">REBECCA ROBERTS</w:t>
            </w: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trHeight w:val="840" w:hRule="atLeast"/>
        </w:trPr>
        <w:tc>
          <w:tcPr>
            <w:vAlign w:val="top"/>
          </w:tcPr>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Module code: CSEN7037</w:t>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Module title: </w:t>
            </w:r>
            <w:r w:rsidDel="00000000" w:rsidR="00000000" w:rsidRPr="00000000">
              <w:rPr>
                <w:rFonts w:ascii="Arial" w:cs="Arial" w:eastAsia="Arial" w:hAnsi="Arial"/>
                <w:sz w:val="22"/>
                <w:szCs w:val="22"/>
                <w:rtl w:val="0"/>
              </w:rPr>
              <w:t xml:space="preserve">CRITICAL THEORY: FROM STRUCTURALISM ON</w:t>
            </w:r>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vAlign w:val="top"/>
          </w:tcPr>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Student ID number:</w:t>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contextualSpacing w:val="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contextualSpacing w:val="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1706723</w:t>
            </w:r>
          </w:p>
        </w:tc>
        <w:tc>
          <w:tcPr>
            <w:vAlign w:val="top"/>
          </w:tcPr>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Educational support needs:</w:t>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No</w:t>
            </w:r>
          </w:p>
        </w:tc>
      </w:tr>
      <w:tr>
        <w:trPr>
          <w:trHeight w:val="1120" w:hRule="atLeast"/>
        </w:trPr>
        <w:tc>
          <w:tcPr>
            <w:gridSpan w:val="5"/>
            <w:vAlign w:val="top"/>
          </w:tcPr>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Module tutor: P</w:t>
            </w:r>
            <w:r w:rsidDel="00000000" w:rsidR="00000000" w:rsidRPr="00000000">
              <w:rPr>
                <w:rFonts w:ascii="Arial" w:cs="Arial" w:eastAsia="Arial" w:hAnsi="Arial"/>
                <w:sz w:val="22"/>
                <w:szCs w:val="22"/>
                <w:rtl w:val="0"/>
              </w:rPr>
              <w:t xml:space="preserve">ETER MITCHELL</w:t>
            </w:r>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Assignment due date: WEDNESDAY 21ST MARCH 2018</w:t>
            </w:r>
          </w:p>
        </w:tc>
      </w:tr>
      <w:tr>
        <w:trPr>
          <w:trHeight w:val="960" w:hRule="atLeast"/>
        </w:trPr>
        <w:tc>
          <w:tcPr>
            <w:gridSpan w:val="5"/>
            <w:tcBorders>
              <w:bottom w:color="000000" w:space="0" w:sz="4" w:val="single"/>
            </w:tcBorders>
            <w:vAlign w:val="top"/>
          </w:tcPr>
          <w:p w:rsidR="00000000" w:rsidDel="00000000" w:rsidP="00000000" w:rsidRDefault="00000000" w:rsidRPr="00000000" w14:paraId="00000027">
            <w:pPr>
              <w:contextualSpacing w:val="0"/>
              <w:rPr>
                <w:rFonts w:ascii="Arial" w:cs="Arial" w:eastAsia="Arial" w:hAnsi="Arial"/>
                <w:sz w:val="22"/>
                <w:szCs w:val="22"/>
                <w:vertAlign w:val="baseline"/>
              </w:rPr>
            </w:pPr>
            <w:r w:rsidDel="00000000" w:rsidR="00000000" w:rsidRPr="00000000">
              <w:rPr>
                <w:rFonts w:ascii="Arial" w:cs="Arial" w:eastAsia="Arial" w:hAnsi="Arial"/>
                <w:sz w:val="22"/>
                <w:szCs w:val="22"/>
                <w:vertAlign w:val="baseline"/>
                <w:rtl w:val="0"/>
              </w:rPr>
              <w:t xml:space="preserve">If your module has multiple submissions please indicate which piece of work this is.</w:t>
            </w:r>
          </w:p>
          <w:p w:rsidR="00000000" w:rsidDel="00000000" w:rsidP="00000000" w:rsidRDefault="00000000" w:rsidRPr="00000000" w14:paraId="00000028">
            <w:pPr>
              <w:contextualSpacing w:val="0"/>
              <w:rPr>
                <w:rFonts w:ascii="Arial" w:cs="Arial" w:eastAsia="Arial" w:hAnsi="Arial"/>
                <w:sz w:val="22"/>
                <w:szCs w:val="22"/>
                <w:vertAlign w:val="baseline"/>
              </w:rPr>
            </w:pPr>
            <w:r w:rsidDel="00000000" w:rsidR="00000000" w:rsidRPr="00000000">
              <w:rPr>
                <w:rtl w:val="0"/>
              </w:rPr>
            </w:r>
          </w:p>
          <w:p w:rsidR="00000000" w:rsidDel="00000000" w:rsidP="00000000" w:rsidRDefault="00000000" w:rsidRPr="00000000" w14:paraId="00000029">
            <w:pPr>
              <w:contextualSpacing w:val="0"/>
              <w:rPr>
                <w:rFonts w:ascii="Arial" w:cs="Arial" w:eastAsia="Arial" w:hAnsi="Arial"/>
                <w:sz w:val="22"/>
                <w:szCs w:val="22"/>
                <w:vertAlign w:val="baseline"/>
              </w:rPr>
            </w:pPr>
            <w:r w:rsidDel="00000000" w:rsidR="00000000" w:rsidRPr="00000000">
              <w:rPr>
                <w:rFonts w:ascii="Arial" w:cs="Arial" w:eastAsia="Arial" w:hAnsi="Arial"/>
                <w:sz w:val="22"/>
                <w:szCs w:val="22"/>
                <w:vertAlign w:val="baseline"/>
                <w:rtl w:val="0"/>
              </w:rPr>
              <w:t xml:space="preserve">1</w:t>
            </w:r>
            <w:r w:rsidDel="00000000" w:rsidR="00000000" w:rsidRPr="00000000">
              <w:rPr>
                <w:rFonts w:ascii="Arial" w:cs="Arial" w:eastAsia="Arial" w:hAnsi="Arial"/>
                <w:sz w:val="22"/>
                <w:szCs w:val="22"/>
                <w:vertAlign w:val="superscript"/>
                <w:rtl w:val="0"/>
              </w:rPr>
              <w:t xml:space="preserve">st </w:t>
            </w:r>
            <w:bookmarkStart w:colFirst="0" w:colLast="0" w:name="gjdgxs" w:id="0"/>
            <w:bookmarkEnd w:id="0"/>
            <w:r w:rsidDel="00000000" w:rsidR="00000000" w:rsidRPr="00000000">
              <w:rPr>
                <w:rFonts w:ascii="Arial" w:cs="Arial" w:eastAsia="Arial" w:hAnsi="Arial"/>
                <w:sz w:val="22"/>
                <w:szCs w:val="22"/>
                <w:vertAlign w:val="baseline"/>
                <w:rtl w:val="0"/>
              </w:rPr>
              <w:t xml:space="preserve">☐  </w:t>
            </w:r>
          </w:p>
        </w:tc>
      </w:tr>
      <w:tr>
        <w:trPr>
          <w:trHeight w:val="960" w:hRule="atLeast"/>
        </w:trPr>
        <w:tc>
          <w:tcPr>
            <w:gridSpan w:val="5"/>
            <w:shd w:fill="d9d9d9" w:val="clear"/>
            <w:vAlign w:val="top"/>
          </w:tcPr>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confirm that this is my original work and that I have adhered to the University policy on plagiarism.</w:t>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Signed ……R S ROBERTS………………………………………………………</w:t>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contextualSpacing w:val="0"/>
              <w:jc w:val="left"/>
              <w:rPr>
                <w:rFonts w:ascii="Calibri" w:cs="Calibri" w:eastAsia="Calibri" w:hAnsi="Calibri"/>
                <w:b w:val="0"/>
                <w:i w:val="0"/>
                <w:smallCaps w:val="0"/>
                <w:strike w:val="0"/>
                <w:color w:val="000000"/>
                <w:sz w:val="44"/>
                <w:szCs w:val="4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Email submission: if you are submitting this form via email, please tick this box </w:t>
            </w:r>
            <w:r w:rsidDel="00000000" w:rsidR="00000000" w:rsidRPr="00000000">
              <w:rPr>
                <w:rFonts w:ascii="Calibri" w:cs="Calibri" w:eastAsia="Calibri" w:hAnsi="Calibri"/>
                <w:b w:val="1"/>
                <w:i w:val="0"/>
                <w:smallCaps w:val="0"/>
                <w:strike w:val="0"/>
                <w:color w:val="000000"/>
                <w:sz w:val="44"/>
                <w:szCs w:val="44"/>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(as a substitute for your signature) to confirm that you agree to the above declaration.</w:t>
            </w:r>
            <w:r w:rsidDel="00000000" w:rsidR="00000000" w:rsidRPr="00000000">
              <w:rPr>
                <w:rtl w:val="0"/>
              </w:rPr>
            </w:r>
          </w:p>
        </w:tc>
      </w:tr>
      <w:tr>
        <w:trPr>
          <w:trHeight w:val="3960" w:hRule="atLeast"/>
        </w:trPr>
        <w:tc>
          <w:tcPr>
            <w:gridSpan w:val="5"/>
            <w:vAlign w:val="top"/>
          </w:tcPr>
          <w:p w:rsidR="00000000" w:rsidDel="00000000" w:rsidP="00000000" w:rsidRDefault="00000000" w:rsidRPr="00000000" w14:paraId="00000036">
            <w:pPr>
              <w:contextualSpacing w:val="0"/>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37">
            <w:pPr>
              <w:contextualSpacing w:val="0"/>
              <w:rPr>
                <w:rFonts w:ascii="Arial" w:cs="Arial" w:eastAsia="Arial" w:hAnsi="Arial"/>
                <w:vertAlign w:val="baseline"/>
              </w:rPr>
            </w:pPr>
            <w:r w:rsidDel="00000000" w:rsidR="00000000" w:rsidRPr="00000000">
              <w:rPr>
                <w:rFonts w:ascii="Arial" w:cs="Arial" w:eastAsia="Arial" w:hAnsi="Arial"/>
                <w:b w:val="1"/>
                <w:vertAlign w:val="baseline"/>
                <w:rtl w:val="0"/>
              </w:rPr>
              <w:t xml:space="preserve">Assignment Mark</w:t>
            </w:r>
            <w:r w:rsidDel="00000000" w:rsidR="00000000" w:rsidRPr="00000000">
              <w:rPr>
                <w:rtl w:val="0"/>
              </w:rPr>
            </w:r>
          </w:p>
          <w:tbl>
            <w:tblPr>
              <w:tblStyle w:val="Table1"/>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c>
                <w:tcPr>
                  <w:vAlign w:val="top"/>
                </w:tcPr>
                <w:p w:rsidR="00000000" w:rsidDel="00000000" w:rsidP="00000000" w:rsidRDefault="00000000" w:rsidRPr="00000000" w14:paraId="00000038">
                  <w:pPr>
                    <w:contextualSpacing w:val="0"/>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9">
                  <w:pPr>
                    <w:contextualSpacing w:val="0"/>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1</w:t>
                  </w:r>
                  <w:r w:rsidDel="00000000" w:rsidR="00000000" w:rsidRPr="00000000">
                    <w:rPr>
                      <w:rFonts w:ascii="Arial" w:cs="Arial" w:eastAsia="Arial" w:hAnsi="Arial"/>
                      <w:sz w:val="20"/>
                      <w:szCs w:val="20"/>
                      <w:vertAlign w:val="superscript"/>
                      <w:rtl w:val="0"/>
                    </w:rPr>
                    <w:t xml:space="preserve">st</w:t>
                  </w:r>
                  <w:r w:rsidDel="00000000" w:rsidR="00000000" w:rsidRPr="00000000">
                    <w:rPr>
                      <w:rFonts w:ascii="Arial" w:cs="Arial" w:eastAsia="Arial" w:hAnsi="Arial"/>
                      <w:sz w:val="20"/>
                      <w:szCs w:val="20"/>
                      <w:vertAlign w:val="baseline"/>
                      <w:rtl w:val="0"/>
                    </w:rPr>
                    <w:t xml:space="preserve"> Marker’s Provisional mark</w:t>
                  </w:r>
                </w:p>
              </w:tc>
              <w:tc>
                <w:tcPr>
                  <w:vAlign w:val="top"/>
                </w:tcPr>
                <w:p w:rsidR="00000000" w:rsidDel="00000000" w:rsidP="00000000" w:rsidRDefault="00000000" w:rsidRPr="00000000" w14:paraId="0000003A">
                  <w:pPr>
                    <w:contextualSpacing w:val="0"/>
                    <w:rPr>
                      <w:rFonts w:ascii="Arial" w:cs="Arial" w:eastAsia="Arial" w:hAnsi="Arial"/>
                      <w:sz w:val="20"/>
                      <w:szCs w:val="20"/>
                      <w:vertAlign w:val="baseline"/>
                    </w:rPr>
                  </w:pPr>
                  <w:r w:rsidDel="00000000" w:rsidR="00000000" w:rsidRPr="00000000">
                    <w:rPr>
                      <w:rtl w:val="0"/>
                    </w:rPr>
                  </w:r>
                </w:p>
              </w:tc>
            </w:tr>
            <w:tr>
              <w:tc>
                <w:tcPr>
                  <w:vAlign w:val="top"/>
                </w:tcPr>
                <w:p w:rsidR="00000000" w:rsidDel="00000000" w:rsidP="00000000" w:rsidRDefault="00000000" w:rsidRPr="00000000" w14:paraId="0000003B">
                  <w:pPr>
                    <w:contextualSpacing w:val="0"/>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C">
                  <w:pPr>
                    <w:contextualSpacing w:val="0"/>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2</w:t>
                  </w:r>
                  <w:r w:rsidDel="00000000" w:rsidR="00000000" w:rsidRPr="00000000">
                    <w:rPr>
                      <w:rFonts w:ascii="Arial" w:cs="Arial" w:eastAsia="Arial" w:hAnsi="Arial"/>
                      <w:sz w:val="20"/>
                      <w:szCs w:val="20"/>
                      <w:vertAlign w:val="superscript"/>
                      <w:rtl w:val="0"/>
                    </w:rPr>
                    <w:t xml:space="preserve">nd</w:t>
                  </w:r>
                  <w:r w:rsidDel="00000000" w:rsidR="00000000" w:rsidRPr="00000000">
                    <w:rPr>
                      <w:rFonts w:ascii="Arial" w:cs="Arial" w:eastAsia="Arial" w:hAnsi="Arial"/>
                      <w:sz w:val="20"/>
                      <w:szCs w:val="20"/>
                      <w:vertAlign w:val="baseline"/>
                      <w:rtl w:val="0"/>
                    </w:rPr>
                    <w:t xml:space="preserve"> Marker’s/Moderator’s provisional mark</w:t>
                  </w:r>
                </w:p>
              </w:tc>
              <w:tc>
                <w:tcPr>
                  <w:vAlign w:val="top"/>
                </w:tcPr>
                <w:p w:rsidR="00000000" w:rsidDel="00000000" w:rsidP="00000000" w:rsidRDefault="00000000" w:rsidRPr="00000000" w14:paraId="0000003D">
                  <w:pPr>
                    <w:contextualSpacing w:val="0"/>
                    <w:rPr>
                      <w:rFonts w:ascii="Arial" w:cs="Arial" w:eastAsia="Arial" w:hAnsi="Arial"/>
                      <w:sz w:val="20"/>
                      <w:szCs w:val="20"/>
                      <w:vertAlign w:val="baseline"/>
                    </w:rPr>
                  </w:pPr>
                  <w:r w:rsidDel="00000000" w:rsidR="00000000" w:rsidRPr="00000000">
                    <w:rPr>
                      <w:rtl w:val="0"/>
                    </w:rPr>
                  </w:r>
                </w:p>
              </w:tc>
            </w:tr>
            <w:tr>
              <w:tc>
                <w:tcPr>
                  <w:vAlign w:val="top"/>
                </w:tcPr>
                <w:p w:rsidR="00000000" w:rsidDel="00000000" w:rsidP="00000000" w:rsidRDefault="00000000" w:rsidRPr="00000000" w14:paraId="0000003E">
                  <w:pPr>
                    <w:contextualSpacing w:val="0"/>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Agreed Internal Mark: </w:t>
                  </w:r>
                </w:p>
                <w:p w:rsidR="00000000" w:rsidDel="00000000" w:rsidP="00000000" w:rsidRDefault="00000000" w:rsidRPr="00000000" w14:paraId="0000003F">
                  <w:pPr>
                    <w:contextualSpacing w:val="0"/>
                    <w:rPr>
                      <w:rFonts w:ascii="Arial" w:cs="Arial" w:eastAsia="Arial" w:hAnsi="Arial"/>
                      <w:sz w:val="20"/>
                      <w:szCs w:val="20"/>
                      <w:highlight w:val="yellow"/>
                      <w:vertAlign w:val="baseline"/>
                    </w:rPr>
                  </w:pPr>
                  <w:r w:rsidDel="00000000" w:rsidR="00000000" w:rsidRPr="00000000">
                    <w:rPr>
                      <w:rtl w:val="0"/>
                    </w:rPr>
                  </w:r>
                </w:p>
              </w:tc>
              <w:tc>
                <w:tcPr>
                  <w:vAlign w:val="top"/>
                </w:tcPr>
                <w:p w:rsidR="00000000" w:rsidDel="00000000" w:rsidP="00000000" w:rsidRDefault="00000000" w:rsidRPr="00000000" w14:paraId="00000040">
                  <w:pPr>
                    <w:contextualSpacing w:val="0"/>
                    <w:rPr>
                      <w:rFonts w:ascii="Arial" w:cs="Arial" w:eastAsia="Arial" w:hAnsi="Arial"/>
                      <w:sz w:val="20"/>
                      <w:szCs w:val="20"/>
                      <w:highlight w:val="yellow"/>
                      <w:vertAlign w:val="baseline"/>
                    </w:rPr>
                  </w:pPr>
                  <w:r w:rsidDel="00000000" w:rsidR="00000000" w:rsidRPr="00000000">
                    <w:rPr>
                      <w:rtl w:val="0"/>
                    </w:rPr>
                  </w:r>
                </w:p>
              </w:tc>
            </w:tr>
            <w:tr>
              <w:tc>
                <w:tcPr>
                  <w:vAlign w:val="top"/>
                </w:tcPr>
                <w:p w:rsidR="00000000" w:rsidDel="00000000" w:rsidP="00000000" w:rsidRDefault="00000000" w:rsidRPr="00000000" w14:paraId="00000041">
                  <w:pPr>
                    <w:contextualSpacing w:val="0"/>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42">
                  <w:pPr>
                    <w:contextualSpacing w:val="0"/>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External Examiner’s mark (if relevant)</w:t>
                  </w:r>
                </w:p>
              </w:tc>
              <w:tc>
                <w:tcPr>
                  <w:vAlign w:val="top"/>
                </w:tcPr>
                <w:p w:rsidR="00000000" w:rsidDel="00000000" w:rsidP="00000000" w:rsidRDefault="00000000" w:rsidRPr="00000000" w14:paraId="00000043">
                  <w:pPr>
                    <w:contextualSpacing w:val="0"/>
                    <w:rPr>
                      <w:rFonts w:ascii="Arial" w:cs="Arial" w:eastAsia="Arial" w:hAnsi="Arial"/>
                      <w:sz w:val="20"/>
                      <w:szCs w:val="20"/>
                      <w:vertAlign w:val="baseline"/>
                    </w:rPr>
                  </w:pPr>
                  <w:r w:rsidDel="00000000" w:rsidR="00000000" w:rsidRPr="00000000">
                    <w:rPr>
                      <w:rtl w:val="0"/>
                    </w:rPr>
                  </w:r>
                </w:p>
              </w:tc>
            </w:tr>
            <w:tr>
              <w:tc>
                <w:tcPr>
                  <w:vAlign w:val="top"/>
                </w:tcPr>
                <w:p w:rsidR="00000000" w:rsidDel="00000000" w:rsidP="00000000" w:rsidRDefault="00000000" w:rsidRPr="00000000" w14:paraId="00000044">
                  <w:pPr>
                    <w:contextualSpacing w:val="0"/>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45">
                  <w:pPr>
                    <w:contextualSpacing w:val="0"/>
                    <w:rPr>
                      <w:rFonts w:ascii="Arial" w:cs="Arial" w:eastAsia="Arial" w:hAnsi="Arial"/>
                      <w:b w:val="0"/>
                      <w:sz w:val="20"/>
                      <w:szCs w:val="20"/>
                      <w:vertAlign w:val="baseline"/>
                    </w:rPr>
                  </w:pPr>
                  <w:r w:rsidDel="00000000" w:rsidR="00000000" w:rsidRPr="00000000">
                    <w:rPr>
                      <w:rFonts w:ascii="Arial" w:cs="Arial" w:eastAsia="Arial" w:hAnsi="Arial"/>
                      <w:b w:val="1"/>
                      <w:sz w:val="20"/>
                      <w:szCs w:val="20"/>
                      <w:vertAlign w:val="baseline"/>
                      <w:rtl w:val="0"/>
                    </w:rPr>
                    <w:t xml:space="preserve">Final Mark</w:t>
                  </w:r>
                  <w:r w:rsidDel="00000000" w:rsidR="00000000" w:rsidRPr="00000000">
                    <w:rPr>
                      <w:rtl w:val="0"/>
                    </w:rPr>
                  </w:r>
                </w:p>
                <w:p w:rsidR="00000000" w:rsidDel="00000000" w:rsidP="00000000" w:rsidRDefault="00000000" w:rsidRPr="00000000" w14:paraId="00000046">
                  <w:pPr>
                    <w:contextualSpacing w:val="0"/>
                    <w:rPr>
                      <w:rFonts w:ascii="Arial" w:cs="Arial" w:eastAsia="Arial" w:hAnsi="Arial"/>
                      <w:sz w:val="20"/>
                      <w:szCs w:val="20"/>
                      <w:vertAlign w:val="baseline"/>
                    </w:rPr>
                  </w:pPr>
                  <w:r w:rsidDel="00000000" w:rsidR="00000000" w:rsidRPr="00000000">
                    <w:rPr>
                      <w:rtl w:val="0"/>
                    </w:rPr>
                  </w:r>
                </w:p>
              </w:tc>
              <w:tc>
                <w:tcPr>
                  <w:vAlign w:val="top"/>
                </w:tcPr>
                <w:p w:rsidR="00000000" w:rsidDel="00000000" w:rsidP="00000000" w:rsidRDefault="00000000" w:rsidRPr="00000000" w14:paraId="00000047">
                  <w:pPr>
                    <w:contextualSpacing w:val="0"/>
                    <w:rPr>
                      <w:rFonts w:ascii="Arial" w:cs="Arial" w:eastAsia="Arial" w:hAnsi="Arial"/>
                      <w:sz w:val="20"/>
                      <w:szCs w:val="20"/>
                      <w:vertAlign w:val="baseline"/>
                    </w:rPr>
                  </w:pPr>
                  <w:r w:rsidDel="00000000" w:rsidR="00000000" w:rsidRPr="00000000">
                    <w:rPr>
                      <w:rtl w:val="0"/>
                    </w:rPr>
                  </w:r>
                </w:p>
              </w:tc>
            </w:tr>
          </w:tbl>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NB.</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All marks are provisional until confirmed by the Final Examination Board.</w:t>
            </w:r>
          </w:p>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For completion by Marker 1 :</w:t>
            </w:r>
            <w:r w:rsidDel="00000000" w:rsidR="00000000" w:rsidRPr="00000000">
              <w:rPr>
                <w:rtl w:val="0"/>
              </w:rPr>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Comments:</w:t>
            </w:r>
          </w:p>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trHeight w:val="480" w:hRule="atLeast"/>
        </w:trPr>
        <w:tc>
          <w:tcPr>
            <w:gridSpan w:val="3"/>
            <w:vAlign w:val="top"/>
          </w:tcPr>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142"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Marker’s signature:</w:t>
            </w:r>
          </w:p>
        </w:tc>
        <w:tc>
          <w:tcPr>
            <w:gridSpan w:val="2"/>
            <w:vAlign w:val="top"/>
          </w:tcPr>
          <w:p w:rsidR="00000000" w:rsidDel="00000000" w:rsidP="00000000" w:rsidRDefault="00000000" w:rsidRPr="00000000" w14:paraId="00000058">
            <w:pPr>
              <w:keepNext w:val="0"/>
              <w:keepLines w:val="0"/>
              <w:widowControl w:val="1"/>
              <w:pBdr>
                <w:top w:space="0" w:sz="0" w:val="nil"/>
                <w:left w:space="0" w:sz="0" w:val="nil"/>
                <w:bottom w:space="0" w:sz="0" w:val="nil"/>
                <w:right w:space="0" w:sz="0" w:val="nil"/>
                <w:between w:space="0" w:sz="0" w:val="nil"/>
              </w:pBdr>
              <w:shd w:fill="auto" w:val="clear"/>
              <w:spacing w:after="0" w:before="100" w:line="240" w:lineRule="auto"/>
              <w:ind w:left="142" w:right="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Date:</w:t>
            </w:r>
          </w:p>
        </w:tc>
      </w:tr>
      <w:tr>
        <w:tc>
          <w:tcPr>
            <w:gridSpan w:val="5"/>
            <w:vAlign w:val="top"/>
          </w:tcPr>
          <w:p w:rsidR="00000000" w:rsidDel="00000000" w:rsidP="00000000" w:rsidRDefault="00000000" w:rsidRPr="00000000" w14:paraId="0000005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For completion by Marker 2/Moderator:</w:t>
            </w:r>
            <w:r w:rsidDel="00000000" w:rsidR="00000000" w:rsidRPr="00000000">
              <w:rPr>
                <w:rtl w:val="0"/>
              </w:rPr>
            </w:r>
          </w:p>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Comments:</w:t>
            </w:r>
          </w:p>
          <w:p w:rsidR="00000000" w:rsidDel="00000000" w:rsidP="00000000" w:rsidRDefault="00000000" w:rsidRPr="00000000" w14:paraId="0000005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trHeight w:val="720" w:hRule="atLeast"/>
        </w:trPr>
        <w:tc>
          <w:tcPr>
            <w:gridSpan w:val="2"/>
            <w:vAlign w:val="top"/>
          </w:tcPr>
          <w:p w:rsidR="00000000" w:rsidDel="00000000" w:rsidP="00000000" w:rsidRDefault="00000000" w:rsidRPr="00000000" w14:paraId="0000006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Marker’s Signature:</w:t>
            </w:r>
          </w:p>
        </w:tc>
        <w:tc>
          <w:tcPr>
            <w:gridSpan w:val="3"/>
            <w:vAlign w:val="top"/>
          </w:tcPr>
          <w:p w:rsidR="00000000" w:rsidDel="00000000" w:rsidP="00000000" w:rsidRDefault="00000000" w:rsidRPr="00000000" w14:paraId="0000006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Date:</w:t>
            </w:r>
          </w:p>
        </w:tc>
      </w:tr>
      <w:tr>
        <w:trPr>
          <w:trHeight w:val="720" w:hRule="atLeast"/>
        </w:trPr>
        <w:tc>
          <w:tcPr>
            <w:gridSpan w:val="5"/>
            <w:vAlign w:val="top"/>
          </w:tcPr>
          <w:p w:rsidR="00000000" w:rsidDel="00000000" w:rsidP="00000000" w:rsidRDefault="00000000" w:rsidRPr="00000000" w14:paraId="0000006A">
            <w:pPr>
              <w:contextualSpacing w:val="0"/>
              <w:rPr>
                <w:rFonts w:ascii="Arial" w:cs="Arial" w:eastAsia="Arial" w:hAnsi="Arial"/>
                <w:b w:val="0"/>
                <w:sz w:val="22"/>
                <w:szCs w:val="22"/>
                <w:vertAlign w:val="baseline"/>
              </w:rPr>
            </w:pPr>
            <w:r w:rsidDel="00000000" w:rsidR="00000000" w:rsidRPr="00000000">
              <w:rPr>
                <w:rFonts w:ascii="Arial" w:cs="Arial" w:eastAsia="Arial" w:hAnsi="Arial"/>
                <w:b w:val="1"/>
                <w:sz w:val="22"/>
                <w:szCs w:val="22"/>
                <w:vertAlign w:val="baseline"/>
                <w:rtl w:val="0"/>
              </w:rPr>
              <w:t xml:space="preserve">AGREED INTERNAL MARK (where necessary):</w:t>
            </w:r>
            <w:r w:rsidDel="00000000" w:rsidR="00000000" w:rsidRPr="00000000">
              <w:rPr>
                <w:rtl w:val="0"/>
              </w:rPr>
            </w:r>
          </w:p>
          <w:p w:rsidR="00000000" w:rsidDel="00000000" w:rsidP="00000000" w:rsidRDefault="00000000" w:rsidRPr="00000000" w14:paraId="0000006B">
            <w:pPr>
              <w:contextualSpacing w:val="0"/>
              <w:rPr>
                <w:rFonts w:ascii="Arial" w:cs="Arial" w:eastAsia="Arial" w:hAnsi="Arial"/>
                <w:b w:val="0"/>
                <w:sz w:val="22"/>
                <w:szCs w:val="22"/>
                <w:vertAlign w:val="baseline"/>
              </w:rPr>
            </w:pPr>
            <w:r w:rsidDel="00000000" w:rsidR="00000000" w:rsidRPr="00000000">
              <w:rPr>
                <w:rtl w:val="0"/>
              </w:rPr>
            </w:r>
          </w:p>
          <w:p w:rsidR="00000000" w:rsidDel="00000000" w:rsidP="00000000" w:rsidRDefault="00000000" w:rsidRPr="00000000" w14:paraId="0000006C">
            <w:pPr>
              <w:contextualSpacing w:val="0"/>
              <w:rPr>
                <w:rFonts w:ascii="Arial" w:cs="Arial" w:eastAsia="Arial" w:hAnsi="Arial"/>
                <w:b w:val="0"/>
                <w:sz w:val="22"/>
                <w:szCs w:val="22"/>
                <w:vertAlign w:val="baseline"/>
              </w:rPr>
            </w:pPr>
            <w:r w:rsidDel="00000000" w:rsidR="00000000" w:rsidRPr="00000000">
              <w:rPr>
                <w:rFonts w:ascii="Arial" w:cs="Arial" w:eastAsia="Arial" w:hAnsi="Arial"/>
                <w:b w:val="1"/>
                <w:sz w:val="22"/>
                <w:szCs w:val="22"/>
                <w:vertAlign w:val="baseline"/>
                <w:rtl w:val="0"/>
              </w:rPr>
              <w:t xml:space="preserve">Comment on process on arriving at agreed mark:</w:t>
            </w:r>
            <w:r w:rsidDel="00000000" w:rsidR="00000000" w:rsidRPr="00000000">
              <w:rPr>
                <w:rtl w:val="0"/>
              </w:rPr>
            </w:r>
          </w:p>
          <w:p w:rsidR="00000000" w:rsidDel="00000000" w:rsidP="00000000" w:rsidRDefault="00000000" w:rsidRPr="00000000" w14:paraId="0000006D">
            <w:pPr>
              <w:contextualSpacing w:val="0"/>
              <w:rPr>
                <w:rFonts w:ascii="Arial" w:cs="Arial" w:eastAsia="Arial" w:hAnsi="Arial"/>
                <w:b w:val="0"/>
                <w:sz w:val="22"/>
                <w:szCs w:val="22"/>
                <w:vertAlign w:val="baseline"/>
              </w:rPr>
            </w:pPr>
            <w:r w:rsidDel="00000000" w:rsidR="00000000" w:rsidRPr="00000000">
              <w:rPr>
                <w:rtl w:val="0"/>
              </w:rPr>
            </w:r>
          </w:p>
          <w:p w:rsidR="00000000" w:rsidDel="00000000" w:rsidP="00000000" w:rsidRDefault="00000000" w:rsidRPr="00000000" w14:paraId="0000006E">
            <w:pPr>
              <w:contextualSpacing w:val="0"/>
              <w:rPr>
                <w:rFonts w:ascii="Arial" w:cs="Arial" w:eastAsia="Arial" w:hAnsi="Arial"/>
                <w:b w:val="0"/>
                <w:sz w:val="22"/>
                <w:szCs w:val="22"/>
                <w:vertAlign w:val="baseline"/>
              </w:rPr>
            </w:pPr>
            <w:r w:rsidDel="00000000" w:rsidR="00000000" w:rsidRPr="00000000">
              <w:rPr>
                <w:rtl w:val="0"/>
              </w:rPr>
            </w:r>
          </w:p>
        </w:tc>
      </w:tr>
      <w:tr>
        <w:trPr>
          <w:trHeight w:val="720" w:hRule="atLeast"/>
        </w:trPr>
        <w:tc>
          <w:tcPr>
            <w:gridSpan w:val="5"/>
            <w:vAlign w:val="top"/>
          </w:tcPr>
          <w:p w:rsidR="00000000" w:rsidDel="00000000" w:rsidP="00000000" w:rsidRDefault="00000000" w:rsidRPr="00000000" w14:paraId="00000073">
            <w:pPr>
              <w:contextualSpacing w:val="0"/>
              <w:rPr>
                <w:rFonts w:ascii="Arial" w:cs="Arial" w:eastAsia="Arial" w:hAnsi="Arial"/>
                <w:b w:val="0"/>
                <w:sz w:val="22"/>
                <w:szCs w:val="22"/>
                <w:vertAlign w:val="baseline"/>
              </w:rPr>
            </w:pPr>
            <w:r w:rsidDel="00000000" w:rsidR="00000000" w:rsidRPr="00000000">
              <w:rPr>
                <w:rFonts w:ascii="Arial" w:cs="Arial" w:eastAsia="Arial" w:hAnsi="Arial"/>
                <w:b w:val="1"/>
                <w:sz w:val="22"/>
                <w:szCs w:val="22"/>
                <w:vertAlign w:val="baseline"/>
                <w:rtl w:val="0"/>
              </w:rPr>
              <w:t xml:space="preserve">External Examiner’s comments (if relevant)</w:t>
            </w:r>
            <w:r w:rsidDel="00000000" w:rsidR="00000000" w:rsidRPr="00000000">
              <w:rPr>
                <w:rtl w:val="0"/>
              </w:rPr>
            </w:r>
          </w:p>
          <w:p w:rsidR="00000000" w:rsidDel="00000000" w:rsidP="00000000" w:rsidRDefault="00000000" w:rsidRPr="00000000" w14:paraId="0000007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trHeight w:val="720" w:hRule="atLeast"/>
        </w:trPr>
        <w:tc>
          <w:tcPr>
            <w:gridSpan w:val="2"/>
            <w:vAlign w:val="top"/>
          </w:tcPr>
          <w:p w:rsidR="00000000" w:rsidDel="00000000" w:rsidP="00000000" w:rsidRDefault="00000000" w:rsidRPr="00000000" w14:paraId="0000007B">
            <w:pPr>
              <w:contextualSpacing w:val="0"/>
              <w:rPr>
                <w:rFonts w:ascii="Arial" w:cs="Arial" w:eastAsia="Arial" w:hAnsi="Arial"/>
                <w:sz w:val="22"/>
                <w:szCs w:val="22"/>
                <w:vertAlign w:val="baseline"/>
              </w:rPr>
            </w:pPr>
            <w:r w:rsidDel="00000000" w:rsidR="00000000" w:rsidRPr="00000000">
              <w:rPr>
                <w:rFonts w:ascii="Arial" w:cs="Arial" w:eastAsia="Arial" w:hAnsi="Arial"/>
                <w:sz w:val="22"/>
                <w:szCs w:val="22"/>
                <w:vertAlign w:val="baseline"/>
                <w:rtl w:val="0"/>
              </w:rPr>
              <w:t xml:space="preserve">External Examiner’s Signature:</w:t>
            </w:r>
          </w:p>
        </w:tc>
        <w:tc>
          <w:tcPr>
            <w:gridSpan w:val="3"/>
            <w:vAlign w:val="top"/>
          </w:tcPr>
          <w:p w:rsidR="00000000" w:rsidDel="00000000" w:rsidP="00000000" w:rsidRDefault="00000000" w:rsidRPr="00000000" w14:paraId="0000007D">
            <w:pPr>
              <w:contextualSpacing w:val="0"/>
              <w:rPr>
                <w:rFonts w:ascii="Arial" w:cs="Arial" w:eastAsia="Arial" w:hAnsi="Arial"/>
                <w:sz w:val="22"/>
                <w:szCs w:val="22"/>
                <w:vertAlign w:val="baseline"/>
              </w:rPr>
            </w:pPr>
            <w:r w:rsidDel="00000000" w:rsidR="00000000" w:rsidRPr="00000000">
              <w:rPr>
                <w:rFonts w:ascii="Arial" w:cs="Arial" w:eastAsia="Arial" w:hAnsi="Arial"/>
                <w:sz w:val="22"/>
                <w:szCs w:val="22"/>
                <w:vertAlign w:val="baseline"/>
                <w:rtl w:val="0"/>
              </w:rPr>
              <w:t xml:space="preserve">Date:</w:t>
            </w:r>
          </w:p>
        </w:tc>
      </w:tr>
    </w:tbl>
    <w:p w:rsidR="00000000" w:rsidDel="00000000" w:rsidP="00000000" w:rsidRDefault="00000000" w:rsidRPr="00000000" w14:paraId="0000008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contextualSpacing w:val="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5">
      <w:pPr>
        <w:spacing w:line="276" w:lineRule="auto"/>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Do Barthes’ theories on narrative structure allow us to better interpret medieval narratives, or are they a hindrance to our understanding of them?</w:t>
      </w:r>
    </w:p>
    <w:p w:rsidR="00000000" w:rsidDel="00000000" w:rsidP="00000000" w:rsidRDefault="00000000" w:rsidRPr="00000000" w14:paraId="00000096">
      <w:pPr>
        <w:spacing w:line="276" w:lineRule="auto"/>
        <w:contextualSpacing w:val="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97">
      <w:pPr>
        <w:spacing w:line="276"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The idea of applying modern critical theories to historical texts seems counterproductive at first thought. Surely this type of examination is just a product of hindsight, of analysing literature through a set of criteria which would have had no relevance to the context such stories would have been conceived in? I am not sure this is true: upon thorough reading of Barthes’ key thoughts on narrative structure in ‘An Introduction to the Structural Analysis of Narrative’ and my own application of his theories to Geoffrey Chaucer’s ‘The Canterbury Tales’, I have found Barthes’ ideas can indeed expand understanding of this respected piece of literature and provide further interpretations of its form that literary criticism may not have discovered without it.</w:t>
      </w:r>
    </w:p>
    <w:p w:rsidR="00000000" w:rsidDel="00000000" w:rsidP="00000000" w:rsidRDefault="00000000" w:rsidRPr="00000000" w14:paraId="00000098">
      <w:pPr>
        <w:spacing w:line="276" w:lineRule="auto"/>
        <w:contextualSpacing w:val="0"/>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99">
      <w:pPr>
        <w:spacing w:line="276"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Barthes recognises immediately in this essay that this breaking down the loaded word of the literary form ‘narrative’ is no easy feat. “Countless forms of narrative”</w:t>
      </w:r>
      <w:r w:rsidDel="00000000" w:rsidR="00000000" w:rsidRPr="00000000">
        <w:rPr>
          <w:rFonts w:ascii="Arial" w:cs="Arial" w:eastAsia="Arial" w:hAnsi="Arial"/>
          <w:sz w:val="22"/>
          <w:szCs w:val="22"/>
          <w:vertAlign w:val="superscript"/>
        </w:rPr>
        <w:footnoteReference w:customMarkFollows="0" w:id="0"/>
      </w:r>
      <w:r w:rsidDel="00000000" w:rsidR="00000000" w:rsidRPr="00000000">
        <w:rPr>
          <w:rFonts w:ascii="Arial" w:cs="Arial" w:eastAsia="Arial" w:hAnsi="Arial"/>
          <w:sz w:val="22"/>
          <w:szCs w:val="22"/>
          <w:rtl w:val="0"/>
        </w:rPr>
        <w:t xml:space="preserve"> exist in our world, he states in the opening sentence, and it surely is a tremendous task to find a common set of rules or model that various genres, nationalities and subject matters can adhere to. But yet Barthes declares there is such a model and it falls down to the use of language in such texts to create this template, as of course narrative cannot be created without it: “It is hardly possible any longer to conceive of literature as an art which would stand free of any relation to language”</w:t>
      </w:r>
      <w:r w:rsidDel="00000000" w:rsidR="00000000" w:rsidRPr="00000000">
        <w:rPr>
          <w:rFonts w:ascii="Arial" w:cs="Arial" w:eastAsia="Arial" w:hAnsi="Arial"/>
          <w:sz w:val="22"/>
          <w:szCs w:val="22"/>
          <w:vertAlign w:val="superscript"/>
        </w:rPr>
        <w:footnoteReference w:customMarkFollows="0" w:id="1"/>
      </w:r>
      <w:r w:rsidDel="00000000" w:rsidR="00000000" w:rsidRPr="00000000">
        <w:rPr>
          <w:rFonts w:ascii="Arial" w:cs="Arial" w:eastAsia="Arial" w:hAnsi="Arial"/>
          <w:sz w:val="22"/>
          <w:szCs w:val="22"/>
          <w:rtl w:val="0"/>
        </w:rPr>
        <w:t xml:space="preserve">. But narrative consists of something different to other types of discourse, which also utilise words, the sentence and multiple sentences. It is, according to Barthes, narrative’s organisation of integrative sentences that gives it its two dimensional meaning, as such a “hierarchy of levels” suggest that any connotations do “not lie ‘at the end’ of the narrative, but straddles it.”</w:t>
      </w:r>
      <w:r w:rsidDel="00000000" w:rsidR="00000000" w:rsidRPr="00000000">
        <w:rPr>
          <w:rFonts w:ascii="Arial" w:cs="Arial" w:eastAsia="Arial" w:hAnsi="Arial"/>
          <w:sz w:val="22"/>
          <w:szCs w:val="22"/>
          <w:vertAlign w:val="superscript"/>
        </w:rPr>
        <w:footnoteReference w:customMarkFollows="0" w:id="2"/>
      </w:r>
      <w:r w:rsidDel="00000000" w:rsidR="00000000" w:rsidRPr="00000000">
        <w:rPr>
          <w:rFonts w:ascii="Arial" w:cs="Arial" w:eastAsia="Arial" w:hAnsi="Arial"/>
          <w:sz w:val="22"/>
          <w:szCs w:val="22"/>
          <w:rtl w:val="0"/>
        </w:rPr>
        <w:t xml:space="preserve"> Then comes a key idea of this essay: these levels of meaning are limited to three, and they are defined as the levels of ‘functions’, ‘actions’ and ‘narration’ and it is their work together in the language of a story which creates this meaning. </w:t>
      </w:r>
    </w:p>
    <w:p w:rsidR="00000000" w:rsidDel="00000000" w:rsidP="00000000" w:rsidRDefault="00000000" w:rsidRPr="00000000" w14:paraId="0000009A">
      <w:pPr>
        <w:spacing w:line="276" w:lineRule="auto"/>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B">
      <w:pPr>
        <w:spacing w:line="276"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Functions, as the name suggests, are the key elements of the sentence, and therefore narrative. In order to show how they fully flesh out sentences to become intentionally narrative, Barthes divides functions into two categories: functions namely and indices. These two classes break down once more into four more subclasses; under functions come the nuclei and catalyses, and under indices are indices proper and informants. Essentially, the two types of functions create a distributional meaning while the indices create a higher, integrative level, turning regular discourse into a narrative format. Another comparison Barthes uses is to connect them with Jakobson’s exploration of metonymy and metaphor: “functions imply metonymic relata, indices metaphoric relata; the former are functional in terms of action, the latter in terms of being.”</w:t>
      </w:r>
      <w:r w:rsidDel="00000000" w:rsidR="00000000" w:rsidRPr="00000000">
        <w:rPr>
          <w:rFonts w:ascii="Arial" w:cs="Arial" w:eastAsia="Arial" w:hAnsi="Arial"/>
          <w:sz w:val="22"/>
          <w:szCs w:val="22"/>
          <w:vertAlign w:val="superscript"/>
        </w:rPr>
        <w:footnoteReference w:customMarkFollows="0" w:id="3"/>
      </w:r>
      <w:r w:rsidDel="00000000" w:rsidR="00000000" w:rsidRPr="00000000">
        <w:rPr>
          <w:rtl w:val="0"/>
        </w:rPr>
      </w:r>
    </w:p>
    <w:p w:rsidR="00000000" w:rsidDel="00000000" w:rsidP="00000000" w:rsidRDefault="00000000" w:rsidRPr="00000000" w14:paraId="0000009C">
      <w:pPr>
        <w:spacing w:line="276" w:lineRule="auto"/>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D">
      <w:pPr>
        <w:spacing w:line="276"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So how does an understanding of these literary components help with the interpretation of our medieval literary example, Chaucer’s </w:t>
      </w:r>
      <w:r w:rsidDel="00000000" w:rsidR="00000000" w:rsidRPr="00000000">
        <w:rPr>
          <w:rFonts w:ascii="Arial" w:cs="Arial" w:eastAsia="Arial" w:hAnsi="Arial"/>
          <w:i w:val="1"/>
          <w:sz w:val="22"/>
          <w:szCs w:val="22"/>
          <w:rtl w:val="0"/>
        </w:rPr>
        <w:t xml:space="preserve">The Canterbury Tales</w:t>
      </w:r>
      <w:r w:rsidDel="00000000" w:rsidR="00000000" w:rsidRPr="00000000">
        <w:rPr>
          <w:rFonts w:ascii="Arial" w:cs="Arial" w:eastAsia="Arial" w:hAnsi="Arial"/>
          <w:sz w:val="22"/>
          <w:szCs w:val="22"/>
          <w:rtl w:val="0"/>
        </w:rPr>
        <w:t xml:space="preserve">? Well if Barthes is to be our basis, we can suggest that the plot of tales is driven by functions. Looking at ‘The Knight’s Tale’, a key example is presented in the opening of his narrative, as our narrator, the Knight, introduces the story with the assertion that the preceding fictional events could be an entirely new narrative on its own accord:</w:t>
      </w:r>
    </w:p>
    <w:p w:rsidR="00000000" w:rsidDel="00000000" w:rsidP="00000000" w:rsidRDefault="00000000" w:rsidRPr="00000000" w14:paraId="0000009E">
      <w:pPr>
        <w:spacing w:line="276" w:lineRule="auto"/>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F">
      <w:pPr>
        <w:spacing w:line="276"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“And certes, if it nere to long to heere,</w:t>
        <w:br w:type="textWrapping"/>
        <w:t xml:space="preserve">I wolde have toold yow fully the manere</w:t>
        <w:br w:type="textWrapping"/>
        <w:t xml:space="preserve">How wonnen was the regne of Femenye</w:t>
        <w:br w:type="textWrapping"/>
        <w:t xml:space="preserve">By Theseus, and by his chivalrye,</w:t>
        <w:br w:type="textWrapping"/>
        <w:t xml:space="preserve">And of the grete bataille for the nones</w:t>
        <w:br w:type="textWrapping"/>
        <w:t xml:space="preserve">Bitwixen Atthenes and Amazones,</w:t>
        <w:br w:type="textWrapping"/>
        <w:t xml:space="preserve">And how asseged was Ypolita</w:t>
        <w:br w:type="textWrapping"/>
        <w:t xml:space="preserve">The faire hardy queene of Scithia,</w:t>
        <w:br w:type="textWrapping"/>
        <w:t xml:space="preserve">And of the feste that was at hir weddynge,</w:t>
        <w:br w:type="textWrapping"/>
        <w:t xml:space="preserve">And of the tempest at hir hoom-comynge;</w:t>
        <w:br w:type="textWrapping"/>
        <w:t xml:space="preserve">But al the thyng I moot as now forbere”</w:t>
      </w:r>
      <w:r w:rsidDel="00000000" w:rsidR="00000000" w:rsidRPr="00000000">
        <w:rPr>
          <w:rFonts w:ascii="Arial" w:cs="Arial" w:eastAsia="Arial" w:hAnsi="Arial"/>
          <w:sz w:val="22"/>
          <w:szCs w:val="22"/>
          <w:vertAlign w:val="superscript"/>
        </w:rPr>
        <w:footnoteReference w:customMarkFollows="0" w:id="4"/>
      </w:r>
      <w:r w:rsidDel="00000000" w:rsidR="00000000" w:rsidRPr="00000000">
        <w:rPr>
          <w:rtl w:val="0"/>
        </w:rPr>
      </w:r>
    </w:p>
    <w:p w:rsidR="00000000" w:rsidDel="00000000" w:rsidP="00000000" w:rsidRDefault="00000000" w:rsidRPr="00000000" w14:paraId="000000A0">
      <w:pPr>
        <w:spacing w:line="276" w:lineRule="auto"/>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1">
      <w:pPr>
        <w:spacing w:line="276"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In this passage, the Knight summarises a large portion of events that need to be communicated to receivers of the story for full comprehension of the plot that will follow in this narrative. It is the linguistic functions that Barthes describes that achieve this. The lines, that tell listeners how Theseus “asseged...The faire hardy queen”</w:t>
      </w:r>
      <w:r w:rsidDel="00000000" w:rsidR="00000000" w:rsidRPr="00000000">
        <w:rPr>
          <w:rFonts w:ascii="Arial" w:cs="Arial" w:eastAsia="Arial" w:hAnsi="Arial"/>
          <w:sz w:val="22"/>
          <w:szCs w:val="22"/>
          <w:vertAlign w:val="superscript"/>
        </w:rPr>
        <w:footnoteReference w:customMarkFollows="0" w:id="5"/>
      </w:r>
      <w:r w:rsidDel="00000000" w:rsidR="00000000" w:rsidRPr="00000000">
        <w:rPr>
          <w:rFonts w:ascii="Arial" w:cs="Arial" w:eastAsia="Arial" w:hAnsi="Arial"/>
          <w:sz w:val="22"/>
          <w:szCs w:val="22"/>
          <w:rtl w:val="0"/>
        </w:rPr>
        <w:t xml:space="preserve"> and inform us “of the feste that was at hir weddynge”</w:t>
      </w:r>
      <w:r w:rsidDel="00000000" w:rsidR="00000000" w:rsidRPr="00000000">
        <w:rPr>
          <w:rFonts w:ascii="Arial" w:cs="Arial" w:eastAsia="Arial" w:hAnsi="Arial"/>
          <w:sz w:val="22"/>
          <w:szCs w:val="22"/>
          <w:vertAlign w:val="superscript"/>
        </w:rPr>
        <w:footnoteReference w:customMarkFollows="0" w:id="6"/>
      </w:r>
      <w:r w:rsidDel="00000000" w:rsidR="00000000" w:rsidRPr="00000000">
        <w:rPr>
          <w:rFonts w:ascii="Arial" w:cs="Arial" w:eastAsia="Arial" w:hAnsi="Arial"/>
          <w:sz w:val="22"/>
          <w:szCs w:val="22"/>
          <w:rtl w:val="0"/>
        </w:rPr>
        <w:t xml:space="preserve"> after, demonstrate key actions which determine the pathways that the characters can choose later on in the narrative. This must be a cardinal function therefore, as Barthes defines a nuclei like this as an “action to which it refers opens (or maintains or closes) an alternative directly affecting the continuation of the story”</w:t>
      </w:r>
      <w:r w:rsidDel="00000000" w:rsidR="00000000" w:rsidRPr="00000000">
        <w:rPr>
          <w:rFonts w:ascii="Arial" w:cs="Arial" w:eastAsia="Arial" w:hAnsi="Arial"/>
          <w:sz w:val="22"/>
          <w:szCs w:val="22"/>
          <w:vertAlign w:val="superscript"/>
        </w:rPr>
        <w:footnoteReference w:customMarkFollows="0" w:id="7"/>
      </w:r>
      <w:r w:rsidDel="00000000" w:rsidR="00000000" w:rsidRPr="00000000">
        <w:rPr>
          <w:rFonts w:ascii="Arial" w:cs="Arial" w:eastAsia="Arial" w:hAnsi="Arial"/>
          <w:sz w:val="22"/>
          <w:szCs w:val="22"/>
          <w:rtl w:val="0"/>
        </w:rPr>
        <w:t xml:space="preserve">. In the same passage, small details of “the great bataille”</w:t>
      </w:r>
      <w:r w:rsidDel="00000000" w:rsidR="00000000" w:rsidRPr="00000000">
        <w:rPr>
          <w:rFonts w:ascii="Arial" w:cs="Arial" w:eastAsia="Arial" w:hAnsi="Arial"/>
          <w:sz w:val="22"/>
          <w:szCs w:val="22"/>
          <w:vertAlign w:val="superscript"/>
        </w:rPr>
        <w:footnoteReference w:customMarkFollows="0" w:id="8"/>
      </w:r>
      <w:r w:rsidDel="00000000" w:rsidR="00000000" w:rsidRPr="00000000">
        <w:rPr>
          <w:rFonts w:ascii="Arial" w:cs="Arial" w:eastAsia="Arial" w:hAnsi="Arial"/>
          <w:sz w:val="22"/>
          <w:szCs w:val="22"/>
          <w:rtl w:val="0"/>
        </w:rPr>
        <w:t xml:space="preserve"> and “the tempest at hir hoom-comynge”</w:t>
      </w:r>
      <w:r w:rsidDel="00000000" w:rsidR="00000000" w:rsidRPr="00000000">
        <w:rPr>
          <w:rFonts w:ascii="Arial" w:cs="Arial" w:eastAsia="Arial" w:hAnsi="Arial"/>
          <w:sz w:val="22"/>
          <w:szCs w:val="22"/>
          <w:vertAlign w:val="superscript"/>
        </w:rPr>
        <w:footnoteReference w:customMarkFollows="0" w:id="9"/>
      </w:r>
      <w:r w:rsidDel="00000000" w:rsidR="00000000" w:rsidRPr="00000000">
        <w:rPr>
          <w:rFonts w:ascii="Arial" w:cs="Arial" w:eastAsia="Arial" w:hAnsi="Arial"/>
          <w:sz w:val="22"/>
          <w:szCs w:val="22"/>
          <w:rtl w:val="0"/>
        </w:rPr>
        <w:t xml:space="preserve"> provide little more than chronological padding to the narrative setting, but their role in retaining the pace and context for the recipients of the story is still important for overall understanding of the narrative, making these descriptions catalyses in Barthes’ eyes: still imperative to the narrative overall.</w:t>
      </w:r>
    </w:p>
    <w:p w:rsidR="00000000" w:rsidDel="00000000" w:rsidP="00000000" w:rsidRDefault="00000000" w:rsidRPr="00000000" w14:paraId="000000A2">
      <w:pPr>
        <w:spacing w:line="276" w:lineRule="auto"/>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3">
      <w:pPr>
        <w:spacing w:line="276"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This succinctness can be loosened later on in the overarching narrative, and allows for the second class of functions to feature. Indeed, the Wife of Bath’s role as both a character within the pilgrimage and the narrator of her tale would not be able to appeal to the reader without the clever use of indices, due to the sheer length of it. The prologue to this particular tale is famously much longer than Alisoun’s own narrative, and is littered with small references and informants that actually help shape the understanding for the listeners. A clear picture of the uncouth Wife is created in her prologue, through sentences and images that are not wholly relevant to the plot of the pilgrimage or any story within it. We are told how Alisoun’s enjoyment of sex is her being grateful to God (“In wyfhod I wol use myn instrument/ As frely as my Makere hath it sent”</w:t>
      </w:r>
      <w:r w:rsidDel="00000000" w:rsidR="00000000" w:rsidRPr="00000000">
        <w:rPr>
          <w:rFonts w:ascii="Arial" w:cs="Arial" w:eastAsia="Arial" w:hAnsi="Arial"/>
          <w:sz w:val="22"/>
          <w:szCs w:val="22"/>
          <w:vertAlign w:val="superscript"/>
        </w:rPr>
        <w:footnoteReference w:customMarkFollows="0" w:id="10"/>
      </w:r>
      <w:r w:rsidDel="00000000" w:rsidR="00000000" w:rsidRPr="00000000">
        <w:rPr>
          <w:rFonts w:ascii="Arial" w:cs="Arial" w:eastAsia="Arial" w:hAnsi="Arial"/>
          <w:sz w:val="22"/>
          <w:szCs w:val="22"/>
          <w:rtl w:val="0"/>
        </w:rPr>
        <w:t xml:space="preserve">), declaring her sinful passion as a personal fault (“hem that wolde lyve parfitly;/ And lordynges, by youre leve, that am nat I”</w:t>
      </w:r>
      <w:r w:rsidDel="00000000" w:rsidR="00000000" w:rsidRPr="00000000">
        <w:rPr>
          <w:rFonts w:ascii="Arial" w:cs="Arial" w:eastAsia="Arial" w:hAnsi="Arial"/>
          <w:sz w:val="22"/>
          <w:szCs w:val="22"/>
          <w:vertAlign w:val="superscript"/>
        </w:rPr>
        <w:footnoteReference w:customMarkFollows="0" w:id="11"/>
      </w:r>
      <w:r w:rsidDel="00000000" w:rsidR="00000000" w:rsidRPr="00000000">
        <w:rPr>
          <w:rFonts w:ascii="Arial" w:cs="Arial" w:eastAsia="Arial" w:hAnsi="Arial"/>
          <w:sz w:val="22"/>
          <w:szCs w:val="22"/>
          <w:rtl w:val="0"/>
        </w:rPr>
        <w:t xml:space="preserve">). She even makes the controversial statement that Jesus “was a mayde and shapen as a man,/ And many a seint, sith that the world bigan”</w:t>
      </w:r>
      <w:r w:rsidDel="00000000" w:rsidR="00000000" w:rsidRPr="00000000">
        <w:rPr>
          <w:rFonts w:ascii="Arial" w:cs="Arial" w:eastAsia="Arial" w:hAnsi="Arial"/>
          <w:sz w:val="22"/>
          <w:szCs w:val="22"/>
          <w:vertAlign w:val="superscript"/>
        </w:rPr>
        <w:footnoteReference w:customMarkFollows="0" w:id="12"/>
      </w:r>
      <w:r w:rsidDel="00000000" w:rsidR="00000000" w:rsidRPr="00000000">
        <w:rPr>
          <w:rFonts w:ascii="Arial" w:cs="Arial" w:eastAsia="Arial" w:hAnsi="Arial"/>
          <w:sz w:val="22"/>
          <w:szCs w:val="22"/>
          <w:rtl w:val="0"/>
        </w:rPr>
        <w:t xml:space="preserve">. These abstract ideas seem to fall into the category of indices proper, with their abstract ideas.</w:t>
      </w:r>
    </w:p>
    <w:p w:rsidR="00000000" w:rsidDel="00000000" w:rsidP="00000000" w:rsidRDefault="00000000" w:rsidRPr="00000000" w14:paraId="000000A4">
      <w:pPr>
        <w:spacing w:line="276" w:lineRule="auto"/>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5">
      <w:pPr>
        <w:spacing w:line="276"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These indices also contribute to our understanding of the tale itself; the Wife tells an Arthurian story of a knight who, as he attempts to answer the queen’s question about female desire to avoid punishment, is tricked into marriage by an old lady, described so charmingly as “A fouler wight ther may no man devyse.”</w:t>
      </w:r>
      <w:r w:rsidDel="00000000" w:rsidR="00000000" w:rsidRPr="00000000">
        <w:rPr>
          <w:rFonts w:ascii="Arial" w:cs="Arial" w:eastAsia="Arial" w:hAnsi="Arial"/>
          <w:sz w:val="22"/>
          <w:szCs w:val="22"/>
          <w:vertAlign w:val="superscript"/>
        </w:rPr>
        <w:footnoteReference w:customMarkFollows="0" w:id="13"/>
      </w:r>
      <w:r w:rsidDel="00000000" w:rsidR="00000000" w:rsidRPr="00000000">
        <w:rPr>
          <w:rFonts w:ascii="Arial" w:cs="Arial" w:eastAsia="Arial" w:hAnsi="Arial"/>
          <w:sz w:val="22"/>
          <w:szCs w:val="22"/>
          <w:rtl w:val="0"/>
        </w:rPr>
        <w:t xml:space="preserve"> The wife’s trickster character is reminiscent of the narrator of this story, as she presents similar view of women to Alisoun, something we, as readers have learned from the indices we have examined already. This then allows us to have a richer understanding of the tale, especially within its medieval context, since it illustrates women in a unusual manner for the time. Yes, the language Chaucer, and furthermore Alisoun, uses is misogynistic in nature, but still both the Wife of Bath and the wife of this tale are in control of their own destiny, presented very cleverly through their “desiren to have sovereynetee/ As wel over hir housband”</w:t>
      </w:r>
      <w:r w:rsidDel="00000000" w:rsidR="00000000" w:rsidRPr="00000000">
        <w:rPr>
          <w:rFonts w:ascii="Arial" w:cs="Arial" w:eastAsia="Arial" w:hAnsi="Arial"/>
          <w:sz w:val="22"/>
          <w:szCs w:val="22"/>
          <w:vertAlign w:val="superscript"/>
        </w:rPr>
        <w:footnoteReference w:customMarkFollows="0" w:id="14"/>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A6">
      <w:pPr>
        <w:spacing w:line="276" w:lineRule="auto"/>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7">
      <w:pPr>
        <w:spacing w:line="276"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But Barthes does not view character merely as a product of indices in a text, or conversely as a narrative element which dictates the story it is in, as previously taken for granted in older literary criticism. He places them as consequences or resources of the next level, that of actions. By this, he means that characters are not the controlling force of the plot, but vice versa. The Wife of Bath is “the agent of an action”</w:t>
      </w:r>
      <w:r w:rsidDel="00000000" w:rsidR="00000000" w:rsidRPr="00000000">
        <w:rPr>
          <w:rFonts w:ascii="Arial" w:cs="Arial" w:eastAsia="Arial" w:hAnsi="Arial"/>
          <w:sz w:val="22"/>
          <w:szCs w:val="22"/>
          <w:vertAlign w:val="superscript"/>
        </w:rPr>
        <w:footnoteReference w:customMarkFollows="0" w:id="15"/>
      </w:r>
      <w:r w:rsidDel="00000000" w:rsidR="00000000" w:rsidRPr="00000000">
        <w:rPr>
          <w:rFonts w:ascii="Arial" w:cs="Arial" w:eastAsia="Arial" w:hAnsi="Arial"/>
          <w:sz w:val="22"/>
          <w:szCs w:val="22"/>
          <w:rtl w:val="0"/>
        </w:rPr>
        <w:t xml:space="preserve"> or ‘actant’ in Barthes’ terms. But how does this explain the complicated role Chaucer’s characters play in </w:t>
      </w:r>
      <w:r w:rsidDel="00000000" w:rsidR="00000000" w:rsidRPr="00000000">
        <w:rPr>
          <w:rFonts w:ascii="Arial" w:cs="Arial" w:eastAsia="Arial" w:hAnsi="Arial"/>
          <w:i w:val="1"/>
          <w:sz w:val="22"/>
          <w:szCs w:val="22"/>
          <w:rtl w:val="0"/>
        </w:rPr>
        <w:t xml:space="preserve">The Canterbury Tales</w:t>
      </w:r>
      <w:r w:rsidDel="00000000" w:rsidR="00000000" w:rsidRPr="00000000">
        <w:rPr>
          <w:rFonts w:ascii="Arial" w:cs="Arial" w:eastAsia="Arial" w:hAnsi="Arial"/>
          <w:sz w:val="22"/>
          <w:szCs w:val="22"/>
          <w:rtl w:val="0"/>
        </w:rPr>
        <w:t xml:space="preserve">, of both narrator and character? Well, they have a clear multiplicity in their roles and this is just what ‘An Introduction to Structural Analysis of Narrative’ identifies. Barthes explains that it is difficult to pinpoint the exact structural importance of characters in narrative. They might be reliant on the level of action, but any plotline or event in the story is just as dependant on the former too. Characters, like the pilgrims “constitute a necessary plane of the description, outside of which the commonplace ‘actions’ that are reported cease to be intelligible”. This homologous relation between agents and action is perhaps the driving force of Chaucer’s prologue, as it reels off the list of characters and provides informants that will later, like the Wife of Bath’s prologue, add a dimension to the stories they come to narrate.</w:t>
      </w:r>
    </w:p>
    <w:p w:rsidR="00000000" w:rsidDel="00000000" w:rsidP="00000000" w:rsidRDefault="00000000" w:rsidRPr="00000000" w14:paraId="000000A8">
      <w:pPr>
        <w:spacing w:line="276" w:lineRule="auto"/>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9">
      <w:pPr>
        <w:spacing w:line="276"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Looking at this relationship between character and narrator also addresses the final part of Barthes’ structural analysis: the levels of narration. Integrative like the other two, the combined agent/narrator mentioned before aligns with our view of meta-narratives within a bigger narrative. However, these levels can be seen even within specific tales in a different form. The Pardoner’s Tale is an interesting example, as the titular character shows a side of his character which rings true in his own story. He explains gleefully in the prologue the many tricks he plays to gain money, before going on to tell a tale of greed which he deems sinful. He preaches grand sermons, with details added to authenticate his position as a trusted clergyman (“in Latyn I speke a wordes fewe,/ To saffron with my predicacioun”</w:t>
      </w:r>
      <w:r w:rsidDel="00000000" w:rsidR="00000000" w:rsidRPr="00000000">
        <w:rPr>
          <w:rFonts w:ascii="Arial" w:cs="Arial" w:eastAsia="Arial" w:hAnsi="Arial"/>
          <w:sz w:val="22"/>
          <w:szCs w:val="22"/>
          <w:vertAlign w:val="superscript"/>
        </w:rPr>
        <w:footnoteReference w:customMarkFollows="0" w:id="16"/>
      </w:r>
      <w:r w:rsidDel="00000000" w:rsidR="00000000" w:rsidRPr="00000000">
        <w:rPr>
          <w:rFonts w:ascii="Arial" w:cs="Arial" w:eastAsia="Arial" w:hAnsi="Arial"/>
          <w:sz w:val="22"/>
          <w:szCs w:val="22"/>
          <w:rtl w:val="0"/>
        </w:rPr>
        <w:t xml:space="preserve">) before going on to sell “longe cristal stones”</w:t>
      </w:r>
      <w:r w:rsidDel="00000000" w:rsidR="00000000" w:rsidRPr="00000000">
        <w:rPr>
          <w:rFonts w:ascii="Arial" w:cs="Arial" w:eastAsia="Arial" w:hAnsi="Arial"/>
          <w:sz w:val="22"/>
          <w:szCs w:val="22"/>
          <w:vertAlign w:val="superscript"/>
        </w:rPr>
        <w:footnoteReference w:customMarkFollows="0" w:id="17"/>
      </w:r>
      <w:r w:rsidDel="00000000" w:rsidR="00000000" w:rsidRPr="00000000">
        <w:rPr>
          <w:rFonts w:ascii="Arial" w:cs="Arial" w:eastAsia="Arial" w:hAnsi="Arial"/>
          <w:sz w:val="22"/>
          <w:szCs w:val="22"/>
          <w:rtl w:val="0"/>
        </w:rPr>
        <w:t xml:space="preserve"> gloves for men “multiplying his grain”</w:t>
      </w:r>
      <w:r w:rsidDel="00000000" w:rsidR="00000000" w:rsidRPr="00000000">
        <w:rPr>
          <w:rFonts w:ascii="Arial" w:cs="Arial" w:eastAsia="Arial" w:hAnsi="Arial"/>
          <w:sz w:val="22"/>
          <w:szCs w:val="22"/>
          <w:vertAlign w:val="superscript"/>
        </w:rPr>
        <w:footnoteReference w:customMarkFollows="0" w:id="18"/>
      </w:r>
      <w:r w:rsidDel="00000000" w:rsidR="00000000" w:rsidRPr="00000000">
        <w:rPr>
          <w:rFonts w:ascii="Arial" w:cs="Arial" w:eastAsia="Arial" w:hAnsi="Arial"/>
          <w:sz w:val="22"/>
          <w:szCs w:val="22"/>
          <w:rtl w:val="0"/>
        </w:rPr>
        <w:t xml:space="preserve"> in order to procreate as the Church insists must be done, and other bogus relics. Here he is seen, using Barthes’ terms, as using only one clear level of narration as the present narrator, although an interesting one indeed. He confesses how he uses tricks to fulfil his greed, before going on to tell a tale of men “annexed unto glotonye”</w:t>
      </w:r>
      <w:r w:rsidDel="00000000" w:rsidR="00000000" w:rsidRPr="00000000">
        <w:rPr>
          <w:rFonts w:ascii="Arial" w:cs="Arial" w:eastAsia="Arial" w:hAnsi="Arial"/>
          <w:sz w:val="22"/>
          <w:szCs w:val="22"/>
          <w:vertAlign w:val="superscript"/>
        </w:rPr>
        <w:footnoteReference w:customMarkFollows="0" w:id="19"/>
      </w:r>
      <w:r w:rsidDel="00000000" w:rsidR="00000000" w:rsidRPr="00000000">
        <w:rPr>
          <w:rFonts w:ascii="Arial" w:cs="Arial" w:eastAsia="Arial" w:hAnsi="Arial"/>
          <w:sz w:val="22"/>
          <w:szCs w:val="22"/>
          <w:rtl w:val="0"/>
        </w:rPr>
        <w:t xml:space="preserve"> by the devil. These friends become divided by their greed and resort to murdering one another in order to get their hands on all the “floryns fyne of gold” that had been discovered under the tree. The Pardoner concludes his story with their death, the downfall of their greed, seemingly ending a nice morality tale demonstrating the power of sin. </w:t>
      </w:r>
    </w:p>
    <w:p w:rsidR="00000000" w:rsidDel="00000000" w:rsidP="00000000" w:rsidRDefault="00000000" w:rsidRPr="00000000" w14:paraId="000000AA">
      <w:pPr>
        <w:spacing w:line="276" w:lineRule="auto"/>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B">
      <w:pPr>
        <w:spacing w:line="276"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Suddenly, at the end of his narrative, we see him switch from narrator to actant of Chaucer’s story, where he begins to resort to his old tricks of selling fraudulent items. This clever shift reveals not only the hypocrisy in his character, but also in his role as storyteller or narrator. Here, Chaucer shows us the complexity of the narrator/actant role he utilises in the Pardoner’s character, aligning with the ideas in ‘An Introduction to Structural Analysis of Narrative’. The “paper being”</w:t>
      </w:r>
      <w:r w:rsidDel="00000000" w:rsidR="00000000" w:rsidRPr="00000000">
        <w:rPr>
          <w:rFonts w:ascii="Arial" w:cs="Arial" w:eastAsia="Arial" w:hAnsi="Arial"/>
          <w:sz w:val="22"/>
          <w:szCs w:val="22"/>
          <w:vertAlign w:val="superscript"/>
        </w:rPr>
        <w:footnoteReference w:customMarkFollows="0" w:id="20"/>
      </w:r>
      <w:r w:rsidDel="00000000" w:rsidR="00000000" w:rsidRPr="00000000">
        <w:rPr>
          <w:rFonts w:ascii="Arial" w:cs="Arial" w:eastAsia="Arial" w:hAnsi="Arial"/>
          <w:sz w:val="22"/>
          <w:szCs w:val="22"/>
          <w:rtl w:val="0"/>
        </w:rPr>
        <w:t xml:space="preserve"> of this particular hypocritical narrator “reintegrates functions and actions” of the tale “into the narrative communication, the latter being articulated by its giver and its recipient.”</w:t>
      </w:r>
      <w:r w:rsidDel="00000000" w:rsidR="00000000" w:rsidRPr="00000000">
        <w:rPr>
          <w:rFonts w:ascii="Arial" w:cs="Arial" w:eastAsia="Arial" w:hAnsi="Arial"/>
          <w:sz w:val="22"/>
          <w:szCs w:val="22"/>
          <w:vertAlign w:val="superscript"/>
        </w:rPr>
        <w:footnoteReference w:customMarkFollows="0" w:id="21"/>
      </w:r>
      <w:r w:rsidDel="00000000" w:rsidR="00000000" w:rsidRPr="00000000">
        <w:rPr>
          <w:rFonts w:ascii="Arial" w:cs="Arial" w:eastAsia="Arial" w:hAnsi="Arial"/>
          <w:sz w:val="22"/>
          <w:szCs w:val="22"/>
          <w:rtl w:val="0"/>
        </w:rPr>
        <w:t xml:space="preserve"> Essentially, it is not just Chaucer who dictates the meaning of this narrative by what he writes of the Pardoner’s greedy actions, but also our understanding as readers of the Pardoner’s switch between moral storyteller and fraudulent market seller, that creates such a complex meaning behind this narrative.</w:t>
      </w:r>
    </w:p>
    <w:p w:rsidR="00000000" w:rsidDel="00000000" w:rsidP="00000000" w:rsidRDefault="00000000" w:rsidRPr="00000000" w14:paraId="000000AC">
      <w:pPr>
        <w:spacing w:line="276" w:lineRule="auto"/>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D">
      <w:pPr>
        <w:spacing w:line="276"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So we return to the opening question of this presentation: how does this help or hinder our understanding of </w:t>
      </w:r>
      <w:r w:rsidDel="00000000" w:rsidR="00000000" w:rsidRPr="00000000">
        <w:rPr>
          <w:rFonts w:ascii="Arial" w:cs="Arial" w:eastAsia="Arial" w:hAnsi="Arial"/>
          <w:i w:val="1"/>
          <w:sz w:val="22"/>
          <w:szCs w:val="22"/>
          <w:rtl w:val="0"/>
        </w:rPr>
        <w:t xml:space="preserve">The Canterbury Tales</w:t>
      </w:r>
      <w:r w:rsidDel="00000000" w:rsidR="00000000" w:rsidRPr="00000000">
        <w:rPr>
          <w:rFonts w:ascii="Arial" w:cs="Arial" w:eastAsia="Arial" w:hAnsi="Arial"/>
          <w:sz w:val="22"/>
          <w:szCs w:val="22"/>
          <w:rtl w:val="0"/>
        </w:rPr>
        <w:t xml:space="preserve">, a text written approximately six hundred years before Barthes’ essay was published? We have learnt that context and author are not defining factors in narrative meaning, indeed they would seem almost irrelevant. It is the use of functional and index language that gives us key plot lines, either immediately or by providing readers with information that later adds to our understanding of the fictional world in question, combined with the complexity of narration and the actant-action relationship that provides a new, more dimensional comprehension of narrative to enjoy.</w:t>
      </w:r>
    </w:p>
    <w:p w:rsidR="00000000" w:rsidDel="00000000" w:rsidP="00000000" w:rsidRDefault="00000000" w:rsidRPr="00000000" w14:paraId="000000AE">
      <w:pPr>
        <w:spacing w:line="276" w:lineRule="auto"/>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F">
      <w:pPr>
        <w:spacing w:line="276" w:lineRule="auto"/>
        <w:contextualSpacing w:val="0"/>
        <w:rPr>
          <w:rFonts w:ascii="Arial" w:cs="Arial" w:eastAsia="Arial" w:hAnsi="Arial"/>
          <w:b w:val="1"/>
        </w:rPr>
      </w:pPr>
      <w:r w:rsidDel="00000000" w:rsidR="00000000" w:rsidRPr="00000000">
        <w:rPr>
          <w:rFonts w:ascii="Arial" w:cs="Arial" w:eastAsia="Arial" w:hAnsi="Arial"/>
          <w:b w:val="1"/>
          <w:rtl w:val="0"/>
        </w:rPr>
        <w:t xml:space="preserve">Bibliography</w:t>
      </w:r>
    </w:p>
    <w:p w:rsidR="00000000" w:rsidDel="00000000" w:rsidP="00000000" w:rsidRDefault="00000000" w:rsidRPr="00000000" w14:paraId="000000B0">
      <w:pPr>
        <w:spacing w:line="276" w:lineRule="auto"/>
        <w:contextualSpacing w:val="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B1">
      <w:pPr>
        <w:spacing w:line="276"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Barthes, Roland, ‘An Introduction to the Structural Analysis of Narrative’ (1966) in New Literary History, 6:2 (Winter, 1975), pp. 237-272.</w:t>
      </w:r>
    </w:p>
    <w:p w:rsidR="00000000" w:rsidDel="00000000" w:rsidP="00000000" w:rsidRDefault="00000000" w:rsidRPr="00000000" w14:paraId="000000B2">
      <w:pPr>
        <w:spacing w:line="276" w:lineRule="auto"/>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3">
      <w:pPr>
        <w:spacing w:line="276"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Chaucer, Geoffrey, ‘The Knight’s Tale’ in </w:t>
      </w:r>
      <w:r w:rsidDel="00000000" w:rsidR="00000000" w:rsidRPr="00000000">
        <w:rPr>
          <w:rFonts w:ascii="Arial" w:cs="Arial" w:eastAsia="Arial" w:hAnsi="Arial"/>
          <w:i w:val="1"/>
          <w:sz w:val="22"/>
          <w:szCs w:val="22"/>
          <w:rtl w:val="0"/>
        </w:rPr>
        <w:t xml:space="preserve">The Riverside Chaucer</w:t>
      </w:r>
      <w:r w:rsidDel="00000000" w:rsidR="00000000" w:rsidRPr="00000000">
        <w:rPr>
          <w:rFonts w:ascii="Arial" w:cs="Arial" w:eastAsia="Arial" w:hAnsi="Arial"/>
          <w:sz w:val="22"/>
          <w:szCs w:val="22"/>
          <w:rtl w:val="0"/>
        </w:rPr>
        <w:t xml:space="preserve">, 3rd edn, ed. by Larry D. Benson (Oxford: Oxford University Press, 2008), pp. 37-66.</w:t>
      </w:r>
    </w:p>
    <w:p w:rsidR="00000000" w:rsidDel="00000000" w:rsidP="00000000" w:rsidRDefault="00000000" w:rsidRPr="00000000" w14:paraId="000000B4">
      <w:pPr>
        <w:spacing w:line="276" w:lineRule="auto"/>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5">
      <w:pPr>
        <w:spacing w:line="276"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Chaucer, Geoffrey, ‘The Pardoner’s Prologue’, in </w:t>
      </w:r>
      <w:r w:rsidDel="00000000" w:rsidR="00000000" w:rsidRPr="00000000">
        <w:rPr>
          <w:rFonts w:ascii="Arial" w:cs="Arial" w:eastAsia="Arial" w:hAnsi="Arial"/>
          <w:i w:val="1"/>
          <w:sz w:val="22"/>
          <w:szCs w:val="22"/>
          <w:rtl w:val="0"/>
        </w:rPr>
        <w:t xml:space="preserve">The Riverside Chaucer</w:t>
      </w:r>
      <w:r w:rsidDel="00000000" w:rsidR="00000000" w:rsidRPr="00000000">
        <w:rPr>
          <w:rFonts w:ascii="Arial" w:cs="Arial" w:eastAsia="Arial" w:hAnsi="Arial"/>
          <w:sz w:val="22"/>
          <w:szCs w:val="22"/>
          <w:rtl w:val="0"/>
        </w:rPr>
        <w:t xml:space="preserve">, 3rd edn, ed. by Larry D. Benson (Oxford: Oxford University Press, 2008), pp. 194-196.</w:t>
      </w:r>
    </w:p>
    <w:p w:rsidR="00000000" w:rsidDel="00000000" w:rsidP="00000000" w:rsidRDefault="00000000" w:rsidRPr="00000000" w14:paraId="000000B6">
      <w:pPr>
        <w:spacing w:line="276" w:lineRule="auto"/>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7">
      <w:pPr>
        <w:spacing w:line="276"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Chaucer, Geoffrey, ‘The Pardoner’s Tale’, in </w:t>
      </w:r>
      <w:r w:rsidDel="00000000" w:rsidR="00000000" w:rsidRPr="00000000">
        <w:rPr>
          <w:rFonts w:ascii="Arial" w:cs="Arial" w:eastAsia="Arial" w:hAnsi="Arial"/>
          <w:i w:val="1"/>
          <w:sz w:val="22"/>
          <w:szCs w:val="22"/>
          <w:rtl w:val="0"/>
        </w:rPr>
        <w:t xml:space="preserve">The Riverside Chaucer</w:t>
      </w:r>
      <w:r w:rsidDel="00000000" w:rsidR="00000000" w:rsidRPr="00000000">
        <w:rPr>
          <w:rFonts w:ascii="Arial" w:cs="Arial" w:eastAsia="Arial" w:hAnsi="Arial"/>
          <w:sz w:val="22"/>
          <w:szCs w:val="22"/>
          <w:rtl w:val="0"/>
        </w:rPr>
        <w:t xml:space="preserve">, 3rd edn, ed. by Larry D. Benson (Oxford: Oxford University Press, 2008), pp. 196-202.</w:t>
      </w:r>
    </w:p>
    <w:p w:rsidR="00000000" w:rsidDel="00000000" w:rsidP="00000000" w:rsidRDefault="00000000" w:rsidRPr="00000000" w14:paraId="000000B8">
      <w:pPr>
        <w:spacing w:line="276" w:lineRule="auto"/>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9">
      <w:pPr>
        <w:spacing w:line="276"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Chaucer, Geoffrey, ‘The Wife of Bath’s Prologue’, in </w:t>
      </w:r>
      <w:r w:rsidDel="00000000" w:rsidR="00000000" w:rsidRPr="00000000">
        <w:rPr>
          <w:rFonts w:ascii="Arial" w:cs="Arial" w:eastAsia="Arial" w:hAnsi="Arial"/>
          <w:i w:val="1"/>
          <w:sz w:val="22"/>
          <w:szCs w:val="22"/>
          <w:rtl w:val="0"/>
        </w:rPr>
        <w:t xml:space="preserve">The Riverside Chaucer</w:t>
      </w:r>
      <w:r w:rsidDel="00000000" w:rsidR="00000000" w:rsidRPr="00000000">
        <w:rPr>
          <w:rFonts w:ascii="Arial" w:cs="Arial" w:eastAsia="Arial" w:hAnsi="Arial"/>
          <w:sz w:val="22"/>
          <w:szCs w:val="22"/>
          <w:rtl w:val="0"/>
        </w:rPr>
        <w:t xml:space="preserve">, 3rd edn, ed. by Larry D. Benson (Oxford: Oxford University Press, 2008), pp. 106-116.</w:t>
      </w:r>
    </w:p>
    <w:p w:rsidR="00000000" w:rsidDel="00000000" w:rsidP="00000000" w:rsidRDefault="00000000" w:rsidRPr="00000000" w14:paraId="000000BA">
      <w:pPr>
        <w:spacing w:line="276" w:lineRule="auto"/>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B">
      <w:pPr>
        <w:spacing w:line="276"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Chaucer, Geoffrey, ‘The Wife of Bath’s Tale’, in </w:t>
      </w:r>
      <w:r w:rsidDel="00000000" w:rsidR="00000000" w:rsidRPr="00000000">
        <w:rPr>
          <w:rFonts w:ascii="Arial" w:cs="Arial" w:eastAsia="Arial" w:hAnsi="Arial"/>
          <w:i w:val="1"/>
          <w:sz w:val="22"/>
          <w:szCs w:val="22"/>
          <w:rtl w:val="0"/>
        </w:rPr>
        <w:t xml:space="preserve">The Riverside Chaucer</w:t>
      </w:r>
      <w:r w:rsidDel="00000000" w:rsidR="00000000" w:rsidRPr="00000000">
        <w:rPr>
          <w:rFonts w:ascii="Arial" w:cs="Arial" w:eastAsia="Arial" w:hAnsi="Arial"/>
          <w:sz w:val="22"/>
          <w:szCs w:val="22"/>
          <w:rtl w:val="0"/>
        </w:rPr>
        <w:t xml:space="preserve">, 3rd edn, ed. by Larry D. Benson (Oxford: Oxford University Press, 2008), pp. 116-122.</w:t>
      </w:r>
    </w:p>
    <w:p w:rsidR="00000000" w:rsidDel="00000000" w:rsidP="00000000" w:rsidRDefault="00000000" w:rsidRPr="00000000" w14:paraId="000000BC">
      <w:pPr>
        <w:spacing w:line="276" w:lineRule="auto"/>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D">
      <w:pPr>
        <w:spacing w:line="276"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Jakobson, Roman, ‘ The metaphoric and metonymic poles’, in </w:t>
      </w:r>
      <w:r w:rsidDel="00000000" w:rsidR="00000000" w:rsidRPr="00000000">
        <w:rPr>
          <w:rFonts w:ascii="Arial" w:cs="Arial" w:eastAsia="Arial" w:hAnsi="Arial"/>
          <w:i w:val="1"/>
          <w:sz w:val="22"/>
          <w:szCs w:val="22"/>
          <w:highlight w:val="white"/>
          <w:rtl w:val="0"/>
        </w:rPr>
        <w:t xml:space="preserve">Modern Criticism and Theory: A Reader</w:t>
      </w:r>
      <w:r w:rsidDel="00000000" w:rsidR="00000000" w:rsidRPr="00000000">
        <w:rPr>
          <w:rFonts w:ascii="Arial" w:cs="Arial" w:eastAsia="Arial" w:hAnsi="Arial"/>
          <w:sz w:val="22"/>
          <w:szCs w:val="22"/>
          <w:highlight w:val="white"/>
          <w:rtl w:val="0"/>
        </w:rPr>
        <w:t xml:space="preserve">, 3rd edn, ed. by David Lodge and Nigel Wood (London and New York: Routledge, 2008),</w:t>
      </w:r>
      <w:r w:rsidDel="00000000" w:rsidR="00000000" w:rsidRPr="00000000">
        <w:rPr>
          <w:rFonts w:ascii="Arial" w:cs="Arial" w:eastAsia="Arial" w:hAnsi="Arial"/>
          <w:sz w:val="22"/>
          <w:szCs w:val="22"/>
          <w:rtl w:val="0"/>
        </w:rPr>
        <w:t xml:space="preserve"> pp. 164-169.</w:t>
      </w:r>
      <w:r w:rsidDel="00000000" w:rsidR="00000000" w:rsidRPr="00000000">
        <w:rPr>
          <w:rtl w:val="0"/>
        </w:rPr>
      </w:r>
    </w:p>
    <w:sectPr>
      <w:footerReference r:id="rId8" w:type="default"/>
      <w:pgSz w:h="15840" w:w="12240"/>
      <w:pgMar w:bottom="567" w:top="567" w:left="1797" w:right="1797" w:header="567"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 w:name="Georgia"/>
  <w:font w:name="Trebuchet MS"/>
  <w:font w:name="Calibri"/>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E">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contextualSpacing w:val="0"/>
      <w:jc w:val="left"/>
      <w:rPr>
        <w:rFonts w:ascii="Trebuchet MS" w:cs="Trebuchet MS" w:eastAsia="Trebuchet MS" w:hAnsi="Trebuchet MS"/>
        <w:b w:val="0"/>
        <w:i w:val="0"/>
        <w:smallCaps w:val="0"/>
        <w:strike w:val="0"/>
        <w:color w:val="000000"/>
        <w:sz w:val="18"/>
        <w:szCs w:val="18"/>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18"/>
        <w:szCs w:val="18"/>
        <w:u w:val="none"/>
        <w:shd w:fill="auto" w:val="clear"/>
        <w:vertAlign w:val="baseline"/>
        <w:rtl w:val="0"/>
      </w:rPr>
      <w:t xml:space="preserve"> </w:t>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BF">
      <w:pPr>
        <w:contextualSpacing w:val="0"/>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Roland Barthes, ‘An Introduction to the Structural Analysis of Narrative’ (1966) in </w:t>
      </w:r>
      <w:r w:rsidDel="00000000" w:rsidR="00000000" w:rsidRPr="00000000">
        <w:rPr>
          <w:rFonts w:ascii="Arial" w:cs="Arial" w:eastAsia="Arial" w:hAnsi="Arial"/>
          <w:i w:val="1"/>
          <w:sz w:val="20"/>
          <w:szCs w:val="20"/>
          <w:rtl w:val="0"/>
        </w:rPr>
        <w:t xml:space="preserve">New Literary History</w:t>
      </w:r>
      <w:r w:rsidDel="00000000" w:rsidR="00000000" w:rsidRPr="00000000">
        <w:rPr>
          <w:rFonts w:ascii="Arial" w:cs="Arial" w:eastAsia="Arial" w:hAnsi="Arial"/>
          <w:sz w:val="20"/>
          <w:szCs w:val="20"/>
          <w:rtl w:val="0"/>
        </w:rPr>
        <w:t xml:space="preserve">, 6:2 (Winter, 1975), 237-272, p. 237.</w:t>
      </w:r>
    </w:p>
  </w:footnote>
  <w:footnote w:id="1">
    <w:p w:rsidR="00000000" w:rsidDel="00000000" w:rsidP="00000000" w:rsidRDefault="00000000" w:rsidRPr="00000000" w14:paraId="000000C0">
      <w:pPr>
        <w:contextualSpacing w:val="0"/>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241.</w:t>
      </w:r>
    </w:p>
  </w:footnote>
  <w:footnote w:id="2">
    <w:p w:rsidR="00000000" w:rsidDel="00000000" w:rsidP="00000000" w:rsidRDefault="00000000" w:rsidRPr="00000000" w14:paraId="000000C1">
      <w:pPr>
        <w:contextualSpacing w:val="0"/>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243.</w:t>
      </w:r>
    </w:p>
  </w:footnote>
  <w:footnote w:id="4">
    <w:p w:rsidR="00000000" w:rsidDel="00000000" w:rsidP="00000000" w:rsidRDefault="00000000" w:rsidRPr="00000000" w14:paraId="000000C2">
      <w:pPr>
        <w:contextualSpacing w:val="0"/>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Geoffrey Chaucer, ‘The Knight’s Tale’ in </w:t>
      </w:r>
      <w:r w:rsidDel="00000000" w:rsidR="00000000" w:rsidRPr="00000000">
        <w:rPr>
          <w:rFonts w:ascii="Arial" w:cs="Arial" w:eastAsia="Arial" w:hAnsi="Arial"/>
          <w:i w:val="1"/>
          <w:sz w:val="20"/>
          <w:szCs w:val="20"/>
          <w:rtl w:val="0"/>
        </w:rPr>
        <w:t xml:space="preserve">The Riverside Chaucer</w:t>
      </w:r>
      <w:r w:rsidDel="00000000" w:rsidR="00000000" w:rsidRPr="00000000">
        <w:rPr>
          <w:rFonts w:ascii="Arial" w:cs="Arial" w:eastAsia="Arial" w:hAnsi="Arial"/>
          <w:sz w:val="20"/>
          <w:szCs w:val="20"/>
          <w:rtl w:val="0"/>
        </w:rPr>
        <w:t xml:space="preserve">, third edition, ed. Larry D. Benson (Oxford: Oxford University Press, 2008), pp. 37- 66, p. 37.</w:t>
      </w:r>
    </w:p>
  </w:footnote>
  <w:footnote w:id="5">
    <w:p w:rsidR="00000000" w:rsidDel="00000000" w:rsidP="00000000" w:rsidRDefault="00000000" w:rsidRPr="00000000" w14:paraId="000000C3">
      <w:pPr>
        <w:contextualSpacing w:val="0"/>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p.37.</w:t>
      </w:r>
    </w:p>
  </w:footnote>
  <w:footnote w:id="6">
    <w:p w:rsidR="00000000" w:rsidDel="00000000" w:rsidP="00000000" w:rsidRDefault="00000000" w:rsidRPr="00000000" w14:paraId="000000C4">
      <w:pPr>
        <w:contextualSpacing w:val="0"/>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p.37.</w:t>
      </w:r>
    </w:p>
  </w:footnote>
  <w:footnote w:id="7">
    <w:p w:rsidR="00000000" w:rsidDel="00000000" w:rsidP="00000000" w:rsidRDefault="00000000" w:rsidRPr="00000000" w14:paraId="000000C5">
      <w:pPr>
        <w:contextualSpacing w:val="0"/>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Barthes, ‘Structural Analysis’, p. 248.</w:t>
      </w:r>
    </w:p>
  </w:footnote>
  <w:footnote w:id="8">
    <w:p w:rsidR="00000000" w:rsidDel="00000000" w:rsidP="00000000" w:rsidRDefault="00000000" w:rsidRPr="00000000" w14:paraId="000000C6">
      <w:pPr>
        <w:contextualSpacing w:val="0"/>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Chaucer, ‘The Knight’s Tale’, p. 37.</w:t>
      </w:r>
    </w:p>
  </w:footnote>
  <w:footnote w:id="9">
    <w:p w:rsidR="00000000" w:rsidDel="00000000" w:rsidP="00000000" w:rsidRDefault="00000000" w:rsidRPr="00000000" w14:paraId="000000C7">
      <w:pPr>
        <w:contextualSpacing w:val="0"/>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(26).</w:t>
      </w:r>
    </w:p>
  </w:footnote>
  <w:footnote w:id="10">
    <w:p w:rsidR="00000000" w:rsidDel="00000000" w:rsidP="00000000" w:rsidRDefault="00000000" w:rsidRPr="00000000" w14:paraId="000000C8">
      <w:pPr>
        <w:contextualSpacing w:val="0"/>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Geoffrey Chaucer, ‘The Wife of Bath’s Prologue’, in </w:t>
      </w:r>
      <w:r w:rsidDel="00000000" w:rsidR="00000000" w:rsidRPr="00000000">
        <w:rPr>
          <w:rFonts w:ascii="Arial" w:cs="Arial" w:eastAsia="Arial" w:hAnsi="Arial"/>
          <w:i w:val="1"/>
          <w:sz w:val="20"/>
          <w:szCs w:val="20"/>
          <w:rtl w:val="0"/>
        </w:rPr>
        <w:t xml:space="preserve">The Riverside Chaucer</w:t>
      </w:r>
      <w:r w:rsidDel="00000000" w:rsidR="00000000" w:rsidRPr="00000000">
        <w:rPr>
          <w:rFonts w:ascii="Arial" w:cs="Arial" w:eastAsia="Arial" w:hAnsi="Arial"/>
          <w:sz w:val="20"/>
          <w:szCs w:val="20"/>
          <w:rtl w:val="0"/>
        </w:rPr>
        <w:t xml:space="preserve">, third ed., ed. Larry D. Benson (Oxford: Oxford University Press, 2008), pp. 106-116., p. 107.</w:t>
      </w:r>
    </w:p>
  </w:footnote>
  <w:footnote w:id="11">
    <w:p w:rsidR="00000000" w:rsidDel="00000000" w:rsidP="00000000" w:rsidRDefault="00000000" w:rsidRPr="00000000" w14:paraId="000000C9">
      <w:pPr>
        <w:contextualSpacing w:val="0"/>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106.</w:t>
      </w:r>
    </w:p>
  </w:footnote>
  <w:footnote w:id="12">
    <w:p w:rsidR="00000000" w:rsidDel="00000000" w:rsidP="00000000" w:rsidRDefault="00000000" w:rsidRPr="00000000" w14:paraId="000000CA">
      <w:pPr>
        <w:contextualSpacing w:val="0"/>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107.</w:t>
      </w:r>
    </w:p>
  </w:footnote>
  <w:footnote w:id="3">
    <w:p w:rsidR="00000000" w:rsidDel="00000000" w:rsidP="00000000" w:rsidRDefault="00000000" w:rsidRPr="00000000" w14:paraId="000000CB">
      <w:pPr>
        <w:contextualSpacing w:val="0"/>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247.</w:t>
      </w:r>
    </w:p>
  </w:footnote>
  <w:footnote w:id="13">
    <w:p w:rsidR="00000000" w:rsidDel="00000000" w:rsidP="00000000" w:rsidRDefault="00000000" w:rsidRPr="00000000" w14:paraId="000000CC">
      <w:pPr>
        <w:contextualSpacing w:val="0"/>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Geoffrey Chaucer, ‘The Wife of Bath’s Tale’, in </w:t>
      </w:r>
      <w:r w:rsidDel="00000000" w:rsidR="00000000" w:rsidRPr="00000000">
        <w:rPr>
          <w:rFonts w:ascii="Arial" w:cs="Arial" w:eastAsia="Arial" w:hAnsi="Arial"/>
          <w:i w:val="1"/>
          <w:sz w:val="20"/>
          <w:szCs w:val="20"/>
          <w:rtl w:val="0"/>
        </w:rPr>
        <w:t xml:space="preserve">The Riverside Chaucer</w:t>
      </w:r>
      <w:r w:rsidDel="00000000" w:rsidR="00000000" w:rsidRPr="00000000">
        <w:rPr>
          <w:rFonts w:ascii="Arial" w:cs="Arial" w:eastAsia="Arial" w:hAnsi="Arial"/>
          <w:sz w:val="20"/>
          <w:szCs w:val="20"/>
          <w:rtl w:val="0"/>
        </w:rPr>
        <w:t xml:space="preserve">, 3rd edn, ed. by Larry D. Benson (Oxford: Oxford University Press, 2008), pp. 116-122, p. 118.</w:t>
      </w:r>
    </w:p>
  </w:footnote>
  <w:footnote w:id="14">
    <w:p w:rsidR="00000000" w:rsidDel="00000000" w:rsidP="00000000" w:rsidRDefault="00000000" w:rsidRPr="00000000" w14:paraId="000000CD">
      <w:pPr>
        <w:contextualSpacing w:val="0"/>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119.</w:t>
      </w:r>
    </w:p>
  </w:footnote>
  <w:footnote w:id="15">
    <w:p w:rsidR="00000000" w:rsidDel="00000000" w:rsidP="00000000" w:rsidRDefault="00000000" w:rsidRPr="00000000" w14:paraId="000000CE">
      <w:pPr>
        <w:contextualSpacing w:val="0"/>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Barthes, ‘Structural Analysis’, p. 256.</w:t>
      </w:r>
    </w:p>
  </w:footnote>
  <w:footnote w:id="19">
    <w:p w:rsidR="00000000" w:rsidDel="00000000" w:rsidP="00000000" w:rsidRDefault="00000000" w:rsidRPr="00000000" w14:paraId="000000CF">
      <w:pPr>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Chaucer, Geoffrey, ‘The Pardoner’s Tale’, in </w:t>
      </w:r>
      <w:r w:rsidDel="00000000" w:rsidR="00000000" w:rsidRPr="00000000">
        <w:rPr>
          <w:rFonts w:ascii="Arial" w:cs="Arial" w:eastAsia="Arial" w:hAnsi="Arial"/>
          <w:i w:val="1"/>
          <w:sz w:val="20"/>
          <w:szCs w:val="20"/>
          <w:rtl w:val="0"/>
        </w:rPr>
        <w:t xml:space="preserve">The Riverside Chaucer</w:t>
      </w:r>
      <w:r w:rsidDel="00000000" w:rsidR="00000000" w:rsidRPr="00000000">
        <w:rPr>
          <w:rFonts w:ascii="Arial" w:cs="Arial" w:eastAsia="Arial" w:hAnsi="Arial"/>
          <w:sz w:val="20"/>
          <w:szCs w:val="20"/>
          <w:rtl w:val="0"/>
        </w:rPr>
        <w:t xml:space="preserve">, 3rd edn, ed. by Larry D. Benson (Oxford: Oxford University Press, 2008), pp. 196-202, p. 196.</w:t>
      </w:r>
      <w:r w:rsidDel="00000000" w:rsidR="00000000" w:rsidRPr="00000000">
        <w:rPr>
          <w:rtl w:val="0"/>
        </w:rPr>
      </w:r>
    </w:p>
  </w:footnote>
  <w:footnote w:id="16">
    <w:p w:rsidR="00000000" w:rsidDel="00000000" w:rsidP="00000000" w:rsidRDefault="00000000" w:rsidRPr="00000000" w14:paraId="000000D0">
      <w:pPr>
        <w:contextualSpacing w:val="0"/>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Chaucer, Geoffrey, ‘The Pardoner’s Prologue’, in </w:t>
      </w:r>
      <w:r w:rsidDel="00000000" w:rsidR="00000000" w:rsidRPr="00000000">
        <w:rPr>
          <w:rFonts w:ascii="Arial" w:cs="Arial" w:eastAsia="Arial" w:hAnsi="Arial"/>
          <w:i w:val="1"/>
          <w:sz w:val="20"/>
          <w:szCs w:val="20"/>
          <w:rtl w:val="0"/>
        </w:rPr>
        <w:t xml:space="preserve">The Riverside Chaucer</w:t>
      </w:r>
      <w:r w:rsidDel="00000000" w:rsidR="00000000" w:rsidRPr="00000000">
        <w:rPr>
          <w:rFonts w:ascii="Arial" w:cs="Arial" w:eastAsia="Arial" w:hAnsi="Arial"/>
          <w:sz w:val="20"/>
          <w:szCs w:val="20"/>
          <w:rtl w:val="0"/>
        </w:rPr>
        <w:t xml:space="preserve">, 3rd edn, ed. by Larry D. Benson (Oxford: Oxford University Press, 2008), pp. 194-196, p. 194.</w:t>
      </w:r>
    </w:p>
  </w:footnote>
  <w:footnote w:id="17">
    <w:p w:rsidR="00000000" w:rsidDel="00000000" w:rsidP="00000000" w:rsidRDefault="00000000" w:rsidRPr="00000000" w14:paraId="000000D1">
      <w:pPr>
        <w:contextualSpacing w:val="0"/>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Ibid., p. 194.</w:t>
      </w:r>
    </w:p>
  </w:footnote>
  <w:footnote w:id="18">
    <w:p w:rsidR="00000000" w:rsidDel="00000000" w:rsidP="00000000" w:rsidRDefault="00000000" w:rsidRPr="00000000" w14:paraId="000000D2">
      <w:pPr>
        <w:contextualSpacing w:val="0"/>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195.</w:t>
      </w:r>
    </w:p>
  </w:footnote>
  <w:footnote w:id="21">
    <w:p w:rsidR="00000000" w:rsidDel="00000000" w:rsidP="00000000" w:rsidRDefault="00000000" w:rsidRPr="00000000" w14:paraId="000000D3">
      <w:pPr>
        <w:contextualSpacing w:val="0"/>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Ibid., p. 264.</w:t>
      </w:r>
    </w:p>
  </w:footnote>
  <w:footnote w:id="20">
    <w:p w:rsidR="00000000" w:rsidDel="00000000" w:rsidP="00000000" w:rsidRDefault="00000000" w:rsidRPr="00000000" w14:paraId="000000D4">
      <w:pPr>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Arial" w:cs="Arial" w:eastAsia="Arial" w:hAnsi="Arial"/>
          <w:sz w:val="20"/>
          <w:szCs w:val="20"/>
          <w:rtl w:val="0"/>
        </w:rPr>
        <w:t xml:space="preserve">Barthes, ‘Structural Analysis’, p. 261.</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Times New Roman" w:cs="Times New Roman" w:eastAsia="Times New Roman" w:hAnsi="Times New Roman"/>
        <w:b w:val="0"/>
        <w:i w:val="0"/>
        <w:smallCaps w:val="0"/>
        <w:strike w:val="0"/>
        <w:color w:val="000000"/>
        <w:sz w:val="24"/>
        <w:szCs w:val="24"/>
        <w:u w:val="none"/>
        <w:shd w:fill="auto" w:val="clear"/>
        <w:vertAlign w:val="baseline"/>
        <w:lang w:val="en-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rFonts w:ascii="Arial" w:cs="Arial" w:eastAsia="Arial" w:hAnsi="Arial"/>
      <w:b w:val="1"/>
      <w:sz w:val="32"/>
      <w:szCs w:val="32"/>
      <w:vertAlign w:val="baseline"/>
    </w:rPr>
  </w:style>
  <w:style w:type="paragraph" w:styleId="Heading2">
    <w:name w:val="heading 2"/>
    <w:basedOn w:val="Normal"/>
    <w:next w:val="Normal"/>
    <w:pPr>
      <w:keepNext w:val="1"/>
      <w:spacing w:after="60" w:before="240" w:lineRule="auto"/>
    </w:pPr>
    <w:rPr>
      <w:rFonts w:ascii="Arial" w:cs="Arial" w:eastAsia="Arial" w:hAnsi="Arial"/>
      <w:b w:val="1"/>
      <w:i w:val="1"/>
      <w:sz w:val="28"/>
      <w:szCs w:val="28"/>
      <w:vertAlign w:val="baseline"/>
    </w:rPr>
  </w:style>
  <w:style w:type="paragraph" w:styleId="Heading3">
    <w:name w:val="heading 3"/>
    <w:basedOn w:val="Normal"/>
    <w:next w:val="Normal"/>
    <w:pPr>
      <w:keepNext w:val="1"/>
      <w:ind w:left="720" w:firstLine="0"/>
      <w:jc w:val="both"/>
    </w:pPr>
    <w:rPr>
      <w:rFonts w:ascii="Tahoma" w:cs="Tahoma" w:eastAsia="Tahoma" w:hAnsi="Tahoma"/>
      <w:b w:val="1"/>
      <w:sz w:val="20"/>
      <w:szCs w:val="20"/>
      <w:vertAlign w:val="baseline"/>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2.jp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