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E5175" w14:textId="31E8F581" w:rsidR="00415420" w:rsidRDefault="004F2DDC" w:rsidP="00E5396B">
      <w:pPr>
        <w:pStyle w:val="NoSpacing"/>
      </w:pPr>
      <w:r>
        <w:t>Is it not that purity comes innate,</w:t>
      </w:r>
    </w:p>
    <w:p w14:paraId="308AAB33" w14:textId="23915F83" w:rsidR="004F2DDC" w:rsidRDefault="004F2DDC" w:rsidP="00E5396B">
      <w:pPr>
        <w:pStyle w:val="NoSpacing"/>
      </w:pPr>
      <w:r>
        <w:t xml:space="preserve">That time and God cannot make us unclean, </w:t>
      </w:r>
    </w:p>
    <w:p w14:paraId="7CC42344" w14:textId="57F64E6E" w:rsidR="004F2DDC" w:rsidRDefault="00510679" w:rsidP="00E5396B">
      <w:pPr>
        <w:pStyle w:val="NoSpacing"/>
      </w:pPr>
      <w:r>
        <w:t>When faith abound, and yet we hesitate,</w:t>
      </w:r>
    </w:p>
    <w:p w14:paraId="2B9BA913" w14:textId="613F6443" w:rsidR="00510679" w:rsidRDefault="00510679" w:rsidP="00E5396B">
      <w:pPr>
        <w:pStyle w:val="NoSpacing"/>
      </w:pPr>
      <w:r>
        <w:t>For holiness is but a brief unseen.</w:t>
      </w:r>
    </w:p>
    <w:p w14:paraId="6C88A6F9" w14:textId="77777777" w:rsidR="00D95E36" w:rsidRDefault="00D95E36" w:rsidP="00E5396B">
      <w:pPr>
        <w:pStyle w:val="NoSpacing"/>
      </w:pPr>
    </w:p>
    <w:p w14:paraId="5F760065" w14:textId="2E3FB4BC" w:rsidR="00877945" w:rsidRDefault="00877945" w:rsidP="00E5396B">
      <w:pPr>
        <w:pStyle w:val="NoSpacing"/>
      </w:pPr>
      <w:r>
        <w:t>How can that frosty grace bequeath assurance,</w:t>
      </w:r>
    </w:p>
    <w:p w14:paraId="304A7A7B" w14:textId="24AD5B7F" w:rsidR="00877945" w:rsidRDefault="00877945" w:rsidP="00E5396B">
      <w:pPr>
        <w:pStyle w:val="NoSpacing"/>
      </w:pPr>
      <w:r>
        <w:t>And with the same breath denounce us – impure.</w:t>
      </w:r>
    </w:p>
    <w:p w14:paraId="035B87DF" w14:textId="76CCC04B" w:rsidR="006835B2" w:rsidRDefault="006835B2" w:rsidP="00E5396B">
      <w:pPr>
        <w:pStyle w:val="NoSpacing"/>
      </w:pPr>
      <w:r>
        <w:t>What for? Our blood! What for? Our birth! What chance!</w:t>
      </w:r>
    </w:p>
    <w:p w14:paraId="3CE471DE" w14:textId="666BF14C" w:rsidR="006835B2" w:rsidRDefault="006835B2" w:rsidP="00E5396B">
      <w:pPr>
        <w:pStyle w:val="NoSpacing"/>
      </w:pPr>
      <w:r>
        <w:t>Our jealous vanity once see</w:t>
      </w:r>
      <w:r w:rsidR="0066129F">
        <w:t>med</w:t>
      </w:r>
      <w:r>
        <w:t xml:space="preserve"> demure. </w:t>
      </w:r>
    </w:p>
    <w:p w14:paraId="7C4A6E86" w14:textId="0E18C162" w:rsidR="0066129F" w:rsidRDefault="0066129F" w:rsidP="00E5396B">
      <w:pPr>
        <w:pStyle w:val="NoSpacing"/>
      </w:pPr>
    </w:p>
    <w:p w14:paraId="5B28965E" w14:textId="02BF319E" w:rsidR="005B58AE" w:rsidRDefault="005B58AE" w:rsidP="00E5396B">
      <w:pPr>
        <w:pStyle w:val="NoSpacing"/>
      </w:pPr>
      <w:r>
        <w:t xml:space="preserve">A hindrance to man’s communion with God, </w:t>
      </w:r>
    </w:p>
    <w:p w14:paraId="3E3741CC" w14:textId="27D0006C" w:rsidR="005B58AE" w:rsidRDefault="005B58AE" w:rsidP="00E5396B">
      <w:pPr>
        <w:pStyle w:val="NoSpacing"/>
      </w:pPr>
      <w:r>
        <w:t xml:space="preserve">Susceptible to seductive allure, </w:t>
      </w:r>
    </w:p>
    <w:p w14:paraId="1317540C" w14:textId="06C127F3" w:rsidR="005B58AE" w:rsidRDefault="00F16A7A" w:rsidP="00E5396B">
      <w:pPr>
        <w:pStyle w:val="NoSpacing"/>
      </w:pPr>
      <w:r>
        <w:t>What else action to take but heresy awed,</w:t>
      </w:r>
    </w:p>
    <w:p w14:paraId="484E93F0" w14:textId="3C9B65DA" w:rsidR="00F16A7A" w:rsidRDefault="00F6530F" w:rsidP="00E5396B">
      <w:pPr>
        <w:pStyle w:val="NoSpacing"/>
      </w:pPr>
      <w:r>
        <w:t xml:space="preserve">When inaction would slate without succour. </w:t>
      </w:r>
    </w:p>
    <w:p w14:paraId="04372A89" w14:textId="77777777" w:rsidR="008D3DCE" w:rsidRDefault="008D3DCE" w:rsidP="00E5396B">
      <w:pPr>
        <w:pStyle w:val="NoSpacing"/>
      </w:pPr>
    </w:p>
    <w:p w14:paraId="46E30D0A" w14:textId="72224320" w:rsidR="008D3DCE" w:rsidRDefault="008D3DCE" w:rsidP="00E5396B">
      <w:pPr>
        <w:pStyle w:val="NoSpacing"/>
      </w:pPr>
      <w:r>
        <w:t>Hunt us, burn us, drown us, deceits, mistrusts,</w:t>
      </w:r>
    </w:p>
    <w:p w14:paraId="776B500E" w14:textId="70A42176" w:rsidR="008D3DCE" w:rsidRDefault="008D3DCE" w:rsidP="00E5396B">
      <w:pPr>
        <w:pStyle w:val="NoSpacing"/>
      </w:pPr>
      <w:r>
        <w:t>We fall not to the devil, but he to us.</w:t>
      </w:r>
    </w:p>
    <w:p w14:paraId="209F48BE" w14:textId="77777777" w:rsidR="00E5396B" w:rsidRDefault="00E5396B" w:rsidP="00E5396B">
      <w:pPr>
        <w:pStyle w:val="NoSpacing"/>
      </w:pPr>
    </w:p>
    <w:p w14:paraId="3E840AA2" w14:textId="77777777" w:rsidR="008D3DCE" w:rsidRDefault="008D3DCE" w:rsidP="00E5396B">
      <w:pPr>
        <w:pStyle w:val="NoSpacing"/>
      </w:pPr>
    </w:p>
    <w:p w14:paraId="40F82A07" w14:textId="754C076C" w:rsidR="00E5396B" w:rsidRDefault="00EE6DB3" w:rsidP="00E5396B">
      <w:pPr>
        <w:pStyle w:val="NoSpacing"/>
        <w:rPr>
          <w:sz w:val="18"/>
          <w:szCs w:val="18"/>
        </w:rPr>
      </w:pPr>
      <w:r w:rsidRPr="00EE6DB3">
        <w:rPr>
          <w:sz w:val="18"/>
          <w:szCs w:val="18"/>
        </w:rPr>
        <w:t>CRITICAL COMMENTARY:</w:t>
      </w:r>
    </w:p>
    <w:p w14:paraId="3DC49E78" w14:textId="598660CB" w:rsidR="00EE6DB3" w:rsidRDefault="00EE6DB3" w:rsidP="00E5396B">
      <w:pPr>
        <w:pStyle w:val="NoSpacing"/>
        <w:rPr>
          <w:sz w:val="18"/>
          <w:szCs w:val="18"/>
        </w:rPr>
      </w:pPr>
      <w:r>
        <w:rPr>
          <w:sz w:val="18"/>
          <w:szCs w:val="18"/>
        </w:rPr>
        <w:t>Inspiration for this stemmed from the lecture on the Dead Sea Scrolls, something mentioned a lot within some texts were that people, especially women were ‘unclean’, women were ‘unclean’ during menstruation as well as if she bears a child - and she is ‘unclean’ for longer if that child is female</w:t>
      </w:r>
      <w:r w:rsidR="00467F99">
        <w:rPr>
          <w:rFonts w:cstheme="minorHAnsi"/>
          <w:sz w:val="18"/>
          <w:szCs w:val="18"/>
        </w:rPr>
        <w:t>₁</w:t>
      </w:r>
      <w:r>
        <w:rPr>
          <w:sz w:val="18"/>
          <w:szCs w:val="18"/>
        </w:rPr>
        <w:t xml:space="preserve">. That </w:t>
      </w:r>
      <w:proofErr w:type="gramStart"/>
      <w:r>
        <w:rPr>
          <w:sz w:val="18"/>
          <w:szCs w:val="18"/>
        </w:rPr>
        <w:t>in particular is</w:t>
      </w:r>
      <w:proofErr w:type="gramEnd"/>
      <w:r>
        <w:rPr>
          <w:sz w:val="18"/>
          <w:szCs w:val="18"/>
        </w:rPr>
        <w:t xml:space="preserve"> what the line “</w:t>
      </w:r>
      <w:r w:rsidRPr="00EE6DB3">
        <w:rPr>
          <w:sz w:val="18"/>
          <w:szCs w:val="18"/>
        </w:rPr>
        <w:t>What for? Our blood! What for? Our birth! What chance!</w:t>
      </w:r>
      <w:r>
        <w:rPr>
          <w:sz w:val="18"/>
          <w:szCs w:val="18"/>
        </w:rPr>
        <w:t xml:space="preserve">” is supposed to be referring to, but of course any interpretation is valid. </w:t>
      </w:r>
    </w:p>
    <w:p w14:paraId="3344CE98" w14:textId="092C50F4" w:rsidR="00EE6DB3" w:rsidRDefault="00EE6DB3" w:rsidP="00E5396B">
      <w:pPr>
        <w:pStyle w:val="NoSpacing"/>
        <w:rPr>
          <w:sz w:val="18"/>
          <w:szCs w:val="18"/>
        </w:rPr>
      </w:pPr>
      <w:r>
        <w:rPr>
          <w:sz w:val="18"/>
          <w:szCs w:val="18"/>
        </w:rPr>
        <w:t xml:space="preserve">From having the Dead Sea Scrolls as a starting point, I looked for </w:t>
      </w:r>
      <w:r w:rsidR="00A31281">
        <w:rPr>
          <w:sz w:val="18"/>
          <w:szCs w:val="18"/>
        </w:rPr>
        <w:t>what came up under</w:t>
      </w:r>
      <w:r>
        <w:rPr>
          <w:sz w:val="18"/>
          <w:szCs w:val="18"/>
        </w:rPr>
        <w:t xml:space="preserve"> gender poetry and found myself wanting to keep to a religious theme</w:t>
      </w:r>
      <w:r w:rsidR="00A31281">
        <w:rPr>
          <w:sz w:val="18"/>
          <w:szCs w:val="18"/>
        </w:rPr>
        <w:t xml:space="preserve">, the first one I read was </w:t>
      </w:r>
      <w:r w:rsidR="00A31281" w:rsidRPr="00A31281">
        <w:rPr>
          <w:i/>
          <w:iCs/>
          <w:sz w:val="18"/>
          <w:szCs w:val="18"/>
        </w:rPr>
        <w:t>Autobiography of Eve</w:t>
      </w:r>
      <w:r w:rsidR="00B5682D" w:rsidRPr="00B5682D">
        <w:rPr>
          <w:rFonts w:cstheme="minorHAnsi"/>
          <w:sz w:val="18"/>
          <w:szCs w:val="18"/>
        </w:rPr>
        <w:t>₂</w:t>
      </w:r>
      <w:r w:rsidR="00A31281" w:rsidRPr="00B5682D">
        <w:rPr>
          <w:sz w:val="18"/>
          <w:szCs w:val="18"/>
        </w:rPr>
        <w:t>,</w:t>
      </w:r>
      <w:r w:rsidR="00A31281">
        <w:rPr>
          <w:sz w:val="18"/>
          <w:szCs w:val="18"/>
        </w:rPr>
        <w:t xml:space="preserve"> which I originally hoped to echo some sentiments from, particularly the last three lines stuck with me, but I ended up finding that it regrettably didn’t fit in with what I was going for. I then found </w:t>
      </w:r>
      <w:r w:rsidR="00A31281" w:rsidRPr="00A31281">
        <w:rPr>
          <w:i/>
          <w:iCs/>
          <w:sz w:val="18"/>
          <w:szCs w:val="18"/>
        </w:rPr>
        <w:t>Her Kind</w:t>
      </w:r>
      <w:r w:rsidR="00FE6B99">
        <w:rPr>
          <w:rFonts w:cstheme="minorHAnsi"/>
          <w:sz w:val="18"/>
          <w:szCs w:val="18"/>
        </w:rPr>
        <w:t>₃</w:t>
      </w:r>
      <w:r w:rsidR="00A31281">
        <w:rPr>
          <w:sz w:val="18"/>
          <w:szCs w:val="18"/>
        </w:rPr>
        <w:t>, which whilst I also couldn’t incorporate, it gave me the idea to try to fall from Christianity to Witchcraft, which I did my best to show</w:t>
      </w:r>
      <w:r w:rsidR="002E6149">
        <w:rPr>
          <w:sz w:val="18"/>
          <w:szCs w:val="18"/>
        </w:rPr>
        <w:t xml:space="preserve">, which I also see as subservience to </w:t>
      </w:r>
      <w:r w:rsidR="005D5E29">
        <w:rPr>
          <w:sz w:val="18"/>
          <w:szCs w:val="18"/>
        </w:rPr>
        <w:t>power</w:t>
      </w:r>
      <w:r w:rsidR="00A31281">
        <w:rPr>
          <w:sz w:val="18"/>
          <w:szCs w:val="18"/>
        </w:rPr>
        <w:t xml:space="preserve">. The last poem I read which is worth mentioning here is </w:t>
      </w:r>
      <w:r w:rsidR="00A31281" w:rsidRPr="00A31281">
        <w:rPr>
          <w:i/>
          <w:iCs/>
          <w:sz w:val="18"/>
          <w:szCs w:val="18"/>
        </w:rPr>
        <w:t>Sonnet 28 ‘I Think I Know the Name of Purity’</w:t>
      </w:r>
      <w:r w:rsidR="007102D0">
        <w:rPr>
          <w:rFonts w:cstheme="minorHAnsi"/>
          <w:sz w:val="18"/>
          <w:szCs w:val="18"/>
        </w:rPr>
        <w:t>₄</w:t>
      </w:r>
      <w:r w:rsidR="00A31281">
        <w:rPr>
          <w:sz w:val="18"/>
          <w:szCs w:val="18"/>
        </w:rPr>
        <w:t>, which incited me to attempt a sonnet format for my poem (which I haven’t tried before)</w:t>
      </w:r>
      <w:r w:rsidR="00E66BFF">
        <w:rPr>
          <w:sz w:val="18"/>
          <w:szCs w:val="18"/>
        </w:rPr>
        <w:t xml:space="preserve">. </w:t>
      </w:r>
    </w:p>
    <w:p w14:paraId="20C631DD" w14:textId="655FD004" w:rsidR="00E66BFF" w:rsidRDefault="00E66BFF" w:rsidP="00E5396B">
      <w:pPr>
        <w:pStyle w:val="NoSpacing"/>
        <w:rPr>
          <w:sz w:val="18"/>
          <w:szCs w:val="18"/>
        </w:rPr>
      </w:pPr>
      <w:r>
        <w:rPr>
          <w:sz w:val="18"/>
          <w:szCs w:val="18"/>
        </w:rPr>
        <w:t>After that, I found a</w:t>
      </w:r>
      <w:r w:rsidR="00AD72FA">
        <w:rPr>
          <w:sz w:val="18"/>
          <w:szCs w:val="18"/>
        </w:rPr>
        <w:t xml:space="preserve"> book </w:t>
      </w:r>
      <w:r>
        <w:rPr>
          <w:sz w:val="18"/>
          <w:szCs w:val="18"/>
        </w:rPr>
        <w:t>on witches and gender and used the line “</w:t>
      </w:r>
      <w:r w:rsidRPr="00E66BFF">
        <w:rPr>
          <w:sz w:val="18"/>
          <w:szCs w:val="18"/>
        </w:rPr>
        <w:t xml:space="preserve">hindrance to man’s communion with </w:t>
      </w:r>
      <w:proofErr w:type="gramStart"/>
      <w:r w:rsidRPr="00E66BFF">
        <w:rPr>
          <w:sz w:val="18"/>
          <w:szCs w:val="18"/>
        </w:rPr>
        <w:t>God</w:t>
      </w:r>
      <w:r>
        <w:rPr>
          <w:sz w:val="18"/>
          <w:szCs w:val="18"/>
        </w:rPr>
        <w:t>”</w:t>
      </w:r>
      <w:r w:rsidR="001532E3">
        <w:rPr>
          <w:rFonts w:cstheme="minorHAnsi"/>
          <w:sz w:val="18"/>
          <w:szCs w:val="18"/>
        </w:rPr>
        <w:t>₅</w:t>
      </w:r>
      <w:proofErr w:type="gramEnd"/>
      <w:r>
        <w:rPr>
          <w:sz w:val="18"/>
          <w:szCs w:val="18"/>
        </w:rPr>
        <w:t xml:space="preserve"> from it as well as taking inspiration from some of the descriptors attributed to women. </w:t>
      </w:r>
    </w:p>
    <w:p w14:paraId="1802B498" w14:textId="2AB5614D" w:rsidR="00E66BFF" w:rsidRDefault="00E66BFF" w:rsidP="00E5396B">
      <w:pPr>
        <w:pStyle w:val="NoSpacing"/>
        <w:rPr>
          <w:sz w:val="18"/>
          <w:szCs w:val="18"/>
        </w:rPr>
      </w:pPr>
      <w:r>
        <w:rPr>
          <w:sz w:val="18"/>
          <w:szCs w:val="18"/>
        </w:rPr>
        <w:t xml:space="preserve">I am most please with line seven and eight, line seven is largely different to any other line in the sonnet, which was done entirely on purpose – I wanted an impact to say that was where the volta was, this is where it’s changing. Putting the volta so soon, in my opinion, is also supposed to reflect how little patience is left for the previous train of thought and circumstances. At several times I contemplated breaking the structure for effect – not doing my best to stick to iambic pentameter, or missing a rhyme, but my aim was to make a sonnet and whilst changing one or both of those in a place or two likely would have created impact, I’m aware that as I am very unused to sonnet writing that my best foot forward is to solidify the groundwork before I think myself ready for personal adjustments and liberties taken. </w:t>
      </w:r>
    </w:p>
    <w:p w14:paraId="00338CB3" w14:textId="77777777" w:rsidR="00D8377A" w:rsidRDefault="00D8377A" w:rsidP="00E5396B">
      <w:pPr>
        <w:pStyle w:val="NoSpacing"/>
        <w:rPr>
          <w:sz w:val="18"/>
          <w:szCs w:val="18"/>
        </w:rPr>
      </w:pPr>
    </w:p>
    <w:p w14:paraId="00D304F0" w14:textId="6ECE3886" w:rsidR="00D8377A" w:rsidRDefault="00D8377A" w:rsidP="00E5396B">
      <w:pPr>
        <w:pStyle w:val="NoSpacing"/>
        <w:rPr>
          <w:sz w:val="18"/>
          <w:szCs w:val="18"/>
        </w:rPr>
      </w:pPr>
      <w:r>
        <w:rPr>
          <w:sz w:val="18"/>
          <w:szCs w:val="18"/>
        </w:rPr>
        <w:t>BIBLIOGRAPHY:</w:t>
      </w:r>
    </w:p>
    <w:p w14:paraId="6281B90E" w14:textId="4659416E" w:rsidR="00D8377A" w:rsidRDefault="00D8377A" w:rsidP="00E5396B">
      <w:pPr>
        <w:pStyle w:val="NoSpacing"/>
        <w:rPr>
          <w:sz w:val="18"/>
          <w:szCs w:val="18"/>
        </w:rPr>
      </w:pPr>
      <w:r>
        <w:rPr>
          <w:rFonts w:cstheme="minorHAnsi"/>
          <w:sz w:val="18"/>
          <w:szCs w:val="18"/>
        </w:rPr>
        <w:t>₁</w:t>
      </w:r>
      <w:r w:rsidR="00467F99">
        <w:rPr>
          <w:rFonts w:cstheme="minorHAnsi"/>
          <w:sz w:val="18"/>
          <w:szCs w:val="18"/>
        </w:rPr>
        <w:t xml:space="preserve"> </w:t>
      </w:r>
      <w:r w:rsidR="00F13B8E">
        <w:rPr>
          <w:rFonts w:cstheme="minorHAnsi"/>
          <w:sz w:val="18"/>
          <w:szCs w:val="18"/>
        </w:rPr>
        <w:t>4Q265 frag.1 lines 11-17, 4Q274</w:t>
      </w:r>
      <w:r w:rsidR="0003508F">
        <w:rPr>
          <w:rFonts w:cstheme="minorHAnsi"/>
          <w:sz w:val="18"/>
          <w:szCs w:val="18"/>
        </w:rPr>
        <w:t xml:space="preserve"> frag.1 lines 1-9 *</w:t>
      </w:r>
    </w:p>
    <w:p w14:paraId="54A08FB9" w14:textId="7BA81ADD" w:rsidR="00D8377A" w:rsidRPr="004825D7" w:rsidRDefault="00D8377A" w:rsidP="00E5396B">
      <w:pPr>
        <w:pStyle w:val="NoSpacing"/>
        <w:rPr>
          <w:sz w:val="18"/>
          <w:szCs w:val="18"/>
        </w:rPr>
      </w:pPr>
      <w:r>
        <w:rPr>
          <w:rFonts w:cstheme="minorHAnsi"/>
          <w:sz w:val="18"/>
          <w:szCs w:val="18"/>
        </w:rPr>
        <w:t>₂</w:t>
      </w:r>
      <w:r w:rsidR="004C0AA9">
        <w:rPr>
          <w:rFonts w:cstheme="minorHAnsi"/>
          <w:sz w:val="18"/>
          <w:szCs w:val="18"/>
        </w:rPr>
        <w:t xml:space="preserve"> Elkins, A. </w:t>
      </w:r>
      <w:r w:rsidR="004825D7">
        <w:rPr>
          <w:rFonts w:cstheme="minorHAnsi"/>
          <w:sz w:val="18"/>
          <w:szCs w:val="18"/>
        </w:rPr>
        <w:t xml:space="preserve">(2015), </w:t>
      </w:r>
      <w:r w:rsidR="004825D7" w:rsidRPr="004825D7">
        <w:rPr>
          <w:rFonts w:cstheme="minorHAnsi"/>
          <w:i/>
          <w:iCs/>
          <w:sz w:val="18"/>
          <w:szCs w:val="18"/>
        </w:rPr>
        <w:t>Autobiography of Eve</w:t>
      </w:r>
      <w:r w:rsidR="004825D7">
        <w:rPr>
          <w:rFonts w:cstheme="minorHAnsi"/>
          <w:sz w:val="18"/>
          <w:szCs w:val="18"/>
        </w:rPr>
        <w:t xml:space="preserve">, </w:t>
      </w:r>
      <w:r w:rsidR="001C7AEA">
        <w:rPr>
          <w:rFonts w:cstheme="minorHAnsi"/>
          <w:sz w:val="18"/>
          <w:szCs w:val="18"/>
        </w:rPr>
        <w:t xml:space="preserve">poets.org, Available at: </w:t>
      </w:r>
      <w:r w:rsidR="001C7AEA" w:rsidRPr="001C7AEA">
        <w:rPr>
          <w:rFonts w:cstheme="minorHAnsi"/>
          <w:sz w:val="18"/>
          <w:szCs w:val="18"/>
        </w:rPr>
        <w:t>https://poets.org/poem/autobiography-eve</w:t>
      </w:r>
    </w:p>
    <w:p w14:paraId="7D3ADEFE" w14:textId="3CEA9E20" w:rsidR="00D8377A" w:rsidRPr="00153BF0" w:rsidRDefault="00D8377A" w:rsidP="00E5396B">
      <w:pPr>
        <w:pStyle w:val="NoSpacing"/>
        <w:rPr>
          <w:sz w:val="18"/>
          <w:szCs w:val="18"/>
        </w:rPr>
      </w:pPr>
      <w:r>
        <w:rPr>
          <w:rFonts w:cstheme="minorHAnsi"/>
          <w:sz w:val="18"/>
          <w:szCs w:val="18"/>
        </w:rPr>
        <w:t>₃</w:t>
      </w:r>
      <w:r w:rsidR="00FE6B99">
        <w:rPr>
          <w:rFonts w:cstheme="minorHAnsi"/>
          <w:sz w:val="18"/>
          <w:szCs w:val="18"/>
        </w:rPr>
        <w:t xml:space="preserve"> </w:t>
      </w:r>
      <w:r w:rsidR="00243818">
        <w:rPr>
          <w:rFonts w:cstheme="minorHAnsi"/>
          <w:sz w:val="18"/>
          <w:szCs w:val="18"/>
        </w:rPr>
        <w:t xml:space="preserve">Sexton, </w:t>
      </w:r>
      <w:r w:rsidR="000C7729">
        <w:rPr>
          <w:rFonts w:cstheme="minorHAnsi"/>
          <w:sz w:val="18"/>
          <w:szCs w:val="18"/>
        </w:rPr>
        <w:t>A. (1981)</w:t>
      </w:r>
      <w:r w:rsidR="00153BF0">
        <w:rPr>
          <w:rFonts w:cstheme="minorHAnsi"/>
          <w:sz w:val="18"/>
          <w:szCs w:val="18"/>
        </w:rPr>
        <w:t xml:space="preserve">, </w:t>
      </w:r>
      <w:r w:rsidR="004C6E18">
        <w:rPr>
          <w:rFonts w:cstheme="minorHAnsi"/>
          <w:sz w:val="18"/>
          <w:szCs w:val="18"/>
        </w:rPr>
        <w:t>“</w:t>
      </w:r>
      <w:r w:rsidR="00153BF0">
        <w:rPr>
          <w:rFonts w:cstheme="minorHAnsi"/>
          <w:i/>
          <w:iCs/>
          <w:sz w:val="18"/>
          <w:szCs w:val="18"/>
        </w:rPr>
        <w:t>Her Kind</w:t>
      </w:r>
      <w:r w:rsidR="004C6E18">
        <w:rPr>
          <w:rFonts w:cstheme="minorHAnsi"/>
          <w:i/>
          <w:iCs/>
          <w:sz w:val="18"/>
          <w:szCs w:val="18"/>
        </w:rPr>
        <w:t>”</w:t>
      </w:r>
      <w:r w:rsidR="00153BF0">
        <w:rPr>
          <w:rFonts w:cstheme="minorHAnsi"/>
          <w:sz w:val="18"/>
          <w:szCs w:val="18"/>
        </w:rPr>
        <w:t xml:space="preserve">, </w:t>
      </w:r>
      <w:r w:rsidR="005D7028" w:rsidRPr="004C6E18">
        <w:rPr>
          <w:rFonts w:cstheme="minorHAnsi"/>
          <w:i/>
          <w:iCs/>
          <w:sz w:val="18"/>
          <w:szCs w:val="18"/>
        </w:rPr>
        <w:t>The Complete Poems of Anne Sexton</w:t>
      </w:r>
      <w:r w:rsidR="008177B5">
        <w:rPr>
          <w:rFonts w:cstheme="minorHAnsi"/>
          <w:sz w:val="18"/>
          <w:szCs w:val="18"/>
        </w:rPr>
        <w:t xml:space="preserve">, </w:t>
      </w:r>
      <w:r w:rsidR="00D31DF0" w:rsidRPr="00D31DF0">
        <w:rPr>
          <w:rFonts w:cstheme="minorHAnsi"/>
          <w:sz w:val="18"/>
          <w:szCs w:val="18"/>
        </w:rPr>
        <w:t>Boston</w:t>
      </w:r>
      <w:r w:rsidR="00D31DF0">
        <w:rPr>
          <w:rFonts w:cstheme="minorHAnsi"/>
          <w:sz w:val="18"/>
          <w:szCs w:val="18"/>
        </w:rPr>
        <w:t xml:space="preserve">, </w:t>
      </w:r>
      <w:r w:rsidR="008177B5" w:rsidRPr="008177B5">
        <w:rPr>
          <w:rFonts w:cstheme="minorHAnsi"/>
          <w:sz w:val="18"/>
          <w:szCs w:val="18"/>
        </w:rPr>
        <w:t>Houghton Mifflin</w:t>
      </w:r>
    </w:p>
    <w:p w14:paraId="25C48102" w14:textId="7B55061A" w:rsidR="00D8377A" w:rsidRDefault="00D8377A" w:rsidP="00E5396B">
      <w:pPr>
        <w:pStyle w:val="NoSpacing"/>
        <w:rPr>
          <w:rFonts w:cstheme="minorHAnsi"/>
          <w:sz w:val="18"/>
          <w:szCs w:val="18"/>
        </w:rPr>
      </w:pPr>
      <w:r>
        <w:rPr>
          <w:rFonts w:cstheme="minorHAnsi"/>
          <w:sz w:val="18"/>
          <w:szCs w:val="18"/>
        </w:rPr>
        <w:t>₄</w:t>
      </w:r>
      <w:r w:rsidR="007102D0">
        <w:rPr>
          <w:rFonts w:cstheme="minorHAnsi"/>
          <w:sz w:val="18"/>
          <w:szCs w:val="18"/>
        </w:rPr>
        <w:t xml:space="preserve"> </w:t>
      </w:r>
      <w:r w:rsidR="00CC1C0A">
        <w:rPr>
          <w:rFonts w:cstheme="minorHAnsi"/>
          <w:sz w:val="18"/>
          <w:szCs w:val="18"/>
        </w:rPr>
        <w:t xml:space="preserve">Fairchild, A (2019), </w:t>
      </w:r>
      <w:r w:rsidR="00CC1C0A" w:rsidRPr="00CC1C0A">
        <w:rPr>
          <w:rFonts w:cstheme="minorHAnsi"/>
          <w:i/>
          <w:iCs/>
          <w:sz w:val="18"/>
          <w:szCs w:val="18"/>
        </w:rPr>
        <w:t>Sonnet 28 ‘I Think I Know the Name of Purity’</w:t>
      </w:r>
      <w:r w:rsidR="00CC1C0A">
        <w:rPr>
          <w:rFonts w:cstheme="minorHAnsi"/>
          <w:sz w:val="18"/>
          <w:szCs w:val="18"/>
        </w:rPr>
        <w:t xml:space="preserve">, </w:t>
      </w:r>
      <w:r w:rsidR="00C5495F">
        <w:rPr>
          <w:rFonts w:cstheme="minorHAnsi"/>
          <w:sz w:val="18"/>
          <w:szCs w:val="18"/>
        </w:rPr>
        <w:t xml:space="preserve">poetrysoup.com, Available at: </w:t>
      </w:r>
      <w:r w:rsidR="001532E3" w:rsidRPr="001532E3">
        <w:rPr>
          <w:rFonts w:cstheme="minorHAnsi"/>
          <w:sz w:val="18"/>
          <w:szCs w:val="18"/>
        </w:rPr>
        <w:t>https://www.poetrysoup.com/poem/sonnet_28_i_think_i_know_the_name_of_purity_1113830</w:t>
      </w:r>
    </w:p>
    <w:p w14:paraId="0787D847" w14:textId="2C9A8E4A" w:rsidR="001532E3" w:rsidRPr="00E174B5" w:rsidRDefault="001532E3" w:rsidP="00E5396B">
      <w:pPr>
        <w:pStyle w:val="NoSpacing"/>
        <w:rPr>
          <w:rFonts w:cstheme="minorHAnsi"/>
          <w:sz w:val="18"/>
          <w:szCs w:val="18"/>
        </w:rPr>
      </w:pPr>
      <w:r>
        <w:rPr>
          <w:rFonts w:cstheme="minorHAnsi"/>
          <w:sz w:val="18"/>
          <w:szCs w:val="18"/>
        </w:rPr>
        <w:t>₅</w:t>
      </w:r>
      <w:r w:rsidR="00AD72FA">
        <w:rPr>
          <w:rFonts w:cstheme="minorHAnsi"/>
          <w:sz w:val="18"/>
          <w:szCs w:val="18"/>
        </w:rPr>
        <w:t xml:space="preserve"> </w:t>
      </w:r>
      <w:r w:rsidR="003C1C20">
        <w:rPr>
          <w:rFonts w:cstheme="minorHAnsi"/>
          <w:sz w:val="18"/>
          <w:szCs w:val="18"/>
        </w:rPr>
        <w:t xml:space="preserve">Durrant, J. (2007), </w:t>
      </w:r>
      <w:r w:rsidR="00341942" w:rsidRPr="00E174B5">
        <w:rPr>
          <w:rFonts w:cstheme="minorHAnsi"/>
          <w:i/>
          <w:iCs/>
          <w:sz w:val="18"/>
          <w:szCs w:val="18"/>
        </w:rPr>
        <w:t>‘The Witches’</w:t>
      </w:r>
      <w:r w:rsidR="00E174B5">
        <w:rPr>
          <w:rFonts w:cstheme="minorHAnsi"/>
          <w:sz w:val="18"/>
          <w:szCs w:val="18"/>
        </w:rPr>
        <w:t xml:space="preserve">, </w:t>
      </w:r>
      <w:r w:rsidR="00EF5BA6" w:rsidRPr="00EF5BA6">
        <w:rPr>
          <w:rFonts w:cstheme="minorHAnsi"/>
          <w:i/>
          <w:iCs/>
          <w:sz w:val="18"/>
          <w:szCs w:val="18"/>
        </w:rPr>
        <w:t>Witchcraft, Gender and Society in Early Modern Germany</w:t>
      </w:r>
      <w:r w:rsidR="00EF5BA6" w:rsidRPr="00EF5BA6">
        <w:rPr>
          <w:rFonts w:cstheme="minorHAnsi"/>
          <w:sz w:val="18"/>
          <w:szCs w:val="18"/>
        </w:rPr>
        <w:t>,</w:t>
      </w:r>
      <w:r w:rsidR="00EF5BA6">
        <w:rPr>
          <w:rFonts w:cstheme="minorHAnsi"/>
          <w:sz w:val="18"/>
          <w:szCs w:val="18"/>
        </w:rPr>
        <w:t xml:space="preserve"> </w:t>
      </w:r>
      <w:r w:rsidR="000C4271">
        <w:rPr>
          <w:rFonts w:cstheme="minorHAnsi"/>
          <w:sz w:val="18"/>
          <w:szCs w:val="18"/>
        </w:rPr>
        <w:t xml:space="preserve">Brill, </w:t>
      </w:r>
      <w:r w:rsidR="002834EA" w:rsidRPr="002834EA">
        <w:rPr>
          <w:rFonts w:cstheme="minorHAnsi"/>
          <w:sz w:val="18"/>
          <w:szCs w:val="18"/>
        </w:rPr>
        <w:t>pp. 45-86</w:t>
      </w:r>
    </w:p>
    <w:p w14:paraId="7076C926" w14:textId="77777777" w:rsidR="0003508F" w:rsidRDefault="0003508F" w:rsidP="00E5396B">
      <w:pPr>
        <w:pStyle w:val="NoSpacing"/>
        <w:rPr>
          <w:rFonts w:cstheme="minorHAnsi"/>
          <w:sz w:val="18"/>
          <w:szCs w:val="18"/>
        </w:rPr>
      </w:pPr>
    </w:p>
    <w:p w14:paraId="2D1AC2FE" w14:textId="77777777" w:rsidR="0003508F" w:rsidRDefault="0003508F" w:rsidP="00E5396B">
      <w:pPr>
        <w:pStyle w:val="NoSpacing"/>
        <w:rPr>
          <w:rFonts w:cstheme="minorHAnsi"/>
          <w:sz w:val="18"/>
          <w:szCs w:val="18"/>
        </w:rPr>
      </w:pPr>
    </w:p>
    <w:p w14:paraId="6FE5539E" w14:textId="3A09FF0C" w:rsidR="0003508F" w:rsidRPr="00A31281" w:rsidRDefault="0003508F" w:rsidP="00E5396B">
      <w:pPr>
        <w:pStyle w:val="NoSpacing"/>
        <w:rPr>
          <w:sz w:val="18"/>
          <w:szCs w:val="18"/>
        </w:rPr>
      </w:pPr>
      <w:r>
        <w:rPr>
          <w:rFonts w:cstheme="minorHAnsi"/>
          <w:sz w:val="18"/>
          <w:szCs w:val="18"/>
        </w:rPr>
        <w:t xml:space="preserve">*From the Dead Sea Scroll powerpoint 2 on moodle, </w:t>
      </w:r>
      <w:r w:rsidR="00B5682D">
        <w:rPr>
          <w:rFonts w:cstheme="minorHAnsi"/>
          <w:sz w:val="18"/>
          <w:szCs w:val="18"/>
        </w:rPr>
        <w:t>no further information</w:t>
      </w:r>
    </w:p>
    <w:sectPr w:rsidR="0003508F" w:rsidRPr="00A3128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CFB6" w14:textId="77777777" w:rsidR="00E5204A" w:rsidRDefault="00E5204A" w:rsidP="00225DEB">
      <w:pPr>
        <w:spacing w:after="0" w:line="240" w:lineRule="auto"/>
      </w:pPr>
      <w:r>
        <w:separator/>
      </w:r>
    </w:p>
  </w:endnote>
  <w:endnote w:type="continuationSeparator" w:id="0">
    <w:p w14:paraId="54AC4BA4" w14:textId="77777777" w:rsidR="00E5204A" w:rsidRDefault="00E5204A" w:rsidP="0022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F3290" w14:textId="3563FBD1" w:rsidR="00225DEB" w:rsidRPr="00225DEB" w:rsidRDefault="00225DEB" w:rsidP="00225DEB">
    <w:pPr>
      <w:pStyle w:val="Footer"/>
      <w:jc w:val="right"/>
      <w:rPr>
        <w:sz w:val="14"/>
        <w:szCs w:val="14"/>
      </w:rPr>
    </w:pPr>
    <w:r w:rsidRPr="00225DEB">
      <w:rPr>
        <w:sz w:val="14"/>
        <w:szCs w:val="14"/>
      </w:rPr>
      <w:t>Sirius Bowen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FCDF5" w14:textId="77777777" w:rsidR="00E5204A" w:rsidRDefault="00E5204A" w:rsidP="00225DEB">
      <w:pPr>
        <w:spacing w:after="0" w:line="240" w:lineRule="auto"/>
      </w:pPr>
      <w:r>
        <w:separator/>
      </w:r>
    </w:p>
  </w:footnote>
  <w:footnote w:type="continuationSeparator" w:id="0">
    <w:p w14:paraId="6200F4AE" w14:textId="77777777" w:rsidR="00E5204A" w:rsidRDefault="00E5204A" w:rsidP="00225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FA56B" w14:textId="23FD323C" w:rsidR="00225DEB" w:rsidRDefault="00225DEB">
    <w:pPr>
      <w:pStyle w:val="Header"/>
    </w:pPr>
    <w:r>
      <w:t>Purity Innate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F52"/>
    <w:rsid w:val="0003508F"/>
    <w:rsid w:val="000C4271"/>
    <w:rsid w:val="000C7729"/>
    <w:rsid w:val="001532E3"/>
    <w:rsid w:val="00153BF0"/>
    <w:rsid w:val="001C7AEA"/>
    <w:rsid w:val="001D401B"/>
    <w:rsid w:val="00210C93"/>
    <w:rsid w:val="00225DEB"/>
    <w:rsid w:val="00243818"/>
    <w:rsid w:val="002834EA"/>
    <w:rsid w:val="002E6149"/>
    <w:rsid w:val="00341942"/>
    <w:rsid w:val="003B3F52"/>
    <w:rsid w:val="003C1C20"/>
    <w:rsid w:val="00415420"/>
    <w:rsid w:val="00467F99"/>
    <w:rsid w:val="004825D7"/>
    <w:rsid w:val="004C0AA9"/>
    <w:rsid w:val="004C6E18"/>
    <w:rsid w:val="004F2DDC"/>
    <w:rsid w:val="00510679"/>
    <w:rsid w:val="005B58AE"/>
    <w:rsid w:val="005D5E29"/>
    <w:rsid w:val="005D7028"/>
    <w:rsid w:val="0066129F"/>
    <w:rsid w:val="006835B2"/>
    <w:rsid w:val="007071BF"/>
    <w:rsid w:val="007102D0"/>
    <w:rsid w:val="008177B5"/>
    <w:rsid w:val="00877945"/>
    <w:rsid w:val="008D3DCE"/>
    <w:rsid w:val="00A31281"/>
    <w:rsid w:val="00AD72FA"/>
    <w:rsid w:val="00B5682D"/>
    <w:rsid w:val="00C5495F"/>
    <w:rsid w:val="00CC1C0A"/>
    <w:rsid w:val="00D31DF0"/>
    <w:rsid w:val="00D8377A"/>
    <w:rsid w:val="00D95E36"/>
    <w:rsid w:val="00E174B5"/>
    <w:rsid w:val="00E5204A"/>
    <w:rsid w:val="00E5396B"/>
    <w:rsid w:val="00E66BFF"/>
    <w:rsid w:val="00EE6DB3"/>
    <w:rsid w:val="00EF5BA6"/>
    <w:rsid w:val="00F13B8E"/>
    <w:rsid w:val="00F16A7A"/>
    <w:rsid w:val="00F6530F"/>
    <w:rsid w:val="00FE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6A8A2"/>
  <w15:chartTrackingRefBased/>
  <w15:docId w15:val="{A29DAA0E-0411-47E9-9ACD-9143928B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396B"/>
    <w:pPr>
      <w:spacing w:after="0" w:line="240" w:lineRule="auto"/>
    </w:pPr>
  </w:style>
  <w:style w:type="paragraph" w:styleId="Header">
    <w:name w:val="header"/>
    <w:basedOn w:val="Normal"/>
    <w:link w:val="HeaderChar"/>
    <w:uiPriority w:val="99"/>
    <w:unhideWhenUsed/>
    <w:rsid w:val="00225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DEB"/>
  </w:style>
  <w:style w:type="paragraph" w:styleId="Footer">
    <w:name w:val="footer"/>
    <w:basedOn w:val="Normal"/>
    <w:link w:val="FooterChar"/>
    <w:uiPriority w:val="99"/>
    <w:unhideWhenUsed/>
    <w:rsid w:val="00225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DEB"/>
  </w:style>
  <w:style w:type="character" w:styleId="Hyperlink">
    <w:name w:val="Hyperlink"/>
    <w:basedOn w:val="DefaultParagraphFont"/>
    <w:uiPriority w:val="99"/>
    <w:unhideWhenUsed/>
    <w:rsid w:val="001532E3"/>
    <w:rPr>
      <w:color w:val="0563C1" w:themeColor="hyperlink"/>
      <w:u w:val="single"/>
    </w:rPr>
  </w:style>
  <w:style w:type="character" w:styleId="UnresolvedMention">
    <w:name w:val="Unresolved Mention"/>
    <w:basedOn w:val="DefaultParagraphFont"/>
    <w:uiPriority w:val="99"/>
    <w:semiHidden/>
    <w:unhideWhenUsed/>
    <w:rsid w:val="00153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1719</TotalTime>
  <Pages>1</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31</cp:revision>
  <dcterms:created xsi:type="dcterms:W3CDTF">2023-05-06T23:21:00Z</dcterms:created>
  <dcterms:modified xsi:type="dcterms:W3CDTF">2023-05-08T04:00:00Z</dcterms:modified>
</cp:coreProperties>
</file>