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447B91F6"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CB3369">
        <w:rPr>
          <w:rFonts w:ascii="Aptos" w:hAnsi="Aptos" w:cs="Arial"/>
          <w:sz w:val="28"/>
          <w:szCs w:val="28"/>
          <w:lang w:val="nl-NL"/>
        </w:rPr>
        <w:t xml:space="preserve"> Mualuke Kalunga Kashama </w:t>
      </w:r>
    </w:p>
    <w:p w14:paraId="4D060E17" w14:textId="04F26961"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CB3369">
        <w:rPr>
          <w:rFonts w:ascii="Aptos" w:hAnsi="Aptos" w:cs="Arial"/>
          <w:sz w:val="28"/>
          <w:szCs w:val="28"/>
          <w:lang w:val="nl-NL"/>
        </w:rPr>
        <w:t xml:space="preserve"> 2213244</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5EE72636"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CB3369">
        <w:rPr>
          <w:rFonts w:ascii="Aptos" w:hAnsi="Aptos" w:cs="Arial"/>
          <w:sz w:val="28"/>
          <w:szCs w:val="28"/>
          <w:lang w:val="nl-NL"/>
        </w:rPr>
        <w:t>Independent Project</w:t>
      </w:r>
    </w:p>
    <w:p w14:paraId="42A6E8AA" w14:textId="202536B8"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CB3369">
        <w:rPr>
          <w:rFonts w:ascii="Aptos" w:hAnsi="Aptos" w:cs="Arial"/>
          <w:sz w:val="28"/>
          <w:szCs w:val="28"/>
        </w:rPr>
        <w:t xml:space="preserve"> 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2B809516" w14:textId="7D162F30" w:rsidR="00802FF1" w:rsidRDefault="007F06FF" w:rsidP="00802FF1">
            <w:pPr>
              <w:jc w:val="center"/>
              <w:rPr>
                <w:rFonts w:ascii="Aptos" w:hAnsi="Aptos"/>
                <w:b/>
                <w:bCs/>
                <w:sz w:val="36"/>
                <w:szCs w:val="36"/>
              </w:rPr>
            </w:pPr>
            <w:r>
              <w:rPr>
                <w:rFonts w:ascii="Aptos" w:hAnsi="Aptos"/>
                <w:b/>
                <w:bCs/>
                <w:sz w:val="36"/>
                <w:szCs w:val="36"/>
              </w:rPr>
              <w:lastRenderedPageBreak/>
              <w:t>Barriers to Accessing Digital Health Services Among Older Adults in the UK</w:t>
            </w:r>
          </w:p>
          <w:p w14:paraId="080E7EB0" w14:textId="1F253508" w:rsidR="00802FF1" w:rsidRPr="00802FF1" w:rsidRDefault="00802FF1" w:rsidP="00802FF1">
            <w:pPr>
              <w:jc w:val="center"/>
              <w:rPr>
                <w:rFonts w:ascii="Aptos" w:hAnsi="Aptos"/>
                <w:b/>
                <w:bCs/>
              </w:rPr>
            </w:pPr>
          </w:p>
        </w:tc>
      </w:tr>
      <w:tr w:rsidR="00C31D85" w:rsidRPr="00C31D85" w14:paraId="51100EC3" w14:textId="77777777" w:rsidTr="00063B85">
        <w:trPr>
          <w:trHeight w:val="1856"/>
        </w:trPr>
        <w:tc>
          <w:tcPr>
            <w:tcW w:w="7225" w:type="dxa"/>
          </w:tcPr>
          <w:p w14:paraId="7D5ABB49" w14:textId="76793B5E" w:rsidR="00C31D85" w:rsidRPr="005F7D75" w:rsidRDefault="00C22DCD" w:rsidP="00C46111">
            <w:pPr>
              <w:rPr>
                <w:rFonts w:ascii="Aptos" w:hAnsi="Aptos"/>
                <w:b/>
                <w:bCs/>
              </w:rPr>
            </w:pPr>
            <w:r w:rsidRPr="00AB5409">
              <w:rPr>
                <w:rFonts w:ascii="Aptos" w:hAnsi="Aptos"/>
                <w:b/>
                <w:bCs/>
                <w:sz w:val="40"/>
                <w:szCs w:val="40"/>
              </w:rPr>
              <w:t>01</w:t>
            </w:r>
            <w:r>
              <w:rPr>
                <w:rFonts w:ascii="Aptos" w:hAnsi="Aptos"/>
              </w:rPr>
              <w:t xml:space="preserve"> </w:t>
            </w:r>
            <w:r w:rsidRPr="007F06FF">
              <w:rPr>
                <w:rFonts w:ascii="Aptos" w:hAnsi="Aptos"/>
                <w:b/>
                <w:bCs/>
              </w:rPr>
              <w:t>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16CE4712" w14:textId="19728CFB" w:rsidR="005F7D75" w:rsidRDefault="00CB3369" w:rsidP="005F7D75">
            <w:pPr>
              <w:spacing w:line="360" w:lineRule="auto"/>
              <w:jc w:val="both"/>
              <w:rPr>
                <w:rFonts w:ascii="Aptos" w:hAnsi="Aptos"/>
              </w:rPr>
            </w:pPr>
            <w:r>
              <w:rPr>
                <w:rFonts w:ascii="Aptos" w:hAnsi="Aptos"/>
              </w:rPr>
              <w:t xml:space="preserve">The methodology chapter outlines the systematic process undertaken to investigate barriers affecting older individuals’ access to digital health services in the United Kingdom through secondary research. Secondary research is the appropriate choice for the study as it enables the critical examination and synthesis of existing academic literature, policy documents and evidence relevant to digital exclusion and healthcare accessibility (NHS England, 2019). </w:t>
            </w:r>
          </w:p>
          <w:p w14:paraId="4F873229" w14:textId="50BCD493" w:rsidR="000E56ED" w:rsidRPr="005F7D75" w:rsidRDefault="00CB3369" w:rsidP="005F7D75">
            <w:pPr>
              <w:spacing w:line="360" w:lineRule="auto"/>
              <w:jc w:val="both"/>
              <w:rPr>
                <w:rFonts w:ascii="Aptos" w:hAnsi="Aptos"/>
              </w:rPr>
            </w:pPr>
            <w:r>
              <w:rPr>
                <w:rFonts w:ascii="Aptos" w:hAnsi="Aptos"/>
              </w:rPr>
              <w:t xml:space="preserve">The aim is to critically explore the barriers that affect older individuals’ access to digital </w:t>
            </w:r>
            <w:r w:rsidR="007F06FF">
              <w:rPr>
                <w:rFonts w:ascii="Aptos" w:hAnsi="Aptos"/>
              </w:rPr>
              <w:t xml:space="preserve">health services in the UK through secondary analysis of academic literature and policy evidence. </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25CA190D" w14:textId="29B07037" w:rsidR="0029329C" w:rsidRDefault="007F06FF" w:rsidP="005F7D75">
            <w:pPr>
              <w:spacing w:line="360" w:lineRule="auto"/>
              <w:jc w:val="both"/>
              <w:rPr>
                <w:rFonts w:ascii="Aptos" w:hAnsi="Aptos"/>
                <w:lang w:val="en-GB"/>
              </w:rPr>
            </w:pPr>
            <w:r>
              <w:rPr>
                <w:rFonts w:ascii="Aptos" w:hAnsi="Aptos"/>
                <w:lang w:val="en-GB"/>
              </w:rPr>
              <w:t>A search strategy is the systematic and structured process used</w:t>
            </w:r>
            <w:r w:rsidR="00F16EFA">
              <w:rPr>
                <w:rFonts w:ascii="Aptos" w:hAnsi="Aptos"/>
                <w:lang w:val="en-GB"/>
              </w:rPr>
              <w:t xml:space="preserve"> </w:t>
            </w:r>
            <w:r>
              <w:rPr>
                <w:rFonts w:ascii="Aptos" w:hAnsi="Aptos"/>
                <w:lang w:val="en-GB"/>
              </w:rPr>
              <w:t>to identify, retrieve and select relevant evidence for academ</w:t>
            </w:r>
            <w:r w:rsidR="00F16EFA">
              <w:rPr>
                <w:rFonts w:ascii="Aptos" w:hAnsi="Aptos"/>
                <w:lang w:val="en-GB"/>
              </w:rPr>
              <w:t xml:space="preserve">ic research (University of Leeds, 2026). A structured search approach was implemented to ensure the retrieval of reliable, relevant and contemporary evidence relating to digital healthcare access among older adults. </w:t>
            </w:r>
          </w:p>
          <w:p w14:paraId="109C23A4" w14:textId="6841F5C2" w:rsidR="0029329C" w:rsidRPr="005F7D75" w:rsidRDefault="00F16EFA" w:rsidP="00F16EFA">
            <w:pPr>
              <w:spacing w:line="360" w:lineRule="auto"/>
              <w:jc w:val="both"/>
              <w:rPr>
                <w:rFonts w:ascii="Aptos" w:hAnsi="Aptos"/>
                <w:lang w:val="en-GB"/>
              </w:rPr>
            </w:pPr>
            <w:r>
              <w:rPr>
                <w:rFonts w:ascii="Aptos" w:hAnsi="Aptos"/>
                <w:lang w:val="en-GB"/>
              </w:rPr>
              <w:t xml:space="preserve">Electronic databases, including PubMed, CINAHL, and Google Scholar were searched alongside policy and statistical publications from NHS England, the Office for National Statistics, and Age UK. Search terms included ‘digital health services’, ‘older adults’, ‘digital exclusion’, ‘health inequalities’ and ‘healthcare access in the UK’. </w:t>
            </w:r>
          </w:p>
        </w:tc>
      </w:tr>
      <w:tr w:rsidR="00C31D85" w:rsidRPr="00C31D85" w14:paraId="56FBFF17" w14:textId="77777777" w:rsidTr="00063B85">
        <w:trPr>
          <w:trHeight w:val="1856"/>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6BDDABF2" w14:textId="1E8C2BAC" w:rsidR="0029329C" w:rsidRDefault="00B92BC4" w:rsidP="005F7D75">
            <w:pPr>
              <w:spacing w:line="360" w:lineRule="auto"/>
              <w:jc w:val="both"/>
              <w:rPr>
                <w:rFonts w:ascii="Aptos" w:hAnsi="Aptos"/>
                <w:lang w:val="en-GB"/>
              </w:rPr>
            </w:pPr>
            <w:r>
              <w:rPr>
                <w:rFonts w:ascii="Aptos" w:hAnsi="Aptos"/>
                <w:lang w:val="en-GB"/>
              </w:rPr>
              <w:t>The search process followed a structed approach to improve dependability and transparency. Firstly, key ideas supporting the research aim were identified and translated into searcha</w:t>
            </w:r>
            <w:r w:rsidR="00313E8E">
              <w:rPr>
                <w:rFonts w:ascii="Aptos" w:hAnsi="Aptos"/>
                <w:lang w:val="en-GB"/>
              </w:rPr>
              <w:t xml:space="preserve">ble phrases. Literature searches were then conducted across selected academic databases and supplemented by UK policy evidence to guarantee appropriate relevance. </w:t>
            </w:r>
          </w:p>
          <w:p w14:paraId="12813A8C" w14:textId="1342DF83" w:rsidR="00313E8E" w:rsidRDefault="00300C16" w:rsidP="005F7D75">
            <w:pPr>
              <w:spacing w:line="360" w:lineRule="auto"/>
              <w:jc w:val="both"/>
              <w:rPr>
                <w:rFonts w:ascii="Aptos" w:hAnsi="Aptos"/>
                <w:lang w:val="en-GB"/>
              </w:rPr>
            </w:pPr>
            <w:r>
              <w:rPr>
                <w:rFonts w:ascii="Aptos" w:hAnsi="Aptos"/>
                <w:lang w:val="en-GB"/>
              </w:rPr>
              <w:t xml:space="preserve">Retrieved literature was screened against inclusion and exclusion criteria to improve methodological rigour. To guarantee relevance, credibility and alignment with current UK health and social care policy, official </w:t>
            </w:r>
            <w:r>
              <w:rPr>
                <w:rFonts w:ascii="Aptos" w:hAnsi="Aptos"/>
                <w:lang w:val="en-GB"/>
              </w:rPr>
              <w:lastRenderedPageBreak/>
              <w:t xml:space="preserve">publications and peer reviewed sources were given priority (Office for National Statistics, 2019). </w:t>
            </w:r>
          </w:p>
          <w:p w14:paraId="3611ED69" w14:textId="77777777"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tcPr>
          <w:p w14:paraId="54995ADA" w14:textId="77777777" w:rsidR="00C31D85" w:rsidRPr="00DC52C0" w:rsidRDefault="00C31D85" w:rsidP="00C46111">
            <w:pPr>
              <w:rPr>
                <w:rFonts w:ascii="Aptos" w:hAnsi="Aptos"/>
                <w:sz w:val="14"/>
                <w:szCs w:val="14"/>
              </w:rPr>
            </w:pPr>
            <w:r w:rsidRPr="00DC52C0">
              <w:rPr>
                <w:rFonts w:ascii="Aptos" w:hAnsi="Aptos"/>
                <w:b/>
                <w:bCs/>
                <w:sz w:val="14"/>
                <w:szCs w:val="14"/>
              </w:rPr>
              <w:lastRenderedPageBreak/>
              <w:t>04</w:t>
            </w:r>
            <w:r w:rsidR="00AB5409" w:rsidRPr="00DC52C0">
              <w:rPr>
                <w:rFonts w:ascii="Aptos" w:hAnsi="Aptos"/>
                <w:sz w:val="14"/>
                <w:szCs w:val="14"/>
              </w:rPr>
              <w:t xml:space="preserve"> </w:t>
            </w:r>
            <w:r w:rsidR="00AB5409" w:rsidRPr="00DC52C0">
              <w:rPr>
                <w:rFonts w:ascii="Aptos" w:hAnsi="Aptos"/>
                <w:b/>
                <w:bCs/>
                <w:sz w:val="14"/>
                <w:szCs w:val="14"/>
              </w:rPr>
              <w:t>Picture / Graph / Visual Aid / Statistics</w:t>
            </w:r>
            <w:r w:rsidR="00AB5409" w:rsidRPr="00DC52C0">
              <w:rPr>
                <w:rFonts w:ascii="Aptos" w:hAnsi="Aptos"/>
                <w:sz w:val="14"/>
                <w:szCs w:val="1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21"/>
              <w:gridCol w:w="66"/>
              <w:gridCol w:w="30"/>
              <w:gridCol w:w="4280"/>
              <w:gridCol w:w="932"/>
              <w:gridCol w:w="846"/>
            </w:tblGrid>
            <w:tr w:rsidR="00DC52C0" w:rsidRPr="00DC52C0" w14:paraId="794FF3C0" w14:textId="77777777" w:rsidTr="00DC52C0">
              <w:trPr>
                <w:tblHeader/>
                <w:tblCellSpacing w:w="15" w:type="dxa"/>
              </w:trPr>
              <w:tc>
                <w:tcPr>
                  <w:tcW w:w="0" w:type="auto"/>
                  <w:vAlign w:val="center"/>
                  <w:hideMark/>
                </w:tcPr>
                <w:p w14:paraId="2EA85BED" w14:textId="77777777" w:rsidR="00DC52C0" w:rsidRPr="00DC52C0" w:rsidRDefault="00DC52C0" w:rsidP="00DC52C0">
                  <w:pPr>
                    <w:spacing w:line="360" w:lineRule="auto"/>
                    <w:jc w:val="both"/>
                    <w:rPr>
                      <w:rFonts w:ascii="Aptos" w:hAnsi="Aptos"/>
                      <w:b/>
                      <w:bCs/>
                      <w:sz w:val="14"/>
                      <w:szCs w:val="14"/>
                      <w:lang w:val="en-GB"/>
                    </w:rPr>
                  </w:pPr>
                  <w:r w:rsidRPr="00DC52C0">
                    <w:rPr>
                      <w:rFonts w:ascii="Aptos" w:hAnsi="Aptos"/>
                      <w:b/>
                      <w:bCs/>
                      <w:sz w:val="14"/>
                      <w:szCs w:val="14"/>
                      <w:lang w:val="en-GB"/>
                    </w:rPr>
                    <w:t>Barrier Theme</w:t>
                  </w:r>
                </w:p>
              </w:tc>
              <w:tc>
                <w:tcPr>
                  <w:tcW w:w="1636" w:type="dxa"/>
                  <w:gridSpan w:val="2"/>
                </w:tcPr>
                <w:p w14:paraId="5544A12F" w14:textId="77777777" w:rsidR="00DC52C0" w:rsidRPr="00DC52C0" w:rsidRDefault="00DC52C0" w:rsidP="00DC52C0">
                  <w:pPr>
                    <w:spacing w:line="360" w:lineRule="auto"/>
                    <w:jc w:val="both"/>
                    <w:rPr>
                      <w:rFonts w:ascii="Aptos" w:hAnsi="Aptos"/>
                      <w:b/>
                      <w:bCs/>
                      <w:sz w:val="14"/>
                      <w:szCs w:val="14"/>
                      <w:lang w:val="en-GB"/>
                    </w:rPr>
                  </w:pPr>
                </w:p>
              </w:tc>
              <w:tc>
                <w:tcPr>
                  <w:tcW w:w="634" w:type="dxa"/>
                  <w:vAlign w:val="center"/>
                  <w:hideMark/>
                </w:tcPr>
                <w:p w14:paraId="0BDB63E0" w14:textId="03F125D2" w:rsidR="00DC52C0" w:rsidRPr="00DC52C0" w:rsidRDefault="00DC52C0" w:rsidP="00DC52C0">
                  <w:pPr>
                    <w:spacing w:line="360" w:lineRule="auto"/>
                    <w:jc w:val="both"/>
                    <w:rPr>
                      <w:rFonts w:ascii="Aptos" w:hAnsi="Aptos"/>
                      <w:b/>
                      <w:bCs/>
                      <w:sz w:val="14"/>
                      <w:szCs w:val="14"/>
                      <w:lang w:val="en-GB"/>
                    </w:rPr>
                  </w:pPr>
                  <w:r w:rsidRPr="00DC52C0">
                    <w:rPr>
                      <w:rFonts w:ascii="Aptos" w:hAnsi="Aptos"/>
                      <w:b/>
                      <w:bCs/>
                      <w:sz w:val="14"/>
                      <w:szCs w:val="14"/>
                      <w:lang w:val="en-GB"/>
                    </w:rPr>
                    <w:t>Description</w:t>
                  </w:r>
                </w:p>
              </w:tc>
              <w:tc>
                <w:tcPr>
                  <w:tcW w:w="0" w:type="auto"/>
                  <w:vAlign w:val="center"/>
                  <w:hideMark/>
                </w:tcPr>
                <w:p w14:paraId="7A933481" w14:textId="77777777" w:rsidR="00DC52C0" w:rsidRPr="00DC52C0" w:rsidRDefault="00DC52C0" w:rsidP="00DC52C0">
                  <w:pPr>
                    <w:spacing w:line="360" w:lineRule="auto"/>
                    <w:jc w:val="both"/>
                    <w:rPr>
                      <w:rFonts w:ascii="Aptos" w:hAnsi="Aptos"/>
                      <w:b/>
                      <w:bCs/>
                      <w:sz w:val="14"/>
                      <w:szCs w:val="14"/>
                      <w:lang w:val="en-GB"/>
                    </w:rPr>
                  </w:pPr>
                  <w:r w:rsidRPr="00DC52C0">
                    <w:rPr>
                      <w:rFonts w:ascii="Aptos" w:hAnsi="Aptos"/>
                      <w:b/>
                      <w:bCs/>
                      <w:sz w:val="14"/>
                      <w:szCs w:val="14"/>
                      <w:lang w:val="en-GB"/>
                    </w:rPr>
                    <w:t>Potential Impact on Healthcare Access</w:t>
                  </w:r>
                </w:p>
              </w:tc>
              <w:tc>
                <w:tcPr>
                  <w:tcW w:w="0" w:type="auto"/>
                  <w:vAlign w:val="center"/>
                  <w:hideMark/>
                </w:tcPr>
                <w:p w14:paraId="7C52388A" w14:textId="77777777" w:rsidR="00DC52C0" w:rsidRPr="00DC52C0" w:rsidRDefault="00DC52C0" w:rsidP="00DC52C0">
                  <w:pPr>
                    <w:spacing w:line="360" w:lineRule="auto"/>
                    <w:jc w:val="both"/>
                    <w:rPr>
                      <w:rFonts w:ascii="Aptos" w:hAnsi="Aptos"/>
                      <w:b/>
                      <w:bCs/>
                      <w:sz w:val="14"/>
                      <w:szCs w:val="14"/>
                      <w:lang w:val="en-GB"/>
                    </w:rPr>
                  </w:pPr>
                  <w:r w:rsidRPr="00DC52C0">
                    <w:rPr>
                      <w:rFonts w:ascii="Aptos" w:hAnsi="Aptos"/>
                      <w:b/>
                      <w:bCs/>
                      <w:sz w:val="14"/>
                      <w:szCs w:val="14"/>
                      <w:lang w:val="en-GB"/>
                    </w:rPr>
                    <w:t>Supporting Source</w:t>
                  </w:r>
                </w:p>
              </w:tc>
            </w:tr>
            <w:tr w:rsidR="00DC52C0" w:rsidRPr="00DC52C0" w14:paraId="7C695165" w14:textId="77777777" w:rsidTr="00DC52C0">
              <w:trPr>
                <w:tblCellSpacing w:w="15" w:type="dxa"/>
              </w:trPr>
              <w:tc>
                <w:tcPr>
                  <w:tcW w:w="0" w:type="auto"/>
                  <w:vAlign w:val="center"/>
                  <w:hideMark/>
                </w:tcPr>
                <w:p w14:paraId="0B470311"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Digital literacy</w:t>
                  </w:r>
                </w:p>
              </w:tc>
              <w:tc>
                <w:tcPr>
                  <w:tcW w:w="0" w:type="auto"/>
                </w:tcPr>
                <w:p w14:paraId="24E6BE51" w14:textId="77777777" w:rsidR="00DC52C0" w:rsidRPr="00DC52C0" w:rsidRDefault="00DC52C0" w:rsidP="00DC52C0">
                  <w:pPr>
                    <w:spacing w:line="360" w:lineRule="auto"/>
                    <w:jc w:val="both"/>
                    <w:rPr>
                      <w:rFonts w:ascii="Aptos" w:hAnsi="Aptos"/>
                      <w:sz w:val="14"/>
                      <w:szCs w:val="14"/>
                      <w:lang w:val="en-GB"/>
                    </w:rPr>
                  </w:pPr>
                </w:p>
              </w:tc>
              <w:tc>
                <w:tcPr>
                  <w:tcW w:w="0" w:type="auto"/>
                  <w:gridSpan w:val="2"/>
                  <w:vAlign w:val="center"/>
                  <w:hideMark/>
                </w:tcPr>
                <w:p w14:paraId="3E4D4F75" w14:textId="44E8753F"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Limited ability or confidence in using digital devices, online systems, or health platforms</w:t>
                  </w:r>
                </w:p>
              </w:tc>
              <w:tc>
                <w:tcPr>
                  <w:tcW w:w="0" w:type="auto"/>
                  <w:vAlign w:val="center"/>
                  <w:hideMark/>
                </w:tcPr>
                <w:p w14:paraId="36EE22C2"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Reduced ability to access online consultations, appointment systems, and digital information</w:t>
                  </w:r>
                </w:p>
              </w:tc>
              <w:tc>
                <w:tcPr>
                  <w:tcW w:w="0" w:type="auto"/>
                  <w:vAlign w:val="center"/>
                  <w:hideMark/>
                </w:tcPr>
                <w:p w14:paraId="68B82B7D"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Age UK (2023)</w:t>
                  </w:r>
                </w:p>
              </w:tc>
            </w:tr>
            <w:tr w:rsidR="00DC52C0" w:rsidRPr="00DC52C0" w14:paraId="059998D4" w14:textId="77777777" w:rsidTr="00DC52C0">
              <w:trPr>
                <w:tblCellSpacing w:w="15" w:type="dxa"/>
              </w:trPr>
              <w:tc>
                <w:tcPr>
                  <w:tcW w:w="0" w:type="auto"/>
                  <w:vAlign w:val="center"/>
                  <w:hideMark/>
                </w:tcPr>
                <w:p w14:paraId="6F647A9D"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lastRenderedPageBreak/>
                    <w:t>Access to technology</w:t>
                  </w:r>
                </w:p>
              </w:tc>
              <w:tc>
                <w:tcPr>
                  <w:tcW w:w="0" w:type="auto"/>
                </w:tcPr>
                <w:p w14:paraId="39FCC97C" w14:textId="77777777" w:rsidR="00DC52C0" w:rsidRPr="00DC52C0" w:rsidRDefault="00DC52C0" w:rsidP="00DC52C0">
                  <w:pPr>
                    <w:spacing w:line="360" w:lineRule="auto"/>
                    <w:jc w:val="both"/>
                    <w:rPr>
                      <w:rFonts w:ascii="Aptos" w:hAnsi="Aptos"/>
                      <w:sz w:val="14"/>
                      <w:szCs w:val="14"/>
                      <w:lang w:val="en-GB"/>
                    </w:rPr>
                  </w:pPr>
                </w:p>
              </w:tc>
              <w:tc>
                <w:tcPr>
                  <w:tcW w:w="0" w:type="auto"/>
                  <w:gridSpan w:val="2"/>
                  <w:vAlign w:val="center"/>
                  <w:hideMark/>
                </w:tcPr>
                <w:p w14:paraId="7CC0BAAA" w14:textId="431FE764"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Lack of smartphones, computers, internet access, or digital infrastructure</w:t>
                  </w:r>
                </w:p>
              </w:tc>
              <w:tc>
                <w:tcPr>
                  <w:tcW w:w="0" w:type="auto"/>
                  <w:vAlign w:val="center"/>
                  <w:hideMark/>
                </w:tcPr>
                <w:p w14:paraId="08C5FFAD"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Restricted engagement with remote healthcare services</w:t>
                  </w:r>
                </w:p>
              </w:tc>
              <w:tc>
                <w:tcPr>
                  <w:tcW w:w="0" w:type="auto"/>
                  <w:vAlign w:val="center"/>
                  <w:hideMark/>
                </w:tcPr>
                <w:p w14:paraId="2EEE4353"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Office for National Statistics (2019)</w:t>
                  </w:r>
                </w:p>
              </w:tc>
            </w:tr>
            <w:tr w:rsidR="00DC52C0" w:rsidRPr="00DC52C0" w14:paraId="75EA0B59" w14:textId="77777777" w:rsidTr="00DC52C0">
              <w:trPr>
                <w:tblCellSpacing w:w="15" w:type="dxa"/>
              </w:trPr>
              <w:tc>
                <w:tcPr>
                  <w:tcW w:w="0" w:type="auto"/>
                  <w:vAlign w:val="center"/>
                  <w:hideMark/>
                </w:tcPr>
                <w:p w14:paraId="7088B00A"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Socioeconomic factors</w:t>
                  </w:r>
                </w:p>
              </w:tc>
              <w:tc>
                <w:tcPr>
                  <w:tcW w:w="0" w:type="auto"/>
                </w:tcPr>
                <w:p w14:paraId="3E81E080" w14:textId="77777777" w:rsidR="00DC52C0" w:rsidRPr="00DC52C0" w:rsidRDefault="00DC52C0" w:rsidP="00DC52C0">
                  <w:pPr>
                    <w:spacing w:line="360" w:lineRule="auto"/>
                    <w:jc w:val="both"/>
                    <w:rPr>
                      <w:rFonts w:ascii="Aptos" w:hAnsi="Aptos"/>
                      <w:sz w:val="14"/>
                      <w:szCs w:val="14"/>
                      <w:lang w:val="en-GB"/>
                    </w:rPr>
                  </w:pPr>
                </w:p>
              </w:tc>
              <w:tc>
                <w:tcPr>
                  <w:tcW w:w="0" w:type="auto"/>
                  <w:gridSpan w:val="2"/>
                  <w:vAlign w:val="center"/>
                  <w:hideMark/>
                </w:tcPr>
                <w:p w14:paraId="46D66439" w14:textId="31CA71F0"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Financial constraints affecting affordability of devices or internet connectivity</w:t>
                  </w:r>
                </w:p>
              </w:tc>
              <w:tc>
                <w:tcPr>
                  <w:tcW w:w="0" w:type="auto"/>
                  <w:vAlign w:val="center"/>
                  <w:hideMark/>
                </w:tcPr>
                <w:p w14:paraId="29CFAA76"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Increased risk of digital exclusion and healthcare inequality</w:t>
                  </w:r>
                </w:p>
              </w:tc>
              <w:tc>
                <w:tcPr>
                  <w:tcW w:w="0" w:type="auto"/>
                  <w:vAlign w:val="center"/>
                  <w:hideMark/>
                </w:tcPr>
                <w:p w14:paraId="1ECB3CD9"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Office for National Statistics (2019)</w:t>
                  </w:r>
                </w:p>
              </w:tc>
            </w:tr>
            <w:tr w:rsidR="00DC52C0" w:rsidRPr="00DC52C0" w14:paraId="74704729" w14:textId="77777777" w:rsidTr="00DC52C0">
              <w:trPr>
                <w:tblCellSpacing w:w="15" w:type="dxa"/>
              </w:trPr>
              <w:tc>
                <w:tcPr>
                  <w:tcW w:w="0" w:type="auto"/>
                  <w:vAlign w:val="center"/>
                  <w:hideMark/>
                </w:tcPr>
                <w:p w14:paraId="2EC25037"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Health-related limitations</w:t>
                  </w:r>
                </w:p>
              </w:tc>
              <w:tc>
                <w:tcPr>
                  <w:tcW w:w="0" w:type="auto"/>
                </w:tcPr>
                <w:p w14:paraId="4C03B1C3" w14:textId="77777777" w:rsidR="00DC52C0" w:rsidRPr="00DC52C0" w:rsidRDefault="00DC52C0" w:rsidP="00DC52C0">
                  <w:pPr>
                    <w:spacing w:line="360" w:lineRule="auto"/>
                    <w:jc w:val="both"/>
                    <w:rPr>
                      <w:rFonts w:ascii="Aptos" w:hAnsi="Aptos"/>
                      <w:sz w:val="14"/>
                      <w:szCs w:val="14"/>
                      <w:lang w:val="en-GB"/>
                    </w:rPr>
                  </w:pPr>
                </w:p>
              </w:tc>
              <w:tc>
                <w:tcPr>
                  <w:tcW w:w="0" w:type="auto"/>
                  <w:gridSpan w:val="2"/>
                  <w:vAlign w:val="center"/>
                  <w:hideMark/>
                </w:tcPr>
                <w:p w14:paraId="6F8C239F" w14:textId="178E5FF3"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Visual, cognitive, hearing, or mobility difficulties affecting technology use</w:t>
                  </w:r>
                </w:p>
              </w:tc>
              <w:tc>
                <w:tcPr>
                  <w:tcW w:w="0" w:type="auto"/>
                  <w:vAlign w:val="center"/>
                  <w:hideMark/>
                </w:tcPr>
                <w:p w14:paraId="6E3F7C33"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Reduced independence in accessing digital health services</w:t>
                  </w:r>
                </w:p>
              </w:tc>
              <w:tc>
                <w:tcPr>
                  <w:tcW w:w="0" w:type="auto"/>
                  <w:vAlign w:val="center"/>
                  <w:hideMark/>
                </w:tcPr>
                <w:p w14:paraId="148CB108"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World Health Organization (2021)</w:t>
                  </w:r>
                </w:p>
              </w:tc>
            </w:tr>
            <w:tr w:rsidR="00DC52C0" w:rsidRPr="00DC52C0" w14:paraId="0DA11E71" w14:textId="77777777" w:rsidTr="00DC52C0">
              <w:trPr>
                <w:tblCellSpacing w:w="15" w:type="dxa"/>
              </w:trPr>
              <w:tc>
                <w:tcPr>
                  <w:tcW w:w="0" w:type="auto"/>
                  <w:vAlign w:val="center"/>
                  <w:hideMark/>
                </w:tcPr>
                <w:p w14:paraId="1266E622"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Trust and confidence</w:t>
                  </w:r>
                </w:p>
              </w:tc>
              <w:tc>
                <w:tcPr>
                  <w:tcW w:w="0" w:type="auto"/>
                </w:tcPr>
                <w:p w14:paraId="2FCB2697" w14:textId="77777777" w:rsidR="00DC52C0" w:rsidRPr="00DC52C0" w:rsidRDefault="00DC52C0" w:rsidP="00DC52C0">
                  <w:pPr>
                    <w:spacing w:line="360" w:lineRule="auto"/>
                    <w:jc w:val="both"/>
                    <w:rPr>
                      <w:rFonts w:ascii="Aptos" w:hAnsi="Aptos"/>
                      <w:sz w:val="14"/>
                      <w:szCs w:val="14"/>
                      <w:lang w:val="en-GB"/>
                    </w:rPr>
                  </w:pPr>
                </w:p>
              </w:tc>
              <w:tc>
                <w:tcPr>
                  <w:tcW w:w="0" w:type="auto"/>
                  <w:gridSpan w:val="2"/>
                  <w:vAlign w:val="center"/>
                  <w:hideMark/>
                </w:tcPr>
                <w:p w14:paraId="1097721B" w14:textId="44C7606E"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Fear of technology, privacy concerns, or low confidence in digital systems</w:t>
                  </w:r>
                </w:p>
              </w:tc>
              <w:tc>
                <w:tcPr>
                  <w:tcW w:w="0" w:type="auto"/>
                  <w:vAlign w:val="center"/>
                  <w:hideMark/>
                </w:tcPr>
                <w:p w14:paraId="1D0141CA"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Hesitancy in engaging with online healthcare platforms</w:t>
                  </w:r>
                </w:p>
              </w:tc>
              <w:tc>
                <w:tcPr>
                  <w:tcW w:w="0" w:type="auto"/>
                  <w:vAlign w:val="center"/>
                  <w:hideMark/>
                </w:tcPr>
                <w:p w14:paraId="54459CE7" w14:textId="77777777" w:rsidR="00DC52C0" w:rsidRPr="00DC52C0" w:rsidRDefault="00DC52C0" w:rsidP="00DC52C0">
                  <w:pPr>
                    <w:spacing w:line="360" w:lineRule="auto"/>
                    <w:jc w:val="both"/>
                    <w:rPr>
                      <w:rFonts w:ascii="Aptos" w:hAnsi="Aptos"/>
                      <w:sz w:val="14"/>
                      <w:szCs w:val="14"/>
                      <w:lang w:val="en-GB"/>
                    </w:rPr>
                  </w:pPr>
                  <w:r w:rsidRPr="00DC52C0">
                    <w:rPr>
                      <w:rFonts w:ascii="Aptos" w:hAnsi="Aptos"/>
                      <w:sz w:val="14"/>
                      <w:szCs w:val="14"/>
                      <w:lang w:val="en-GB"/>
                    </w:rPr>
                    <w:t>NHS England (2019)</w:t>
                  </w:r>
                </w:p>
              </w:tc>
            </w:tr>
          </w:tbl>
          <w:p w14:paraId="2BBB997C" w14:textId="259454BF" w:rsidR="005F7D75" w:rsidRPr="00DC52C0" w:rsidRDefault="005F7D75" w:rsidP="00DC52C0">
            <w:pPr>
              <w:spacing w:line="360" w:lineRule="auto"/>
              <w:jc w:val="both"/>
              <w:rPr>
                <w:rFonts w:ascii="Aptos" w:hAnsi="Aptos"/>
                <w:sz w:val="14"/>
                <w:szCs w:val="14"/>
              </w:rPr>
            </w:pP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7454B819" w14:textId="04146505" w:rsidR="00516CC0" w:rsidRPr="00516CC0" w:rsidRDefault="00300C16" w:rsidP="00516CC0">
            <w:pPr>
              <w:spacing w:line="360" w:lineRule="auto"/>
              <w:jc w:val="both"/>
              <w:rPr>
                <w:rFonts w:ascii="Aptos" w:hAnsi="Aptos"/>
                <w:lang w:val="en-GB"/>
              </w:rPr>
            </w:pPr>
            <w:r>
              <w:rPr>
                <w:rFonts w:ascii="Aptos" w:hAnsi="Aptos"/>
              </w:rPr>
              <w:t xml:space="preserve">Research validation in secondary research refers to assessing validity, dependability, and applicability of evidence to guarantee reliable results. Peer reviewed journal articles, NHS publications, government reports and internationally accepted </w:t>
            </w:r>
            <w:r w:rsidR="00DC0761">
              <w:rPr>
                <w:rFonts w:ascii="Aptos" w:hAnsi="Aptos"/>
              </w:rPr>
              <w:t>evidence like WHO guidelines were priotised to increase validity (World Health Organisation, 2021).</w:t>
            </w:r>
            <w:r>
              <w:rPr>
                <w:rFonts w:ascii="Aptos" w:hAnsi="Aptos"/>
              </w:rPr>
              <w:t xml:space="preserve"> </w:t>
            </w:r>
            <w:r w:rsidR="00516CC0" w:rsidRPr="00516CC0">
              <w:rPr>
                <w:rFonts w:ascii="Aptos" w:hAnsi="Aptos"/>
                <w:lang w:val="en-GB"/>
              </w:rPr>
              <w:t xml:space="preserve"> </w:t>
            </w:r>
            <w:r w:rsidR="00DC0761">
              <w:rPr>
                <w:rFonts w:ascii="Aptos" w:hAnsi="Aptos"/>
                <w:lang w:val="en-GB"/>
              </w:rPr>
              <w:t>Thematic analysis will be used in the study to find recurrent themes in the literature. By classifying results into themes related to digital exclusion and healthcare accessibility, this analytical method aids in the interpretation and synthesis of the evidence.</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2B1BADC5" w14:textId="77777777" w:rsidR="00516CC0" w:rsidRDefault="00241A30" w:rsidP="00241A30">
            <w:pPr>
              <w:pStyle w:val="ListParagraph"/>
              <w:numPr>
                <w:ilvl w:val="0"/>
                <w:numId w:val="14"/>
              </w:numPr>
              <w:spacing w:line="360" w:lineRule="auto"/>
              <w:jc w:val="both"/>
              <w:rPr>
                <w:rFonts w:ascii="Aptos" w:hAnsi="Aptos"/>
              </w:rPr>
            </w:pPr>
            <w:r>
              <w:rPr>
                <w:rFonts w:ascii="Aptos" w:hAnsi="Aptos"/>
              </w:rPr>
              <w:t>English language literature</w:t>
            </w:r>
          </w:p>
          <w:p w14:paraId="4468E9BE" w14:textId="77777777" w:rsidR="00241A30" w:rsidRDefault="00241A30" w:rsidP="00241A30">
            <w:pPr>
              <w:pStyle w:val="ListParagraph"/>
              <w:numPr>
                <w:ilvl w:val="0"/>
                <w:numId w:val="14"/>
              </w:numPr>
              <w:spacing w:line="360" w:lineRule="auto"/>
              <w:jc w:val="both"/>
              <w:rPr>
                <w:rFonts w:ascii="Aptos" w:hAnsi="Aptos"/>
              </w:rPr>
            </w:pPr>
            <w:r>
              <w:rPr>
                <w:rFonts w:ascii="Aptos" w:hAnsi="Aptos"/>
              </w:rPr>
              <w:t xml:space="preserve">UK focused evidence </w:t>
            </w:r>
          </w:p>
          <w:p w14:paraId="21336773" w14:textId="77777777" w:rsidR="00241A30" w:rsidRDefault="00241A30" w:rsidP="00241A30">
            <w:pPr>
              <w:pStyle w:val="ListParagraph"/>
              <w:numPr>
                <w:ilvl w:val="0"/>
                <w:numId w:val="14"/>
              </w:numPr>
              <w:spacing w:line="360" w:lineRule="auto"/>
              <w:jc w:val="both"/>
              <w:rPr>
                <w:rFonts w:ascii="Aptos" w:hAnsi="Aptos"/>
              </w:rPr>
            </w:pPr>
            <w:r>
              <w:rPr>
                <w:rFonts w:ascii="Aptos" w:hAnsi="Aptos"/>
              </w:rPr>
              <w:t>Peer reviewed journals and government reports</w:t>
            </w:r>
          </w:p>
          <w:p w14:paraId="71DC445C" w14:textId="77777777" w:rsidR="00241A30" w:rsidRDefault="00241A30" w:rsidP="00241A30">
            <w:pPr>
              <w:pStyle w:val="ListParagraph"/>
              <w:numPr>
                <w:ilvl w:val="0"/>
                <w:numId w:val="14"/>
              </w:numPr>
              <w:spacing w:line="360" w:lineRule="auto"/>
              <w:jc w:val="both"/>
              <w:rPr>
                <w:rFonts w:ascii="Aptos" w:hAnsi="Aptos"/>
              </w:rPr>
            </w:pPr>
            <w:r>
              <w:rPr>
                <w:rFonts w:ascii="Aptos" w:hAnsi="Aptos"/>
              </w:rPr>
              <w:lastRenderedPageBreak/>
              <w:t>Sources published within the last ten years</w:t>
            </w:r>
          </w:p>
          <w:p w14:paraId="00628477" w14:textId="295D9F47" w:rsidR="00241A30" w:rsidRPr="00241A30" w:rsidRDefault="00241A30" w:rsidP="00241A30">
            <w:pPr>
              <w:pStyle w:val="ListParagraph"/>
              <w:numPr>
                <w:ilvl w:val="0"/>
                <w:numId w:val="14"/>
              </w:numPr>
              <w:spacing w:line="360" w:lineRule="auto"/>
              <w:jc w:val="both"/>
              <w:rPr>
                <w:rFonts w:ascii="Aptos" w:hAnsi="Aptos"/>
              </w:rPr>
            </w:pPr>
            <w:r>
              <w:rPr>
                <w:rFonts w:ascii="Aptos" w:hAnsi="Aptos"/>
              </w:rPr>
              <w:t>Research focused on adults aged 65+ and digital health access</w:t>
            </w: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lastRenderedPageBreak/>
              <w:t>07</w:t>
            </w:r>
            <w:r>
              <w:rPr>
                <w:rFonts w:ascii="Aptos" w:hAnsi="Aptos"/>
              </w:rPr>
              <w:t xml:space="preserve"> </w:t>
            </w:r>
            <w:r w:rsidRPr="005F7D75">
              <w:rPr>
                <w:rFonts w:ascii="Aptos" w:hAnsi="Aptos"/>
                <w:b/>
                <w:bCs/>
              </w:rPr>
              <w:t>Exclusion Criteria</w:t>
            </w:r>
            <w:r>
              <w:rPr>
                <w:rFonts w:ascii="Aptos" w:hAnsi="Aptos"/>
              </w:rPr>
              <w:t xml:space="preserve"> </w:t>
            </w:r>
          </w:p>
          <w:p w14:paraId="67AEEF80" w14:textId="77777777" w:rsidR="00516CC0" w:rsidRDefault="00241A30" w:rsidP="00241A30">
            <w:pPr>
              <w:pStyle w:val="ListParagraph"/>
              <w:numPr>
                <w:ilvl w:val="0"/>
                <w:numId w:val="16"/>
              </w:numPr>
              <w:spacing w:line="360" w:lineRule="auto"/>
              <w:jc w:val="both"/>
              <w:rPr>
                <w:rFonts w:ascii="Aptos" w:hAnsi="Aptos"/>
              </w:rPr>
            </w:pPr>
            <w:r>
              <w:rPr>
                <w:rFonts w:ascii="Aptos" w:hAnsi="Aptos"/>
              </w:rPr>
              <w:t>Literature published more than ten years ago</w:t>
            </w:r>
          </w:p>
          <w:p w14:paraId="5E6BD023" w14:textId="65BC1760" w:rsidR="00241A30" w:rsidRDefault="00241A30" w:rsidP="00241A30">
            <w:pPr>
              <w:pStyle w:val="ListParagraph"/>
              <w:numPr>
                <w:ilvl w:val="0"/>
                <w:numId w:val="16"/>
              </w:numPr>
              <w:spacing w:line="360" w:lineRule="auto"/>
              <w:jc w:val="both"/>
              <w:rPr>
                <w:rFonts w:ascii="Aptos" w:hAnsi="Aptos"/>
              </w:rPr>
            </w:pPr>
            <w:r>
              <w:rPr>
                <w:rFonts w:ascii="Aptos" w:hAnsi="Aptos"/>
              </w:rPr>
              <w:t>Non-academic or opinion-based material</w:t>
            </w:r>
          </w:p>
          <w:p w14:paraId="6980EAC1" w14:textId="77777777" w:rsidR="00241A30" w:rsidRDefault="00241A30" w:rsidP="00241A30">
            <w:pPr>
              <w:pStyle w:val="ListParagraph"/>
              <w:numPr>
                <w:ilvl w:val="0"/>
                <w:numId w:val="16"/>
              </w:numPr>
              <w:spacing w:line="360" w:lineRule="auto"/>
              <w:jc w:val="both"/>
              <w:rPr>
                <w:rFonts w:ascii="Aptos" w:hAnsi="Aptos"/>
              </w:rPr>
            </w:pPr>
            <w:r>
              <w:rPr>
                <w:rFonts w:ascii="Aptos" w:hAnsi="Aptos"/>
              </w:rPr>
              <w:t>Studies unrelated to digital health or older populations</w:t>
            </w:r>
          </w:p>
          <w:p w14:paraId="253F8839" w14:textId="5770DF20" w:rsidR="00241A30" w:rsidRPr="00241A30" w:rsidRDefault="00241A30" w:rsidP="00241A30">
            <w:pPr>
              <w:pStyle w:val="ListParagraph"/>
              <w:numPr>
                <w:ilvl w:val="0"/>
                <w:numId w:val="16"/>
              </w:numPr>
              <w:spacing w:line="360" w:lineRule="auto"/>
              <w:jc w:val="both"/>
              <w:rPr>
                <w:rFonts w:ascii="Aptos" w:hAnsi="Aptos"/>
              </w:rPr>
            </w:pPr>
            <w:r>
              <w:rPr>
                <w:rFonts w:ascii="Aptos" w:hAnsi="Aptos"/>
              </w:rPr>
              <w:lastRenderedPageBreak/>
              <w:t>Research lacking relevance to UK health and social care contexts</w:t>
            </w:r>
          </w:p>
        </w:tc>
      </w:tr>
      <w:tr w:rsidR="00C31D85" w:rsidRPr="00C31D85" w14:paraId="583C9C87" w14:textId="77777777" w:rsidTr="00F52F83">
        <w:trPr>
          <w:trHeight w:val="1798"/>
        </w:trPr>
        <w:tc>
          <w:tcPr>
            <w:tcW w:w="14616" w:type="dxa"/>
            <w:gridSpan w:val="2"/>
          </w:tcPr>
          <w:p w14:paraId="1EFAF50B" w14:textId="769A4D8F" w:rsidR="00F52F83" w:rsidRPr="00443B57" w:rsidRDefault="00C31D85" w:rsidP="00443B57">
            <w:pPr>
              <w:jc w:val="center"/>
              <w:rPr>
                <w:rFonts w:ascii="Aptos" w:hAnsi="Aptos"/>
                <w:b/>
                <w:bCs/>
              </w:rPr>
            </w:pPr>
            <w:r w:rsidRPr="00AB5409">
              <w:rPr>
                <w:rFonts w:ascii="Aptos" w:hAnsi="Aptos"/>
                <w:b/>
                <w:bCs/>
                <w:sz w:val="40"/>
                <w:szCs w:val="40"/>
              </w:rPr>
              <w:lastRenderedPageBreak/>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r w:rsidR="008C1616" w:rsidRPr="00F52F83">
              <w:rPr>
                <w:rFonts w:ascii="Aptos" w:hAnsi="Aptos"/>
                <w:noProof/>
              </w:rPr>
              <w:drawing>
                <wp:anchor distT="0" distB="0" distL="114300" distR="114300" simplePos="0" relativeHeight="251661312" behindDoc="1" locked="0" layoutInCell="1" allowOverlap="1" wp14:anchorId="208D47B1" wp14:editId="7245A927">
                  <wp:simplePos x="0" y="0"/>
                  <wp:positionH relativeFrom="column">
                    <wp:posOffset>156845</wp:posOffset>
                  </wp:positionH>
                  <wp:positionV relativeFrom="paragraph">
                    <wp:posOffset>471170</wp:posOffset>
                  </wp:positionV>
                  <wp:extent cx="8886825" cy="2124075"/>
                  <wp:effectExtent l="19050" t="0" r="28575" b="0"/>
                  <wp:wrapTight wrapText="bothSides">
                    <wp:wrapPolygon edited="0">
                      <wp:start x="4306" y="969"/>
                      <wp:lineTo x="-46" y="1550"/>
                      <wp:lineTo x="-46" y="20341"/>
                      <wp:lineTo x="21623" y="20341"/>
                      <wp:lineTo x="21623" y="1550"/>
                      <wp:lineTo x="8381" y="969"/>
                      <wp:lineTo x="4306" y="96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00F52F83" w:rsidRPr="00F52F83">
              <w:rPr>
                <w:rFonts w:ascii="Aptos" w:hAnsi="Aptos"/>
                <w:lang w:val="en-GB"/>
              </w:rPr>
              <w:t xml:space="preserve"> </w:t>
            </w:r>
          </w:p>
          <w:p w14:paraId="28D04039" w14:textId="187C19B3" w:rsidR="00F52F83" w:rsidRPr="00F52F83" w:rsidRDefault="00F52F83" w:rsidP="00F52F83">
            <w:pPr>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15E9AD22" w:rsidR="00EB6F36" w:rsidRDefault="00744637" w:rsidP="00744637">
      <w:pPr>
        <w:rPr>
          <w:rFonts w:ascii="Arial" w:hAnsi="Arial" w:cs="Arial"/>
          <w:sz w:val="24"/>
          <w:szCs w:val="24"/>
        </w:rPr>
      </w:pPr>
      <w:r>
        <w:rPr>
          <w:rFonts w:ascii="Arial" w:hAnsi="Arial" w:cs="Arial"/>
          <w:sz w:val="24"/>
          <w:szCs w:val="24"/>
        </w:rPr>
        <w:t xml:space="preserve">Age UK (2023) </w:t>
      </w:r>
      <w:r w:rsidRPr="00A30BB7">
        <w:rPr>
          <w:rFonts w:ascii="Arial" w:hAnsi="Arial" w:cs="Arial"/>
          <w:i/>
          <w:iCs/>
          <w:sz w:val="24"/>
          <w:szCs w:val="24"/>
        </w:rPr>
        <w:t>Offline and overlooked: Tackling digital exclusion in later life</w:t>
      </w:r>
      <w:r>
        <w:rPr>
          <w:rFonts w:ascii="Arial" w:hAnsi="Arial" w:cs="Arial"/>
          <w:sz w:val="24"/>
          <w:szCs w:val="24"/>
        </w:rPr>
        <w:t xml:space="preserve">. Available at: </w:t>
      </w:r>
      <w:r w:rsidRPr="00744637">
        <w:rPr>
          <w:rFonts w:ascii="Arial" w:hAnsi="Arial" w:cs="Arial"/>
          <w:sz w:val="24"/>
          <w:szCs w:val="24"/>
        </w:rPr>
        <w:t>https://www.ageuk.org.uk/discover/2023/offline-and-overlooked</w:t>
      </w:r>
      <w:r>
        <w:rPr>
          <w:rFonts w:ascii="Arial" w:hAnsi="Arial" w:cs="Arial"/>
          <w:sz w:val="24"/>
          <w:szCs w:val="24"/>
        </w:rPr>
        <w:t xml:space="preserve"> (Accessed: 30 June 2025)</w:t>
      </w:r>
    </w:p>
    <w:p w14:paraId="644A0468" w14:textId="4978AD5D" w:rsidR="00744637" w:rsidRDefault="00744637" w:rsidP="00744637">
      <w:pPr>
        <w:rPr>
          <w:rFonts w:ascii="Arial" w:hAnsi="Arial" w:cs="Arial"/>
          <w:sz w:val="24"/>
          <w:szCs w:val="24"/>
        </w:rPr>
      </w:pPr>
      <w:r>
        <w:rPr>
          <w:rFonts w:ascii="Arial" w:hAnsi="Arial" w:cs="Arial"/>
          <w:sz w:val="24"/>
          <w:szCs w:val="24"/>
        </w:rPr>
        <w:t xml:space="preserve">NHS England (2019) </w:t>
      </w:r>
      <w:r w:rsidRPr="00A30BB7">
        <w:rPr>
          <w:rFonts w:ascii="Arial" w:hAnsi="Arial" w:cs="Arial"/>
          <w:i/>
          <w:iCs/>
          <w:sz w:val="24"/>
          <w:szCs w:val="24"/>
        </w:rPr>
        <w:t>The NHS Long Term Plan</w:t>
      </w:r>
      <w:r>
        <w:rPr>
          <w:rFonts w:ascii="Arial" w:hAnsi="Arial" w:cs="Arial"/>
          <w:sz w:val="24"/>
          <w:szCs w:val="24"/>
        </w:rPr>
        <w:t xml:space="preserve">. Available at: </w:t>
      </w:r>
      <w:r w:rsidRPr="00744637">
        <w:rPr>
          <w:rFonts w:ascii="Arial" w:hAnsi="Arial" w:cs="Arial"/>
          <w:sz w:val="24"/>
          <w:szCs w:val="24"/>
        </w:rPr>
        <w:t>https://webarchive.nationalarchives.gov.uk/ukgwa/20250506042016/https://www.longtermplan.nhs.uk/publication/nhs-long-term-plan/</w:t>
      </w:r>
      <w:r>
        <w:rPr>
          <w:rFonts w:ascii="Arial" w:hAnsi="Arial" w:cs="Arial"/>
          <w:sz w:val="24"/>
          <w:szCs w:val="24"/>
        </w:rPr>
        <w:t xml:space="preserve"> (Accessed: 31 July 2025).</w:t>
      </w:r>
    </w:p>
    <w:p w14:paraId="45F85F46" w14:textId="5BDAE13B" w:rsidR="00744637" w:rsidRDefault="00744637" w:rsidP="00744637">
      <w:pPr>
        <w:rPr>
          <w:rFonts w:ascii="Arial" w:hAnsi="Arial" w:cs="Arial"/>
          <w:sz w:val="24"/>
          <w:szCs w:val="24"/>
        </w:rPr>
      </w:pPr>
      <w:r>
        <w:rPr>
          <w:rFonts w:ascii="Arial" w:hAnsi="Arial" w:cs="Arial"/>
          <w:sz w:val="24"/>
          <w:szCs w:val="24"/>
        </w:rPr>
        <w:t xml:space="preserve">Office for National Statistics (2019) </w:t>
      </w:r>
      <w:r w:rsidRPr="00A30BB7">
        <w:rPr>
          <w:rFonts w:ascii="Arial" w:hAnsi="Arial" w:cs="Arial"/>
          <w:i/>
          <w:iCs/>
          <w:sz w:val="24"/>
          <w:szCs w:val="24"/>
        </w:rPr>
        <w:t>Exploring the UK’s digital divide</w:t>
      </w:r>
      <w:r>
        <w:rPr>
          <w:rFonts w:ascii="Arial" w:hAnsi="Arial" w:cs="Arial"/>
          <w:sz w:val="24"/>
          <w:szCs w:val="24"/>
        </w:rPr>
        <w:t xml:space="preserve">. Available at: </w:t>
      </w:r>
      <w:r w:rsidR="00A30BB7" w:rsidRPr="00A30BB7">
        <w:rPr>
          <w:rFonts w:ascii="Arial" w:hAnsi="Arial" w:cs="Arial"/>
          <w:sz w:val="24"/>
          <w:szCs w:val="24"/>
        </w:rPr>
        <w:t>https://www.ons.gov.uk/peoplepopulationandcommunity/householdcharacteristics/homeinternetandsocialmediausage/articles/exploringtheuksdigitaldivide/2019-03-04</w:t>
      </w:r>
      <w:r w:rsidR="00A30BB7">
        <w:rPr>
          <w:rFonts w:ascii="Arial" w:hAnsi="Arial" w:cs="Arial"/>
          <w:sz w:val="24"/>
          <w:szCs w:val="24"/>
        </w:rPr>
        <w:t xml:space="preserve"> (Accessed: 31 July 2025)</w:t>
      </w:r>
    </w:p>
    <w:p w14:paraId="3FC06A67" w14:textId="472C296B" w:rsidR="00A30BB7" w:rsidRDefault="00A30BB7" w:rsidP="00744637">
      <w:pPr>
        <w:rPr>
          <w:rFonts w:ascii="Arial" w:hAnsi="Arial" w:cs="Arial"/>
          <w:sz w:val="24"/>
          <w:szCs w:val="24"/>
        </w:rPr>
      </w:pPr>
      <w:r>
        <w:rPr>
          <w:rFonts w:ascii="Arial" w:hAnsi="Arial" w:cs="Arial"/>
          <w:sz w:val="24"/>
          <w:szCs w:val="24"/>
        </w:rPr>
        <w:t xml:space="preserve">NHS England (2024) </w:t>
      </w:r>
      <w:r w:rsidRPr="00A30BB7">
        <w:rPr>
          <w:rFonts w:ascii="Arial" w:hAnsi="Arial" w:cs="Arial"/>
          <w:i/>
          <w:iCs/>
          <w:sz w:val="24"/>
          <w:szCs w:val="24"/>
        </w:rPr>
        <w:t>Inclusive digital healthcare: A framework for NHS action on digital inclusion</w:t>
      </w:r>
      <w:r>
        <w:rPr>
          <w:rFonts w:ascii="Arial" w:hAnsi="Arial" w:cs="Arial"/>
          <w:sz w:val="24"/>
          <w:szCs w:val="24"/>
        </w:rPr>
        <w:t xml:space="preserve">. Available at: </w:t>
      </w:r>
      <w:r w:rsidRPr="00A30BB7">
        <w:rPr>
          <w:rFonts w:ascii="Arial" w:hAnsi="Arial" w:cs="Arial"/>
          <w:sz w:val="24"/>
          <w:szCs w:val="24"/>
        </w:rPr>
        <w:t>https://www.england.nhs.uk/long-read/inclusive-digital-healthcare-a-framework-for-nhs-action-on-digital-inclusion/</w:t>
      </w:r>
      <w:r>
        <w:rPr>
          <w:rFonts w:ascii="Arial" w:hAnsi="Arial" w:cs="Arial"/>
          <w:sz w:val="24"/>
          <w:szCs w:val="24"/>
        </w:rPr>
        <w:t xml:space="preserve"> (Accessed: 12</w:t>
      </w:r>
      <w:r>
        <w:rPr>
          <w:rFonts w:ascii="Arial" w:hAnsi="Arial" w:cs="Arial"/>
          <w:sz w:val="24"/>
          <w:szCs w:val="24"/>
          <w:vertAlign w:val="superscript"/>
        </w:rPr>
        <w:t xml:space="preserve"> </w:t>
      </w:r>
      <w:r>
        <w:rPr>
          <w:rFonts w:ascii="Arial" w:hAnsi="Arial" w:cs="Arial"/>
          <w:sz w:val="24"/>
          <w:szCs w:val="24"/>
        </w:rPr>
        <w:t>June 2026)</w:t>
      </w:r>
    </w:p>
    <w:p w14:paraId="07F5D871" w14:textId="59B5B261" w:rsidR="0041249A" w:rsidRDefault="0041249A" w:rsidP="00744637">
      <w:pPr>
        <w:rPr>
          <w:rFonts w:ascii="Arial" w:hAnsi="Arial" w:cs="Arial"/>
          <w:sz w:val="24"/>
          <w:szCs w:val="24"/>
        </w:rPr>
      </w:pPr>
      <w:r>
        <w:rPr>
          <w:rFonts w:ascii="Arial" w:hAnsi="Arial" w:cs="Arial"/>
          <w:sz w:val="24"/>
          <w:szCs w:val="24"/>
        </w:rPr>
        <w:t xml:space="preserve">University Of Leeds (2026) </w:t>
      </w:r>
      <w:r w:rsidR="0098446B" w:rsidRPr="00301055">
        <w:rPr>
          <w:rFonts w:ascii="Arial" w:hAnsi="Arial" w:cs="Arial"/>
          <w:i/>
          <w:iCs/>
          <w:sz w:val="24"/>
          <w:szCs w:val="24"/>
        </w:rPr>
        <w:t>Literature searching explained</w:t>
      </w:r>
      <w:r w:rsidR="0098446B">
        <w:rPr>
          <w:rFonts w:ascii="Arial" w:hAnsi="Arial" w:cs="Arial"/>
          <w:sz w:val="24"/>
          <w:szCs w:val="24"/>
        </w:rPr>
        <w:t xml:space="preserve">. Available at: </w:t>
      </w:r>
      <w:r w:rsidR="00301055" w:rsidRPr="00301055">
        <w:rPr>
          <w:rFonts w:ascii="Arial" w:hAnsi="Arial" w:cs="Arial"/>
          <w:sz w:val="24"/>
          <w:szCs w:val="24"/>
        </w:rPr>
        <w:t>https://library.leeds.ac.uk/info/1404/literature_searching/14/literature_searching_explained/4</w:t>
      </w:r>
      <w:r w:rsidR="00301055">
        <w:rPr>
          <w:rFonts w:ascii="Arial" w:hAnsi="Arial" w:cs="Arial"/>
          <w:sz w:val="24"/>
          <w:szCs w:val="24"/>
        </w:rPr>
        <w:t xml:space="preserve"> (Accessed: 12 June 2026)</w:t>
      </w:r>
    </w:p>
    <w:p w14:paraId="512362CA" w14:textId="205E87CD" w:rsidR="00A30BB7" w:rsidRPr="00744637" w:rsidRDefault="00A30BB7" w:rsidP="00744637">
      <w:pPr>
        <w:rPr>
          <w:rFonts w:ascii="Arial" w:hAnsi="Arial" w:cs="Arial"/>
          <w:sz w:val="24"/>
          <w:szCs w:val="24"/>
        </w:rPr>
      </w:pPr>
      <w:r>
        <w:rPr>
          <w:rFonts w:ascii="Arial" w:hAnsi="Arial" w:cs="Arial"/>
          <w:sz w:val="24"/>
          <w:szCs w:val="24"/>
        </w:rPr>
        <w:t xml:space="preserve">World Health </w:t>
      </w:r>
      <w:proofErr w:type="spellStart"/>
      <w:r>
        <w:rPr>
          <w:rFonts w:ascii="Arial" w:hAnsi="Arial" w:cs="Arial"/>
          <w:sz w:val="24"/>
          <w:szCs w:val="24"/>
        </w:rPr>
        <w:t>Organisation</w:t>
      </w:r>
      <w:proofErr w:type="spellEnd"/>
      <w:r>
        <w:rPr>
          <w:rFonts w:ascii="Arial" w:hAnsi="Arial" w:cs="Arial"/>
          <w:sz w:val="24"/>
          <w:szCs w:val="24"/>
        </w:rPr>
        <w:t xml:space="preserve"> (2021) </w:t>
      </w:r>
      <w:r w:rsidRPr="00A30BB7">
        <w:rPr>
          <w:rFonts w:ascii="Arial" w:hAnsi="Arial" w:cs="Arial"/>
          <w:i/>
          <w:iCs/>
          <w:sz w:val="24"/>
          <w:szCs w:val="24"/>
        </w:rPr>
        <w:t xml:space="preserve">Global strategy on digital health 2020-2025 Geneva: World Health </w:t>
      </w:r>
      <w:proofErr w:type="spellStart"/>
      <w:r w:rsidRPr="00A30BB7">
        <w:rPr>
          <w:rFonts w:ascii="Arial" w:hAnsi="Arial" w:cs="Arial"/>
          <w:i/>
          <w:iCs/>
          <w:sz w:val="24"/>
          <w:szCs w:val="24"/>
        </w:rPr>
        <w:t>Organisation</w:t>
      </w:r>
      <w:proofErr w:type="spellEnd"/>
      <w:r>
        <w:rPr>
          <w:rFonts w:ascii="Arial" w:hAnsi="Arial" w:cs="Arial"/>
          <w:sz w:val="24"/>
          <w:szCs w:val="24"/>
        </w:rPr>
        <w:t xml:space="preserve">. Available at: </w:t>
      </w:r>
      <w:r w:rsidRPr="00A30BB7">
        <w:rPr>
          <w:rFonts w:ascii="Arial" w:hAnsi="Arial" w:cs="Arial"/>
          <w:sz w:val="24"/>
          <w:szCs w:val="24"/>
        </w:rPr>
        <w:t>https://www.who.int/publications/i/item/9789240020924</w:t>
      </w:r>
      <w:r>
        <w:rPr>
          <w:rFonts w:ascii="Arial" w:hAnsi="Arial" w:cs="Arial"/>
          <w:sz w:val="24"/>
          <w:szCs w:val="24"/>
        </w:rPr>
        <w:t xml:space="preserve"> (Accessed: 12 June 2026)</w:t>
      </w: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03F0D60E" w14:textId="09E1D8B5" w:rsidR="00582081" w:rsidRPr="00744637" w:rsidRDefault="00582081" w:rsidP="00744637">
      <w:pPr>
        <w:spacing w:line="360" w:lineRule="auto"/>
        <w:rPr>
          <w:rFonts w:ascii="Aptos" w:hAnsi="Aptos" w:cs="Arial"/>
          <w:sz w:val="28"/>
          <w:szCs w:val="28"/>
        </w:rPr>
      </w:pPr>
    </w:p>
    <w:sectPr w:rsidR="00582081" w:rsidRPr="00744637"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8AE57" w14:textId="77777777" w:rsidR="00647133" w:rsidRDefault="00647133" w:rsidP="00D210FA">
      <w:pPr>
        <w:spacing w:after="0"/>
      </w:pPr>
      <w:r>
        <w:separator/>
      </w:r>
    </w:p>
  </w:endnote>
  <w:endnote w:type="continuationSeparator" w:id="0">
    <w:p w14:paraId="019DE122" w14:textId="77777777" w:rsidR="00647133" w:rsidRDefault="00647133"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5339B" w14:textId="77777777" w:rsidR="00647133" w:rsidRDefault="00647133" w:rsidP="00D210FA">
      <w:pPr>
        <w:spacing w:after="0"/>
      </w:pPr>
      <w:r>
        <w:separator/>
      </w:r>
    </w:p>
  </w:footnote>
  <w:footnote w:type="continuationSeparator" w:id="0">
    <w:p w14:paraId="063F9ED3" w14:textId="77777777" w:rsidR="00647133" w:rsidRDefault="00647133"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86B6B23"/>
    <w:multiLevelType w:val="hybridMultilevel"/>
    <w:tmpl w:val="E460B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3660CB3"/>
    <w:multiLevelType w:val="hybridMultilevel"/>
    <w:tmpl w:val="C3366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8432BB"/>
    <w:multiLevelType w:val="hybridMultilevel"/>
    <w:tmpl w:val="FDF44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94346B"/>
    <w:multiLevelType w:val="hybridMultilevel"/>
    <w:tmpl w:val="78AC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5"/>
  </w:num>
  <w:num w:numId="4" w16cid:durableId="67852329">
    <w:abstractNumId w:val="16"/>
  </w:num>
  <w:num w:numId="5" w16cid:durableId="825783799">
    <w:abstractNumId w:val="8"/>
  </w:num>
  <w:num w:numId="6" w16cid:durableId="1203637911">
    <w:abstractNumId w:val="7"/>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4"/>
  </w:num>
  <w:num w:numId="14" w16cid:durableId="1576936532">
    <w:abstractNumId w:val="12"/>
  </w:num>
  <w:num w:numId="15" w16cid:durableId="2129660654">
    <w:abstractNumId w:val="13"/>
  </w:num>
  <w:num w:numId="16" w16cid:durableId="39667787">
    <w:abstractNumId w:val="4"/>
  </w:num>
  <w:num w:numId="17" w16cid:durableId="19395557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D6572"/>
    <w:rsid w:val="000E56ED"/>
    <w:rsid w:val="00106FC5"/>
    <w:rsid w:val="00120DEC"/>
    <w:rsid w:val="00123C19"/>
    <w:rsid w:val="001A2DAB"/>
    <w:rsid w:val="001C55B6"/>
    <w:rsid w:val="001D3065"/>
    <w:rsid w:val="001D6CC4"/>
    <w:rsid w:val="00206405"/>
    <w:rsid w:val="002341AD"/>
    <w:rsid w:val="00241A30"/>
    <w:rsid w:val="002528C2"/>
    <w:rsid w:val="00253267"/>
    <w:rsid w:val="002823CD"/>
    <w:rsid w:val="00287787"/>
    <w:rsid w:val="00291685"/>
    <w:rsid w:val="0029329C"/>
    <w:rsid w:val="002B0A3D"/>
    <w:rsid w:val="002F26AB"/>
    <w:rsid w:val="003007A7"/>
    <w:rsid w:val="00300C16"/>
    <w:rsid w:val="00301055"/>
    <w:rsid w:val="00313E8E"/>
    <w:rsid w:val="003257E1"/>
    <w:rsid w:val="00325DEC"/>
    <w:rsid w:val="00346FFA"/>
    <w:rsid w:val="00385494"/>
    <w:rsid w:val="003A3069"/>
    <w:rsid w:val="003C20B5"/>
    <w:rsid w:val="003E545F"/>
    <w:rsid w:val="003F03D2"/>
    <w:rsid w:val="003F1E1A"/>
    <w:rsid w:val="004045E5"/>
    <w:rsid w:val="0041249A"/>
    <w:rsid w:val="00421496"/>
    <w:rsid w:val="00422C27"/>
    <w:rsid w:val="0044367C"/>
    <w:rsid w:val="00443B57"/>
    <w:rsid w:val="0044412C"/>
    <w:rsid w:val="004642F0"/>
    <w:rsid w:val="00500564"/>
    <w:rsid w:val="0051102B"/>
    <w:rsid w:val="00516CC0"/>
    <w:rsid w:val="005475F0"/>
    <w:rsid w:val="00582081"/>
    <w:rsid w:val="005838BC"/>
    <w:rsid w:val="00597995"/>
    <w:rsid w:val="005B57E1"/>
    <w:rsid w:val="005E61E0"/>
    <w:rsid w:val="005F0F31"/>
    <w:rsid w:val="005F7D75"/>
    <w:rsid w:val="006024ED"/>
    <w:rsid w:val="0061793F"/>
    <w:rsid w:val="0062123A"/>
    <w:rsid w:val="00647133"/>
    <w:rsid w:val="006605F8"/>
    <w:rsid w:val="006676A1"/>
    <w:rsid w:val="006833BD"/>
    <w:rsid w:val="006D2642"/>
    <w:rsid w:val="006E2D42"/>
    <w:rsid w:val="00720FEE"/>
    <w:rsid w:val="00744637"/>
    <w:rsid w:val="00764B6F"/>
    <w:rsid w:val="007C7319"/>
    <w:rsid w:val="007D43B3"/>
    <w:rsid w:val="007F06FF"/>
    <w:rsid w:val="007F20B4"/>
    <w:rsid w:val="007F525E"/>
    <w:rsid w:val="00802FF1"/>
    <w:rsid w:val="0082695D"/>
    <w:rsid w:val="0083044C"/>
    <w:rsid w:val="008314A0"/>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8446B"/>
    <w:rsid w:val="00990E76"/>
    <w:rsid w:val="00991A53"/>
    <w:rsid w:val="00996F4E"/>
    <w:rsid w:val="009F71FE"/>
    <w:rsid w:val="00A27D8D"/>
    <w:rsid w:val="00A30BB7"/>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92BC4"/>
    <w:rsid w:val="00BC1697"/>
    <w:rsid w:val="00BE15BA"/>
    <w:rsid w:val="00BF190D"/>
    <w:rsid w:val="00C20ED0"/>
    <w:rsid w:val="00C22DCD"/>
    <w:rsid w:val="00C31D85"/>
    <w:rsid w:val="00C348A8"/>
    <w:rsid w:val="00C34FA0"/>
    <w:rsid w:val="00C46111"/>
    <w:rsid w:val="00C47DCC"/>
    <w:rsid w:val="00C83332"/>
    <w:rsid w:val="00C95E04"/>
    <w:rsid w:val="00CB3369"/>
    <w:rsid w:val="00CC0A8F"/>
    <w:rsid w:val="00CC24B6"/>
    <w:rsid w:val="00CD3A64"/>
    <w:rsid w:val="00CE08CD"/>
    <w:rsid w:val="00D0664A"/>
    <w:rsid w:val="00D210FA"/>
    <w:rsid w:val="00D30F1D"/>
    <w:rsid w:val="00D57231"/>
    <w:rsid w:val="00D87B48"/>
    <w:rsid w:val="00D91203"/>
    <w:rsid w:val="00D94FD1"/>
    <w:rsid w:val="00DC0761"/>
    <w:rsid w:val="00DC52C0"/>
    <w:rsid w:val="00E036E7"/>
    <w:rsid w:val="00E41692"/>
    <w:rsid w:val="00E55D74"/>
    <w:rsid w:val="00E81234"/>
    <w:rsid w:val="00E9037E"/>
    <w:rsid w:val="00EA120D"/>
    <w:rsid w:val="00EA49C3"/>
    <w:rsid w:val="00EB5E14"/>
    <w:rsid w:val="00EB6F36"/>
    <w:rsid w:val="00ED1049"/>
    <w:rsid w:val="00EE19D9"/>
    <w:rsid w:val="00EF26FC"/>
    <w:rsid w:val="00F16EFA"/>
    <w:rsid w:val="00F37523"/>
    <w:rsid w:val="00F50168"/>
    <w:rsid w:val="00F50D34"/>
    <w:rsid w:val="00F52F83"/>
    <w:rsid w:val="00F61360"/>
    <w:rsid w:val="00FC538A"/>
    <w:rsid w:val="00FD10A4"/>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7446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microsoft.com/office/2007/relationships/diagramDrawing" Target="diagrams/drawing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Layout" Target="diagrams/layout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Ethical Considerations</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dirty="0">
              <a:latin typeface="Aptos" panose="020B0004020202020204" pitchFamily="34" charset="0"/>
            </a:rPr>
            <a:t> Ethical considerations in secondary research focus on the responsible, transparent, and academically rigorous use of information. </a:t>
          </a: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a:latin typeface="Aptos" panose="020B0004020202020204" pitchFamily="34" charset="0"/>
            </a:rPr>
            <a:t>Academic</a:t>
          </a:r>
          <a:r>
            <a:rPr lang="en-GB" baseline="0">
              <a:latin typeface="Aptos" panose="020B0004020202020204" pitchFamily="34" charset="0"/>
            </a:rPr>
            <a:t> Integrity and Referencing</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 All sources will be accurately acknowleged using Harvard referencing to maintain academic integrity, avoid plagirisim.</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Protection and Responsible Data Use</a:t>
          </a:r>
          <a:endParaRPr lang="en-GB">
            <a:latin typeface="Aptos" panose="020B0004020202020204" pitchFamily="34" charset="0"/>
          </a:endParaRP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Credibility and Reliability of Evidence</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Transparency and Critical Evaluation</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aseline="0">
              <a:latin typeface="Aptos" panose="020B0004020202020204" pitchFamily="34" charset="0"/>
            </a:rPr>
            <a:t> Only publicly available secondary data will be used in the research.</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aseline="0">
              <a:latin typeface="Aptos" panose="020B0004020202020204" pitchFamily="34" charset="0"/>
            </a:rPr>
            <a:t> Priority will be given to peer reviwed journal articles, NHS publications, govenment reports will strenghten research validity and ensure trustworty findings (World Health Organisation, 2021).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aseline="0">
              <a:latin typeface="Aptos" panose="020B0004020202020204" pitchFamily="34" charset="0"/>
            </a:rPr>
            <a:t> Sources collected will be critically evaluated for relevance, quality and potential bias to support evidence based conclusions relevant to health and social care.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B9C74FD2-3D0F-470A-A6D7-CF02583A84E3}">
      <dgm:prSet/>
      <dgm:spPr/>
      <dgm:t>
        <a:bodyPr/>
        <a:lstStyle/>
        <a:p>
          <a:pPr>
            <a:lnSpc>
              <a:spcPct val="150000"/>
            </a:lnSpc>
          </a:pPr>
          <a:r>
            <a:rPr lang="en-GB" dirty="0">
              <a:latin typeface="Aptos" panose="020B0004020202020204" pitchFamily="34" charset="0"/>
            </a:rPr>
            <a:t> This study will not involve direct participant involvement, ethical responsibility remains essential in ensuring credibility. </a:t>
          </a:r>
        </a:p>
      </dgm:t>
    </dgm:pt>
    <dgm:pt modelId="{A9341238-983C-4C22-952A-F9DF515B4073}" type="parTrans" cxnId="{5C2241BD-DA12-4B48-9AEA-780AD4DB51AF}">
      <dgm:prSet/>
      <dgm:spPr/>
    </dgm:pt>
    <dgm:pt modelId="{12712945-0340-4855-B191-95B61C7C4258}" type="sibTrans" cxnId="{5C2241BD-DA12-4B48-9AEA-780AD4DB51AF}">
      <dgm:prSet/>
      <dgm:spPr/>
    </dgm:pt>
    <dgm:pt modelId="{C91901A8-77B3-4F2B-B3A5-40073D5D176C}">
      <dgm:prSet/>
      <dgm:spPr/>
      <dgm:t>
        <a:bodyPr/>
        <a:lstStyle/>
        <a:p>
          <a:pPr>
            <a:lnSpc>
              <a:spcPct val="150000"/>
            </a:lnSpc>
          </a:pPr>
          <a:r>
            <a:rPr lang="en-GB">
              <a:latin typeface="Aptos" panose="020B0004020202020204" pitchFamily="34" charset="0"/>
            </a:rPr>
            <a:t>No identifiable data such as personal information will be collected. </a:t>
          </a:r>
        </a:p>
      </dgm:t>
    </dgm:pt>
    <dgm:pt modelId="{2B8C044A-D05C-4116-9FC2-0049207C7AF6}" type="parTrans" cxnId="{E30F8D54-FE93-405D-B076-1760E11FFCFB}">
      <dgm:prSet/>
      <dgm:spPr/>
    </dgm:pt>
    <dgm:pt modelId="{887A46CC-3CFC-466A-AE0B-A183693B84D5}" type="sibTrans" cxnId="{E30F8D54-FE93-405D-B076-1760E11FFCFB}">
      <dgm:prSet/>
      <dgm:spPr/>
    </dgm:pt>
    <dgm:pt modelId="{6E620D68-7EF3-4AF2-B9CD-91E5BD002A6E}">
      <dgm:prSet/>
      <dgm:spPr/>
      <dgm:t>
        <a:bodyPr/>
        <a:lstStyle/>
        <a:p>
          <a:pPr>
            <a:lnSpc>
              <a:spcPct val="150000"/>
            </a:lnSpc>
          </a:pPr>
          <a:r>
            <a:rPr lang="en-GB">
              <a:latin typeface="Aptos" panose="020B0004020202020204" pitchFamily="34" charset="0"/>
            </a:rPr>
            <a:t>This ensures compliance with ethical standards and data protection principles.</a:t>
          </a:r>
        </a:p>
      </dgm:t>
    </dgm:pt>
    <dgm:pt modelId="{0751A34F-F432-4287-BFA0-2AE71784DAC5}" type="parTrans" cxnId="{2437BB8F-8994-4079-BF3E-B971678883DE}">
      <dgm:prSet/>
      <dgm:spPr/>
    </dgm:pt>
    <dgm:pt modelId="{755CB35A-19E6-46D0-B80A-44A78ADB3FDA}" type="sibTrans" cxnId="{2437BB8F-8994-4079-BF3E-B971678883DE}">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custLinFactNeighborX="-666" custLinFactNeighborY="-568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D35A1E39-4AE2-4096-B904-D07D14B54F0D}" type="presOf" srcId="{C91901A8-77B3-4F2B-B3A5-40073D5D176C}" destId="{B4F89DDA-DC7D-4C4E-967D-E22B07A05DB1}"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B54A8F48-F717-4D42-B64B-0FEE9D5F68F5}" type="presOf" srcId="{B9C74FD2-3D0F-470A-A6D7-CF02583A84E3}" destId="{0916EB88-9427-4C81-A0D0-B1BC4D25BFB9}" srcOrd="0" destOrd="1" presId="urn:microsoft.com/office/officeart/2005/8/layout/hList1"/>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E30F8D54-FE93-405D-B076-1760E11FFCFB}" srcId="{5674B894-A55E-4559-8EA7-028C3F32E4B2}" destId="{C91901A8-77B3-4F2B-B3A5-40073D5D176C}" srcOrd="1" destOrd="0" parTransId="{2B8C044A-D05C-4116-9FC2-0049207C7AF6}" sibTransId="{887A46CC-3CFC-466A-AE0B-A183693B84D5}"/>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2437BB8F-8994-4079-BF3E-B971678883DE}" srcId="{5674B894-A55E-4559-8EA7-028C3F32E4B2}" destId="{6E620D68-7EF3-4AF2-B9CD-91E5BD002A6E}" srcOrd="2" destOrd="0" parTransId="{0751A34F-F432-4287-BFA0-2AE71784DAC5}" sibTransId="{755CB35A-19E6-46D0-B80A-44A78ADB3FDA}"/>
    <dgm:cxn modelId="{BE8BA2AF-7358-466A-818A-8E689518B231}" type="presOf" srcId="{DED7677A-A811-4E99-A359-AF267F66CB3B}" destId="{4B0BA49E-53FB-4A48-8A53-1DCC68267D3A}" srcOrd="0" destOrd="0" presId="urn:microsoft.com/office/officeart/2005/8/layout/hList1"/>
    <dgm:cxn modelId="{5C2241BD-DA12-4B48-9AEA-780AD4DB51AF}" srcId="{D895BCAF-11FD-4161-9460-71155FF594D5}" destId="{B9C74FD2-3D0F-470A-A6D7-CF02583A84E3}" srcOrd="1" destOrd="0" parTransId="{A9341238-983C-4C22-952A-F9DF515B4073}" sibTransId="{12712945-0340-4855-B191-95B61C7C4258}"/>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EAE82CCA-4515-4796-B8C1-5804F15EF1A5}" type="presOf" srcId="{6E620D68-7EF3-4AF2-B9CD-91E5BD002A6E}" destId="{B4F89DDA-DC7D-4C4E-967D-E22B07A05DB1}" srcOrd="0" destOrd="2"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64049"/>
          <a:ext cx="1596851" cy="37406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150000"/>
            </a:lnSpc>
            <a:spcBef>
              <a:spcPct val="0"/>
            </a:spcBef>
            <a:spcAft>
              <a:spcPct val="35000"/>
            </a:spcAft>
            <a:buNone/>
          </a:pPr>
          <a:r>
            <a:rPr lang="en-GB" sz="700" b="1" i="0" kern="1200">
              <a:latin typeface="Aptos" panose="020B0004020202020204" pitchFamily="34" charset="0"/>
            </a:rPr>
            <a:t>Ethical Considerations</a:t>
          </a:r>
          <a:endParaRPr lang="en-GB" sz="700" kern="1200">
            <a:latin typeface="Aptos" panose="020B0004020202020204" pitchFamily="34" charset="0"/>
          </a:endParaRPr>
        </a:p>
      </dsp:txBody>
      <dsp:txXfrm>
        <a:off x="4165" y="164049"/>
        <a:ext cx="1596851" cy="374065"/>
      </dsp:txXfrm>
    </dsp:sp>
    <dsp:sp modelId="{0916EB88-9427-4C81-A0D0-B1BC4D25BFB9}">
      <dsp:nvSpPr>
        <dsp:cNvPr id="0" name=""/>
        <dsp:cNvSpPr/>
      </dsp:nvSpPr>
      <dsp:spPr>
        <a:xfrm>
          <a:off x="4165" y="538115"/>
          <a:ext cx="1596851" cy="14219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150000"/>
            </a:lnSpc>
            <a:spcBef>
              <a:spcPct val="0"/>
            </a:spcBef>
            <a:spcAft>
              <a:spcPct val="15000"/>
            </a:spcAft>
            <a:buChar char="•"/>
          </a:pPr>
          <a:r>
            <a:rPr lang="en-GB" sz="700" kern="1200" dirty="0">
              <a:latin typeface="Aptos" panose="020B0004020202020204" pitchFamily="34" charset="0"/>
            </a:rPr>
            <a:t> Ethical considerations in secondary research focus on the responsible, transparent, and academically rigorous use of information. </a:t>
          </a:r>
        </a:p>
        <a:p>
          <a:pPr marL="57150" lvl="1" indent="-57150" algn="l" defTabSz="311150">
            <a:lnSpc>
              <a:spcPct val="150000"/>
            </a:lnSpc>
            <a:spcBef>
              <a:spcPct val="0"/>
            </a:spcBef>
            <a:spcAft>
              <a:spcPct val="15000"/>
            </a:spcAft>
            <a:buChar char="•"/>
          </a:pPr>
          <a:r>
            <a:rPr lang="en-GB" sz="700" kern="1200" dirty="0">
              <a:latin typeface="Aptos" panose="020B0004020202020204" pitchFamily="34" charset="0"/>
            </a:rPr>
            <a:t> This study will not involve direct participant involvement, ethical responsibility remains essential in ensuring credibility. </a:t>
          </a:r>
        </a:p>
      </dsp:txBody>
      <dsp:txXfrm>
        <a:off x="4165" y="538115"/>
        <a:ext cx="1596851" cy="1421909"/>
      </dsp:txXfrm>
    </dsp:sp>
    <dsp:sp modelId="{0F07604D-46A6-4ADA-B996-B9E43A897BA8}">
      <dsp:nvSpPr>
        <dsp:cNvPr id="0" name=""/>
        <dsp:cNvSpPr/>
      </dsp:nvSpPr>
      <dsp:spPr>
        <a:xfrm>
          <a:off x="1813941" y="142784"/>
          <a:ext cx="1596851" cy="37406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150000"/>
            </a:lnSpc>
            <a:spcBef>
              <a:spcPct val="0"/>
            </a:spcBef>
            <a:spcAft>
              <a:spcPct val="35000"/>
            </a:spcAft>
            <a:buNone/>
          </a:pPr>
          <a:r>
            <a:rPr lang="en-GB" sz="700" kern="1200">
              <a:latin typeface="Aptos" panose="020B0004020202020204" pitchFamily="34" charset="0"/>
            </a:rPr>
            <a:t>Academic</a:t>
          </a:r>
          <a:r>
            <a:rPr lang="en-GB" sz="700" kern="1200" baseline="0">
              <a:latin typeface="Aptos" panose="020B0004020202020204" pitchFamily="34" charset="0"/>
            </a:rPr>
            <a:t> Integrity and Referencing</a:t>
          </a:r>
          <a:endParaRPr lang="en-GB" sz="700" kern="1200">
            <a:latin typeface="Aptos" panose="020B0004020202020204" pitchFamily="34" charset="0"/>
          </a:endParaRPr>
        </a:p>
      </dsp:txBody>
      <dsp:txXfrm>
        <a:off x="1813941" y="142784"/>
        <a:ext cx="1596851" cy="374065"/>
      </dsp:txXfrm>
    </dsp:sp>
    <dsp:sp modelId="{D9C43641-36D4-43D5-A2FD-0F9F6D2C43BC}">
      <dsp:nvSpPr>
        <dsp:cNvPr id="0" name=""/>
        <dsp:cNvSpPr/>
      </dsp:nvSpPr>
      <dsp:spPr>
        <a:xfrm>
          <a:off x="1824576" y="538115"/>
          <a:ext cx="1596851" cy="14219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150000"/>
            </a:lnSpc>
            <a:spcBef>
              <a:spcPct val="0"/>
            </a:spcBef>
            <a:spcAft>
              <a:spcPct val="15000"/>
            </a:spcAft>
            <a:buChar char="•"/>
          </a:pPr>
          <a:r>
            <a:rPr lang="en-GB" sz="700" b="0" i="0" kern="1200">
              <a:latin typeface="Aptos" panose="020B0004020202020204" pitchFamily="34" charset="0"/>
            </a:rPr>
            <a:t> All sources will be accurately acknowleged using Harvard referencing to maintain academic integrity, avoid plagirisim.</a:t>
          </a:r>
          <a:endParaRPr lang="en-GB" sz="700" kern="1200">
            <a:latin typeface="Aptos" panose="020B0004020202020204" pitchFamily="34" charset="0"/>
          </a:endParaRPr>
        </a:p>
      </dsp:txBody>
      <dsp:txXfrm>
        <a:off x="1824576" y="538115"/>
        <a:ext cx="1596851" cy="1421909"/>
      </dsp:txXfrm>
    </dsp:sp>
    <dsp:sp modelId="{594F44BC-596E-4978-9BF4-2F7DCCF10A7F}">
      <dsp:nvSpPr>
        <dsp:cNvPr id="0" name=""/>
        <dsp:cNvSpPr/>
      </dsp:nvSpPr>
      <dsp:spPr>
        <a:xfrm>
          <a:off x="3644986" y="164049"/>
          <a:ext cx="1596851" cy="37406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150000"/>
            </a:lnSpc>
            <a:spcBef>
              <a:spcPct val="0"/>
            </a:spcBef>
            <a:spcAft>
              <a:spcPct val="35000"/>
            </a:spcAft>
            <a:buNone/>
          </a:pPr>
          <a:r>
            <a:rPr lang="en-GB" sz="700" b="1" i="0" kern="1200">
              <a:latin typeface="Aptos" panose="020B0004020202020204" pitchFamily="34" charset="0"/>
            </a:rPr>
            <a:t>Data Protection and Responsible Data Use</a:t>
          </a:r>
          <a:endParaRPr lang="en-GB" sz="700" kern="1200">
            <a:latin typeface="Aptos" panose="020B0004020202020204" pitchFamily="34" charset="0"/>
          </a:endParaRPr>
        </a:p>
      </dsp:txBody>
      <dsp:txXfrm>
        <a:off x="3644986" y="164049"/>
        <a:ext cx="1596851" cy="374065"/>
      </dsp:txXfrm>
    </dsp:sp>
    <dsp:sp modelId="{B4F89DDA-DC7D-4C4E-967D-E22B07A05DB1}">
      <dsp:nvSpPr>
        <dsp:cNvPr id="0" name=""/>
        <dsp:cNvSpPr/>
      </dsp:nvSpPr>
      <dsp:spPr>
        <a:xfrm>
          <a:off x="3644986" y="538115"/>
          <a:ext cx="1596851" cy="14219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150000"/>
            </a:lnSpc>
            <a:spcBef>
              <a:spcPct val="0"/>
            </a:spcBef>
            <a:spcAft>
              <a:spcPct val="15000"/>
            </a:spcAft>
            <a:buChar char="•"/>
          </a:pPr>
          <a:r>
            <a:rPr lang="en-GB" sz="700" kern="1200" baseline="0">
              <a:latin typeface="Aptos" panose="020B0004020202020204" pitchFamily="34" charset="0"/>
            </a:rPr>
            <a:t> Only publicly available secondary data will be used in the research.</a:t>
          </a:r>
          <a:endParaRPr lang="en-GB" sz="700" kern="1200">
            <a:latin typeface="Aptos" panose="020B0004020202020204" pitchFamily="34" charset="0"/>
          </a:endParaRPr>
        </a:p>
        <a:p>
          <a:pPr marL="57150" lvl="1" indent="-57150" algn="l" defTabSz="311150">
            <a:lnSpc>
              <a:spcPct val="150000"/>
            </a:lnSpc>
            <a:spcBef>
              <a:spcPct val="0"/>
            </a:spcBef>
            <a:spcAft>
              <a:spcPct val="15000"/>
            </a:spcAft>
            <a:buChar char="•"/>
          </a:pPr>
          <a:r>
            <a:rPr lang="en-GB" sz="700" kern="1200">
              <a:latin typeface="Aptos" panose="020B0004020202020204" pitchFamily="34" charset="0"/>
            </a:rPr>
            <a:t>No identifiable data such as personal information will be collected. </a:t>
          </a:r>
        </a:p>
        <a:p>
          <a:pPr marL="57150" lvl="1" indent="-57150" algn="l" defTabSz="311150">
            <a:lnSpc>
              <a:spcPct val="150000"/>
            </a:lnSpc>
            <a:spcBef>
              <a:spcPct val="0"/>
            </a:spcBef>
            <a:spcAft>
              <a:spcPct val="15000"/>
            </a:spcAft>
            <a:buChar char="•"/>
          </a:pPr>
          <a:r>
            <a:rPr lang="en-GB" sz="700" kern="1200">
              <a:latin typeface="Aptos" panose="020B0004020202020204" pitchFamily="34" charset="0"/>
            </a:rPr>
            <a:t>This ensures compliance with ethical standards and data protection principles.</a:t>
          </a:r>
        </a:p>
      </dsp:txBody>
      <dsp:txXfrm>
        <a:off x="3644986" y="538115"/>
        <a:ext cx="1596851" cy="1421909"/>
      </dsp:txXfrm>
    </dsp:sp>
    <dsp:sp modelId="{4B0BA49E-53FB-4A48-8A53-1DCC68267D3A}">
      <dsp:nvSpPr>
        <dsp:cNvPr id="0" name=""/>
        <dsp:cNvSpPr/>
      </dsp:nvSpPr>
      <dsp:spPr>
        <a:xfrm>
          <a:off x="5465397" y="164049"/>
          <a:ext cx="1596851" cy="37406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150000"/>
            </a:lnSpc>
            <a:spcBef>
              <a:spcPct val="0"/>
            </a:spcBef>
            <a:spcAft>
              <a:spcPct val="35000"/>
            </a:spcAft>
            <a:buNone/>
          </a:pPr>
          <a:r>
            <a:rPr lang="en-GB" sz="700" b="1" i="0" kern="1200" dirty="0">
              <a:latin typeface="Aptos" panose="020B0004020202020204" pitchFamily="34" charset="0"/>
            </a:rPr>
            <a:t>Credibility and Reliability of Evidence</a:t>
          </a:r>
          <a:endParaRPr lang="en-GB" sz="700" kern="1200" dirty="0">
            <a:latin typeface="Aptos" panose="020B0004020202020204" pitchFamily="34" charset="0"/>
          </a:endParaRPr>
        </a:p>
      </dsp:txBody>
      <dsp:txXfrm>
        <a:off x="5465397" y="164049"/>
        <a:ext cx="1596851" cy="374065"/>
      </dsp:txXfrm>
    </dsp:sp>
    <dsp:sp modelId="{0426731F-8A3C-42F1-804E-8F6D7BF28D02}">
      <dsp:nvSpPr>
        <dsp:cNvPr id="0" name=""/>
        <dsp:cNvSpPr/>
      </dsp:nvSpPr>
      <dsp:spPr>
        <a:xfrm>
          <a:off x="5465397" y="538115"/>
          <a:ext cx="1596851" cy="14219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150000"/>
            </a:lnSpc>
            <a:spcBef>
              <a:spcPct val="0"/>
            </a:spcBef>
            <a:spcAft>
              <a:spcPct val="15000"/>
            </a:spcAft>
            <a:buChar char="•"/>
          </a:pPr>
          <a:r>
            <a:rPr lang="en-GB" sz="700" kern="1200" baseline="0">
              <a:latin typeface="Aptos" panose="020B0004020202020204" pitchFamily="34" charset="0"/>
            </a:rPr>
            <a:t> Priority will be given to peer reviwed journal articles, NHS publications, govenment reports will strenghten research validity and ensure trustworty findings (World Health Organisation, 2021). </a:t>
          </a:r>
          <a:endParaRPr lang="en-GB" sz="700" kern="1200">
            <a:latin typeface="Aptos" panose="020B0004020202020204" pitchFamily="34" charset="0"/>
          </a:endParaRPr>
        </a:p>
      </dsp:txBody>
      <dsp:txXfrm>
        <a:off x="5465397" y="538115"/>
        <a:ext cx="1596851" cy="1421909"/>
      </dsp:txXfrm>
    </dsp:sp>
    <dsp:sp modelId="{527B8B4B-D6E7-4EB7-86F6-6A7D2579D756}">
      <dsp:nvSpPr>
        <dsp:cNvPr id="0" name=""/>
        <dsp:cNvSpPr/>
      </dsp:nvSpPr>
      <dsp:spPr>
        <a:xfrm>
          <a:off x="7285807" y="164049"/>
          <a:ext cx="1596851" cy="37406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150000"/>
            </a:lnSpc>
            <a:spcBef>
              <a:spcPct val="0"/>
            </a:spcBef>
            <a:spcAft>
              <a:spcPct val="35000"/>
            </a:spcAft>
            <a:buNone/>
          </a:pPr>
          <a:r>
            <a:rPr lang="en-GB" sz="700" b="1" i="0" kern="1200" dirty="0">
              <a:latin typeface="Aptos" panose="020B0004020202020204" pitchFamily="34" charset="0"/>
            </a:rPr>
            <a:t>Transparency and Critical Evaluation</a:t>
          </a:r>
          <a:endParaRPr lang="en-GB" sz="700" kern="1200" dirty="0">
            <a:latin typeface="Aptos" panose="020B0004020202020204" pitchFamily="34" charset="0"/>
          </a:endParaRPr>
        </a:p>
      </dsp:txBody>
      <dsp:txXfrm>
        <a:off x="7285807" y="164049"/>
        <a:ext cx="1596851" cy="374065"/>
      </dsp:txXfrm>
    </dsp:sp>
    <dsp:sp modelId="{3FAC58C7-563C-4DE2-B8E2-03C2F5DF4A75}">
      <dsp:nvSpPr>
        <dsp:cNvPr id="0" name=""/>
        <dsp:cNvSpPr/>
      </dsp:nvSpPr>
      <dsp:spPr>
        <a:xfrm>
          <a:off x="7285807" y="538115"/>
          <a:ext cx="1596851" cy="142190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150000"/>
            </a:lnSpc>
            <a:spcBef>
              <a:spcPct val="0"/>
            </a:spcBef>
            <a:spcAft>
              <a:spcPct val="15000"/>
            </a:spcAft>
            <a:buChar char="•"/>
          </a:pPr>
          <a:r>
            <a:rPr lang="en-GB" sz="700" kern="1200" baseline="0">
              <a:latin typeface="Aptos" panose="020B0004020202020204" pitchFamily="34" charset="0"/>
            </a:rPr>
            <a:t> Sources collected will be critically evaluated for relevance, quality and potential bias to support evidence based conclusions relevant to health and social care. </a:t>
          </a:r>
          <a:endParaRPr lang="en-GB" sz="700" kern="1200">
            <a:latin typeface="Aptos" panose="020B0004020202020204" pitchFamily="34" charset="0"/>
          </a:endParaRPr>
        </a:p>
      </dsp:txBody>
      <dsp:txXfrm>
        <a:off x="7285807" y="538115"/>
        <a:ext cx="1596851" cy="142190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7</Pages>
  <Words>886</Words>
  <Characters>5052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2026-07-18T13:52:00Z</dcterms:created>
  <dcterms:modified xsi:type="dcterms:W3CDTF">2026-07-26T12:05:00Z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