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D0DA2"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Contemporary Human Resource Challenges and Practices at Tesco plc</w:t>
      </w:r>
    </w:p>
    <w:p w14:paraId="20E0D0ED"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Title Page</w:t>
      </w:r>
    </w:p>
    <w:p w14:paraId="6BBBDC1A"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Assignment Title:</w:t>
      </w:r>
      <w:r w:rsidRPr="000B60C7">
        <w:rPr>
          <w:rFonts w:ascii="Times New Roman" w:eastAsia="Times New Roman" w:hAnsi="Times New Roman" w:cs="Times New Roman"/>
          <w:kern w:val="0"/>
          <w:lang w:eastAsia="en-GB"/>
          <w14:ligatures w14:val="none"/>
        </w:rPr>
        <w:t xml:space="preserve"> Contemporary Human Resource Challenges and Practices: A Case Study of Tesco plc</w:t>
      </w:r>
    </w:p>
    <w:p w14:paraId="20F7C0A4"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Student Name:</w:t>
      </w:r>
      <w:r w:rsidRPr="000B60C7">
        <w:rPr>
          <w:rFonts w:ascii="Times New Roman" w:eastAsia="Times New Roman" w:hAnsi="Times New Roman" w:cs="Times New Roman"/>
          <w:kern w:val="0"/>
          <w:lang w:eastAsia="en-GB"/>
          <w14:ligatures w14:val="none"/>
        </w:rPr>
        <w:t> </w:t>
      </w:r>
      <w:proofErr w:type="spellStart"/>
      <w:r w:rsidRPr="000B60C7">
        <w:rPr>
          <w:rFonts w:ascii="Times New Roman" w:eastAsia="Times New Roman" w:hAnsi="Times New Roman" w:cs="Times New Roman"/>
          <w:kern w:val="0"/>
          <w:lang w:eastAsia="en-GB"/>
          <w14:ligatures w14:val="none"/>
        </w:rPr>
        <w:t>Tiemoko</w:t>
      </w:r>
      <w:proofErr w:type="spellEnd"/>
      <w:r w:rsidRPr="000B60C7">
        <w:rPr>
          <w:rFonts w:ascii="Times New Roman" w:eastAsia="Times New Roman" w:hAnsi="Times New Roman" w:cs="Times New Roman"/>
          <w:kern w:val="0"/>
          <w:lang w:eastAsia="en-GB"/>
          <w14:ligatures w14:val="none"/>
        </w:rPr>
        <w:t xml:space="preserve"> </w:t>
      </w:r>
      <w:proofErr w:type="spellStart"/>
      <w:r w:rsidRPr="000B60C7">
        <w:rPr>
          <w:rFonts w:ascii="Times New Roman" w:eastAsia="Times New Roman" w:hAnsi="Times New Roman" w:cs="Times New Roman"/>
          <w:kern w:val="0"/>
          <w:lang w:eastAsia="en-GB"/>
          <w14:ligatures w14:val="none"/>
        </w:rPr>
        <w:t>Dagnogo</w:t>
      </w:r>
      <w:proofErr w:type="spellEnd"/>
    </w:p>
    <w:p w14:paraId="5BA61C55"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Student Number:</w:t>
      </w:r>
      <w:r w:rsidRPr="000B60C7">
        <w:rPr>
          <w:rFonts w:ascii="Times New Roman" w:eastAsia="Times New Roman" w:hAnsi="Times New Roman" w:cs="Times New Roman"/>
          <w:kern w:val="0"/>
          <w:lang w:eastAsia="en-GB"/>
          <w14:ligatures w14:val="none"/>
        </w:rPr>
        <w:t> 2441745</w:t>
      </w:r>
    </w:p>
    <w:p w14:paraId="0E99D108"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Module Code and Title:</w:t>
      </w:r>
      <w:r w:rsidRPr="000B60C7">
        <w:rPr>
          <w:rFonts w:ascii="Times New Roman" w:eastAsia="Times New Roman" w:hAnsi="Times New Roman" w:cs="Times New Roman"/>
          <w:kern w:val="0"/>
          <w:lang w:eastAsia="en-GB"/>
          <w14:ligatures w14:val="none"/>
        </w:rPr>
        <w:t> LCLM5002 Developing and Managing Individuals and Teams</w:t>
      </w:r>
    </w:p>
    <w:p w14:paraId="3DF4E5D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Lecturer:</w:t>
      </w:r>
      <w:r w:rsidRPr="000B60C7">
        <w:rPr>
          <w:rFonts w:ascii="Times New Roman" w:eastAsia="Times New Roman" w:hAnsi="Times New Roman" w:cs="Times New Roman"/>
          <w:kern w:val="0"/>
          <w:lang w:eastAsia="en-GB"/>
          <w14:ligatures w14:val="none"/>
        </w:rPr>
        <w:t xml:space="preserve"> Dr Samson </w:t>
      </w:r>
      <w:proofErr w:type="spellStart"/>
      <w:r w:rsidRPr="000B60C7">
        <w:rPr>
          <w:rFonts w:ascii="Times New Roman" w:eastAsia="Times New Roman" w:hAnsi="Times New Roman" w:cs="Times New Roman"/>
          <w:kern w:val="0"/>
          <w:lang w:eastAsia="en-GB"/>
          <w14:ligatures w14:val="none"/>
        </w:rPr>
        <w:t>Oladejo</w:t>
      </w:r>
      <w:proofErr w:type="spellEnd"/>
    </w:p>
    <w:p w14:paraId="77214875"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Submission Date:</w:t>
      </w:r>
      <w:r w:rsidRPr="000B60C7">
        <w:rPr>
          <w:rFonts w:ascii="Times New Roman" w:eastAsia="Times New Roman" w:hAnsi="Times New Roman" w:cs="Times New Roman"/>
          <w:kern w:val="0"/>
          <w:lang w:eastAsia="en-GB"/>
          <w14:ligatures w14:val="none"/>
        </w:rPr>
        <w:t> 18 July 2026</w:t>
      </w:r>
    </w:p>
    <w:p w14:paraId="52E59FEC"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0B8F0027">
          <v:rect id="_x0000_i1025" style="width:0;height:1.5pt" o:hralign="center" o:hrstd="t" o:hr="t" fillcolor="#a0a0a0" stroked="f"/>
        </w:pict>
      </w:r>
    </w:p>
    <w:p w14:paraId="4E34FE78"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27"/>
        <w:gridCol w:w="569"/>
      </w:tblGrid>
      <w:tr w:rsidR="000B60C7" w:rsidRPr="000B60C7" w14:paraId="57A24304" w14:textId="77777777" w:rsidTr="000B60C7">
        <w:trPr>
          <w:tblHeader/>
          <w:tblCellSpacing w:w="15" w:type="dxa"/>
        </w:trPr>
        <w:tc>
          <w:tcPr>
            <w:tcW w:w="0" w:type="auto"/>
            <w:vAlign w:val="center"/>
            <w:hideMark/>
          </w:tcPr>
          <w:p w14:paraId="62132459" w14:textId="77777777" w:rsidR="000B60C7" w:rsidRPr="000B60C7" w:rsidRDefault="000B60C7" w:rsidP="000B60C7">
            <w:pPr>
              <w:spacing w:after="0" w:line="240" w:lineRule="auto"/>
              <w:jc w:val="center"/>
              <w:rPr>
                <w:rFonts w:ascii="Times New Roman" w:eastAsia="Times New Roman" w:hAnsi="Times New Roman" w:cs="Times New Roman"/>
                <w:b/>
                <w:bCs/>
                <w:kern w:val="0"/>
                <w:lang w:eastAsia="en-GB"/>
                <w14:ligatures w14:val="none"/>
              </w:rPr>
            </w:pPr>
            <w:r w:rsidRPr="000B60C7">
              <w:rPr>
                <w:rFonts w:ascii="Times New Roman" w:eastAsia="Times New Roman" w:hAnsi="Times New Roman" w:cs="Times New Roman"/>
                <w:b/>
                <w:bCs/>
                <w:kern w:val="0"/>
                <w:lang w:eastAsia="en-GB"/>
                <w14:ligatures w14:val="none"/>
              </w:rPr>
              <w:t>Contents</w:t>
            </w:r>
          </w:p>
        </w:tc>
        <w:tc>
          <w:tcPr>
            <w:tcW w:w="0" w:type="auto"/>
            <w:vAlign w:val="center"/>
            <w:hideMark/>
          </w:tcPr>
          <w:p w14:paraId="1366539C" w14:textId="77777777" w:rsidR="000B60C7" w:rsidRPr="000B60C7" w:rsidRDefault="000B60C7" w:rsidP="000B60C7">
            <w:pPr>
              <w:spacing w:after="0" w:line="240" w:lineRule="auto"/>
              <w:jc w:val="center"/>
              <w:rPr>
                <w:rFonts w:ascii="Times New Roman" w:eastAsia="Times New Roman" w:hAnsi="Times New Roman" w:cs="Times New Roman"/>
                <w:b/>
                <w:bCs/>
                <w:kern w:val="0"/>
                <w:lang w:eastAsia="en-GB"/>
                <w14:ligatures w14:val="none"/>
              </w:rPr>
            </w:pPr>
            <w:r w:rsidRPr="000B60C7">
              <w:rPr>
                <w:rFonts w:ascii="Times New Roman" w:eastAsia="Times New Roman" w:hAnsi="Times New Roman" w:cs="Times New Roman"/>
                <w:b/>
                <w:bCs/>
                <w:kern w:val="0"/>
                <w:lang w:eastAsia="en-GB"/>
                <w14:ligatures w14:val="none"/>
              </w:rPr>
              <w:t>Page</w:t>
            </w:r>
          </w:p>
        </w:tc>
      </w:tr>
      <w:tr w:rsidR="000B60C7" w:rsidRPr="000B60C7" w14:paraId="2D2CF8A2" w14:textId="77777777" w:rsidTr="000B60C7">
        <w:trPr>
          <w:tblCellSpacing w:w="15" w:type="dxa"/>
        </w:trPr>
        <w:tc>
          <w:tcPr>
            <w:tcW w:w="0" w:type="auto"/>
            <w:vAlign w:val="center"/>
            <w:hideMark/>
          </w:tcPr>
          <w:p w14:paraId="06F1C4E7"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Title Page</w:t>
            </w:r>
          </w:p>
        </w:tc>
        <w:tc>
          <w:tcPr>
            <w:tcW w:w="0" w:type="auto"/>
            <w:vAlign w:val="center"/>
            <w:hideMark/>
          </w:tcPr>
          <w:p w14:paraId="041B7A3C"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1</w:t>
            </w:r>
          </w:p>
        </w:tc>
      </w:tr>
      <w:tr w:rsidR="000B60C7" w:rsidRPr="000B60C7" w14:paraId="08FA7F2E" w14:textId="77777777" w:rsidTr="000B60C7">
        <w:trPr>
          <w:tblCellSpacing w:w="15" w:type="dxa"/>
        </w:trPr>
        <w:tc>
          <w:tcPr>
            <w:tcW w:w="0" w:type="auto"/>
            <w:vAlign w:val="center"/>
            <w:hideMark/>
          </w:tcPr>
          <w:p w14:paraId="314B3878"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Table of Contents</w:t>
            </w:r>
          </w:p>
        </w:tc>
        <w:tc>
          <w:tcPr>
            <w:tcW w:w="0" w:type="auto"/>
            <w:vAlign w:val="center"/>
            <w:hideMark/>
          </w:tcPr>
          <w:p w14:paraId="2DC2105D"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2</w:t>
            </w:r>
          </w:p>
        </w:tc>
      </w:tr>
      <w:tr w:rsidR="000B60C7" w:rsidRPr="000B60C7" w14:paraId="5DBCA426" w14:textId="77777777" w:rsidTr="000B60C7">
        <w:trPr>
          <w:tblCellSpacing w:w="15" w:type="dxa"/>
        </w:trPr>
        <w:tc>
          <w:tcPr>
            <w:tcW w:w="0" w:type="auto"/>
            <w:vAlign w:val="center"/>
            <w:hideMark/>
          </w:tcPr>
          <w:p w14:paraId="0CEDAE74"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Introduction</w:t>
            </w:r>
          </w:p>
        </w:tc>
        <w:tc>
          <w:tcPr>
            <w:tcW w:w="0" w:type="auto"/>
            <w:vAlign w:val="center"/>
            <w:hideMark/>
          </w:tcPr>
          <w:p w14:paraId="154A4819"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3</w:t>
            </w:r>
          </w:p>
        </w:tc>
      </w:tr>
      <w:tr w:rsidR="000B60C7" w:rsidRPr="000B60C7" w14:paraId="41A11259" w14:textId="77777777" w:rsidTr="000B60C7">
        <w:trPr>
          <w:tblCellSpacing w:w="15" w:type="dxa"/>
        </w:trPr>
        <w:tc>
          <w:tcPr>
            <w:tcW w:w="0" w:type="auto"/>
            <w:vAlign w:val="center"/>
            <w:hideMark/>
          </w:tcPr>
          <w:p w14:paraId="28F22112"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1. Key Contemporary HR Challenges</w:t>
            </w:r>
          </w:p>
        </w:tc>
        <w:tc>
          <w:tcPr>
            <w:tcW w:w="0" w:type="auto"/>
            <w:vAlign w:val="center"/>
            <w:hideMark/>
          </w:tcPr>
          <w:p w14:paraId="6BEB6C27"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4</w:t>
            </w:r>
          </w:p>
        </w:tc>
      </w:tr>
      <w:tr w:rsidR="000B60C7" w:rsidRPr="000B60C7" w14:paraId="5B7D63FB" w14:textId="77777777" w:rsidTr="000B60C7">
        <w:trPr>
          <w:tblCellSpacing w:w="15" w:type="dxa"/>
        </w:trPr>
        <w:tc>
          <w:tcPr>
            <w:tcW w:w="0" w:type="auto"/>
            <w:vAlign w:val="center"/>
            <w:hideMark/>
          </w:tcPr>
          <w:p w14:paraId="5B49B5AD"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2. Evaluation of Contemporary HR Practices</w:t>
            </w:r>
          </w:p>
        </w:tc>
        <w:tc>
          <w:tcPr>
            <w:tcW w:w="0" w:type="auto"/>
            <w:vAlign w:val="center"/>
            <w:hideMark/>
          </w:tcPr>
          <w:p w14:paraId="35CB836B"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8</w:t>
            </w:r>
          </w:p>
        </w:tc>
      </w:tr>
      <w:tr w:rsidR="000B60C7" w:rsidRPr="000B60C7" w14:paraId="4345F16D" w14:textId="77777777" w:rsidTr="000B60C7">
        <w:trPr>
          <w:tblCellSpacing w:w="15" w:type="dxa"/>
        </w:trPr>
        <w:tc>
          <w:tcPr>
            <w:tcW w:w="0" w:type="auto"/>
            <w:vAlign w:val="center"/>
            <w:hideMark/>
          </w:tcPr>
          <w:p w14:paraId="7471724A"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3. Critical Evaluation of Managerial Implementation</w:t>
            </w:r>
          </w:p>
        </w:tc>
        <w:tc>
          <w:tcPr>
            <w:tcW w:w="0" w:type="auto"/>
            <w:vAlign w:val="center"/>
            <w:hideMark/>
          </w:tcPr>
          <w:p w14:paraId="3F3A867B"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12</w:t>
            </w:r>
          </w:p>
        </w:tc>
      </w:tr>
      <w:tr w:rsidR="000B60C7" w:rsidRPr="000B60C7" w14:paraId="67506E81" w14:textId="77777777" w:rsidTr="000B60C7">
        <w:trPr>
          <w:tblCellSpacing w:w="15" w:type="dxa"/>
        </w:trPr>
        <w:tc>
          <w:tcPr>
            <w:tcW w:w="0" w:type="auto"/>
            <w:vAlign w:val="center"/>
            <w:hideMark/>
          </w:tcPr>
          <w:p w14:paraId="6D4BCD25"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Conclusion</w:t>
            </w:r>
          </w:p>
        </w:tc>
        <w:tc>
          <w:tcPr>
            <w:tcW w:w="0" w:type="auto"/>
            <w:vAlign w:val="center"/>
            <w:hideMark/>
          </w:tcPr>
          <w:p w14:paraId="1009E986"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15</w:t>
            </w:r>
          </w:p>
        </w:tc>
      </w:tr>
      <w:tr w:rsidR="000B60C7" w:rsidRPr="000B60C7" w14:paraId="435C4108" w14:textId="77777777" w:rsidTr="000B60C7">
        <w:trPr>
          <w:tblCellSpacing w:w="15" w:type="dxa"/>
        </w:trPr>
        <w:tc>
          <w:tcPr>
            <w:tcW w:w="0" w:type="auto"/>
            <w:vAlign w:val="center"/>
            <w:hideMark/>
          </w:tcPr>
          <w:p w14:paraId="13AC26E1"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Recommendations</w:t>
            </w:r>
          </w:p>
        </w:tc>
        <w:tc>
          <w:tcPr>
            <w:tcW w:w="0" w:type="auto"/>
            <w:vAlign w:val="center"/>
            <w:hideMark/>
          </w:tcPr>
          <w:p w14:paraId="4E5C3B50"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16</w:t>
            </w:r>
          </w:p>
        </w:tc>
      </w:tr>
      <w:tr w:rsidR="000B60C7" w:rsidRPr="000B60C7" w14:paraId="589BB3EE" w14:textId="77777777" w:rsidTr="000B60C7">
        <w:trPr>
          <w:tblCellSpacing w:w="15" w:type="dxa"/>
        </w:trPr>
        <w:tc>
          <w:tcPr>
            <w:tcW w:w="0" w:type="auto"/>
            <w:vAlign w:val="center"/>
            <w:hideMark/>
          </w:tcPr>
          <w:p w14:paraId="4537A8FF"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References</w:t>
            </w:r>
          </w:p>
        </w:tc>
        <w:tc>
          <w:tcPr>
            <w:tcW w:w="0" w:type="auto"/>
            <w:vAlign w:val="center"/>
            <w:hideMark/>
          </w:tcPr>
          <w:p w14:paraId="035B175B"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17</w:t>
            </w:r>
          </w:p>
        </w:tc>
      </w:tr>
    </w:tbl>
    <w:p w14:paraId="6852A24D"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08059B88">
          <v:rect id="_x0000_i1026" style="width:0;height:1.5pt" o:hralign="center" o:hrstd="t" o:hr="t" fillcolor="#a0a0a0" stroked="f"/>
        </w:pict>
      </w:r>
    </w:p>
    <w:p w14:paraId="452952F1"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Introduction</w:t>
      </w:r>
    </w:p>
    <w:p w14:paraId="5D5FC1C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Human Resource Management (HRM) has become a strategic function that contributes directly to organisational performance rather than simply managing recruitment and administrative activities. In a highly competitive business environment, organisations must respond to rapid technological developments, increasing competition for skilled employees and growing expectations for diversity, equity and inclusion (DEI). These challenges influence employee engagement, productivity and long-term organisational sustainability, making effective HR practices essential for business success (Armstrong and Taylor, 2023).</w:t>
      </w:r>
    </w:p>
    <w:p w14:paraId="3D994A5B"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 xml:space="preserve">This report examines </w:t>
      </w:r>
      <w:r w:rsidRPr="000B60C7">
        <w:rPr>
          <w:rFonts w:ascii="Times New Roman" w:eastAsia="Times New Roman" w:hAnsi="Times New Roman" w:cs="Times New Roman"/>
          <w:b/>
          <w:bCs/>
          <w:kern w:val="0"/>
          <w:lang w:eastAsia="en-GB"/>
          <w14:ligatures w14:val="none"/>
        </w:rPr>
        <w:t>Tesco plc</w:t>
      </w:r>
      <w:r w:rsidRPr="000B60C7">
        <w:rPr>
          <w:rFonts w:ascii="Times New Roman" w:eastAsia="Times New Roman" w:hAnsi="Times New Roman" w:cs="Times New Roman"/>
          <w:kern w:val="0"/>
          <w:lang w:eastAsia="en-GB"/>
          <w14:ligatures w14:val="none"/>
        </w:rPr>
        <w:t>, the UK's largest supermarket retailer and one of the country's biggest private-sector employers. Tesco operates in an industry characterised by digital innovation, changing consumer behaviour and intense competition from retailers such as Aldi, Lidl and Sainsbury's. As a result, the organisation must continually adapt its HR strategies to attract and retain talented employees while fostering an inclusive and innovative workplace.</w:t>
      </w:r>
    </w:p>
    <w:p w14:paraId="3CC649D8"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The report first explains three key HR challenges currently affecting Tesco: adapting to technological advancements, talent acquisition and retention, and diversity, equity and inclusion. It then critically evaluates contemporary HR practices that address these challenges before assessing how departmental managers can implement these practices effectively. Finally, practical recommendations are presented to support Tesco's future organisational performance and sustainable growth.</w:t>
      </w:r>
    </w:p>
    <w:p w14:paraId="1E0BB392"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5A2C6F32">
          <v:rect id="_x0000_i1027" style="width:0;height:1.5pt" o:hralign="center" o:hrstd="t" o:hr="t" fillcolor="#a0a0a0" stroked="f"/>
        </w:pict>
      </w:r>
    </w:p>
    <w:p w14:paraId="41F4A22F"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1. Key Contemporary HR Challenges</w:t>
      </w:r>
    </w:p>
    <w:p w14:paraId="60FEBD1D"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1.1 Adapting to Technological Advancements</w:t>
      </w:r>
    </w:p>
    <w:p w14:paraId="27A9EBC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Technological innovation has transformed the retail industry over the past decade. Digital technologies such as artificial intelligence (AI), automation, self-service checkouts, online shopping platforms and workforce analytics have changed the way retailers operate and how employees perform their daily roles. While these developments create opportunities for greater efficiency and improved customer experience, they also introduce significant HR challenges relating to employee skills, organisational change and workforce adaptability (CIPD, 2024).</w:t>
      </w:r>
    </w:p>
    <w:p w14:paraId="3CC7473A"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Tesco has invested heavily in digital transformation through initiatives such as online grocery services, automated stock management systems, electronic shelf-edge pricing and data-driven customer loyalty programmes. These innovations improve operational efficiency and enable the organisation to respond more effectively to changing consumer expectations. However, successful digital transformation depends not only on technology but also on employees' willingness and ability to use it effectively.</w:t>
      </w:r>
    </w:p>
    <w:p w14:paraId="4404414E"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One major challenge is the emergence of digital skills gaps. Employees who have worked in traditional retail environments may lack confidence when using new technologies, increasing the need for continuous learning and development. If organisations fail to provide adequate training, technological change can create uncertainty, reduce employee confidence and increase resistance to organisational change (World Economic Forum, 2023).</w:t>
      </w:r>
    </w:p>
    <w:p w14:paraId="724A20E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Furthermore, automation often creates concerns about job security. Employees may perceive technological innovation as a threat to employment rather than an opportunity for development. According to Psychological Contract Theory, employees expect organisations to provide support and opportunities for growth in return for commitment and performance. When these expectations are not met, trust and engagement may decline, resulting in lower productivity and increased labour turnover (Armstrong and Taylor, 2023).</w:t>
      </w:r>
    </w:p>
    <w:p w14:paraId="20DC45E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For Tesco, the challenge is therefore not simply introducing new technology but managing the human impact of digital transformation. HR must ensure employees receive continuous training, effective communication and support throughout the change process. This approach enables technology to enhance organisational performance while maintaining employee engagement and wellbeing.</w:t>
      </w:r>
    </w:p>
    <w:p w14:paraId="3D71C98A"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75B2B33E">
          <v:rect id="_x0000_i1028" style="width:0;height:1.5pt" o:hralign="center" o:hrstd="t" o:hr="t" fillcolor="#a0a0a0" stroked="f"/>
        </w:pict>
      </w:r>
    </w:p>
    <w:p w14:paraId="514D9630"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1.2 Talent Acquisition and Retention</w:t>
      </w:r>
    </w:p>
    <w:p w14:paraId="28878E3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The second major challenge facing Tesco is attracting and retaining talented employees in an increasingly competitive labour market. The UK retail sector has experienced significant recruitment difficulties due to labour shortages, changing employee expectations and increasing competition from organisations offering flexible working arrangements and enhanced employee benefits (CIPD, 2024).</w:t>
      </w:r>
    </w:p>
    <w:p w14:paraId="7367F1ED"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Traditionally, retail employment was viewed as providing temporary or entry-level careers. However, modern employees increasingly expect opportunities for professional development, career progression, competitive rewards and a healthy work-life balance. Organisations that fail to meet these expectations risk losing experienced employees to competitors offering more attractive employment conditions.</w:t>
      </w:r>
    </w:p>
    <w:p w14:paraId="75B90D67"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For Tesco, high employee turnover creates substantial financial and operational challenges. Recruiting, selecting and training new employees requires considerable investment while reducing service quality during periods of staff shortages. Experienced employees possess valuable organisational knowledge that contributes to customer satisfaction and operational efficiency. Consequently, retaining skilled employees is often more cost-effective than replacing them.</w:t>
      </w:r>
    </w:p>
    <w:p w14:paraId="57440F7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The Resource-Based View (RBV) suggests that employees represent valuable organisational resources capable of creating sustainable competitive advantage when their knowledge and skills are effectively developed (Barney, 1991). From this perspective, Tesco's workforce should be regarded as a strategic asset rather than simply an operational cost.</w:t>
      </w:r>
    </w:p>
    <w:p w14:paraId="691158F6"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Employee engagement also plays an important role in retention. Research consistently demonstrates that employees who feel recognised, supported and provided with opportunities for career development are more likely to remain committed to their organisation (Guest, 2017). HR therefore has a responsibility to design reward systems, learning opportunities and wellbeing initiatives that strengthen employee commitment while reducing voluntary turnover.</w:t>
      </w:r>
    </w:p>
    <w:p w14:paraId="598EB952"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Overall, talent acquisition and retention remain strategic priorities because organisational success depends upon maintaining a motivated, skilled and committed workforce capable of adapting to changing business demands.</w:t>
      </w:r>
    </w:p>
    <w:p w14:paraId="53686477"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639348CF">
          <v:rect id="_x0000_i1029" style="width:0;height:1.5pt" o:hralign="center" o:hrstd="t" o:hr="t" fillcolor="#a0a0a0" stroked="f"/>
        </w:pict>
      </w:r>
    </w:p>
    <w:p w14:paraId="66E315B9"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1.3 Diversity, Equity and Inclusion (DEI)</w:t>
      </w:r>
    </w:p>
    <w:p w14:paraId="30C55B0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Diversity, Equity and Inclusion (DEI) has become a central element of strategic HRM because organisations increasingly recognise that inclusive workplaces improve innovation, employee engagement and organisational reputation. Tesco employs a highly diverse workforce representing different cultures, ages, genders, ethnicities, abilities and experiences. Managing this diversity effectively is therefore essential for maintaining positive employee relations and delivering high-quality customer service.</w:t>
      </w:r>
    </w:p>
    <w:p w14:paraId="1E413EC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Diversity refers to workforce representation, equity focuses on fair access to opportunities, while inclusion involves creating an environment where employees feel respected, valued and able to contribute fully (CIPD, 2024). Although these concepts are closely connected, organisations frequently achieve diversity without creating genuine inclusion. Recruiting employees from different backgrounds alone is insufficient if workplace culture does not support equal participation and career progression.</w:t>
      </w:r>
    </w:p>
    <w:p w14:paraId="48125D7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Tesco has introduced several initiatives aimed at promoting inclusion, including equal pay commitments, disability confidence programmes, employee diversity networks and leadership targets to improve representation. These initiatives contribute to legal compliance under the Equality Act 2010 while strengthening Tesco's employer brand and ability to attract talented applicants.</w:t>
      </w:r>
    </w:p>
    <w:p w14:paraId="03978947"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Despite these positive developments, implementing DEI effectively remains challenging. Unconscious bias may influence recruitment, promotion and performance evaluation even when formal equality policies exist. Additionally, some employees may misunderstand diversity initiatives if organisational communication is poor, potentially creating resistance rather than support.</w:t>
      </w:r>
    </w:p>
    <w:p w14:paraId="677A185F"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The Harvard Model of HRM argues that organisational success depends upon balancing business objectives with employee wellbeing and stakeholder interests (Beer et al., 1984). Applying this model suggests that Tesco should view DEI not simply as a compliance requirement but as a strategic investment that strengthens innovation, collaboration and organisational performance.</w:t>
      </w:r>
    </w:p>
    <w:p w14:paraId="5205DB76"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In conclusion, adapting to technological change, attracting and retaining skilled employees and promoting diversity, equity and inclusion are interconnected HR challenges. Tesco's ability to address these issues effectively will significantly influence employee engagement, customer satisfaction and long-term organisational sustainability.</w:t>
      </w:r>
    </w:p>
    <w:p w14:paraId="16749479"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2. Evaluation of Contemporary HR Practices</w:t>
      </w:r>
    </w:p>
    <w:p w14:paraId="11709444"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Tesco has introduced several contemporary Human Resource (HR) practices to address the challenges associated with technological advancement, talent acquisition and retention, and diversity, equity and inclusion (DEI). While these practices have contributed to organisational performance, their effectiveness depends on how well they are integrated into the organisation's overall business strategy. This section critically evaluates these practices by considering both their strengths and potential limitations.</w:t>
      </w:r>
    </w:p>
    <w:p w14:paraId="26F4B1EC"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lastRenderedPageBreak/>
        <w:t>2.1 Digital HR Systems and Workforce Analytics</w:t>
      </w:r>
    </w:p>
    <w:p w14:paraId="145A6D9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Digital HR systems have become an essential component of modern people management. Tesco has invested significantly in digital technologies that support recruitment, workforce scheduling, performance management, online learning and employee communication. According to Armstrong and Taylor (2023), digital HR enables organisations to improve efficiency while providing managers with accurate workforce information for strategic decision-making.</w:t>
      </w:r>
    </w:p>
    <w:p w14:paraId="6C2A54C6"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One of the main advantages of digital HR systems is the use of workforce analytics. By analysing employee data such as labour turnover, absenteeism, training completion rates and productivity levels, Tesco can identify workforce trends and make evidence-based HR decisions. For example, if workforce analytics indicate increasing employee turnover within a particular region, HR managers can investigate the underlying causes and introduce targeted interventions before the problem affects organisational performance.</w:t>
      </w:r>
    </w:p>
    <w:p w14:paraId="2F032ED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Tesco also uses digital learning platforms that allow employees to complete mandatory training and develop new skills at their own pace. This flexibility is particularly valuable in retail because employees often work different shifts across multiple locations. Continuous learning supports organisational agility by ensuring employees possess the digital capabilities required to adapt to technological change (CIPD, 2024).</w:t>
      </w:r>
    </w:p>
    <w:p w14:paraId="28297C6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Despite these benefits, digital HR systems are not without limitations. An over-reliance on quantitative data may result in managers focusing on performance indicators while overlooking employee wellbeing or individual circumstances. Furthermore, increased digital monitoring may create concerns about employee privacy and trust if organisations fail to communicate clearly how workforce data are collected and used.</w:t>
      </w:r>
    </w:p>
    <w:p w14:paraId="5A95292B"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From a critical perspective, technology should support—not replace—effective leadership. While workforce analytics improve decision-making, managers must continue to use professional judgement, empathy and interpersonal communication when managing employees. Therefore, Tesco's investment in digital HR is most effective when technological tools complement rather than substitute human management practices.</w:t>
      </w:r>
    </w:p>
    <w:p w14:paraId="27593C9A"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4A745017">
          <v:rect id="_x0000_i1035" style="width:0;height:1.5pt" o:hralign="center" o:hrstd="t" o:hr="t" fillcolor="#a0a0a0" stroked="f"/>
        </w:pict>
      </w:r>
    </w:p>
    <w:p w14:paraId="25769B97"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2.2 Employer Branding and Strategic Workforce Planning</w:t>
      </w:r>
    </w:p>
    <w:p w14:paraId="523BB9CF"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Employer branding has become increasingly important as organisations compete to attract highly skilled employees. Employer branding refers to the reputation of an organisation as a place to work and influences how potential employees perceive career opportunities within the business (Backhaus and </w:t>
      </w:r>
      <w:proofErr w:type="spellStart"/>
      <w:r w:rsidRPr="000B60C7">
        <w:rPr>
          <w:rFonts w:ascii="Times New Roman" w:eastAsia="Times New Roman" w:hAnsi="Times New Roman" w:cs="Times New Roman"/>
          <w:kern w:val="0"/>
          <w:lang w:eastAsia="en-GB"/>
          <w14:ligatures w14:val="none"/>
        </w:rPr>
        <w:t>Tikoo</w:t>
      </w:r>
      <w:proofErr w:type="spellEnd"/>
      <w:r w:rsidRPr="000B60C7">
        <w:rPr>
          <w:rFonts w:ascii="Times New Roman" w:eastAsia="Times New Roman" w:hAnsi="Times New Roman" w:cs="Times New Roman"/>
          <w:kern w:val="0"/>
          <w:lang w:eastAsia="en-GB"/>
          <w14:ligatures w14:val="none"/>
        </w:rPr>
        <w:t>, 2004). Tesco has strengthened its employer brand by promoting career progression, apprenticeships, employee wellbeing initiatives, flexible working opportunities and sustainability commitments.</w:t>
      </w:r>
    </w:p>
    <w:p w14:paraId="58541EC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A strong employer brand provides several strategic advantages. Firstly, it increases the number and quality of job applicants, reducing recruitment costs and improving selection outcomes. Secondly, organisations with positive reputations are more likely to attract candidates whose values align with organisational culture, improving long-term retention. </w:t>
      </w:r>
      <w:r w:rsidRPr="000B60C7">
        <w:rPr>
          <w:rFonts w:ascii="Times New Roman" w:eastAsia="Times New Roman" w:hAnsi="Times New Roman" w:cs="Times New Roman"/>
          <w:kern w:val="0"/>
          <w:lang w:eastAsia="en-GB"/>
          <w14:ligatures w14:val="none"/>
        </w:rPr>
        <w:lastRenderedPageBreak/>
        <w:t>Tesco's commitment to employee development and internal promotion supports this objective by demonstrating that long-term career progression is achievable within the organisation.</w:t>
      </w:r>
    </w:p>
    <w:p w14:paraId="2E2CA2D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Strategic workforce planning complements employer branding by ensuring that recruitment aligns with future business requirements rather than simply filling immediate vacancies. Tesco uses workforce planning to forecast staffing requirements based on customer demand, technological developments and organisational growth. This proactive approach helps minimise labour shortages while ensuring employees possess the skills required for future operational needs.</w:t>
      </w:r>
    </w:p>
    <w:p w14:paraId="016ED118"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However, employer branding also has potential weaknesses. If employee experiences differ significantly from the organisation's external image, trust may decline and turnover may increase. For example, promoting flexible working arrangements while operational pressures limit flexibility could create dissatisfaction among employees. Therefore, organisations must ensure that their employer brand accurately reflects everyday workplace reality.</w:t>
      </w:r>
    </w:p>
    <w:p w14:paraId="13583CCB"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Additionally, workforce planning has become increasingly complex because economic uncertainty, technological disruption and changing employee expectations make future labour demands difficult to predict. Tesco must therefore review workforce plans regularly to ensure they remain aligned with changing business conditions.</w:t>
      </w:r>
    </w:p>
    <w:p w14:paraId="3B20FEA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Overall, employer branding and workforce planning strengthen Tesco's competitive position within the labour market. However, their long-term effectiveness depends on maintaining consistency between organisational promises and employee experiences.</w:t>
      </w:r>
    </w:p>
    <w:p w14:paraId="7BD54562"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6B315AB2">
          <v:rect id="_x0000_i1036" style="width:0;height:1.5pt" o:hralign="center" o:hrstd="t" o:hr="t" fillcolor="#a0a0a0" stroked="f"/>
        </w:pict>
      </w:r>
    </w:p>
    <w:p w14:paraId="3FD3AF7F"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2.3 Employee Engagement and Retention Strategies</w:t>
      </w:r>
    </w:p>
    <w:p w14:paraId="37006E62"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Employee engagement is widely recognised as a key determinant of organisational success because engaged employees demonstrate higher levels of motivation, commitment and discretionary effort (Kahn, 1990). Tesco has implemented several engagement initiatives, including recognition programmes, career development opportunities, wellbeing support, colleague feedback surveys and internal promotion pathways.</w:t>
      </w:r>
    </w:p>
    <w:p w14:paraId="269777E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One of Tesco's greatest strengths is its commitment to employee development. Providing learning opportunities and career progression encourages employees to remain within the organisation while developing valuable organisational knowledge. This approach aligns with the Resource-Based View, which argues that organisations achieve sustainable competitive advantage through developing unique employee capabilities (Barney, 1991).</w:t>
      </w:r>
    </w:p>
    <w:p w14:paraId="1BDE90C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Employee wellbeing has also become increasingly important following the COVID-19 pandemic. Tesco has expanded wellbeing support by promoting mental health awareness, flexible working where operationally possible and employee assistance programmes. These initiatives contribute to reduced absenteeism, improved morale and higher levels of organisational commitment (CIPD, 2024).</w:t>
      </w:r>
    </w:p>
    <w:p w14:paraId="446542A4"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Regular employee surveys also enable Tesco to identify emerging concerns before they develop into larger organisational problems. Gathering employee feedback demonstrates that </w:t>
      </w:r>
      <w:r w:rsidRPr="000B60C7">
        <w:rPr>
          <w:rFonts w:ascii="Times New Roman" w:eastAsia="Times New Roman" w:hAnsi="Times New Roman" w:cs="Times New Roman"/>
          <w:kern w:val="0"/>
          <w:lang w:eastAsia="en-GB"/>
          <w14:ligatures w14:val="none"/>
        </w:rPr>
        <w:lastRenderedPageBreak/>
        <w:t>management values employee opinions and encourages greater participation in organisational decision-making.</w:t>
      </w:r>
    </w:p>
    <w:p w14:paraId="7BBA5C5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Nevertheless, engagement strategies are not universally effective. Employees possess different values, motivations and career aspirations. While younger employees may prioritise career progression, experienced employees may value job security or work-life balance. Consequently, standardised engagement programmes may fail to address the diverse needs of Tesco's workforce.</w:t>
      </w:r>
    </w:p>
    <w:p w14:paraId="3774D8AF"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Furthermore, engagement initiatives rely heavily on managerial behaviour. Even well-designed HR policies are unlikely to succeed if line managers fail to recognise employee contributions, communicate effectively or provide adequate support. Therefore, HR practices must be accompanied by strong leadership capability across all organisational levels.</w:t>
      </w:r>
    </w:p>
    <w:p w14:paraId="18A98738"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5F713E6C">
          <v:rect id="_x0000_i1037" style="width:0;height:1.5pt" o:hralign="center" o:hrstd="t" o:hr="t" fillcolor="#a0a0a0" stroked="f"/>
        </w:pict>
      </w:r>
    </w:p>
    <w:p w14:paraId="3AB53A6C"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2.4 Inclusive Recruitment Practices and DEI Leadership</w:t>
      </w:r>
    </w:p>
    <w:p w14:paraId="558F1B3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Inclusive recruitment is an increasingly important HR practice because diverse organisations benefit from broader perspectives, improved creativity and stronger decision-making. Tesco has introduced several initiatives designed to improve diversity, including inclusive recruitment procedures, employee diversity networks, leadership development programmes and commitments to increasing representation across leadership positions.</w:t>
      </w:r>
    </w:p>
    <w:p w14:paraId="6E14395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These initiatives support compliance with the Equality Act 2010 while strengthening Tesco's organisational reputation. A diverse workforce also enables Tesco to better understand the needs of its diverse customer base, improving service quality and enhancing customer satisfaction.</w:t>
      </w:r>
    </w:p>
    <w:p w14:paraId="18E7A99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One significant strength of inclusive recruitment is that it expands the available talent pool. By removing unnecessary barriers within recruitment and selection processes, Tesco increases opportunities to recruit individuals from a wider range of backgrounds and experiences. Research indicates that diverse teams often generate more innovative solutions because they bring different perspectives to organisational decision-making (Robbins and Judge, 2023).</w:t>
      </w:r>
    </w:p>
    <w:p w14:paraId="0A613B75"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However, achieving diversity does not automatically create inclusion. Employees may still experience barriers to progression if unconscious bias influences promotion decisions or workplace relationships. Consequently, diversity initiatives must be supported by inclusive leadership behaviours, continuous training and regular monitoring of equality outcomes.</w:t>
      </w:r>
    </w:p>
    <w:p w14:paraId="4F329CD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A further criticism is that some organisations prioritise numerical diversity targets without addressing organisational culture. While representation is important, sustainable inclusion requires employees to feel genuinely respected, listened to and able to contribute regardless of their background.</w:t>
      </w:r>
    </w:p>
    <w:p w14:paraId="63B6E94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Overall, Tesco's DEI initiatives demonstrate a proactive approach to responsible people management. Their long-term effectiveness, however, depends on embedding inclusion into everyday leadership practices rather than treating diversity as a standalone HR initiative.</w:t>
      </w:r>
    </w:p>
    <w:p w14:paraId="7B20ED9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In summary, Tesco's contemporary HR practices provide a strong foundation for responding to technological change, talent shortages and diversity challenges. However, sustained success requires continuous evaluation, effective leadership and alignment between HR strategy and organisational objectives. As the external business environment continues to evolve, Tesco must remain flexible and committed to improving its people management practices.</w:t>
      </w:r>
    </w:p>
    <w:p w14:paraId="5898DE2F"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3. Critical Evaluation of Managerial Implementation</w:t>
      </w:r>
    </w:p>
    <w:p w14:paraId="7B9099E5"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While contemporary HR practices provide Tesco with the tools to respond to technological change, talent shortages and diversity challenges, their success depends largely on how effectively they are implemented by departmental managers. Line managers are responsible for translating HR policies into everyday workplace practices, making them central to employee experience and organisational performance. As Armstrong and Taylor (2023) argue, HR strategies only create value when they are consistently implemented by managers across all levels of the organisation. Therefore, leadership accountability, communication, performance monitoring, organisational culture and the ability to overcome implementation barriers are essential for ensuring that Tesco's HR practices achieve their intended objectives.</w:t>
      </w:r>
    </w:p>
    <w:p w14:paraId="756CEAD0"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3.1 Leadership Accountability</w:t>
      </w:r>
    </w:p>
    <w:p w14:paraId="6E791AE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Leadership accountability is fundamental to successful HR implementation because employees often judge organisational commitment through the behaviour of their immediate managers rather than through written policies. Departmental managers must therefore act as role models by demonstrating fairness, professionalism and commitment to Tesco's values.</w:t>
      </w:r>
    </w:p>
    <w:p w14:paraId="37092A8A"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For example, Tesco's Diversity, Equity and Inclusion (DEI) strategy will only be effective if managers consistently apply fair recruitment, promotion and performance management practices. Managers should ensure employment decisions are based on skills, experience and performance rather than unconscious bias. In addition, they should challenge discriminatory behaviour promptly and create an environment where employees feel respected regardless of their background.</w:t>
      </w:r>
    </w:p>
    <w:p w14:paraId="75B1D34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Leadership accountability is equally important during technological change. The introduction of new digital systems may create uncertainty among employees, particularly those with limited digital experience. Managers who provide coaching, encourage learning and recognise employee progress are more likely to reduce resistance to change and increase employee confidence. This reflects the principles of Transformational Leadership Theory, which suggests that leaders who inspire, support and motivate employees are more successful in implementing organisational change (Bass and Avolio, 1994).</w:t>
      </w:r>
    </w:p>
    <w:p w14:paraId="42029718"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However, leadership accountability can be weakened when managers are evaluated solely on operational outcomes such as sales performance or productivity. Tesco should therefore incorporate employee engagement, staff development, diversity outcomes and retention rates into managerial performance reviews. Doing so would reinforce the importance of people management alongside financial performance.</w:t>
      </w:r>
    </w:p>
    <w:p w14:paraId="786B40F7"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pict w14:anchorId="61BC2FA0">
          <v:rect id="_x0000_i1041" style="width:0;height:1.5pt" o:hralign="center" o:hrstd="t" o:hr="t" fillcolor="#a0a0a0" stroked="f"/>
        </w:pict>
      </w:r>
    </w:p>
    <w:p w14:paraId="45A84E59"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3.2 Communication Strategies</w:t>
      </w:r>
    </w:p>
    <w:p w14:paraId="64D287AB"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Effective communication is another critical factor influencing successful implementation. Organisational change often fails because employees do not fully understand why changes are being introduced or how they will affect their roles (Kotter, 1996). Managers therefore have a responsibility to communicate HR initiatives clearly, consistently and transparently.</w:t>
      </w:r>
    </w:p>
    <w:p w14:paraId="7BAB951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At Tesco, communication should extend beyond simply informing employees about new policies. Managers should explain the reasons for technological investment, changes in recruitment practices or new wellbeing initiatives, demonstrating how these changes benefit both employees and the organisation. Providing opportunities for employees to ask questions and express concerns helps reduce uncertainty and increases trust.</w:t>
      </w:r>
    </w:p>
    <w:p w14:paraId="0082A73D"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Two-way communication is particularly valuable because it allows managers to gather feedback from frontline employees who experience operational challenges first-hand. Regular team meetings, one-to-one discussions, employee surveys and digital communication platforms enable managers to identify concerns early and respond before they affect morale or productivity.</w:t>
      </w:r>
    </w:p>
    <w:p w14:paraId="2F567E97"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Nevertheless, communication alone cannot guarantee successful implementation. Messages must remain consistent across all departments. If employees receive conflicting information from different managers, confidence in organisational leadership may decline. Tesco should therefore provide managers with clear implementation guidelines and communication training to ensure consistency throughout the organisation.</w:t>
      </w:r>
    </w:p>
    <w:p w14:paraId="24433FE0"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0B7BFB93">
          <v:rect id="_x0000_i1042" style="width:0;height:1.5pt" o:hralign="center" o:hrstd="t" o:hr="t" fillcolor="#a0a0a0" stroked="f"/>
        </w:pict>
      </w:r>
    </w:p>
    <w:p w14:paraId="42F62B43"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3.3 Monitoring and Performance Measurement</w:t>
      </w:r>
    </w:p>
    <w:p w14:paraId="78E671FB"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Monitoring implementation is essential for determining whether HR practices achieve their intended outcomes. Without regular evaluation, Tesco cannot identify whether investments in technology, employee development or DEI initiatives are improving organisational performance.</w:t>
      </w:r>
    </w:p>
    <w:p w14:paraId="3BAF9B07"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Managers should use a balanced combination of quantitative and qualitative performance measures. Key Performance Indicators (KPIs) such as employee turnover, absenteeism, customer satisfaction, training completion rates and employee engagement scores provide measurable evidence of organisational progress. Workforce analytics can also help identify departments requiring additional HR support.</w:t>
      </w:r>
    </w:p>
    <w:p w14:paraId="5ADB244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However, relying exclusively on numerical indicators presents limitations. Statistics may identify problems but rarely explain why they occur. For example, rising labour turnover may result from ineffective leadership, excessive workload or limited career opportunities. Managers should therefore combine performance data with employee interviews, focus groups and regular feedback sessions to gain a more comprehensive understanding of workplace experiences.</w:t>
      </w:r>
    </w:p>
    <w:p w14:paraId="240C5FC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The Balanced Scorecard approach supports this perspective by encouraging organisations to evaluate financial, customer, internal process and learning outcomes rather than relying solely on financial performance (Kaplan and Norton, 1996). Applying this framework would enable Tesco to measure the wider impact of HR practices on organisational success.</w:t>
      </w:r>
    </w:p>
    <w:p w14:paraId="09C281C0"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2E6EDFD7">
          <v:rect id="_x0000_i1043" style="width:0;height:1.5pt" o:hralign="center" o:hrstd="t" o:hr="t" fillcolor="#a0a0a0" stroked="f"/>
        </w:pict>
      </w:r>
    </w:p>
    <w:p w14:paraId="05F8684A"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3.4 Organisational Culture</w:t>
      </w:r>
    </w:p>
    <w:p w14:paraId="25C58194"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Organisational culture plays a decisive role in determining whether HR practices become embedded within everyday behaviour. Policies promoting learning, wellbeing or inclusion will have limited impact if employees experience inconsistent managerial behaviour or feel uncomfortable expressing concerns.</w:t>
      </w:r>
    </w:p>
    <w:p w14:paraId="2508C21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Managers influence organisational culture through their daily interactions with employees. Demonstrating respect, recognising good performance, encouraging teamwork and supporting continuous learning all contribute to a positive workplace environment. Such behaviours strengthen psychological safety, enabling employees to share ideas, report concerns and contribute to organisational improvement without fear of negative consequences.</w:t>
      </w:r>
    </w:p>
    <w:p w14:paraId="5C09BB9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Developing a strong learning culture is particularly important because Tesco operates within a rapidly changing retail environment. Encouraging continuous professional development enables employees to adapt more effectively to technological innovation while supporting long-term organisational competitiveness.</w:t>
      </w:r>
    </w:p>
    <w:p w14:paraId="7C6EC9F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Similarly, inclusive leadership strengthens employee engagement by ensuring that all employees feel valued regardless of age, ethnicity, gender, disability or background. Research by CIPD (2024) indicates that inclusive workplaces experience higher employee satisfaction, stronger collaboration and improved innovation because employees feel able to contribute their ideas confidently.</w:t>
      </w:r>
    </w:p>
    <w:p w14:paraId="41475D27"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6E8DFFBD">
          <v:rect id="_x0000_i1044" style="width:0;height:1.5pt" o:hralign="center" o:hrstd="t" o:hr="t" fillcolor="#a0a0a0" stroked="f"/>
        </w:pict>
      </w:r>
    </w:p>
    <w:p w14:paraId="69CD7935" w14:textId="77777777" w:rsidR="000B60C7" w:rsidRPr="000B60C7" w:rsidRDefault="000B60C7" w:rsidP="000B60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60C7">
        <w:rPr>
          <w:rFonts w:ascii="Times New Roman" w:eastAsia="Times New Roman" w:hAnsi="Times New Roman" w:cs="Times New Roman"/>
          <w:b/>
          <w:bCs/>
          <w:kern w:val="0"/>
          <w:sz w:val="36"/>
          <w:szCs w:val="36"/>
          <w:lang w:eastAsia="en-GB"/>
          <w14:ligatures w14:val="none"/>
        </w:rPr>
        <w:t>3.5 Barriers to Implementation and Overcoming Them</w:t>
      </w:r>
    </w:p>
    <w:p w14:paraId="0AAFD08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Despite well-designed HR strategies, implementation may be hindered by several organisational barriers. Employee resistance to change remains one of the most significant challenges. Individuals may fear technological developments, increased performance monitoring or changes to established working practices. Managers should address these concerns through early consultation, transparent communication and practical training that builds employee confidence.</w:t>
      </w:r>
    </w:p>
    <w:p w14:paraId="15DEAE12"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Resource constraints may also affect implementation. Investment in digital technologies, leadership development and DEI programmes requires considerable financial commitment. Although these initiatives involve short-term costs, evidence suggests they generate long-term benefits through improved productivity, stronger employee retention and enhanced organisational reputation (Armstrong and Taylor, 2023).</w:t>
      </w:r>
    </w:p>
    <w:p w14:paraId="1AC8ADC7"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Another challenge is inconsistent managerial capability. Not all managers possess the leadership skills required to implement contemporary HR practices effectively. Tesco should therefore provide continuous management development focusing on coaching, change management, emotional intelligence and inclusive leadership.</w:t>
      </w:r>
    </w:p>
    <w:p w14:paraId="1FBF587A"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Finally, organisational resistance can occur when employees remain attached to traditional ways of working. Managers can reduce this resistance by celebrating early successes, recognising employee achievements and demonstrating how HR initiatives improve both organisational performance and employee wellbeing.</w:t>
      </w:r>
    </w:p>
    <w:p w14:paraId="0AB2081B"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Overall, successful implementation requires far more than introducing new HR policies. Departmental managers must demonstrate accountable leadership, communicate effectively, monitor organisational outcomes continuously and create an inclusive culture that supports learning and change. By embedding these behaviours into everyday management practice, Tesco can maximise the effectiveness of its HR strategy while strengthening employee engagement, organisational performance and long-term sustainability.</w:t>
      </w:r>
    </w:p>
    <w:p w14:paraId="7AEDCF09"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Conclusion</w:t>
      </w:r>
    </w:p>
    <w:p w14:paraId="102C8BE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This report has examined the contemporary Human Resource (HR) challenges facing Tesco plc and evaluated how effective HR practices can strengthen organisational performance, employee engagement and long-term sustainability. The analysis identified three significant challenges: adapting to technological advancements, attracting and retaining talented employees, and promoting diversity, equity and inclusion (DEI). These challenges are interconnected because technological innovation requires employees with appropriate digital skills, talent retention supports operational stability, and inclusive workplaces encourage collaboration, innovation and higher levels of employee commitment.</w:t>
      </w:r>
    </w:p>
    <w:p w14:paraId="17FED0BE"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The report demonstrated that Tesco has responded proactively through investments in digital HR systems, workforce analytics, employee development, employer branding and inclusive recruitment practices. These initiatives have improved operational efficiency, strengthened employee development and enhanced Tesco's reputation as an employer. However, the analysis also highlighted that the effectiveness of these HR practices depends on their successful implementation rather than their existence alone. Technology cannot replace effective leadership, employer branding must reflect employees' actual experiences, and DEI initiatives require an inclusive organisational culture to achieve meaningful outcomes.</w:t>
      </w:r>
    </w:p>
    <w:p w14:paraId="259ABDA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Furthermore, the report critically evaluated the role of departmental managers in ensuring successful implementation. Leadership accountability, effective communication, continuous performance monitoring and a positive organisational culture were identified as essential factors in embedding HR strategies into everyday management practice. Managers who demonstrate inclusive leadership, support employee development and encourage open communication are more likely to build trust, reduce resistance to change and improve organisational performance.</w:t>
      </w:r>
    </w:p>
    <w:p w14:paraId="3C696A3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Overall, Tesco is well positioned to respond to contemporary HR challenges. Nevertheless, maintaining competitive advantage will require continuous investment in people, technology and leadership capability. By aligning HR strategy with organisational objectives and </w:t>
      </w:r>
      <w:r w:rsidRPr="000B60C7">
        <w:rPr>
          <w:rFonts w:ascii="Times New Roman" w:eastAsia="Times New Roman" w:hAnsi="Times New Roman" w:cs="Times New Roman"/>
          <w:kern w:val="0"/>
          <w:lang w:eastAsia="en-GB"/>
          <w14:ligatures w14:val="none"/>
        </w:rPr>
        <w:lastRenderedPageBreak/>
        <w:t>adapting to changes in the external environment, Tesco can continue to improve employee wellbeing, customer satisfaction and sustainable business performance.</w:t>
      </w:r>
    </w:p>
    <w:p w14:paraId="331D41BC"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315D38BF">
          <v:rect id="_x0000_i1049" style="width:0;height:1.5pt" o:hralign="center" o:hrstd="t" o:hr="t" fillcolor="#a0a0a0" stroked="f"/>
        </w:pict>
      </w:r>
    </w:p>
    <w:p w14:paraId="046F9D25" w14:textId="77777777" w:rsidR="000B60C7" w:rsidRPr="000B60C7" w:rsidRDefault="000B60C7" w:rsidP="000B60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Recommendations</w:t>
      </w:r>
    </w:p>
    <w:p w14:paraId="48EC51B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Based on the findings of this report, the following recommendations are proposed to strengthen Tesco's HR strategy:</w:t>
      </w:r>
    </w:p>
    <w:p w14:paraId="2D08631A"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1. Expand digital learning and reskilling programmes.</w:t>
      </w:r>
      <w:r w:rsidRPr="000B60C7">
        <w:rPr>
          <w:rFonts w:ascii="Times New Roman" w:eastAsia="Times New Roman" w:hAnsi="Times New Roman" w:cs="Times New Roman"/>
          <w:kern w:val="0"/>
          <w:lang w:eastAsia="en-GB"/>
          <w14:ligatures w14:val="none"/>
        </w:rPr>
        <w:br/>
        <w:t>Tesco should provide continuous digital skills training to ensure employees can confidently adapt to emerging technologies. Annual digital competency reviews should be introduced to identify development needs and reduce future skills gaps.</w:t>
      </w:r>
    </w:p>
    <w:p w14:paraId="35CEB31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2. Strengthen employee retention through personalised career development.</w:t>
      </w:r>
      <w:r w:rsidRPr="000B60C7">
        <w:rPr>
          <w:rFonts w:ascii="Times New Roman" w:eastAsia="Times New Roman" w:hAnsi="Times New Roman" w:cs="Times New Roman"/>
          <w:kern w:val="0"/>
          <w:lang w:eastAsia="en-GB"/>
          <w14:ligatures w14:val="none"/>
        </w:rPr>
        <w:br/>
        <w:t>Managers should work with employees to create individual development plans, supported by mentoring, internal promotion opportunities and regular career discussions. This would improve engagement while reducing voluntary labour turnover.</w:t>
      </w:r>
    </w:p>
    <w:p w14:paraId="55B845C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3. Introduce people-focused managerial performance measures.</w:t>
      </w:r>
      <w:r w:rsidRPr="000B60C7">
        <w:rPr>
          <w:rFonts w:ascii="Times New Roman" w:eastAsia="Times New Roman" w:hAnsi="Times New Roman" w:cs="Times New Roman"/>
          <w:kern w:val="0"/>
          <w:lang w:eastAsia="en-GB"/>
          <w14:ligatures w14:val="none"/>
        </w:rPr>
        <w:br/>
        <w:t>Departmental managers should be evaluated not only on operational performance but also on employee engagement, retention, diversity outcomes and team development. Linking these measures to performance reviews would increase leadership accountability.</w:t>
      </w:r>
    </w:p>
    <w:p w14:paraId="1958C7E5"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4. Enhance employee wellbeing initiatives.</w:t>
      </w:r>
      <w:r w:rsidRPr="000B60C7">
        <w:rPr>
          <w:rFonts w:ascii="Times New Roman" w:eastAsia="Times New Roman" w:hAnsi="Times New Roman" w:cs="Times New Roman"/>
          <w:kern w:val="0"/>
          <w:lang w:eastAsia="en-GB"/>
          <w14:ligatures w14:val="none"/>
        </w:rPr>
        <w:br/>
        <w:t>Tesco should continue investing in mental health support, flexible working arrangements where operationally possible, and employee assistance programmes to improve wellbeing, productivity and work-life balance.</w:t>
      </w:r>
    </w:p>
    <w:p w14:paraId="7DF95A4E"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5. Strengthen Diversity, Equity and Inclusion monitoring.</w:t>
      </w:r>
      <w:r w:rsidRPr="000B60C7">
        <w:rPr>
          <w:rFonts w:ascii="Times New Roman" w:eastAsia="Times New Roman" w:hAnsi="Times New Roman" w:cs="Times New Roman"/>
          <w:kern w:val="0"/>
          <w:lang w:eastAsia="en-GB"/>
          <w14:ligatures w14:val="none"/>
        </w:rPr>
        <w:br/>
        <w:t>The organisation should regularly review recruitment, promotion and pay data to identify inequalities. Diversity objectives should be supported by regular unconscious bias training and transparent reporting of progress.</w:t>
      </w:r>
    </w:p>
    <w:p w14:paraId="620A526D"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b/>
          <w:bCs/>
          <w:kern w:val="0"/>
          <w:lang w:eastAsia="en-GB"/>
          <w14:ligatures w14:val="none"/>
        </w:rPr>
        <w:t>6. Improve communication during organisational change.</w:t>
      </w:r>
      <w:r w:rsidRPr="000B60C7">
        <w:rPr>
          <w:rFonts w:ascii="Times New Roman" w:eastAsia="Times New Roman" w:hAnsi="Times New Roman" w:cs="Times New Roman"/>
          <w:kern w:val="0"/>
          <w:lang w:eastAsia="en-GB"/>
          <w14:ligatures w14:val="none"/>
        </w:rPr>
        <w:br/>
        <w:t>Managers should adopt structured communication plans that include regular team briefings, employee feedback sessions and follow-up reviews. Early engagement with employees will reduce resistance to change and improve implementation success.</w:t>
      </w:r>
    </w:p>
    <w:p w14:paraId="4109159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Implementing these recommendations will enable Tesco to strengthen employee engagement, improve organisational resilience and maintain its competitive position within the UK retail sector.</w:t>
      </w:r>
    </w:p>
    <w:p w14:paraId="148EDEBC" w14:textId="77777777" w:rsidR="000B60C7" w:rsidRPr="000B60C7" w:rsidRDefault="000B60C7" w:rsidP="000B60C7">
      <w:pPr>
        <w:spacing w:after="0"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pict w14:anchorId="6056BF17">
          <v:rect id="_x0000_i1050" style="width:0;height:1.5pt" o:hralign="center" o:hrstd="t" o:hr="t" fillcolor="#a0a0a0" stroked="f"/>
        </w:pict>
      </w:r>
    </w:p>
    <w:p w14:paraId="48039CB3" w14:textId="6892F1FB" w:rsidR="000B60C7" w:rsidRPr="000B60C7" w:rsidRDefault="000B60C7" w:rsidP="000B60C7">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0B60C7">
        <w:rPr>
          <w:rFonts w:ascii="Times New Roman" w:eastAsia="Times New Roman" w:hAnsi="Times New Roman" w:cs="Times New Roman"/>
          <w:b/>
          <w:bCs/>
          <w:kern w:val="36"/>
          <w:sz w:val="48"/>
          <w:szCs w:val="48"/>
          <w:lang w:eastAsia="en-GB"/>
          <w14:ligatures w14:val="none"/>
        </w:rPr>
        <w:t xml:space="preserve">References </w:t>
      </w:r>
    </w:p>
    <w:p w14:paraId="4D9F6707"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 xml:space="preserve">Armstrong, M. and Taylor, S. (2023) </w:t>
      </w:r>
      <w:r w:rsidRPr="000B60C7">
        <w:rPr>
          <w:rFonts w:ascii="Times New Roman" w:eastAsia="Times New Roman" w:hAnsi="Times New Roman" w:cs="Times New Roman"/>
          <w:i/>
          <w:iCs/>
          <w:kern w:val="0"/>
          <w:lang w:eastAsia="en-GB"/>
          <w14:ligatures w14:val="none"/>
        </w:rPr>
        <w:t>Armstrong's Handbook of Human Resource Management Practice</w:t>
      </w:r>
      <w:r w:rsidRPr="000B60C7">
        <w:rPr>
          <w:rFonts w:ascii="Times New Roman" w:eastAsia="Times New Roman" w:hAnsi="Times New Roman" w:cs="Times New Roman"/>
          <w:kern w:val="0"/>
          <w:lang w:eastAsia="en-GB"/>
          <w14:ligatures w14:val="none"/>
        </w:rPr>
        <w:t>. 16th ed. London: Kogan Page.</w:t>
      </w:r>
    </w:p>
    <w:p w14:paraId="774055E0"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Backhaus, K. and </w:t>
      </w:r>
      <w:proofErr w:type="spellStart"/>
      <w:r w:rsidRPr="000B60C7">
        <w:rPr>
          <w:rFonts w:ascii="Times New Roman" w:eastAsia="Times New Roman" w:hAnsi="Times New Roman" w:cs="Times New Roman"/>
          <w:kern w:val="0"/>
          <w:lang w:eastAsia="en-GB"/>
          <w14:ligatures w14:val="none"/>
        </w:rPr>
        <w:t>Tikoo</w:t>
      </w:r>
      <w:proofErr w:type="spellEnd"/>
      <w:r w:rsidRPr="000B60C7">
        <w:rPr>
          <w:rFonts w:ascii="Times New Roman" w:eastAsia="Times New Roman" w:hAnsi="Times New Roman" w:cs="Times New Roman"/>
          <w:kern w:val="0"/>
          <w:lang w:eastAsia="en-GB"/>
          <w14:ligatures w14:val="none"/>
        </w:rPr>
        <w:t xml:space="preserve">, S. (2004) 'Conceptualising and researching employer branding', </w:t>
      </w:r>
      <w:r w:rsidRPr="000B60C7">
        <w:rPr>
          <w:rFonts w:ascii="Times New Roman" w:eastAsia="Times New Roman" w:hAnsi="Times New Roman" w:cs="Times New Roman"/>
          <w:i/>
          <w:iCs/>
          <w:kern w:val="0"/>
          <w:lang w:eastAsia="en-GB"/>
          <w14:ligatures w14:val="none"/>
        </w:rPr>
        <w:t>Career Development International</w:t>
      </w:r>
      <w:r w:rsidRPr="000B60C7">
        <w:rPr>
          <w:rFonts w:ascii="Times New Roman" w:eastAsia="Times New Roman" w:hAnsi="Times New Roman" w:cs="Times New Roman"/>
          <w:kern w:val="0"/>
          <w:lang w:eastAsia="en-GB"/>
          <w14:ligatures w14:val="none"/>
        </w:rPr>
        <w:t>, 9(5), pp. 501–517.</w:t>
      </w:r>
    </w:p>
    <w:p w14:paraId="7A2B668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Barney, J. (1991) 'Firm resources and sustained competitive advantage', </w:t>
      </w:r>
      <w:r w:rsidRPr="000B60C7">
        <w:rPr>
          <w:rFonts w:ascii="Times New Roman" w:eastAsia="Times New Roman" w:hAnsi="Times New Roman" w:cs="Times New Roman"/>
          <w:i/>
          <w:iCs/>
          <w:kern w:val="0"/>
          <w:lang w:eastAsia="en-GB"/>
          <w14:ligatures w14:val="none"/>
        </w:rPr>
        <w:t>Journal of Management</w:t>
      </w:r>
      <w:r w:rsidRPr="000B60C7">
        <w:rPr>
          <w:rFonts w:ascii="Times New Roman" w:eastAsia="Times New Roman" w:hAnsi="Times New Roman" w:cs="Times New Roman"/>
          <w:kern w:val="0"/>
          <w:lang w:eastAsia="en-GB"/>
          <w14:ligatures w14:val="none"/>
        </w:rPr>
        <w:t>, 17(1), pp. 99–120.</w:t>
      </w:r>
    </w:p>
    <w:p w14:paraId="6E089E68"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Bass, B.M. and Avolio, B.J. (1994) </w:t>
      </w:r>
      <w:r w:rsidRPr="000B60C7">
        <w:rPr>
          <w:rFonts w:ascii="Times New Roman" w:eastAsia="Times New Roman" w:hAnsi="Times New Roman" w:cs="Times New Roman"/>
          <w:i/>
          <w:iCs/>
          <w:kern w:val="0"/>
          <w:lang w:eastAsia="en-GB"/>
          <w14:ligatures w14:val="none"/>
        </w:rPr>
        <w:t>Improving Organisational Effectiveness through Transformational Leadership</w:t>
      </w:r>
      <w:r w:rsidRPr="000B60C7">
        <w:rPr>
          <w:rFonts w:ascii="Times New Roman" w:eastAsia="Times New Roman" w:hAnsi="Times New Roman" w:cs="Times New Roman"/>
          <w:kern w:val="0"/>
          <w:lang w:eastAsia="en-GB"/>
          <w14:ligatures w14:val="none"/>
        </w:rPr>
        <w:t>. Thousand Oaks: Sage.</w:t>
      </w:r>
    </w:p>
    <w:p w14:paraId="5BB1EE7F"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Beer, M., Spector, B., Lawrence, P., Mills, D. and Walton, R. (1984) </w:t>
      </w:r>
      <w:r w:rsidRPr="000B60C7">
        <w:rPr>
          <w:rFonts w:ascii="Times New Roman" w:eastAsia="Times New Roman" w:hAnsi="Times New Roman" w:cs="Times New Roman"/>
          <w:i/>
          <w:iCs/>
          <w:kern w:val="0"/>
          <w:lang w:eastAsia="en-GB"/>
          <w14:ligatures w14:val="none"/>
        </w:rPr>
        <w:t>Managing Human Assets</w:t>
      </w:r>
      <w:r w:rsidRPr="000B60C7">
        <w:rPr>
          <w:rFonts w:ascii="Times New Roman" w:eastAsia="Times New Roman" w:hAnsi="Times New Roman" w:cs="Times New Roman"/>
          <w:kern w:val="0"/>
          <w:lang w:eastAsia="en-GB"/>
          <w14:ligatures w14:val="none"/>
        </w:rPr>
        <w:t>. New York: Free Press.</w:t>
      </w:r>
    </w:p>
    <w:p w14:paraId="54175B92"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Boxall, P. and Purcell, J. (2022) </w:t>
      </w:r>
      <w:r w:rsidRPr="000B60C7">
        <w:rPr>
          <w:rFonts w:ascii="Times New Roman" w:eastAsia="Times New Roman" w:hAnsi="Times New Roman" w:cs="Times New Roman"/>
          <w:i/>
          <w:iCs/>
          <w:kern w:val="0"/>
          <w:lang w:eastAsia="en-GB"/>
          <w14:ligatures w14:val="none"/>
        </w:rPr>
        <w:t>Strategy and Human Resource Management</w:t>
      </w:r>
      <w:r w:rsidRPr="000B60C7">
        <w:rPr>
          <w:rFonts w:ascii="Times New Roman" w:eastAsia="Times New Roman" w:hAnsi="Times New Roman" w:cs="Times New Roman"/>
          <w:kern w:val="0"/>
          <w:lang w:eastAsia="en-GB"/>
          <w14:ligatures w14:val="none"/>
        </w:rPr>
        <w:t>. 6th ed. London: Bloomsbury.</w:t>
      </w:r>
    </w:p>
    <w:p w14:paraId="1F20DD49"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Bratton, J. and Gold, J. (2023) </w:t>
      </w:r>
      <w:r w:rsidRPr="000B60C7">
        <w:rPr>
          <w:rFonts w:ascii="Times New Roman" w:eastAsia="Times New Roman" w:hAnsi="Times New Roman" w:cs="Times New Roman"/>
          <w:i/>
          <w:iCs/>
          <w:kern w:val="0"/>
          <w:lang w:eastAsia="en-GB"/>
          <w14:ligatures w14:val="none"/>
        </w:rPr>
        <w:t>Human Resource Management: Theory and Practice</w:t>
      </w:r>
      <w:r w:rsidRPr="000B60C7">
        <w:rPr>
          <w:rFonts w:ascii="Times New Roman" w:eastAsia="Times New Roman" w:hAnsi="Times New Roman" w:cs="Times New Roman"/>
          <w:kern w:val="0"/>
          <w:lang w:eastAsia="en-GB"/>
          <w14:ligatures w14:val="none"/>
        </w:rPr>
        <w:t>. 8th ed. London: Palgrave Macmillan.</w:t>
      </w:r>
    </w:p>
    <w:p w14:paraId="4AD60CEA"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Chartered Institute of Personnel and Development (CIPD) (2024) </w:t>
      </w:r>
      <w:r w:rsidRPr="000B60C7">
        <w:rPr>
          <w:rFonts w:ascii="Times New Roman" w:eastAsia="Times New Roman" w:hAnsi="Times New Roman" w:cs="Times New Roman"/>
          <w:i/>
          <w:iCs/>
          <w:kern w:val="0"/>
          <w:lang w:eastAsia="en-GB"/>
          <w14:ligatures w14:val="none"/>
        </w:rPr>
        <w:t>Good Work Index 2024</w:t>
      </w:r>
      <w:r w:rsidRPr="000B60C7">
        <w:rPr>
          <w:rFonts w:ascii="Times New Roman" w:eastAsia="Times New Roman" w:hAnsi="Times New Roman" w:cs="Times New Roman"/>
          <w:kern w:val="0"/>
          <w:lang w:eastAsia="en-GB"/>
          <w14:ligatures w14:val="none"/>
        </w:rPr>
        <w:t>. London: CIPD.</w:t>
      </w:r>
    </w:p>
    <w:p w14:paraId="10BA4D38"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Chartered Institute of Personnel and Development (CIPD) (2024) </w:t>
      </w:r>
      <w:r w:rsidRPr="000B60C7">
        <w:rPr>
          <w:rFonts w:ascii="Times New Roman" w:eastAsia="Times New Roman" w:hAnsi="Times New Roman" w:cs="Times New Roman"/>
          <w:i/>
          <w:iCs/>
          <w:kern w:val="0"/>
          <w:lang w:eastAsia="en-GB"/>
          <w14:ligatures w14:val="none"/>
        </w:rPr>
        <w:t>People Profession Survey</w:t>
      </w:r>
      <w:r w:rsidRPr="000B60C7">
        <w:rPr>
          <w:rFonts w:ascii="Times New Roman" w:eastAsia="Times New Roman" w:hAnsi="Times New Roman" w:cs="Times New Roman"/>
          <w:kern w:val="0"/>
          <w:lang w:eastAsia="en-GB"/>
          <w14:ligatures w14:val="none"/>
        </w:rPr>
        <w:t>. London: CIPD.</w:t>
      </w:r>
    </w:p>
    <w:p w14:paraId="5631198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0B60C7">
        <w:rPr>
          <w:rFonts w:ascii="Times New Roman" w:eastAsia="Times New Roman" w:hAnsi="Times New Roman" w:cs="Times New Roman"/>
          <w:kern w:val="0"/>
          <w:lang w:eastAsia="en-GB"/>
          <w14:ligatures w14:val="none"/>
        </w:rPr>
        <w:t>Dessler</w:t>
      </w:r>
      <w:proofErr w:type="spellEnd"/>
      <w:r w:rsidRPr="000B60C7">
        <w:rPr>
          <w:rFonts w:ascii="Times New Roman" w:eastAsia="Times New Roman" w:hAnsi="Times New Roman" w:cs="Times New Roman"/>
          <w:kern w:val="0"/>
          <w:lang w:eastAsia="en-GB"/>
          <w14:ligatures w14:val="none"/>
        </w:rPr>
        <w:t xml:space="preserve">, G. (2020) </w:t>
      </w:r>
      <w:r w:rsidRPr="000B60C7">
        <w:rPr>
          <w:rFonts w:ascii="Times New Roman" w:eastAsia="Times New Roman" w:hAnsi="Times New Roman" w:cs="Times New Roman"/>
          <w:i/>
          <w:iCs/>
          <w:kern w:val="0"/>
          <w:lang w:eastAsia="en-GB"/>
          <w14:ligatures w14:val="none"/>
        </w:rPr>
        <w:t>Human Resource Management</w:t>
      </w:r>
      <w:r w:rsidRPr="000B60C7">
        <w:rPr>
          <w:rFonts w:ascii="Times New Roman" w:eastAsia="Times New Roman" w:hAnsi="Times New Roman" w:cs="Times New Roman"/>
          <w:kern w:val="0"/>
          <w:lang w:eastAsia="en-GB"/>
          <w14:ligatures w14:val="none"/>
        </w:rPr>
        <w:t>. 16th ed. Harlow: Pearson.</w:t>
      </w:r>
    </w:p>
    <w:p w14:paraId="34AC8AF6"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Equality Act 2010. London: The Stationery Office.</w:t>
      </w:r>
    </w:p>
    <w:p w14:paraId="5A5BC71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Guest, D.E. (2017) 'Human resource management and employee well-being', </w:t>
      </w:r>
      <w:r w:rsidRPr="000B60C7">
        <w:rPr>
          <w:rFonts w:ascii="Times New Roman" w:eastAsia="Times New Roman" w:hAnsi="Times New Roman" w:cs="Times New Roman"/>
          <w:i/>
          <w:iCs/>
          <w:kern w:val="0"/>
          <w:lang w:eastAsia="en-GB"/>
          <w14:ligatures w14:val="none"/>
        </w:rPr>
        <w:t>Human Resource Management Journal</w:t>
      </w:r>
      <w:r w:rsidRPr="000B60C7">
        <w:rPr>
          <w:rFonts w:ascii="Times New Roman" w:eastAsia="Times New Roman" w:hAnsi="Times New Roman" w:cs="Times New Roman"/>
          <w:kern w:val="0"/>
          <w:lang w:eastAsia="en-GB"/>
          <w14:ligatures w14:val="none"/>
        </w:rPr>
        <w:t>, 27(1), pp. 22–38.</w:t>
      </w:r>
    </w:p>
    <w:p w14:paraId="0DF0F73A"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Kahn, W.A. (1990) 'Psychological conditions of personal engagement and disengagement at work', </w:t>
      </w:r>
      <w:r w:rsidRPr="000B60C7">
        <w:rPr>
          <w:rFonts w:ascii="Times New Roman" w:eastAsia="Times New Roman" w:hAnsi="Times New Roman" w:cs="Times New Roman"/>
          <w:i/>
          <w:iCs/>
          <w:kern w:val="0"/>
          <w:lang w:eastAsia="en-GB"/>
          <w14:ligatures w14:val="none"/>
        </w:rPr>
        <w:t>Academy of Management Journal</w:t>
      </w:r>
      <w:r w:rsidRPr="000B60C7">
        <w:rPr>
          <w:rFonts w:ascii="Times New Roman" w:eastAsia="Times New Roman" w:hAnsi="Times New Roman" w:cs="Times New Roman"/>
          <w:kern w:val="0"/>
          <w:lang w:eastAsia="en-GB"/>
          <w14:ligatures w14:val="none"/>
        </w:rPr>
        <w:t>, 33(4), pp. 692–724.</w:t>
      </w:r>
    </w:p>
    <w:p w14:paraId="70491EF2"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Kaplan, R.S. and Norton, D.P. (1996) </w:t>
      </w:r>
      <w:r w:rsidRPr="000B60C7">
        <w:rPr>
          <w:rFonts w:ascii="Times New Roman" w:eastAsia="Times New Roman" w:hAnsi="Times New Roman" w:cs="Times New Roman"/>
          <w:i/>
          <w:iCs/>
          <w:kern w:val="0"/>
          <w:lang w:eastAsia="en-GB"/>
          <w14:ligatures w14:val="none"/>
        </w:rPr>
        <w:t>The Balanced Scorecard</w:t>
      </w:r>
      <w:r w:rsidRPr="000B60C7">
        <w:rPr>
          <w:rFonts w:ascii="Times New Roman" w:eastAsia="Times New Roman" w:hAnsi="Times New Roman" w:cs="Times New Roman"/>
          <w:kern w:val="0"/>
          <w:lang w:eastAsia="en-GB"/>
          <w14:ligatures w14:val="none"/>
        </w:rPr>
        <w:t>. Boston: Harvard Business School Press.</w:t>
      </w:r>
    </w:p>
    <w:p w14:paraId="40351091"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Kotter, J.P. (1996) </w:t>
      </w:r>
      <w:r w:rsidRPr="000B60C7">
        <w:rPr>
          <w:rFonts w:ascii="Times New Roman" w:eastAsia="Times New Roman" w:hAnsi="Times New Roman" w:cs="Times New Roman"/>
          <w:i/>
          <w:iCs/>
          <w:kern w:val="0"/>
          <w:lang w:eastAsia="en-GB"/>
          <w14:ligatures w14:val="none"/>
        </w:rPr>
        <w:t>Leading Change</w:t>
      </w:r>
      <w:r w:rsidRPr="000B60C7">
        <w:rPr>
          <w:rFonts w:ascii="Times New Roman" w:eastAsia="Times New Roman" w:hAnsi="Times New Roman" w:cs="Times New Roman"/>
          <w:kern w:val="0"/>
          <w:lang w:eastAsia="en-GB"/>
          <w14:ligatures w14:val="none"/>
        </w:rPr>
        <w:t>. Boston: Harvard Business School Press.</w:t>
      </w:r>
    </w:p>
    <w:p w14:paraId="4EC95ED2"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Robbins, S.P. and Judge, T.A. (2023) </w:t>
      </w:r>
      <w:r w:rsidRPr="000B60C7">
        <w:rPr>
          <w:rFonts w:ascii="Times New Roman" w:eastAsia="Times New Roman" w:hAnsi="Times New Roman" w:cs="Times New Roman"/>
          <w:i/>
          <w:iCs/>
          <w:kern w:val="0"/>
          <w:lang w:eastAsia="en-GB"/>
          <w14:ligatures w14:val="none"/>
        </w:rPr>
        <w:t>Organisational Behaviour</w:t>
      </w:r>
      <w:r w:rsidRPr="000B60C7">
        <w:rPr>
          <w:rFonts w:ascii="Times New Roman" w:eastAsia="Times New Roman" w:hAnsi="Times New Roman" w:cs="Times New Roman"/>
          <w:kern w:val="0"/>
          <w:lang w:eastAsia="en-GB"/>
          <w14:ligatures w14:val="none"/>
        </w:rPr>
        <w:t>. 19th ed. Harlow: Pearson.</w:t>
      </w:r>
    </w:p>
    <w:p w14:paraId="1E477775"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Storey, J. (2019) </w:t>
      </w:r>
      <w:r w:rsidRPr="000B60C7">
        <w:rPr>
          <w:rFonts w:ascii="Times New Roman" w:eastAsia="Times New Roman" w:hAnsi="Times New Roman" w:cs="Times New Roman"/>
          <w:i/>
          <w:iCs/>
          <w:kern w:val="0"/>
          <w:lang w:eastAsia="en-GB"/>
          <w14:ligatures w14:val="none"/>
        </w:rPr>
        <w:t>Human Resource Management: A Critical Text</w:t>
      </w:r>
      <w:r w:rsidRPr="000B60C7">
        <w:rPr>
          <w:rFonts w:ascii="Times New Roman" w:eastAsia="Times New Roman" w:hAnsi="Times New Roman" w:cs="Times New Roman"/>
          <w:kern w:val="0"/>
          <w:lang w:eastAsia="en-GB"/>
          <w14:ligatures w14:val="none"/>
        </w:rPr>
        <w:t>. 5th ed. London: Routledge.</w:t>
      </w:r>
    </w:p>
    <w:p w14:paraId="36BE7CD3"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Tesco plc (2024) </w:t>
      </w:r>
      <w:r w:rsidRPr="000B60C7">
        <w:rPr>
          <w:rFonts w:ascii="Times New Roman" w:eastAsia="Times New Roman" w:hAnsi="Times New Roman" w:cs="Times New Roman"/>
          <w:i/>
          <w:iCs/>
          <w:kern w:val="0"/>
          <w:lang w:eastAsia="en-GB"/>
          <w14:ligatures w14:val="none"/>
        </w:rPr>
        <w:t>Annual Report and Financial Statements 2024</w:t>
      </w:r>
      <w:r w:rsidRPr="000B60C7">
        <w:rPr>
          <w:rFonts w:ascii="Times New Roman" w:eastAsia="Times New Roman" w:hAnsi="Times New Roman" w:cs="Times New Roman"/>
          <w:kern w:val="0"/>
          <w:lang w:eastAsia="en-GB"/>
          <w14:ligatures w14:val="none"/>
        </w:rPr>
        <w:t>. Welwyn Garden City: Tesco PLC.</w:t>
      </w:r>
    </w:p>
    <w:p w14:paraId="44C782C5"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t xml:space="preserve">Tesco plc (2024) </w:t>
      </w:r>
      <w:r w:rsidRPr="000B60C7">
        <w:rPr>
          <w:rFonts w:ascii="Times New Roman" w:eastAsia="Times New Roman" w:hAnsi="Times New Roman" w:cs="Times New Roman"/>
          <w:i/>
          <w:iCs/>
          <w:kern w:val="0"/>
          <w:lang w:eastAsia="en-GB"/>
          <w14:ligatures w14:val="none"/>
        </w:rPr>
        <w:t>Diversity, Equity and Inclusion Report</w:t>
      </w:r>
      <w:r w:rsidRPr="000B60C7">
        <w:rPr>
          <w:rFonts w:ascii="Times New Roman" w:eastAsia="Times New Roman" w:hAnsi="Times New Roman" w:cs="Times New Roman"/>
          <w:kern w:val="0"/>
          <w:lang w:eastAsia="en-GB"/>
          <w14:ligatures w14:val="none"/>
        </w:rPr>
        <w:t>. Welwyn Garden City: Tesco PLC.</w:t>
      </w:r>
    </w:p>
    <w:p w14:paraId="34F08A6C" w14:textId="77777777" w:rsidR="000B60C7" w:rsidRPr="000B60C7" w:rsidRDefault="000B60C7" w:rsidP="000B60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60C7">
        <w:rPr>
          <w:rFonts w:ascii="Times New Roman" w:eastAsia="Times New Roman" w:hAnsi="Times New Roman" w:cs="Times New Roman"/>
          <w:kern w:val="0"/>
          <w:lang w:eastAsia="en-GB"/>
          <w14:ligatures w14:val="none"/>
        </w:rPr>
        <w:lastRenderedPageBreak/>
        <w:t xml:space="preserve">World Economic Forum (2023) </w:t>
      </w:r>
      <w:r w:rsidRPr="000B60C7">
        <w:rPr>
          <w:rFonts w:ascii="Times New Roman" w:eastAsia="Times New Roman" w:hAnsi="Times New Roman" w:cs="Times New Roman"/>
          <w:i/>
          <w:iCs/>
          <w:kern w:val="0"/>
          <w:lang w:eastAsia="en-GB"/>
          <w14:ligatures w14:val="none"/>
        </w:rPr>
        <w:t>The Future of Jobs Report 2023</w:t>
      </w:r>
      <w:r w:rsidRPr="000B60C7">
        <w:rPr>
          <w:rFonts w:ascii="Times New Roman" w:eastAsia="Times New Roman" w:hAnsi="Times New Roman" w:cs="Times New Roman"/>
          <w:kern w:val="0"/>
          <w:lang w:eastAsia="en-GB"/>
          <w14:ligatures w14:val="none"/>
        </w:rPr>
        <w:t>. Geneva: World Economic Forum.</w:t>
      </w:r>
    </w:p>
    <w:p w14:paraId="12697BE6" w14:textId="77777777" w:rsidR="00FD759B" w:rsidRPr="000B60C7" w:rsidRDefault="00FD759B">
      <w:pPr>
        <w:rPr>
          <w:sz w:val="22"/>
          <w:szCs w:val="22"/>
        </w:rPr>
      </w:pPr>
    </w:p>
    <w:sectPr w:rsidR="00FD759B" w:rsidRPr="000B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0C7"/>
    <w:rsid w:val="000B60C7"/>
    <w:rsid w:val="0070776C"/>
    <w:rsid w:val="00E80FD2"/>
    <w:rsid w:val="00F46BAE"/>
    <w:rsid w:val="00FD7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34007"/>
  <w15:chartTrackingRefBased/>
  <w15:docId w15:val="{111AE30F-1597-4FAA-A91D-113272AC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0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60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0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0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0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0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60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0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0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0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0C7"/>
    <w:rPr>
      <w:rFonts w:eastAsiaTheme="majorEastAsia" w:cstheme="majorBidi"/>
      <w:color w:val="272727" w:themeColor="text1" w:themeTint="D8"/>
    </w:rPr>
  </w:style>
  <w:style w:type="paragraph" w:styleId="Title">
    <w:name w:val="Title"/>
    <w:basedOn w:val="Normal"/>
    <w:next w:val="Normal"/>
    <w:link w:val="TitleChar"/>
    <w:uiPriority w:val="10"/>
    <w:qFormat/>
    <w:rsid w:val="000B6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0C7"/>
    <w:pPr>
      <w:spacing w:before="160"/>
      <w:jc w:val="center"/>
    </w:pPr>
    <w:rPr>
      <w:i/>
      <w:iCs/>
      <w:color w:val="404040" w:themeColor="text1" w:themeTint="BF"/>
    </w:rPr>
  </w:style>
  <w:style w:type="character" w:customStyle="1" w:styleId="QuoteChar">
    <w:name w:val="Quote Char"/>
    <w:basedOn w:val="DefaultParagraphFont"/>
    <w:link w:val="Quote"/>
    <w:uiPriority w:val="29"/>
    <w:rsid w:val="000B60C7"/>
    <w:rPr>
      <w:i/>
      <w:iCs/>
      <w:color w:val="404040" w:themeColor="text1" w:themeTint="BF"/>
    </w:rPr>
  </w:style>
  <w:style w:type="paragraph" w:styleId="ListParagraph">
    <w:name w:val="List Paragraph"/>
    <w:basedOn w:val="Normal"/>
    <w:uiPriority w:val="34"/>
    <w:qFormat/>
    <w:rsid w:val="000B60C7"/>
    <w:pPr>
      <w:ind w:left="720"/>
      <w:contextualSpacing/>
    </w:pPr>
  </w:style>
  <w:style w:type="character" w:styleId="IntenseEmphasis">
    <w:name w:val="Intense Emphasis"/>
    <w:basedOn w:val="DefaultParagraphFont"/>
    <w:uiPriority w:val="21"/>
    <w:qFormat/>
    <w:rsid w:val="000B60C7"/>
    <w:rPr>
      <w:i/>
      <w:iCs/>
      <w:color w:val="0F4761" w:themeColor="accent1" w:themeShade="BF"/>
    </w:rPr>
  </w:style>
  <w:style w:type="paragraph" w:styleId="IntenseQuote">
    <w:name w:val="Intense Quote"/>
    <w:basedOn w:val="Normal"/>
    <w:next w:val="Normal"/>
    <w:link w:val="IntenseQuoteChar"/>
    <w:uiPriority w:val="30"/>
    <w:qFormat/>
    <w:rsid w:val="000B60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0C7"/>
    <w:rPr>
      <w:i/>
      <w:iCs/>
      <w:color w:val="0F4761" w:themeColor="accent1" w:themeShade="BF"/>
    </w:rPr>
  </w:style>
  <w:style w:type="character" w:styleId="IntenseReference">
    <w:name w:val="Intense Reference"/>
    <w:basedOn w:val="DefaultParagraphFont"/>
    <w:uiPriority w:val="32"/>
    <w:qFormat/>
    <w:rsid w:val="000B60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748396">
      <w:bodyDiv w:val="1"/>
      <w:marLeft w:val="0"/>
      <w:marRight w:val="0"/>
      <w:marTop w:val="0"/>
      <w:marBottom w:val="0"/>
      <w:divBdr>
        <w:top w:val="none" w:sz="0" w:space="0" w:color="auto"/>
        <w:left w:val="none" w:sz="0" w:space="0" w:color="auto"/>
        <w:bottom w:val="none" w:sz="0" w:space="0" w:color="auto"/>
        <w:right w:val="none" w:sz="0" w:space="0" w:color="auto"/>
      </w:divBdr>
    </w:div>
    <w:div w:id="1218931079">
      <w:bodyDiv w:val="1"/>
      <w:marLeft w:val="0"/>
      <w:marRight w:val="0"/>
      <w:marTop w:val="0"/>
      <w:marBottom w:val="0"/>
      <w:divBdr>
        <w:top w:val="none" w:sz="0" w:space="0" w:color="auto"/>
        <w:left w:val="none" w:sz="0" w:space="0" w:color="auto"/>
        <w:bottom w:val="none" w:sz="0" w:space="0" w:color="auto"/>
        <w:right w:val="none" w:sz="0" w:space="0" w:color="auto"/>
      </w:divBdr>
    </w:div>
    <w:div w:id="1457024076">
      <w:bodyDiv w:val="1"/>
      <w:marLeft w:val="0"/>
      <w:marRight w:val="0"/>
      <w:marTop w:val="0"/>
      <w:marBottom w:val="0"/>
      <w:divBdr>
        <w:top w:val="none" w:sz="0" w:space="0" w:color="auto"/>
        <w:left w:val="none" w:sz="0" w:space="0" w:color="auto"/>
        <w:bottom w:val="none" w:sz="0" w:space="0" w:color="auto"/>
        <w:right w:val="none" w:sz="0" w:space="0" w:color="auto"/>
      </w:divBdr>
    </w:div>
    <w:div w:id="18877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4493</Words>
  <Characters>31144</Characters>
  <Application>Microsoft Office Word</Application>
  <DocSecurity>0</DocSecurity>
  <Lines>566</Lines>
  <Paragraphs>231</Paragraphs>
  <ScaleCrop>false</ScaleCrop>
  <Company>Coventry City Council</Company>
  <LinksUpToDate>false</LinksUpToDate>
  <CharactersWithSpaces>35406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Central Adult Windows 11</dc:creator>
  <cp:keywords/>
  <dc:description/>
  <cp:lastModifiedBy>Central Adult Windows 11</cp:lastModifiedBy>
  <cp:revision>2</cp:revision>
  <dcterms:created xsi:type="dcterms:W3CDTF">2026-07-18T12:31:00Z</dcterms:created>
  <dcterms:modified xsi:type="dcterms:W3CDTF">2026-07-18T12:31:00Z</dcterms:modified>
</cp:coreProperties>
</file>