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0" w:line="360" w:lineRule="auto"/>
        <w:jc w:val="center"/>
        <w:rPr>
          <w:rFonts w:ascii="Times New Roman" w:cs="Times New Roman" w:eastAsia="Times New Roman" w:hAnsi="Times New Roman"/>
          <w:b w:val="1"/>
          <w:bCs w:val="1"/>
          <w:color w:val="000000"/>
          <w:sz w:val="32"/>
          <w:szCs w:val="32"/>
        </w:rPr>
      </w:pPr>
      <w:r w:rsidDel="00000000" w:rsidR="00000000" w:rsidRPr="00000000">
        <w:rPr>
          <w:color w:val="000000"/>
        </w:rPr>
        <w:drawing>
          <wp:inline distB="0" distT="0" distL="0" distR="0">
            <wp:extent cx="3381375" cy="1352550"/>
            <wp:effectExtent b="0" l="0" r="0" t="0"/>
            <wp:docPr descr="A close-up of a sign&#10;&#10;AI-generated content may be incorrect." id="1" name="image1.png"/>
            <a:graphic>
              <a:graphicData uri="http://schemas.openxmlformats.org/drawingml/2006/picture">
                <pic:pic>
                  <pic:nvPicPr>
                    <pic:cNvPr descr="A close-up of a sign&#10;&#10;AI-generated content may be incorrect." id="0" name="image1.png"/>
                    <pic:cNvPicPr preferRelativeResize="0"/>
                  </pic:nvPicPr>
                  <pic:blipFill>
                    <a:blip r:embed="rId6"/>
                    <a:srcRect b="0" l="0" r="0" t="0"/>
                    <a:stretch>
                      <a:fillRect/>
                    </a:stretch>
                  </pic:blipFill>
                  <pic:spPr>
                    <a:xfrm>
                      <a:off x="0" y="0"/>
                      <a:ext cx="3381375" cy="13525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0" w:line="360" w:lineRule="auto"/>
        <w:jc w:val="center"/>
        <w:rPr>
          <w:rFonts w:ascii="Times New Roman" w:cs="Times New Roman" w:eastAsia="Times New Roman" w:hAnsi="Times New Roman"/>
          <w:b w:val="1"/>
          <w:bCs w:val="1"/>
          <w:color w:val="000000"/>
          <w:sz w:val="32"/>
          <w:szCs w:val="32"/>
        </w:rPr>
      </w:pPr>
      <w:r w:rsidDel="00000000" w:rsidR="00000000" w:rsidRPr="00000000">
        <w:rPr>
          <w:rtl w:val="0"/>
        </w:rPr>
      </w:r>
    </w:p>
    <w:p w:rsidR="00000000" w:rsidDel="00000000" w:rsidP="00000000" w:rsidRDefault="00000000" w:rsidRPr="00000000" w14:paraId="00000003">
      <w:pPr>
        <w:spacing w:after="0" w:line="360" w:lineRule="auto"/>
        <w:rPr>
          <w:rFonts w:ascii="Times New Roman" w:cs="Times New Roman" w:eastAsia="Times New Roman" w:hAnsi="Times New Roman"/>
          <w:b w:val="1"/>
          <w:bCs w:val="1"/>
          <w:color w:val="000000"/>
          <w:sz w:val="32"/>
          <w:szCs w:val="32"/>
        </w:rPr>
      </w:pPr>
      <w:r w:rsidDel="00000000" w:rsidR="00000000" w:rsidRPr="00000000">
        <w:rPr>
          <w:rtl w:val="0"/>
        </w:rPr>
      </w:r>
    </w:p>
    <w:p w:rsidR="00000000" w:rsidDel="00000000" w:rsidP="00000000" w:rsidRDefault="00000000" w:rsidRPr="00000000" w14:paraId="00000004">
      <w:pPr>
        <w:spacing w:after="0" w:line="360" w:lineRule="auto"/>
        <w:jc w:val="center"/>
        <w:rPr>
          <w:rFonts w:ascii="Times New Roman" w:cs="Times New Roman" w:eastAsia="Times New Roman" w:hAnsi="Times New Roman"/>
          <w:b w:val="1"/>
          <w:bCs w:val="1"/>
          <w:color w:val="000000"/>
          <w:sz w:val="32"/>
          <w:szCs w:val="32"/>
        </w:rPr>
      </w:pPr>
      <w:r w:rsidDel="00000000" w:rsidR="00000000" w:rsidRPr="00000000">
        <w:rPr>
          <w:rFonts w:ascii="Times New Roman" w:cs="Times New Roman" w:eastAsia="Times New Roman" w:hAnsi="Times New Roman"/>
          <w:b w:val="1"/>
          <w:bCs w:val="1"/>
          <w:color w:val="000000"/>
          <w:sz w:val="32"/>
          <w:szCs w:val="32"/>
          <w:rtl w:val="0"/>
        </w:rPr>
        <w:t xml:space="preserve">Student Name:</w:t>
      </w:r>
      <w:r w:rsidDel="00000000" w:rsidR="00000000" w:rsidRPr="00000000">
        <w:rPr>
          <w:rFonts w:ascii="Times New Roman" w:cs="Times New Roman" w:eastAsia="Times New Roman" w:hAnsi="Times New Roman"/>
          <w:b w:val="1"/>
          <w:bCs w:val="1"/>
          <w:sz w:val="32"/>
          <w:szCs w:val="32"/>
          <w:rtl w:val="0"/>
        </w:rPr>
        <w:t xml:space="preserve"> Nishtha Savaliya </w:t>
      </w:r>
      <w:r w:rsidDel="00000000" w:rsidR="00000000" w:rsidRPr="00000000">
        <w:rPr>
          <w:rtl w:val="0"/>
        </w:rPr>
      </w:r>
    </w:p>
    <w:p w:rsidR="00000000" w:rsidDel="00000000" w:rsidP="00000000" w:rsidRDefault="00000000" w:rsidRPr="00000000" w14:paraId="00000005">
      <w:pPr>
        <w:spacing w:line="360" w:lineRule="auto"/>
        <w:jc w:val="center"/>
        <w:rPr>
          <w:rFonts w:ascii="Times New Roman" w:cs="Times New Roman" w:eastAsia="Times New Roman" w:hAnsi="Times New Roman"/>
          <w:b w:val="1"/>
          <w:bCs w:val="1"/>
          <w:color w:val="000000"/>
          <w:sz w:val="32"/>
          <w:szCs w:val="32"/>
        </w:rPr>
      </w:pPr>
      <w:r w:rsidDel="00000000" w:rsidR="00000000" w:rsidRPr="00000000">
        <w:rPr>
          <w:rFonts w:ascii="Times New Roman" w:cs="Times New Roman" w:eastAsia="Times New Roman" w:hAnsi="Times New Roman"/>
          <w:b w:val="1"/>
          <w:bCs w:val="1"/>
          <w:color w:val="000000"/>
          <w:sz w:val="32"/>
          <w:szCs w:val="32"/>
          <w:rtl w:val="0"/>
        </w:rPr>
        <w:t xml:space="preserve">Student ID Number: 2530041</w:t>
      </w:r>
    </w:p>
    <w:p w:rsidR="00000000" w:rsidDel="00000000" w:rsidP="00000000" w:rsidRDefault="00000000" w:rsidRPr="00000000" w14:paraId="00000006">
      <w:pPr>
        <w:spacing w:line="360" w:lineRule="auto"/>
        <w:jc w:val="center"/>
        <w:rPr>
          <w:rFonts w:ascii="Times New Roman" w:cs="Times New Roman" w:eastAsia="Times New Roman" w:hAnsi="Times New Roman"/>
          <w:b w:val="1"/>
          <w:bCs w:val="1"/>
          <w:color w:val="000000"/>
          <w:sz w:val="32"/>
          <w:szCs w:val="32"/>
        </w:rPr>
      </w:pPr>
      <w:r w:rsidDel="00000000" w:rsidR="00000000" w:rsidRPr="00000000">
        <w:rPr>
          <w:rFonts w:ascii="Times New Roman" w:cs="Times New Roman" w:eastAsia="Times New Roman" w:hAnsi="Times New Roman"/>
          <w:b w:val="1"/>
          <w:bCs w:val="1"/>
          <w:color w:val="000000"/>
          <w:sz w:val="32"/>
          <w:szCs w:val="32"/>
          <w:rtl w:val="0"/>
        </w:rPr>
        <w:t xml:space="preserve">PROGRAMME: MASTER OF BUSINESS ADMINISTRATION</w:t>
      </w:r>
    </w:p>
    <w:p w:rsidR="00000000" w:rsidDel="00000000" w:rsidP="00000000" w:rsidRDefault="00000000" w:rsidRPr="00000000" w14:paraId="00000007">
      <w:pPr>
        <w:spacing w:line="360" w:lineRule="auto"/>
        <w:jc w:val="center"/>
        <w:rPr>
          <w:rFonts w:ascii="Times New Roman" w:cs="Times New Roman" w:eastAsia="Times New Roman" w:hAnsi="Times New Roman"/>
          <w:b w:val="1"/>
          <w:bCs w:val="1"/>
          <w:color w:val="000000"/>
          <w:sz w:val="32"/>
          <w:szCs w:val="32"/>
        </w:rPr>
      </w:pPr>
      <w:r w:rsidDel="00000000" w:rsidR="00000000" w:rsidRPr="00000000">
        <w:rPr>
          <w:rFonts w:ascii="Times New Roman" w:cs="Times New Roman" w:eastAsia="Times New Roman" w:hAnsi="Times New Roman"/>
          <w:b w:val="1"/>
          <w:bCs w:val="1"/>
          <w:color w:val="000000"/>
          <w:sz w:val="32"/>
          <w:szCs w:val="32"/>
          <w:rtl w:val="0"/>
        </w:rPr>
        <w:t xml:space="preserve">MODULE: INTERNATIONAL MARKETING: PRINCIPLES AND PRACTICES</w:t>
      </w:r>
    </w:p>
    <w:p w:rsidR="00000000" w:rsidDel="00000000" w:rsidP="00000000" w:rsidRDefault="00000000" w:rsidRPr="00000000" w14:paraId="00000008">
      <w:pPr>
        <w:spacing w:line="360" w:lineRule="auto"/>
        <w:jc w:val="center"/>
        <w:rPr>
          <w:rFonts w:ascii="Times New Roman" w:cs="Times New Roman" w:eastAsia="Times New Roman" w:hAnsi="Times New Roman"/>
          <w:b w:val="1"/>
          <w:bCs w:val="1"/>
          <w:color w:val="000000"/>
          <w:sz w:val="32"/>
          <w:szCs w:val="32"/>
        </w:rPr>
      </w:pPr>
      <w:r w:rsidDel="00000000" w:rsidR="00000000" w:rsidRPr="00000000">
        <w:rPr>
          <w:rFonts w:ascii="Times New Roman" w:cs="Times New Roman" w:eastAsia="Times New Roman" w:hAnsi="Times New Roman"/>
          <w:b w:val="1"/>
          <w:bCs w:val="1"/>
          <w:color w:val="000000"/>
          <w:sz w:val="32"/>
          <w:szCs w:val="32"/>
          <w:rtl w:val="0"/>
        </w:rPr>
        <w:t xml:space="preserve">MODULE CODE: LCMB7026</w:t>
      </w:r>
    </w:p>
    <w:p w:rsidR="00000000" w:rsidDel="00000000" w:rsidP="00000000" w:rsidRDefault="00000000" w:rsidRPr="00000000" w14:paraId="00000009">
      <w:pPr>
        <w:spacing w:line="360" w:lineRule="auto"/>
        <w:jc w:val="center"/>
        <w:rPr>
          <w:rFonts w:ascii="Times New Roman" w:cs="Times New Roman" w:eastAsia="Times New Roman" w:hAnsi="Times New Roman"/>
          <w:b w:val="1"/>
          <w:bCs w:val="1"/>
          <w:color w:val="000000"/>
          <w:sz w:val="32"/>
          <w:szCs w:val="32"/>
        </w:rPr>
      </w:pPr>
      <w:r w:rsidDel="00000000" w:rsidR="00000000" w:rsidRPr="00000000">
        <w:rPr>
          <w:rFonts w:ascii="Times New Roman" w:cs="Times New Roman" w:eastAsia="Times New Roman" w:hAnsi="Times New Roman"/>
          <w:b w:val="1"/>
          <w:bCs w:val="1"/>
          <w:color w:val="000000"/>
          <w:sz w:val="32"/>
          <w:szCs w:val="32"/>
          <w:rtl w:val="0"/>
        </w:rPr>
        <w:t xml:space="preserve">Lecturer: Dr Piyumika Gamage </w:t>
      </w:r>
    </w:p>
    <w:p w:rsidR="00000000" w:rsidDel="00000000" w:rsidP="00000000" w:rsidRDefault="00000000" w:rsidRPr="00000000" w14:paraId="0000000A">
      <w:pPr>
        <w:spacing w:line="360" w:lineRule="auto"/>
        <w:jc w:val="center"/>
        <w:rPr>
          <w:rFonts w:ascii="Times New Roman" w:cs="Times New Roman" w:eastAsia="Times New Roman" w:hAnsi="Times New Roman"/>
          <w:b w:val="1"/>
          <w:bCs w:val="1"/>
          <w:color w:val="000000"/>
          <w:sz w:val="32"/>
          <w:szCs w:val="32"/>
        </w:rPr>
      </w:pPr>
      <w:r w:rsidDel="00000000" w:rsidR="00000000" w:rsidRPr="00000000">
        <w:rPr>
          <w:rFonts w:ascii="Times New Roman" w:cs="Times New Roman" w:eastAsia="Times New Roman" w:hAnsi="Times New Roman"/>
          <w:b w:val="1"/>
          <w:bCs w:val="1"/>
          <w:color w:val="000000"/>
          <w:sz w:val="32"/>
          <w:szCs w:val="32"/>
          <w:rtl w:val="0"/>
        </w:rPr>
        <w:t xml:space="preserve">Assignment Title: Assessment Component 1- Individual Report </w:t>
      </w:r>
    </w:p>
    <w:p w:rsidR="00000000" w:rsidDel="00000000" w:rsidP="00000000" w:rsidRDefault="00000000" w:rsidRPr="00000000" w14:paraId="0000000B">
      <w:pPr>
        <w:spacing w:line="360" w:lineRule="auto"/>
        <w:jc w:val="center"/>
        <w:rPr>
          <w:rFonts w:ascii="Times New Roman" w:cs="Times New Roman" w:eastAsia="Times New Roman" w:hAnsi="Times New Roman"/>
          <w:b w:val="1"/>
          <w:bCs w:val="1"/>
          <w:color w:val="000000"/>
          <w:sz w:val="32"/>
          <w:szCs w:val="32"/>
        </w:rPr>
      </w:pPr>
      <w:r w:rsidDel="00000000" w:rsidR="00000000" w:rsidRPr="00000000">
        <w:rPr>
          <w:rFonts w:ascii="Times New Roman" w:cs="Times New Roman" w:eastAsia="Times New Roman" w:hAnsi="Times New Roman"/>
          <w:b w:val="1"/>
          <w:bCs w:val="1"/>
          <w:color w:val="000000"/>
          <w:sz w:val="32"/>
          <w:szCs w:val="32"/>
          <w:rtl w:val="0"/>
        </w:rPr>
        <w:t xml:space="preserve">Selected Company: Cadbury </w:t>
      </w:r>
    </w:p>
    <w:p w:rsidR="00000000" w:rsidDel="00000000" w:rsidP="00000000" w:rsidRDefault="00000000" w:rsidRPr="00000000" w14:paraId="0000000C">
      <w:pPr>
        <w:spacing w:line="360" w:lineRule="auto"/>
        <w:jc w:val="center"/>
        <w:rPr>
          <w:rFonts w:ascii="Times New Roman" w:cs="Times New Roman" w:eastAsia="Times New Roman" w:hAnsi="Times New Roman"/>
          <w:b w:val="1"/>
          <w:bCs w:val="1"/>
          <w:color w:val="000000"/>
          <w:sz w:val="32"/>
          <w:szCs w:val="32"/>
        </w:rPr>
      </w:pPr>
      <w:r w:rsidDel="00000000" w:rsidR="00000000" w:rsidRPr="00000000">
        <w:rPr>
          <w:rFonts w:ascii="Times New Roman" w:cs="Times New Roman" w:eastAsia="Times New Roman" w:hAnsi="Times New Roman"/>
          <w:b w:val="1"/>
          <w:bCs w:val="1"/>
          <w:color w:val="000000"/>
          <w:sz w:val="32"/>
          <w:szCs w:val="32"/>
          <w:rtl w:val="0"/>
        </w:rPr>
        <w:t xml:space="preserve">Two Selected Countries: UK and India </w:t>
      </w:r>
    </w:p>
    <w:p w:rsidR="00000000" w:rsidDel="00000000" w:rsidP="00000000" w:rsidRDefault="00000000" w:rsidRPr="00000000" w14:paraId="0000000D">
      <w:pPr>
        <w:spacing w:line="360" w:lineRule="auto"/>
        <w:jc w:val="center"/>
        <w:rPr>
          <w:rFonts w:ascii="Times New Roman" w:cs="Times New Roman" w:eastAsia="Times New Roman" w:hAnsi="Times New Roman"/>
          <w:b w:val="1"/>
          <w:bCs w:val="1"/>
          <w:color w:val="000000"/>
          <w:sz w:val="32"/>
          <w:szCs w:val="32"/>
        </w:rPr>
      </w:pPr>
      <w:r w:rsidDel="00000000" w:rsidR="00000000" w:rsidRPr="00000000">
        <w:rPr>
          <w:rFonts w:ascii="Times New Roman" w:cs="Times New Roman" w:eastAsia="Times New Roman" w:hAnsi="Times New Roman"/>
          <w:b w:val="1"/>
          <w:bCs w:val="1"/>
          <w:color w:val="000000"/>
          <w:sz w:val="32"/>
          <w:szCs w:val="32"/>
          <w:rtl w:val="0"/>
        </w:rPr>
        <w:t xml:space="preserve">Word Count: 5738</w:t>
      </w:r>
    </w:p>
    <w:p w:rsidR="00000000" w:rsidDel="00000000" w:rsidP="00000000" w:rsidRDefault="00000000" w:rsidRPr="00000000" w14:paraId="0000000E">
      <w:pPr>
        <w:spacing w:after="0" w:lineRule="auto"/>
        <w:rPr>
          <w:rFonts w:ascii="Times New Roman" w:cs="Times New Roman" w:eastAsia="Times New Roman" w:hAnsi="Times New Roman"/>
          <w:b w:val="1"/>
          <w:bCs w:val="1"/>
          <w:color w:val="000000"/>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0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1"/>
          <w:bCs w:val="1"/>
          <w:i w:val="0"/>
          <w:iCs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32"/>
          <w:szCs w:val="32"/>
          <w:u w:val="none"/>
          <w:shd w:fill="auto" w:val="clear"/>
          <w:vertAlign w:val="baseline"/>
          <w:rtl w:val="0"/>
        </w:rPr>
        <w:t xml:space="preserve">Table of Contents</w:t>
      </w:r>
    </w:p>
    <w:sdt>
      <w:sdtPr>
        <w:id w:val="-1925860489"/>
        <w:docPartObj>
          <w:docPartGallery w:val="Table of Contents"/>
          <w:docPartUnique w:val="1"/>
        </w:docPartObj>
      </w:sdtPr>
      <w:sdtContent>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3aa7nkhhxht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Section 1</w:t>
              <w:tab/>
              <w:t xml:space="preserve">3</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wtxheic4y2nx">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u1zmylum4p82">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 A comparative analysis of the market in both countries</w:t>
              <w:tab/>
              <w:t xml:space="preserve">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pht6quai4qr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2.1. PESTLE Analysis to compare and contrast the macro-environments of both countries</w:t>
              <w:tab/>
              <w:t xml:space="preserve">3</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x45w43cmkns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2.2. Hofstede framework to compare and contrast the cultural factors in both countries</w:t>
              <w:tab/>
              <w:t xml:space="preserve">6</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pcte12d55zs6">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 A comparative analysis of STP</w:t>
              <w:tab/>
              <w:t xml:space="preserve">8</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5f7jvtza5l7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 International Marketing Mix (7Ps) strategies in both countries</w:t>
              <w:tab/>
              <w:t xml:space="preserve">10</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qeltl260it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 An analysis of the market entry strategy in India</w:t>
              <w:tab/>
              <w:t xml:space="preserve">13</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2b3kwb4xue3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 An evaluation of ethical issues related to this brand’s marketing mix in India</w:t>
              <w:tab/>
              <w:t xml:space="preserve">13</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4s2rku3ocn2b">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7. Recommendation</w:t>
              <w:tab/>
              <w:t xml:space="preserve">14</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eoa3vugd98if">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8. Conclusion</w:t>
              <w:tab/>
              <w:t xml:space="preserve">15</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eca9ase6rmj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Section 2</w:t>
              <w:tab/>
              <w:t xml:space="preserve">16</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lo1920k6xkl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Reflective Account</w:t>
              <w:tab/>
              <w:t xml:space="preserve">16</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sxeedtoeoqs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19</w:t>
            </w:r>
          </w:hyperlink>
          <w:r w:rsidDel="00000000" w:rsidR="00000000" w:rsidRPr="00000000">
            <w:rPr>
              <w:rtl w:val="0"/>
            </w:rPr>
          </w:r>
        </w:p>
        <w:p w:rsidR="00000000" w:rsidDel="00000000" w:rsidP="00000000" w:rsidRDefault="00000000" w:rsidRPr="00000000" w14:paraId="0000001E">
          <w:pPr>
            <w:rPr>
              <w:color w:val="000000"/>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F">
      <w:pPr>
        <w:spacing w:line="360" w:lineRule="auto"/>
        <w:jc w:val="center"/>
        <w:rPr>
          <w:rFonts w:ascii="Times New Roman" w:cs="Times New Roman" w:eastAsia="Times New Roman" w:hAnsi="Times New Roman"/>
          <w:b w:val="1"/>
          <w:bCs w:val="1"/>
          <w:color w:val="000000"/>
          <w:sz w:val="32"/>
          <w:szCs w:val="32"/>
        </w:rPr>
      </w:pPr>
      <w:r w:rsidDel="00000000" w:rsidR="00000000" w:rsidRPr="00000000">
        <w:rPr>
          <w:rtl w:val="0"/>
        </w:rPr>
      </w:r>
    </w:p>
    <w:p w:rsidR="00000000" w:rsidDel="00000000" w:rsidP="00000000" w:rsidRDefault="00000000" w:rsidRPr="00000000" w14:paraId="00000020">
      <w:pPr>
        <w:spacing w:after="0" w:lineRule="auto"/>
        <w:rPr>
          <w:rFonts w:ascii="Times New Roman" w:cs="Times New Roman" w:eastAsia="Times New Roman" w:hAnsi="Times New Roman"/>
          <w:b w:val="1"/>
          <w:bCs w:val="1"/>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1">
      <w:pPr>
        <w:pStyle w:val="Heading1"/>
        <w:rPr>
          <w:color w:val="000000"/>
        </w:rPr>
      </w:pPr>
      <w:bookmarkStart w:colFirst="0" w:colLast="0" w:name="_3aa7nkhhxhth" w:id="0"/>
      <w:bookmarkEnd w:id="0"/>
      <w:r w:rsidDel="00000000" w:rsidR="00000000" w:rsidRPr="00000000">
        <w:rPr>
          <w:color w:val="000000"/>
          <w:rtl w:val="0"/>
        </w:rPr>
        <w:t xml:space="preserve">Section 1</w:t>
      </w:r>
    </w:p>
    <w:p w:rsidR="00000000" w:rsidDel="00000000" w:rsidP="00000000" w:rsidRDefault="00000000" w:rsidRPr="00000000" w14:paraId="00000022">
      <w:pPr>
        <w:pStyle w:val="Heading1"/>
        <w:rPr>
          <w:color w:val="000000"/>
        </w:rPr>
      </w:pPr>
      <w:bookmarkStart w:colFirst="0" w:colLast="0" w:name="_wtxheic4y2nx" w:id="1"/>
      <w:bookmarkEnd w:id="1"/>
      <w:r w:rsidDel="00000000" w:rsidR="00000000" w:rsidRPr="00000000">
        <w:rPr>
          <w:color w:val="000000"/>
          <w:rtl w:val="0"/>
        </w:rPr>
        <w:t xml:space="preserve">1. Introduction</w:t>
      </w:r>
    </w:p>
    <w:p w:rsidR="00000000" w:rsidDel="00000000" w:rsidP="00000000" w:rsidRDefault="00000000" w:rsidRPr="00000000" w14:paraId="00000023">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 this report, the international marketing operations of Cadbury are evaluated for the United Kingdom (UK) and India, comparing both the markets. The report starts off with the market comparison, after which PESTLE analysis for each market is conducted to determine the macro-environmental forces in operation. Hofstede’s cultural theory is then employed to make a comparison of cultural effects on the business world and consumers. STP analysis of Cadbury is also conducted to evaluate their international marketing mix (7Ps) in both the markets. Moreover, the market entry strategy of Cadbury in India and ethical aspects of the marketing mix are evaluated.</w:t>
      </w:r>
    </w:p>
    <w:p w:rsidR="00000000" w:rsidDel="00000000" w:rsidP="00000000" w:rsidRDefault="00000000" w:rsidRPr="00000000" w14:paraId="00000024">
      <w:pPr>
        <w:pStyle w:val="Heading1"/>
        <w:rPr>
          <w:color w:val="000000"/>
        </w:rPr>
      </w:pPr>
      <w:bookmarkStart w:colFirst="0" w:colLast="0" w:name="_u1zmylum4p82" w:id="2"/>
      <w:bookmarkEnd w:id="2"/>
      <w:r w:rsidDel="00000000" w:rsidR="00000000" w:rsidRPr="00000000">
        <w:rPr>
          <w:color w:val="000000"/>
          <w:rtl w:val="0"/>
        </w:rPr>
        <w:t xml:space="preserve">2. A comparative analysis of the market in both countries</w:t>
      </w:r>
    </w:p>
    <w:p w:rsidR="00000000" w:rsidDel="00000000" w:rsidP="00000000" w:rsidRDefault="00000000" w:rsidRPr="00000000" w14:paraId="00000025">
      <w:pPr>
        <w:pStyle w:val="Heading2"/>
        <w:rPr>
          <w:color w:val="000000"/>
        </w:rPr>
      </w:pPr>
      <w:bookmarkStart w:colFirst="0" w:colLast="0" w:name="_pht6quai4qr3" w:id="3"/>
      <w:bookmarkEnd w:id="3"/>
      <w:r w:rsidDel="00000000" w:rsidR="00000000" w:rsidRPr="00000000">
        <w:rPr>
          <w:color w:val="000000"/>
          <w:rtl w:val="0"/>
        </w:rPr>
        <w:t xml:space="preserve">2.1. PESTLE Analysis to compare and contrast the macro-environments of both countries</w:t>
      </w:r>
    </w:p>
    <w:p w:rsidR="00000000" w:rsidDel="00000000" w:rsidP="00000000" w:rsidRDefault="00000000" w:rsidRPr="00000000" w14:paraId="00000026">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PESTLE Analysis of UK</w:t>
      </w:r>
    </w:p>
    <w:tbl>
      <w:tblPr>
        <w:tblStyle w:val="Table1"/>
        <w:tblW w:w="9016.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763"/>
        <w:gridCol w:w="5036"/>
        <w:gridCol w:w="2217"/>
        <w:tblGridChange w:id="0">
          <w:tblGrid>
            <w:gridCol w:w="1763"/>
            <w:gridCol w:w="5036"/>
            <w:gridCol w:w="2217"/>
          </w:tblGrid>
        </w:tblGridChange>
      </w:tblGrid>
      <w:tr>
        <w:trPr>
          <w:cantSplit w:val="0"/>
          <w:tblHeader w:val="0"/>
        </w:trPr>
        <w:tc>
          <w:tcPr/>
          <w:p w:rsidR="00000000" w:rsidDel="00000000" w:rsidP="00000000" w:rsidRDefault="00000000" w:rsidRPr="00000000" w14:paraId="00000027">
            <w:pPr>
              <w:spacing w:line="360" w:lineRule="auto"/>
              <w:jc w:val="center"/>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Factors</w:t>
            </w:r>
          </w:p>
        </w:tc>
        <w:tc>
          <w:tcPr/>
          <w:p w:rsidR="00000000" w:rsidDel="00000000" w:rsidP="00000000" w:rsidRDefault="00000000" w:rsidRPr="00000000" w14:paraId="00000028">
            <w:pPr>
              <w:spacing w:line="360" w:lineRule="auto"/>
              <w:jc w:val="center"/>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Description of the UK </w:t>
            </w:r>
          </w:p>
        </w:tc>
        <w:tc>
          <w:tcPr/>
          <w:p w:rsidR="00000000" w:rsidDel="00000000" w:rsidP="00000000" w:rsidRDefault="00000000" w:rsidRPr="00000000" w14:paraId="00000029">
            <w:pPr>
              <w:spacing w:line="360" w:lineRule="auto"/>
              <w:jc w:val="center"/>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Impact on the UK </w:t>
            </w:r>
          </w:p>
        </w:tc>
      </w:tr>
      <w:tr>
        <w:trPr>
          <w:cantSplit w:val="0"/>
          <w:tblHeader w:val="0"/>
        </w:trPr>
        <w:tc>
          <w:tcPr/>
          <w:p w:rsidR="00000000" w:rsidDel="00000000" w:rsidP="00000000" w:rsidRDefault="00000000" w:rsidRPr="00000000" w14:paraId="0000002A">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Political</w:t>
            </w:r>
          </w:p>
        </w:tc>
        <w:tc>
          <w:tcPr/>
          <w:p w:rsidR="00000000" w:rsidDel="00000000" w:rsidP="00000000" w:rsidRDefault="00000000" w:rsidRPr="00000000" w14:paraId="0000002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 2026, Uk’s government is taking 25% as corporate tax (Tradingeconomics.com, 2026)</w:t>
            </w:r>
          </w:p>
          <w:p w:rsidR="00000000" w:rsidDel="00000000" w:rsidP="00000000" w:rsidRDefault="00000000" w:rsidRPr="00000000" w14:paraId="0000002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20% is the sales tax charged in the UK (Tradingeconomics.com, 2026).</w:t>
            </w:r>
          </w:p>
        </w:tc>
        <w:tc>
          <w:tcPr/>
          <w:p w:rsidR="00000000" w:rsidDel="00000000" w:rsidP="00000000" w:rsidRDefault="00000000" w:rsidRPr="00000000" w14:paraId="0000002D">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It has impacted negatively on the profitability of the business of Cadbury in the UK.</w:t>
            </w:r>
          </w:p>
        </w:tc>
      </w:tr>
      <w:tr>
        <w:trPr>
          <w:cantSplit w:val="0"/>
          <w:tblHeader w:val="0"/>
        </w:trPr>
        <w:tc>
          <w:tcPr/>
          <w:p w:rsidR="00000000" w:rsidDel="00000000" w:rsidP="00000000" w:rsidRDefault="00000000" w:rsidRPr="00000000" w14:paraId="0000002E">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Economic</w:t>
            </w:r>
          </w:p>
        </w:tc>
        <w:tc>
          <w:tcPr/>
          <w:p w:rsidR="00000000" w:rsidDel="00000000" w:rsidP="00000000" w:rsidRDefault="00000000" w:rsidRPr="00000000" w14:paraId="0000002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.8% is the GDP rate of the UK in 2026 which is decreased from previous year 2025 (Statista.com, 2026).</w:t>
            </w:r>
          </w:p>
          <w:p w:rsidR="00000000" w:rsidDel="00000000" w:rsidP="00000000" w:rsidRDefault="00000000" w:rsidRPr="00000000" w14:paraId="0000003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3.2% is the inflation rate of the UK in the year 2026 (Statista.com, 2026).</w:t>
            </w:r>
          </w:p>
        </w:tc>
        <w:tc>
          <w:tcPr/>
          <w:p w:rsidR="00000000" w:rsidDel="00000000" w:rsidP="00000000" w:rsidRDefault="00000000" w:rsidRPr="00000000" w14:paraId="00000031">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This factor is negatively impacting on the economic performance of Cadbury.</w:t>
            </w:r>
          </w:p>
        </w:tc>
      </w:tr>
      <w:tr>
        <w:trPr>
          <w:cantSplit w:val="0"/>
          <w:tblHeader w:val="0"/>
        </w:trPr>
        <w:tc>
          <w:tcPr/>
          <w:p w:rsidR="00000000" w:rsidDel="00000000" w:rsidP="00000000" w:rsidRDefault="00000000" w:rsidRPr="00000000" w14:paraId="00000032">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Social</w:t>
            </w:r>
          </w:p>
        </w:tc>
        <w:tc>
          <w:tcPr/>
          <w:p w:rsidR="00000000" w:rsidDel="00000000" w:rsidP="00000000" w:rsidRDefault="00000000" w:rsidRPr="00000000" w14:paraId="00000033">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 the year 2026, unemployment rate of the UK is 4.9% (Tradingeconomics.com, 2026).</w:t>
            </w:r>
          </w:p>
          <w:p w:rsidR="00000000" w:rsidDel="00000000" w:rsidP="00000000" w:rsidRDefault="00000000" w:rsidRPr="00000000" w14:paraId="00000034">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69,281,437 is the UK’s population rate of as of 2024 (Statista.com, 2026).</w:t>
            </w:r>
          </w:p>
        </w:tc>
        <w:tc>
          <w:tcPr/>
          <w:p w:rsidR="00000000" w:rsidDel="00000000" w:rsidP="00000000" w:rsidRDefault="00000000" w:rsidRPr="00000000" w14:paraId="00000035">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It has positively impacted this company to gain access to experienced and talented employees to work for them.</w:t>
            </w:r>
          </w:p>
        </w:tc>
      </w:tr>
      <w:tr>
        <w:trPr>
          <w:cantSplit w:val="0"/>
          <w:tblHeader w:val="0"/>
        </w:trPr>
        <w:tc>
          <w:tcPr/>
          <w:p w:rsidR="00000000" w:rsidDel="00000000" w:rsidP="00000000" w:rsidRDefault="00000000" w:rsidRPr="00000000" w14:paraId="00000036">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Technological</w:t>
            </w:r>
          </w:p>
        </w:tc>
        <w:tc>
          <w:tcPr/>
          <w:p w:rsidR="00000000" w:rsidDel="00000000" w:rsidP="00000000" w:rsidRDefault="00000000" w:rsidRPr="00000000" w14:paraId="0000003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£13.5 billion invested by the UK’s government to improve on the technical performance of the industry (Itpro.co.uk, 2021)</w:t>
            </w:r>
          </w:p>
        </w:tc>
        <w:tc>
          <w:tcPr/>
          <w:p w:rsidR="00000000" w:rsidDel="00000000" w:rsidP="00000000" w:rsidRDefault="00000000" w:rsidRPr="00000000" w14:paraId="00000038">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It has impacted in a positive way to improve their online business growth.</w:t>
            </w:r>
          </w:p>
        </w:tc>
      </w:tr>
      <w:tr>
        <w:trPr>
          <w:cantSplit w:val="0"/>
          <w:tblHeader w:val="0"/>
        </w:trPr>
        <w:tc>
          <w:tcPr/>
          <w:p w:rsidR="00000000" w:rsidDel="00000000" w:rsidP="00000000" w:rsidRDefault="00000000" w:rsidRPr="00000000" w14:paraId="00000039">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Legal</w:t>
            </w:r>
          </w:p>
        </w:tc>
        <w:tc>
          <w:tcPr/>
          <w:p w:rsidR="00000000" w:rsidDel="00000000" w:rsidP="00000000" w:rsidRDefault="00000000" w:rsidRPr="00000000" w14:paraId="0000003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Equality Act 2010 (Legislation.gov.uk, 2026)</w:t>
            </w:r>
          </w:p>
          <w:p w:rsidR="00000000" w:rsidDel="00000000" w:rsidP="00000000" w:rsidRDefault="00000000" w:rsidRPr="00000000" w14:paraId="0000003B">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Health and Safety at Work etc. Act 1974 (Legislation.gov.uk, 2026)</w:t>
            </w:r>
          </w:p>
        </w:tc>
        <w:tc>
          <w:tcPr/>
          <w:p w:rsidR="00000000" w:rsidDel="00000000" w:rsidP="00000000" w:rsidRDefault="00000000" w:rsidRPr="00000000" w14:paraId="0000003C">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It has a positive impact on this company as it is helping to provide safe working environment ot employees.</w:t>
            </w:r>
          </w:p>
        </w:tc>
      </w:tr>
      <w:tr>
        <w:trPr>
          <w:cantSplit w:val="0"/>
          <w:tblHeader w:val="0"/>
        </w:trPr>
        <w:tc>
          <w:tcPr/>
          <w:p w:rsidR="00000000" w:rsidDel="00000000" w:rsidP="00000000" w:rsidRDefault="00000000" w:rsidRPr="00000000" w14:paraId="0000003D">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Environmental</w:t>
            </w:r>
          </w:p>
        </w:tc>
        <w:tc>
          <w:tcPr/>
          <w:p w:rsidR="00000000" w:rsidDel="00000000" w:rsidP="00000000" w:rsidRDefault="00000000" w:rsidRPr="00000000" w14:paraId="0000003E">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Environmental Protection Act 1990 (Legislation.gov.uk, 2026)</w:t>
            </w:r>
          </w:p>
          <w:p w:rsidR="00000000" w:rsidDel="00000000" w:rsidP="00000000" w:rsidRDefault="00000000" w:rsidRPr="00000000" w14:paraId="0000003F">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Recycling Act</w:t>
            </w:r>
          </w:p>
        </w:tc>
        <w:tc>
          <w:tcPr/>
          <w:p w:rsidR="00000000" w:rsidDel="00000000" w:rsidP="00000000" w:rsidRDefault="00000000" w:rsidRPr="00000000" w14:paraId="00000040">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It has helped to maintain business sustainability in a positive way.</w:t>
            </w:r>
          </w:p>
        </w:tc>
      </w:tr>
    </w:tbl>
    <w:p w:rsidR="00000000" w:rsidDel="00000000" w:rsidP="00000000" w:rsidRDefault="00000000" w:rsidRPr="00000000" w14:paraId="00000041">
      <w:pPr>
        <w:spacing w:line="360" w:lineRule="auto"/>
        <w:jc w:val="center"/>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Table 1: PESTLE Analysis of UK</w:t>
      </w:r>
    </w:p>
    <w:p w:rsidR="00000000" w:rsidDel="00000000" w:rsidP="00000000" w:rsidRDefault="00000000" w:rsidRPr="00000000" w14:paraId="00000042">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PESTLE Analysis of India</w:t>
      </w:r>
    </w:p>
    <w:tbl>
      <w:tblPr>
        <w:tblStyle w:val="Table2"/>
        <w:tblW w:w="9016.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763"/>
        <w:gridCol w:w="5036"/>
        <w:gridCol w:w="2217"/>
        <w:tblGridChange w:id="0">
          <w:tblGrid>
            <w:gridCol w:w="1763"/>
            <w:gridCol w:w="5036"/>
            <w:gridCol w:w="2217"/>
          </w:tblGrid>
        </w:tblGridChange>
      </w:tblGrid>
      <w:tr>
        <w:trPr>
          <w:cantSplit w:val="0"/>
          <w:tblHeader w:val="0"/>
        </w:trPr>
        <w:tc>
          <w:tcPr/>
          <w:p w:rsidR="00000000" w:rsidDel="00000000" w:rsidP="00000000" w:rsidRDefault="00000000" w:rsidRPr="00000000" w14:paraId="00000043">
            <w:pPr>
              <w:spacing w:line="360" w:lineRule="auto"/>
              <w:jc w:val="center"/>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Factors</w:t>
            </w:r>
          </w:p>
        </w:tc>
        <w:tc>
          <w:tcPr/>
          <w:p w:rsidR="00000000" w:rsidDel="00000000" w:rsidP="00000000" w:rsidRDefault="00000000" w:rsidRPr="00000000" w14:paraId="00000044">
            <w:pPr>
              <w:spacing w:line="360" w:lineRule="auto"/>
              <w:jc w:val="center"/>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Description on the India </w:t>
            </w:r>
          </w:p>
        </w:tc>
        <w:tc>
          <w:tcPr/>
          <w:p w:rsidR="00000000" w:rsidDel="00000000" w:rsidP="00000000" w:rsidRDefault="00000000" w:rsidRPr="00000000" w14:paraId="00000045">
            <w:pPr>
              <w:spacing w:line="360" w:lineRule="auto"/>
              <w:jc w:val="center"/>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Impact on India</w:t>
            </w:r>
          </w:p>
        </w:tc>
      </w:tr>
      <w:tr>
        <w:trPr>
          <w:cantSplit w:val="0"/>
          <w:tblHeader w:val="0"/>
        </w:trPr>
        <w:tc>
          <w:tcPr/>
          <w:p w:rsidR="00000000" w:rsidDel="00000000" w:rsidP="00000000" w:rsidRDefault="00000000" w:rsidRPr="00000000" w14:paraId="00000046">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Political</w:t>
            </w:r>
          </w:p>
        </w:tc>
        <w:tc>
          <w:tcPr/>
          <w:p w:rsidR="00000000" w:rsidDel="00000000" w:rsidP="00000000" w:rsidRDefault="00000000" w:rsidRPr="00000000" w14:paraId="00000047">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 the year 2026, the corporate tax of India is 34.94 (Tradingeconomics.com, 2026).</w:t>
            </w:r>
          </w:p>
          <w:p w:rsidR="00000000" w:rsidDel="00000000" w:rsidP="00000000" w:rsidRDefault="00000000" w:rsidRPr="00000000" w14:paraId="00000048">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Sales tax of India as of 2026 is 18% (Tradingeconomics.com, 2026).</w:t>
            </w:r>
          </w:p>
        </w:tc>
        <w:tc>
          <w:tcPr/>
          <w:p w:rsidR="00000000" w:rsidDel="00000000" w:rsidP="00000000" w:rsidRDefault="00000000" w:rsidRPr="00000000" w14:paraId="00000049">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It is negatively impacting the business profitability of the business of Cadbury in the UK. However, sales tax of India is comparatively less compared to UK. </w:t>
            </w:r>
          </w:p>
        </w:tc>
      </w:tr>
      <w:tr>
        <w:trPr>
          <w:cantSplit w:val="0"/>
          <w:tblHeader w:val="0"/>
        </w:trPr>
        <w:tc>
          <w:tcPr/>
          <w:p w:rsidR="00000000" w:rsidDel="00000000" w:rsidP="00000000" w:rsidRDefault="00000000" w:rsidRPr="00000000" w14:paraId="0000004A">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Economic</w:t>
            </w:r>
          </w:p>
        </w:tc>
        <w:tc>
          <w:tcPr/>
          <w:p w:rsidR="00000000" w:rsidDel="00000000" w:rsidP="00000000" w:rsidRDefault="00000000" w:rsidRPr="00000000" w14:paraId="0000004B">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 2026, the GDP rate of India has been increased by 1.9% in compared to previous year 2025 (Tradingeconomics.com, 2026).</w:t>
            </w:r>
          </w:p>
          <w:p w:rsidR="00000000" w:rsidDel="00000000" w:rsidP="00000000" w:rsidRDefault="00000000" w:rsidRPr="00000000" w14:paraId="0000004C">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India’s inflation rate in the year 2026 has been growth by 4.38% (Tradingeconomics.com, 2026)</w:t>
            </w:r>
          </w:p>
        </w:tc>
        <w:tc>
          <w:tcPr/>
          <w:p w:rsidR="00000000" w:rsidDel="00000000" w:rsidP="00000000" w:rsidRDefault="00000000" w:rsidRPr="00000000" w14:paraId="0000004D">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It is both positively and negatively impacting economic growth of Cadbury in India compared to UK market. </w:t>
            </w:r>
          </w:p>
        </w:tc>
      </w:tr>
      <w:tr>
        <w:trPr>
          <w:cantSplit w:val="0"/>
          <w:tblHeader w:val="0"/>
        </w:trPr>
        <w:tc>
          <w:tcPr/>
          <w:p w:rsidR="00000000" w:rsidDel="00000000" w:rsidP="00000000" w:rsidRDefault="00000000" w:rsidRPr="00000000" w14:paraId="0000004E">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Social</w:t>
            </w:r>
          </w:p>
        </w:tc>
        <w:tc>
          <w:tcPr/>
          <w:p w:rsidR="00000000" w:rsidDel="00000000" w:rsidP="00000000" w:rsidRDefault="00000000" w:rsidRPr="00000000" w14:paraId="0000004F">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 the year in-between 2025 to 2026, the total estimated population is 1421.0 million people (Tradingeconomics.com, 2026).</w:t>
            </w:r>
          </w:p>
          <w:p w:rsidR="00000000" w:rsidDel="00000000" w:rsidP="00000000" w:rsidRDefault="00000000" w:rsidRPr="00000000" w14:paraId="00000050">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unemployment rate of India in 2026 is remained unchanged till June 5.5% (Tradingeconomics.com, 2026).</w:t>
            </w:r>
          </w:p>
        </w:tc>
        <w:tc>
          <w:tcPr/>
          <w:p w:rsidR="00000000" w:rsidDel="00000000" w:rsidP="00000000" w:rsidRDefault="00000000" w:rsidRPr="00000000" w14:paraId="00000051">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It has positively impacted on Cadbury as it might support them to gain access to experienced and talented employees to work for them.</w:t>
            </w:r>
          </w:p>
        </w:tc>
      </w:tr>
      <w:tr>
        <w:trPr>
          <w:cantSplit w:val="0"/>
          <w:tblHeader w:val="0"/>
        </w:trPr>
        <w:tc>
          <w:tcPr/>
          <w:p w:rsidR="00000000" w:rsidDel="00000000" w:rsidP="00000000" w:rsidRDefault="00000000" w:rsidRPr="00000000" w14:paraId="00000052">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Technological</w:t>
            </w:r>
          </w:p>
        </w:tc>
        <w:tc>
          <w:tcPr/>
          <w:p w:rsidR="00000000" w:rsidDel="00000000" w:rsidP="00000000" w:rsidRDefault="00000000" w:rsidRPr="00000000" w14:paraId="00000053">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government of India has spent USD 70 billion for developing AI architecture and has proposed Budget 2026-27 of USD 90 billion a tax holiday till 2047 for foreign organisations who are giving cloud services to customers utilising data centre services from India (Pib.gov.in, 2026).</w:t>
            </w:r>
          </w:p>
        </w:tc>
        <w:tc>
          <w:tcPr/>
          <w:p w:rsidR="00000000" w:rsidDel="00000000" w:rsidP="00000000" w:rsidRDefault="00000000" w:rsidRPr="00000000" w14:paraId="00000054">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It has impacted in a positive way to improve their online business growth.</w:t>
            </w:r>
          </w:p>
        </w:tc>
      </w:tr>
      <w:tr>
        <w:trPr>
          <w:cantSplit w:val="0"/>
          <w:tblHeader w:val="0"/>
        </w:trPr>
        <w:tc>
          <w:tcPr/>
          <w:p w:rsidR="00000000" w:rsidDel="00000000" w:rsidP="00000000" w:rsidRDefault="00000000" w:rsidRPr="00000000" w14:paraId="00000055">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Legal</w:t>
            </w:r>
          </w:p>
        </w:tc>
        <w:tc>
          <w:tcPr/>
          <w:p w:rsidR="00000000" w:rsidDel="00000000" w:rsidP="00000000" w:rsidRDefault="00000000" w:rsidRPr="00000000" w14:paraId="00000056">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Occupational Safety, Health and Working Conditions Code, 2020 (Indiacode.nic.in, 2025).</w:t>
            </w:r>
          </w:p>
          <w:p w:rsidR="00000000" w:rsidDel="00000000" w:rsidP="00000000" w:rsidRDefault="00000000" w:rsidRPr="00000000" w14:paraId="00000057">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Code on Wages, 2019 (Indiacode.nic.in, 2025).</w:t>
            </w:r>
          </w:p>
        </w:tc>
        <w:tc>
          <w:tcPr/>
          <w:p w:rsidR="00000000" w:rsidDel="00000000" w:rsidP="00000000" w:rsidRDefault="00000000" w:rsidRPr="00000000" w14:paraId="00000058">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It has a positive impact on this company as it is helping to provide safe working environment to employees.</w:t>
            </w:r>
          </w:p>
        </w:tc>
      </w:tr>
      <w:tr>
        <w:trPr>
          <w:cantSplit w:val="0"/>
          <w:tblHeader w:val="0"/>
        </w:trPr>
        <w:tc>
          <w:tcPr/>
          <w:p w:rsidR="00000000" w:rsidDel="00000000" w:rsidP="00000000" w:rsidRDefault="00000000" w:rsidRPr="00000000" w14:paraId="00000059">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Environmental</w:t>
            </w:r>
          </w:p>
        </w:tc>
        <w:tc>
          <w:tcPr/>
          <w:p w:rsidR="00000000" w:rsidDel="00000000" w:rsidP="00000000" w:rsidRDefault="00000000" w:rsidRPr="00000000" w14:paraId="0000005A">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Environment (Protection) Act, 1986 (Indiacode.nic.in, 2026).</w:t>
            </w:r>
          </w:p>
        </w:tc>
        <w:tc>
          <w:tcPr/>
          <w:p w:rsidR="00000000" w:rsidDel="00000000" w:rsidP="00000000" w:rsidRDefault="00000000" w:rsidRPr="00000000" w14:paraId="0000005B">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It has helped to maintain business sustainability in a positive way.</w:t>
            </w:r>
          </w:p>
        </w:tc>
      </w:tr>
    </w:tbl>
    <w:p w:rsidR="00000000" w:rsidDel="00000000" w:rsidP="00000000" w:rsidRDefault="00000000" w:rsidRPr="00000000" w14:paraId="0000005C">
      <w:pPr>
        <w:spacing w:line="360" w:lineRule="auto"/>
        <w:jc w:val="center"/>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Table 2: PESTLE Analysis of India</w:t>
      </w:r>
    </w:p>
    <w:p w:rsidR="00000000" w:rsidDel="00000000" w:rsidP="00000000" w:rsidRDefault="00000000" w:rsidRPr="00000000" w14:paraId="0000005D">
      <w:pPr>
        <w:spacing w:line="360" w:lineRule="auto"/>
        <w:jc w:val="both"/>
        <w:rPr>
          <w:rFonts w:ascii="Times New Roman" w:cs="Times New Roman" w:eastAsia="Times New Roman" w:hAnsi="Times New Roman"/>
          <w:b w:val="1"/>
          <w:bCs w:val="1"/>
          <w:i w:val="1"/>
          <w:iCs w:val="1"/>
          <w:color w:val="000000"/>
          <w:sz w:val="24"/>
          <w:szCs w:val="24"/>
        </w:rPr>
      </w:pPr>
      <w:r w:rsidDel="00000000" w:rsidR="00000000" w:rsidRPr="00000000">
        <w:rPr>
          <w:rFonts w:ascii="Times New Roman" w:cs="Times New Roman" w:eastAsia="Times New Roman" w:hAnsi="Times New Roman"/>
          <w:b w:val="1"/>
          <w:bCs w:val="1"/>
          <w:i w:val="1"/>
          <w:iCs w:val="1"/>
          <w:color w:val="000000"/>
          <w:sz w:val="24"/>
          <w:szCs w:val="24"/>
          <w:rtl w:val="0"/>
        </w:rPr>
        <w:t xml:space="preserve">Overall impact of both countries by PESTLE </w:t>
      </w:r>
    </w:p>
    <w:p w:rsidR="00000000" w:rsidDel="00000000" w:rsidP="00000000" w:rsidRDefault="00000000" w:rsidRPr="00000000" w14:paraId="0000005E">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Analysing both of the external factors as per Cadbury, the UK market operating stability, technological supports and the socialised strength to emphasise the competitive operational areas are estimated as effective and stable for the firm to grow. Alongside, the minimal inflation ratio and growing GDP contribution rate of the country can support the stable economic factors and the sustainable operational scalability of the company in their further competitive environment. Apart from that, as per the Indian context, the social, technological, legal all the factors can integrate the operational scalability of Cadbury to emphasise their changed business support factors of the firm in their competitive senses. However, the changing economic process where the inflation rate become 4.38% and the influenced political factors of the country may limit the changed operational growth factors and the emphasised business process of the firm differently. Therefore, management of the company stability and integration of the changed optimised process entitlement would also be negatively influencing the company for their sustainable growth in India further. Whether, both of the countries are representing a seamless customers connection and market stability structure for Cadbury, by which optimisation of their business elements are estimated as effective for the company to expand their business growth in the competitive market effectively. </w:t>
      </w:r>
    </w:p>
    <w:p w:rsidR="00000000" w:rsidDel="00000000" w:rsidP="00000000" w:rsidRDefault="00000000" w:rsidRPr="00000000" w14:paraId="0000005F">
      <w:pPr>
        <w:pStyle w:val="Heading2"/>
        <w:rPr>
          <w:color w:val="000000"/>
        </w:rPr>
      </w:pPr>
      <w:bookmarkStart w:colFirst="0" w:colLast="0" w:name="_x45w43cmknsu" w:id="4"/>
      <w:bookmarkEnd w:id="4"/>
      <w:r w:rsidDel="00000000" w:rsidR="00000000" w:rsidRPr="00000000">
        <w:rPr>
          <w:color w:val="000000"/>
          <w:rtl w:val="0"/>
        </w:rPr>
        <w:t xml:space="preserve">2.2. Hofstede framework to compare and contrast the cultural factors in both countries</w:t>
      </w:r>
    </w:p>
    <w:p w:rsidR="00000000" w:rsidDel="00000000" w:rsidP="00000000" w:rsidRDefault="00000000" w:rsidRPr="00000000" w14:paraId="00000060">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Power Distance </w:t>
      </w:r>
    </w:p>
    <w:p w:rsidR="00000000" w:rsidDel="00000000" w:rsidP="00000000" w:rsidRDefault="00000000" w:rsidRPr="00000000" w14:paraId="00000061">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aspect of power distance by Hofstede reflects a substantial difference in culture which will impact the management in both India and UK of Cadbury. The index score of India is 77, suggesting that there is high acceptance of organisation’s hierarchies and unequal distribution of powers (Theculturefactor.com, 2026). In the Indian branches of Cadbury, the subordinates will be happier with reporting systems, senior executives taking major decisions and managers giving instructions. There will also be formal communication with the senior management, while the employees will not question the decision made by the managers. Conversely, the UK index score is 35, meaning that there is preference for equality and lower hierarchical distance (Theculturefactor.com, 2026). The employees at UK branches of Cadbury will expect the managers to be easily accessible, decision-making process to be participative and communication channels to be open among all the organisation’s levels.</w:t>
      </w:r>
    </w:p>
    <w:p w:rsidR="00000000" w:rsidDel="00000000" w:rsidP="00000000" w:rsidRDefault="00000000" w:rsidRPr="00000000" w14:paraId="00000062">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Individualism</w:t>
      </w:r>
    </w:p>
    <w:p w:rsidR="00000000" w:rsidDel="00000000" w:rsidP="00000000" w:rsidRDefault="00000000" w:rsidRPr="00000000" w14:paraId="00000063">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Individualism dimension of Hofstede highlights the significant cultural variations for Cadbury between India and the UK. The score of India is 24, reflecting a collectivist culture. This suggests that workers in India might consider teamwork, loyalty, relationship at work and feeling of belonging to be significant. Hence, in the case of Indian operations of Cadbury, management support, teamwork and good relations among employees could foster dedication and cooperation. In the case of the UK, the score is 76 which denotes a highly individualist culture (Theculturefactor.com, 2026). Employees of Cadbury in the UK would consider independence, individualism, responsibility, personal achievements and career development to be significant.</w:t>
      </w:r>
    </w:p>
    <w:p w:rsidR="00000000" w:rsidDel="00000000" w:rsidP="00000000" w:rsidRDefault="00000000" w:rsidRPr="00000000" w14:paraId="00000064">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Motivation towards Achievement and Success</w:t>
      </w:r>
    </w:p>
    <w:p w:rsidR="00000000" w:rsidDel="00000000" w:rsidP="00000000" w:rsidRDefault="00000000" w:rsidRPr="00000000" w14:paraId="00000065">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Motivation towards Achievement and Success dimension from Hofstede is one that has relevance for the working of Cadbury in India and the UK. India has a score of 56, which implies that there is a moderate orientation towards achievement, and thus employees place importance on advancement, recognition, status, and professional success (Theculturefactor.com, 2026). The motivation that Cadbury can adopt to motivate employees in India would involve offering them promotions and performance rewards. However, the UK has a score of 66, which suggests that there is greater orientation towards achievement, with an emphasis on performance and professional success.</w:t>
      </w:r>
    </w:p>
    <w:p w:rsidR="00000000" w:rsidDel="00000000" w:rsidP="00000000" w:rsidRDefault="00000000" w:rsidRPr="00000000" w14:paraId="00000066">
      <w:pPr>
        <w:spacing w:line="360" w:lineRule="auto"/>
        <w:jc w:val="center"/>
        <w:rPr>
          <w:rFonts w:ascii="Times New Roman" w:cs="Times New Roman" w:eastAsia="Times New Roman" w:hAnsi="Times New Roman"/>
          <w:color w:val="000000"/>
          <w:sz w:val="24"/>
          <w:szCs w:val="24"/>
        </w:rPr>
      </w:pPr>
      <w:r w:rsidDel="00000000" w:rsidR="00000000" w:rsidRPr="00000000">
        <w:rPr>
          <w:color w:val="000000"/>
        </w:rPr>
        <w:drawing>
          <wp:inline distB="0" distT="0" distL="0" distR="0">
            <wp:extent cx="5731510" cy="2884805"/>
            <wp:effectExtent b="38100" l="38100" r="38100" t="3810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731510" cy="2884805"/>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67">
      <w:pPr>
        <w:spacing w:line="360" w:lineRule="auto"/>
        <w:jc w:val="center"/>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Figure 1: Country Comparison between India and UK</w:t>
      </w:r>
    </w:p>
    <w:p w:rsidR="00000000" w:rsidDel="00000000" w:rsidP="00000000" w:rsidRDefault="00000000" w:rsidRPr="00000000" w14:paraId="00000068">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(Source: Theculturefactor.com, 2026)</w:t>
      </w:r>
    </w:p>
    <w:p w:rsidR="00000000" w:rsidDel="00000000" w:rsidP="00000000" w:rsidRDefault="00000000" w:rsidRPr="00000000" w14:paraId="00000069">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Uncertainty Avoidance </w:t>
      </w:r>
    </w:p>
    <w:p w:rsidR="00000000" w:rsidDel="00000000" w:rsidP="00000000" w:rsidRDefault="00000000" w:rsidRPr="00000000" w14:paraId="0000006A">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According to Hofstede's Uncertainty Avoidance dimension, it is clear how Cadbury workers react to uncertainty and change in both India and the UK. In India, there is a score of 40, which is indicative of low uncertainty avoidance, which means that the workers might be able to show flexibility and patience when faced with unforeseen situations (Theculturefactor.com, 2026). It will be possible for Cadbury to foster innovation without having too much organisational guidance. In the case of the UK, however, the score is 35, and this means that there is even higher tolerance of uncertainty and ambiguity.</w:t>
      </w:r>
    </w:p>
    <w:p w:rsidR="00000000" w:rsidDel="00000000" w:rsidP="00000000" w:rsidRDefault="00000000" w:rsidRPr="00000000" w14:paraId="0000006B">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Long Term Orientation</w:t>
      </w:r>
    </w:p>
    <w:p w:rsidR="00000000" w:rsidDel="00000000" w:rsidP="00000000" w:rsidRDefault="00000000" w:rsidRPr="00000000" w14:paraId="0000006C">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Long Term Orientation dimension of Hofstede’s model shows differences that have an impact on the operations of Cadbury in India and the UK. The score for India is 51, which means that the orientation of India is balanced in terms of tradition versus adaptability to changing conditions (Theculturefactor.com, 2026). This means that the Indian operations of Cadbury can combine organizational routines with adaptation to changing expectations of consumers and employees. In contrast to India, the UK has a score of 60, which means that it is characterized by pragmatism and long term orientation.</w:t>
      </w:r>
    </w:p>
    <w:p w:rsidR="00000000" w:rsidDel="00000000" w:rsidP="00000000" w:rsidRDefault="00000000" w:rsidRPr="00000000" w14:paraId="0000006D">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Indulgence</w:t>
      </w:r>
    </w:p>
    <w:p w:rsidR="00000000" w:rsidDel="00000000" w:rsidP="00000000" w:rsidRDefault="00000000" w:rsidRPr="00000000" w14:paraId="0000006E">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Indulgence dimension of Hofstede's model identifies the cultural differences that have importance for operations of Cadbury in India and UK. According to the findings, the index score for India is 26 which reflects the existence of a restrained culture wherein people might not pay much attention towards their leisure and control their desires socially (Theculturefactor.com, 2026). It means that in case of Cadbury, emphasis should be made upon the responsibility of employees and enjoyment within socially acceptable limits in order to motivate them and market the products. On the other hand, UK holds the index value of 69 which reflects that it is an indulgent culture wherein people give value to enjoyment and leisure.</w:t>
      </w:r>
    </w:p>
    <w:p w:rsidR="00000000" w:rsidDel="00000000" w:rsidP="00000000" w:rsidRDefault="00000000" w:rsidRPr="00000000" w14:paraId="0000006F">
      <w:pPr>
        <w:spacing w:line="360" w:lineRule="auto"/>
        <w:jc w:val="both"/>
        <w:rPr>
          <w:rFonts w:ascii="Times New Roman" w:cs="Times New Roman" w:eastAsia="Times New Roman" w:hAnsi="Times New Roman"/>
          <w:b w:val="1"/>
          <w:bCs w:val="1"/>
          <w:i w:val="1"/>
          <w:iCs w:val="1"/>
          <w:color w:val="000000"/>
          <w:sz w:val="24"/>
          <w:szCs w:val="24"/>
        </w:rPr>
      </w:pPr>
      <w:r w:rsidDel="00000000" w:rsidR="00000000" w:rsidRPr="00000000">
        <w:rPr>
          <w:rFonts w:ascii="Times New Roman" w:cs="Times New Roman" w:eastAsia="Times New Roman" w:hAnsi="Times New Roman"/>
          <w:b w:val="1"/>
          <w:bCs w:val="1"/>
          <w:i w:val="1"/>
          <w:iCs w:val="1"/>
          <w:color w:val="000000"/>
          <w:sz w:val="24"/>
          <w:szCs w:val="24"/>
          <w:rtl w:val="0"/>
        </w:rPr>
        <w:t xml:space="preserve">Impact of Hofstede cultural factors on Cadbury </w:t>
      </w:r>
    </w:p>
    <w:p w:rsidR="00000000" w:rsidDel="00000000" w:rsidP="00000000" w:rsidRDefault="00000000" w:rsidRPr="00000000" w14:paraId="00000070">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According to the core cultural factor related analysis, UK measured as the more effective cultural contrast for the company to expand their key competitive business sources and integrate their changed operational variability more accurately. As the long term based strategic planning, motivation towards the key operating factors management could be more effective for Cadbury to emphasise their sustainable business acquisition of the firm in their further competitive environment. whether, Indian uncertainty avoidance and power index would strengthen the critical conceptualisation of the firm in their changed business paradigm to escalate their changing business process supports effectively. Therefore, focusing on the key strategic sections to develop competitive sense by Cadbury could be effective to emphasise the changed operational goals accurately. </w:t>
      </w:r>
    </w:p>
    <w:p w:rsidR="00000000" w:rsidDel="00000000" w:rsidP="00000000" w:rsidRDefault="00000000" w:rsidRPr="00000000" w14:paraId="00000071">
      <w:pPr>
        <w:pStyle w:val="Heading1"/>
        <w:rPr>
          <w:color w:val="000000"/>
        </w:rPr>
      </w:pPr>
      <w:bookmarkStart w:colFirst="0" w:colLast="0" w:name="_pcte12d55zs6" w:id="5"/>
      <w:bookmarkEnd w:id="5"/>
      <w:r w:rsidDel="00000000" w:rsidR="00000000" w:rsidRPr="00000000">
        <w:rPr>
          <w:color w:val="000000"/>
          <w:rtl w:val="0"/>
        </w:rPr>
        <w:t xml:space="preserve">3. A comparative analysis of STP</w:t>
      </w:r>
    </w:p>
    <w:p w:rsidR="00000000" w:rsidDel="00000000" w:rsidP="00000000" w:rsidRDefault="00000000" w:rsidRPr="00000000" w14:paraId="00000072">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Segmentation</w:t>
      </w:r>
    </w:p>
    <w:p w:rsidR="00000000" w:rsidDel="00000000" w:rsidP="00000000" w:rsidRDefault="00000000" w:rsidRPr="00000000" w14:paraId="00000073">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Cadbury segments its consumers in both the UK and India on the basis of demographic, psychographic, behavioral and geographic criteria. In the case of the UK, the classification of the market is primarily done on the basis of age groups, lifestyles, purchase situations and preferences. Consumers who buy Cadbury products for their own use, sharing and gifting purposes form the classification criteria. The well-developed confectionery market in the UK enables Cadbury to target consumers who have different requirements and experience preferences. For the Indian market, segmentation is wider as compared to the UK market on account of income differences, age, geography and behavior differences.</w:t>
      </w:r>
    </w:p>
    <w:p w:rsidR="00000000" w:rsidDel="00000000" w:rsidP="00000000" w:rsidRDefault="00000000" w:rsidRPr="00000000" w14:paraId="00000074">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Targeting</w:t>
      </w:r>
    </w:p>
    <w:p w:rsidR="00000000" w:rsidDel="00000000" w:rsidP="00000000" w:rsidRDefault="00000000" w:rsidRPr="00000000" w14:paraId="00000075">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Cadbury adopts a differentiated targeting approach where the company creates marketing strategies for different segments in the two markets. With the help of differentiated targeting, organisations are able to tailor their products and communication according to the attributes and expectations of the market segments selected (Nashiroh, Shiddiqy and Hidayat, 2024). In the UK market, Cadbury targets children, adults, families and consumers who share the products using various products and messages. While in the Indian market, Cadbury targets the youth segment, families, cost conscious consumers and festival/gift buyers of chocolates.</w:t>
      </w:r>
    </w:p>
    <w:p w:rsidR="00000000" w:rsidDel="00000000" w:rsidP="00000000" w:rsidRDefault="00000000" w:rsidRPr="00000000" w14:paraId="00000076">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Positioning</w:t>
      </w:r>
    </w:p>
    <w:p w:rsidR="00000000" w:rsidDel="00000000" w:rsidP="00000000" w:rsidRDefault="00000000" w:rsidRPr="00000000" w14:paraId="00000077">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Cadbury focuses on enjoyment, emotional engagement and sharing in creating a positioning strategy that takes into account the different culture in the UK and India. In the UK, which is a market in which Cadbury has been operating for a long time, enjoyment and sharing are some of the key features of positioning used by Cadbury. In India, where Cadbury has positioned chocolate to be consumed not only individually but also during celebrations and gift giving, positioning is a combination of enjoyment and relationships. Thus, Cadbury associates chocolate with festivals, making it a substitute for traditional sweets.</w:t>
      </w:r>
    </w:p>
    <w:p w:rsidR="00000000" w:rsidDel="00000000" w:rsidP="00000000" w:rsidRDefault="00000000" w:rsidRPr="00000000" w14:paraId="00000078">
      <w:pPr>
        <w:spacing w:line="360" w:lineRule="auto"/>
        <w:jc w:val="center"/>
        <w:rPr>
          <w:rFonts w:ascii="Times New Roman" w:cs="Times New Roman" w:eastAsia="Times New Roman" w:hAnsi="Times New Roman"/>
          <w:color w:val="000000"/>
          <w:sz w:val="24"/>
          <w:szCs w:val="24"/>
        </w:rPr>
      </w:pPr>
      <w:r w:rsidDel="00000000" w:rsidR="00000000" w:rsidRPr="00000000">
        <w:rPr>
          <w:color w:val="000000"/>
        </w:rPr>
        <w:drawing>
          <wp:inline distB="0" distT="0" distL="0" distR="0">
            <wp:extent cx="5731510" cy="3786505"/>
            <wp:effectExtent b="38100" l="38100" r="38100" t="3810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731510" cy="3786505"/>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79">
      <w:pPr>
        <w:spacing w:line="360" w:lineRule="auto"/>
        <w:jc w:val="center"/>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Figure 2: Positioning map of Cadbury in UK and India</w:t>
      </w:r>
    </w:p>
    <w:p w:rsidR="00000000" w:rsidDel="00000000" w:rsidP="00000000" w:rsidRDefault="00000000" w:rsidRPr="00000000" w14:paraId="0000007A">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(Source: Self developed)</w:t>
      </w:r>
    </w:p>
    <w:p w:rsidR="00000000" w:rsidDel="00000000" w:rsidP="00000000" w:rsidRDefault="00000000" w:rsidRPr="00000000" w14:paraId="0000007B">
      <w:pPr>
        <w:pStyle w:val="Heading1"/>
        <w:rPr>
          <w:color w:val="000000"/>
        </w:rPr>
      </w:pPr>
      <w:bookmarkStart w:colFirst="0" w:colLast="0" w:name="_5f7jvtza5l7q" w:id="6"/>
      <w:bookmarkEnd w:id="6"/>
      <w:r w:rsidDel="00000000" w:rsidR="00000000" w:rsidRPr="00000000">
        <w:rPr>
          <w:color w:val="000000"/>
          <w:rtl w:val="0"/>
        </w:rPr>
        <w:t xml:space="preserve">4. International Marketing Mix (7Ps) strategies in both countries</w:t>
      </w:r>
    </w:p>
    <w:p w:rsidR="00000000" w:rsidDel="00000000" w:rsidP="00000000" w:rsidRDefault="00000000" w:rsidRPr="00000000" w14:paraId="0000007C">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Though Cadbury is operating in the UK and India, there is a need to change its international marketing mix according to the behavior of consumers, purchasing power, culture, distribution and consumption occasion. Therefore, Cadbury has a global approach to its marketing mix combined with localisation in product, price, place, promotion, people, process and physical evidence.</w:t>
      </w:r>
    </w:p>
    <w:p w:rsidR="00000000" w:rsidDel="00000000" w:rsidP="00000000" w:rsidRDefault="00000000" w:rsidRPr="00000000" w14:paraId="0000007D">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1. Product</w:t>
      </w:r>
    </w:p>
    <w:p w:rsidR="00000000" w:rsidDel="00000000" w:rsidP="00000000" w:rsidRDefault="00000000" w:rsidRPr="00000000" w14:paraId="0000007E">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company utilizes a comprehensive product range in the UK because of its long-standing experience and the developed status of the UK confectionery market. Some of the products available in its UK range are Dairy Milk, Bournville, Boost, Buttons, Creme Egg, Crunchie, Double Decker, Flake, Freddo, Heroes, Mini Eggs, Roses, Twirl and Wispa, along with other types (Cadbury.co.uk, 2026). Differentiation is achieved through flavours and occasions when different products could be consumed, such as birthday celebrations, Christmas and Easter. The product strategy will have to adapt to a more varied range of purchasing powers and consumption instances in India. The product portfolio of Mondelēz India includes items ranging from “value delights to premium indulgences,” thus emphasizing that it is crucial to provide products targeting various economic groups. As a result, the Indian product strategy of Cadbury will be able to target consumers with high purchasing power using premium products and lower ones through smaller products, which will be easier to purchase on a daily basis. The items like Cadbury Celebrations will fit in perfectly with the gift culture as well.</w:t>
      </w:r>
    </w:p>
    <w:p w:rsidR="00000000" w:rsidDel="00000000" w:rsidP="00000000" w:rsidRDefault="00000000" w:rsidRPr="00000000" w14:paraId="0000007F">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2. Price </w:t>
      </w:r>
    </w:p>
    <w:tbl>
      <w:tblPr>
        <w:tblStyle w:val="Table3"/>
        <w:tblW w:w="90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605"/>
        <w:gridCol w:w="2070"/>
        <w:gridCol w:w="1710"/>
        <w:gridCol w:w="2700"/>
        <w:tblGridChange w:id="0">
          <w:tblGrid>
            <w:gridCol w:w="2605"/>
            <w:gridCol w:w="2070"/>
            <w:gridCol w:w="1710"/>
            <w:gridCol w:w="2700"/>
          </w:tblGrid>
        </w:tblGridChange>
      </w:tblGrid>
      <w:tr>
        <w:trPr>
          <w:cantSplit w:val="0"/>
          <w:tblHeader w:val="0"/>
        </w:trPr>
        <w:tc>
          <w:tcPr/>
          <w:p w:rsidR="00000000" w:rsidDel="00000000" w:rsidP="00000000" w:rsidRDefault="00000000" w:rsidRPr="00000000" w14:paraId="00000080">
            <w:pPr>
              <w:spacing w:line="360" w:lineRule="auto"/>
              <w:jc w:val="center"/>
              <w:rPr>
                <w:rFonts w:ascii="Times New Roman" w:cs="Times New Roman" w:eastAsia="Times New Roman" w:hAnsi="Times New Roman"/>
                <w:b w:val="1"/>
                <w:bCs w:val="1"/>
                <w:i w:val="1"/>
                <w:iCs w:val="1"/>
                <w:color w:val="000000"/>
                <w:sz w:val="24"/>
                <w:szCs w:val="24"/>
              </w:rPr>
            </w:pPr>
            <w:r w:rsidDel="00000000" w:rsidR="00000000" w:rsidRPr="00000000">
              <w:rPr>
                <w:rFonts w:ascii="Times New Roman" w:cs="Times New Roman" w:eastAsia="Times New Roman" w:hAnsi="Times New Roman"/>
                <w:b w:val="1"/>
                <w:bCs w:val="1"/>
                <w:i w:val="1"/>
                <w:iCs w:val="1"/>
                <w:color w:val="000000"/>
                <w:sz w:val="24"/>
                <w:szCs w:val="24"/>
                <w:rtl w:val="0"/>
              </w:rPr>
              <w:t xml:space="preserve">Product</w:t>
            </w:r>
          </w:p>
        </w:tc>
        <w:tc>
          <w:tcPr/>
          <w:p w:rsidR="00000000" w:rsidDel="00000000" w:rsidP="00000000" w:rsidRDefault="00000000" w:rsidRPr="00000000" w14:paraId="00000081">
            <w:pPr>
              <w:spacing w:line="360" w:lineRule="auto"/>
              <w:jc w:val="center"/>
              <w:rPr>
                <w:rFonts w:ascii="Times New Roman" w:cs="Times New Roman" w:eastAsia="Times New Roman" w:hAnsi="Times New Roman"/>
                <w:b w:val="1"/>
                <w:bCs w:val="1"/>
                <w:i w:val="1"/>
                <w:iCs w:val="1"/>
                <w:color w:val="000000"/>
                <w:sz w:val="24"/>
                <w:szCs w:val="24"/>
              </w:rPr>
            </w:pPr>
            <w:r w:rsidDel="00000000" w:rsidR="00000000" w:rsidRPr="00000000">
              <w:rPr>
                <w:rFonts w:ascii="Times New Roman" w:cs="Times New Roman" w:eastAsia="Times New Roman" w:hAnsi="Times New Roman"/>
                <w:b w:val="1"/>
                <w:bCs w:val="1"/>
                <w:i w:val="1"/>
                <w:iCs w:val="1"/>
                <w:color w:val="000000"/>
                <w:sz w:val="24"/>
                <w:szCs w:val="24"/>
                <w:rtl w:val="0"/>
              </w:rPr>
              <w:t xml:space="preserve">Price in INR</w:t>
            </w:r>
          </w:p>
        </w:tc>
        <w:tc>
          <w:tcPr/>
          <w:p w:rsidR="00000000" w:rsidDel="00000000" w:rsidP="00000000" w:rsidRDefault="00000000" w:rsidRPr="00000000" w14:paraId="00000082">
            <w:pPr>
              <w:spacing w:line="360" w:lineRule="auto"/>
              <w:jc w:val="center"/>
              <w:rPr>
                <w:rFonts w:ascii="Times New Roman" w:cs="Times New Roman" w:eastAsia="Times New Roman" w:hAnsi="Times New Roman"/>
                <w:b w:val="1"/>
                <w:bCs w:val="1"/>
                <w:i w:val="1"/>
                <w:iCs w:val="1"/>
                <w:color w:val="000000"/>
                <w:sz w:val="24"/>
                <w:szCs w:val="24"/>
              </w:rPr>
            </w:pPr>
            <w:r w:rsidDel="00000000" w:rsidR="00000000" w:rsidRPr="00000000">
              <w:rPr>
                <w:rFonts w:ascii="Times New Roman" w:cs="Times New Roman" w:eastAsia="Times New Roman" w:hAnsi="Times New Roman"/>
                <w:b w:val="1"/>
                <w:bCs w:val="1"/>
                <w:i w:val="1"/>
                <w:iCs w:val="1"/>
                <w:color w:val="000000"/>
                <w:sz w:val="24"/>
                <w:szCs w:val="24"/>
                <w:rtl w:val="0"/>
              </w:rPr>
              <w:t xml:space="preserve">Price in GBP</w:t>
            </w:r>
          </w:p>
        </w:tc>
        <w:tc>
          <w:tcPr/>
          <w:p w:rsidR="00000000" w:rsidDel="00000000" w:rsidP="00000000" w:rsidRDefault="00000000" w:rsidRPr="00000000" w14:paraId="00000083">
            <w:pPr>
              <w:spacing w:line="360" w:lineRule="auto"/>
              <w:jc w:val="center"/>
              <w:rPr>
                <w:rFonts w:ascii="Times New Roman" w:cs="Times New Roman" w:eastAsia="Times New Roman" w:hAnsi="Times New Roman"/>
                <w:b w:val="1"/>
                <w:bCs w:val="1"/>
                <w:i w:val="1"/>
                <w:iCs w:val="1"/>
                <w:color w:val="000000"/>
                <w:sz w:val="24"/>
                <w:szCs w:val="24"/>
              </w:rPr>
            </w:pPr>
            <w:r w:rsidDel="00000000" w:rsidR="00000000" w:rsidRPr="00000000">
              <w:rPr>
                <w:rFonts w:ascii="Times New Roman" w:cs="Times New Roman" w:eastAsia="Times New Roman" w:hAnsi="Times New Roman"/>
                <w:b w:val="1"/>
                <w:bCs w:val="1"/>
                <w:i w:val="1"/>
                <w:iCs w:val="1"/>
                <w:color w:val="000000"/>
                <w:sz w:val="24"/>
                <w:szCs w:val="24"/>
                <w:rtl w:val="0"/>
              </w:rPr>
              <w:t xml:space="preserve">Pricing positions</w:t>
            </w:r>
          </w:p>
        </w:tc>
      </w:tr>
      <w:tr>
        <w:trPr>
          <w:cantSplit w:val="0"/>
          <w:tblHeader w:val="0"/>
        </w:trPr>
        <w:tc>
          <w:tcPr/>
          <w:p w:rsidR="00000000" w:rsidDel="00000000" w:rsidP="00000000" w:rsidRDefault="00000000" w:rsidRPr="00000000" w14:paraId="00000084">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45g small based diary milk </w:t>
            </w:r>
          </w:p>
        </w:tc>
        <w:tc>
          <w:tcPr/>
          <w:p w:rsidR="00000000" w:rsidDel="00000000" w:rsidP="00000000" w:rsidRDefault="00000000" w:rsidRPr="00000000" w14:paraId="00000085">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₹40</w:t>
            </w:r>
          </w:p>
        </w:tc>
        <w:tc>
          <w:tcPr/>
          <w:p w:rsidR="00000000" w:rsidDel="00000000" w:rsidP="00000000" w:rsidRDefault="00000000" w:rsidRPr="00000000" w14:paraId="00000086">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£1.00</w:t>
            </w:r>
          </w:p>
        </w:tc>
        <w:tc>
          <w:tcPr/>
          <w:p w:rsidR="00000000" w:rsidDel="00000000" w:rsidP="00000000" w:rsidRDefault="00000000" w:rsidRPr="00000000" w14:paraId="00000087">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Value </w:t>
            </w:r>
          </w:p>
        </w:tc>
      </w:tr>
      <w:tr>
        <w:trPr>
          <w:cantSplit w:val="0"/>
          <w:tblHeader w:val="0"/>
        </w:trPr>
        <w:tc>
          <w:tcPr/>
          <w:p w:rsidR="00000000" w:rsidDel="00000000" w:rsidP="00000000" w:rsidRDefault="00000000" w:rsidRPr="00000000" w14:paraId="00000088">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110g of standard diary milk </w:t>
            </w:r>
          </w:p>
        </w:tc>
        <w:tc>
          <w:tcPr/>
          <w:p w:rsidR="00000000" w:rsidDel="00000000" w:rsidP="00000000" w:rsidRDefault="00000000" w:rsidRPr="00000000" w14:paraId="00000089">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₹100–₹120</w:t>
            </w:r>
          </w:p>
        </w:tc>
        <w:tc>
          <w:tcPr/>
          <w:p w:rsidR="00000000" w:rsidDel="00000000" w:rsidP="00000000" w:rsidRDefault="00000000" w:rsidRPr="00000000" w14:paraId="0000008A">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£1.60–£2.00</w:t>
            </w:r>
          </w:p>
        </w:tc>
        <w:tc>
          <w:tcPr/>
          <w:p w:rsidR="00000000" w:rsidDel="00000000" w:rsidP="00000000" w:rsidRDefault="00000000" w:rsidRPr="00000000" w14:paraId="0000008B">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Mainstream based competitive </w:t>
            </w:r>
          </w:p>
        </w:tc>
      </w:tr>
      <w:tr>
        <w:trPr>
          <w:cantSplit w:val="0"/>
          <w:tblHeader w:val="0"/>
        </w:trPr>
        <w:tc>
          <w:tcPr/>
          <w:p w:rsidR="00000000" w:rsidDel="00000000" w:rsidP="00000000" w:rsidRDefault="00000000" w:rsidRPr="00000000" w14:paraId="0000008C">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110g premium </w:t>
            </w:r>
          </w:p>
        </w:tc>
        <w:tc>
          <w:tcPr/>
          <w:p w:rsidR="00000000" w:rsidDel="00000000" w:rsidP="00000000" w:rsidRDefault="00000000" w:rsidRPr="00000000" w14:paraId="0000008D">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₹150</w:t>
            </w:r>
          </w:p>
        </w:tc>
        <w:tc>
          <w:tcPr/>
          <w:p w:rsidR="00000000" w:rsidDel="00000000" w:rsidP="00000000" w:rsidRDefault="00000000" w:rsidRPr="00000000" w14:paraId="0000008E">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£2.50</w:t>
            </w:r>
          </w:p>
        </w:tc>
        <w:tc>
          <w:tcPr/>
          <w:p w:rsidR="00000000" w:rsidDel="00000000" w:rsidP="00000000" w:rsidRDefault="00000000" w:rsidRPr="00000000" w14:paraId="0000008F">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Premium </w:t>
            </w:r>
          </w:p>
        </w:tc>
      </w:tr>
      <w:tr>
        <w:trPr>
          <w:cantSplit w:val="0"/>
          <w:tblHeader w:val="0"/>
        </w:trPr>
        <w:tc>
          <w:tcPr/>
          <w:p w:rsidR="00000000" w:rsidDel="00000000" w:rsidP="00000000" w:rsidRDefault="00000000" w:rsidRPr="00000000" w14:paraId="00000090">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200g sharing pack </w:t>
            </w:r>
          </w:p>
        </w:tc>
        <w:tc>
          <w:tcPr/>
          <w:p w:rsidR="00000000" w:rsidDel="00000000" w:rsidP="00000000" w:rsidRDefault="00000000" w:rsidRPr="00000000" w14:paraId="00000091">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₹220</w:t>
            </w:r>
          </w:p>
        </w:tc>
        <w:tc>
          <w:tcPr/>
          <w:p w:rsidR="00000000" w:rsidDel="00000000" w:rsidP="00000000" w:rsidRDefault="00000000" w:rsidRPr="00000000" w14:paraId="00000092">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£3.50</w:t>
            </w:r>
          </w:p>
        </w:tc>
        <w:tc>
          <w:tcPr/>
          <w:p w:rsidR="00000000" w:rsidDel="00000000" w:rsidP="00000000" w:rsidRDefault="00000000" w:rsidRPr="00000000" w14:paraId="00000093">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Family with added value </w:t>
            </w:r>
          </w:p>
        </w:tc>
      </w:tr>
      <w:tr>
        <w:trPr>
          <w:cantSplit w:val="0"/>
          <w:tblHeader w:val="0"/>
        </w:trPr>
        <w:tc>
          <w:tcPr/>
          <w:p w:rsidR="00000000" w:rsidDel="00000000" w:rsidP="00000000" w:rsidRDefault="00000000" w:rsidRPr="00000000" w14:paraId="00000094">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350g large sharing pack</w:t>
            </w:r>
          </w:p>
        </w:tc>
        <w:tc>
          <w:tcPr/>
          <w:p w:rsidR="00000000" w:rsidDel="00000000" w:rsidP="00000000" w:rsidRDefault="00000000" w:rsidRPr="00000000" w14:paraId="00000095">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₹350</w:t>
            </w:r>
          </w:p>
        </w:tc>
        <w:tc>
          <w:tcPr/>
          <w:p w:rsidR="00000000" w:rsidDel="00000000" w:rsidP="00000000" w:rsidRDefault="00000000" w:rsidRPr="00000000" w14:paraId="00000096">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£5.50</w:t>
            </w:r>
          </w:p>
        </w:tc>
        <w:tc>
          <w:tcPr/>
          <w:p w:rsidR="00000000" w:rsidDel="00000000" w:rsidP="00000000" w:rsidRDefault="00000000" w:rsidRPr="00000000" w14:paraId="00000097">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Premium structure of sharing </w:t>
            </w:r>
          </w:p>
        </w:tc>
      </w:tr>
      <w:tr>
        <w:trPr>
          <w:cantSplit w:val="0"/>
          <w:tblHeader w:val="0"/>
        </w:trPr>
        <w:tc>
          <w:tcPr/>
          <w:p w:rsidR="00000000" w:rsidDel="00000000" w:rsidP="00000000" w:rsidRDefault="00000000" w:rsidRPr="00000000" w14:paraId="00000098">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Gift box </w:t>
            </w:r>
          </w:p>
        </w:tc>
        <w:tc>
          <w:tcPr/>
          <w:p w:rsidR="00000000" w:rsidDel="00000000" w:rsidP="00000000" w:rsidRDefault="00000000" w:rsidRPr="00000000" w14:paraId="00000099">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₹400–₹600</w:t>
            </w:r>
          </w:p>
        </w:tc>
        <w:tc>
          <w:tcPr/>
          <w:p w:rsidR="00000000" w:rsidDel="00000000" w:rsidP="00000000" w:rsidRDefault="00000000" w:rsidRPr="00000000" w14:paraId="0000009A">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£6.00–£8.00</w:t>
            </w:r>
          </w:p>
        </w:tc>
        <w:tc>
          <w:tcPr/>
          <w:p w:rsidR="00000000" w:rsidDel="00000000" w:rsidP="00000000" w:rsidRDefault="00000000" w:rsidRPr="00000000" w14:paraId="0000009B">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Premium gifting </w:t>
            </w:r>
          </w:p>
        </w:tc>
      </w:tr>
    </w:tbl>
    <w:p w:rsidR="00000000" w:rsidDel="00000000" w:rsidP="00000000" w:rsidRDefault="00000000" w:rsidRPr="00000000" w14:paraId="0000009C">
      <w:pPr>
        <w:spacing w:line="360" w:lineRule="auto"/>
        <w:jc w:val="center"/>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Table 3: Cadbury’s competitive pricing table</w:t>
      </w:r>
    </w:p>
    <w:p w:rsidR="00000000" w:rsidDel="00000000" w:rsidP="00000000" w:rsidRDefault="00000000" w:rsidRPr="00000000" w14:paraId="0000009D">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(Source: Self-developed)</w:t>
      </w:r>
    </w:p>
    <w:p w:rsidR="00000000" w:rsidDel="00000000" w:rsidP="00000000" w:rsidRDefault="00000000" w:rsidRPr="00000000" w14:paraId="0000009E">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Competitive pricing requires taking into account competitors' pricing as well as pricing that creates value for customers and enhances competitiveness in the marketplace. The pricing approach can aid in gaining competitive advantage in case it is in line with the market dynamics and customer demands (Hamidi, 2022). It means that Cadbury can use competitive pricing in both markets without having identical pricing models. In the UK market, Cadbury operates in a matured confectionery industry where the customers have lots of options when it comes to choosing chocolates as well as other snacks. Competitive pricing can be used to retain the accessibility of Cadbury goods in the mass market and premium packaging as well as sharing and gift boxes offer an option to use higher prices. Pricing sensitivity becomes especially crucial in India because there is wide variation in consumer income and purchasing power in the country. This is evidenced by recent developments increasing prices for cocoa and hence an increase in prices of chocolates led to certain Indians opting for affordable substitutes. This is why it makes sense for Cadbury to offer varieties in terms of pack size and pricing so that consumers seeking good value for money can still purchase their products while premium products cater to high spending consumers.</w:t>
      </w:r>
    </w:p>
    <w:p w:rsidR="00000000" w:rsidDel="00000000" w:rsidP="00000000" w:rsidRDefault="00000000" w:rsidRPr="00000000" w14:paraId="0000009F">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3. Place</w:t>
      </w:r>
    </w:p>
    <w:p w:rsidR="00000000" w:rsidDel="00000000" w:rsidP="00000000" w:rsidRDefault="00000000" w:rsidRPr="00000000" w14:paraId="000000A0">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Distribution of Cadbury’s products will be done to ensure easy accessibility by consumers at all places where it would be convenient for them to buy confectionary. For instance, within UK’s developed retailing environment, distribution can be via supermarkets, convenience stores and other retail channels, along with online shopping. Accessibility becomes especially crucial for those products that are related to impulse buying and regular use. Indian country on the other hand is characterized by varied geographical and economic retail distribution environment. Consequently, it becomes necessary for Cadbury to have accessibility for consumers through modern retail and traditional neighborhood stores, besides increasing channels of digital and ecommerce. Traditional neighborhood store remains particularly crucial due to the convenience it offers to consumers and small purchases. As per Indian marketing experience of Cadbury in the past, it has included neighborhood stores in their marketing campaign. </w:t>
      </w:r>
    </w:p>
    <w:p w:rsidR="00000000" w:rsidDel="00000000" w:rsidP="00000000" w:rsidRDefault="00000000" w:rsidRPr="00000000" w14:paraId="000000A1">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4. Promotion</w:t>
      </w:r>
    </w:p>
    <w:p w:rsidR="00000000" w:rsidDel="00000000" w:rsidP="00000000" w:rsidRDefault="00000000" w:rsidRPr="00000000" w14:paraId="000000A2">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promotion process by Cadbury exemplifies the importance of consistency within a brand and how the way that this message can be conveyed changes with regard to different cultures. Promotional activities within the UK can capitalize on the rich history associated with the Cadbury name, the well-known products that are associated with pleasure, generosity, and enjoyment. Such as, the company is focusing on ‘Christmas, Easter, Valentine's Day, Mother's Day and sporting occasions’ by a strong gifting process promotional context for exploiting their business position promoting in the UK (Cadbury, 2026). Apart from that, for the promotional context, Cadbury is currently supporting women sports for growth and collaborate with ‘Leah Williamson, Jill Scott and Lauren James’ with campaign to support the football operating fields effectively (Campaignlive, 2025). Seasonality also plays an important part as the product line in the UK market caters to Christmas and Easter. Digital media can then capitalize on these emotions and help retain the customer through association. Within India, promotion can be made more culturally specific to reflect relationships, celebration and gift giving. For the cultural context promotion, the company used ‘Diwali, Raksha Bandhan, Valentine's Day, weddings and family celebrations’ as the symbol for their changed promotional factors adding. Moreover, for celebrity promotion, Cadbury engaged Mr. Amitabh Bachchan to strongly assess their changed operational scalabilities as well as “Kuch Meetha Ho Jaaye” for their campaigning tag line to develop a strong connection with the Indian audiences effectively (Tring, 2026). Thus, the chocolate can be marketed in terms of family, friendship, festivals and happiness.</w:t>
      </w:r>
    </w:p>
    <w:p w:rsidR="00000000" w:rsidDel="00000000" w:rsidP="00000000" w:rsidRDefault="00000000" w:rsidRPr="00000000" w14:paraId="000000A3">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5. People</w:t>
      </w:r>
    </w:p>
    <w:p w:rsidR="00000000" w:rsidDel="00000000" w:rsidP="00000000" w:rsidRDefault="00000000" w:rsidRPr="00000000" w14:paraId="000000A4">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People include employees, distributors, retailers, customer service representatives, and other stakeholders that participate in the delivery of the Cadbury brand. In the UK, the company works in an environment that is relatively individualistic and has low power distance. As a result, management systems might be focused on employee autonomy, open communication, individual responsibility and participation. People participating in sales, marketing, and customer interaction help preserve the established identity of the brand. However, in India, the people strategy should take into account collectivism and tolerance to hierarchies within the organisation. Hence, such aspects as team relations, managerial guidance, loyalty, and inter-personal interactions can become especially significant. Relations with retailers also become particularly crucial as the company relies on an extensive system of outlets to ensure the accessibility of its products to consumers. .</w:t>
      </w:r>
    </w:p>
    <w:p w:rsidR="00000000" w:rsidDel="00000000" w:rsidP="00000000" w:rsidRDefault="00000000" w:rsidRPr="00000000" w14:paraId="000000A5">
      <w:pPr>
        <w:spacing w:after="0"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6. Process</w:t>
      </w:r>
    </w:p>
    <w:p w:rsidR="00000000" w:rsidDel="00000000" w:rsidP="00000000" w:rsidRDefault="00000000" w:rsidRPr="00000000" w14:paraId="000000A6">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process is about how Cadbury makes, distributes and sells its goods. For the UK case, it is possible for the company to enjoy relatively standardized processes due to the existence of retailing networks in the country. The ability to retail digitally means that it will be easy for customers to switch between digital and retail channels. For India, there should be processes that can support a bigger geographical market than that of the UK. There should be processes that can distribute through traditional, supermarket and even digital channels and at the same time guarantee availability and quality of the products. The long presence of Cadbury in India and a big range of products means that Cadbury is continuously expanding. Digital marketing processes have also been growing more complex as seen through personalized ads made possible through data analytics and AI among others.</w:t>
      </w:r>
    </w:p>
    <w:p w:rsidR="00000000" w:rsidDel="00000000" w:rsidP="00000000" w:rsidRDefault="00000000" w:rsidRPr="00000000" w14:paraId="000000A7">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7. Physical Evidence</w:t>
      </w:r>
    </w:p>
    <w:p w:rsidR="00000000" w:rsidDel="00000000" w:rsidP="00000000" w:rsidRDefault="00000000" w:rsidRPr="00000000" w14:paraId="000000A8">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physical evidence can include the packaging, logos, product presentation, retail display and any other concrete means of how consumers experience the brand of Cadbury. In both the countries, the unique brand image and recognisable packaging of Cadbury gives them consistency and help in identifying their products. But the physical evidence can be changed according to the market environment. The packaging in the UK can highlight the history of Cadbury while the seasonal packaging can highlight the Easter, Christmas, birthday and gifting seasons. Sustainability can be one more element of the physical evidence. Cadbury claims that the core UK tablets range and Mini Eggs range uses ISCC certified recycled plastic under mass balance, which helps in reducing the packaging along with increasing recyclability and recycled content. In India, the pack sizes can reflect both affordable as well as premium image of the company while the gift packaging can enhance the celebration association with it.</w:t>
      </w:r>
    </w:p>
    <w:p w:rsidR="00000000" w:rsidDel="00000000" w:rsidP="00000000" w:rsidRDefault="00000000" w:rsidRPr="00000000" w14:paraId="000000A9">
      <w:pPr>
        <w:pStyle w:val="Heading1"/>
        <w:rPr>
          <w:color w:val="000000"/>
        </w:rPr>
      </w:pPr>
      <w:bookmarkStart w:colFirst="0" w:colLast="0" w:name="_hqeltl260it1" w:id="7"/>
      <w:bookmarkEnd w:id="7"/>
      <w:r w:rsidDel="00000000" w:rsidR="00000000" w:rsidRPr="00000000">
        <w:rPr>
          <w:color w:val="000000"/>
          <w:rtl w:val="0"/>
        </w:rPr>
        <w:t xml:space="preserve">5. An analysis of the market entry strategy in India</w:t>
      </w:r>
    </w:p>
    <w:p w:rsidR="00000000" w:rsidDel="00000000" w:rsidP="00000000" w:rsidRDefault="00000000" w:rsidRPr="00000000" w14:paraId="000000AA">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expansion of Cadbury into India illustrates the process of how a multinational corporation enters an emerging market economy through foreign direct investment. This method allowed Cadbury to gain market knowledge, build a network of distributors and adapt its products to the tastes of Indian consumers. The decision of market entry into an emerging economy depends on many factors that include the potential of the market, competitive environment and risks that have to be considered when choosing the right market entry mode (Brouthers </w:t>
      </w:r>
      <w:r w:rsidDel="00000000" w:rsidR="00000000" w:rsidRPr="00000000">
        <w:rPr>
          <w:rFonts w:ascii="Times New Roman" w:cs="Times New Roman" w:eastAsia="Times New Roman" w:hAnsi="Times New Roman"/>
          <w:i w:val="1"/>
          <w:iCs w:val="1"/>
          <w:color w:val="000000"/>
          <w:sz w:val="24"/>
          <w:szCs w:val="24"/>
          <w:rtl w:val="0"/>
        </w:rPr>
        <w:t xml:space="preserve">et al. </w:t>
      </w:r>
      <w:r w:rsidDel="00000000" w:rsidR="00000000" w:rsidRPr="00000000">
        <w:rPr>
          <w:rFonts w:ascii="Times New Roman" w:cs="Times New Roman" w:eastAsia="Times New Roman" w:hAnsi="Times New Roman"/>
          <w:color w:val="000000"/>
          <w:sz w:val="24"/>
          <w:szCs w:val="24"/>
          <w:rtl w:val="0"/>
        </w:rPr>
        <w:t xml:space="preserve">2022). The most positive feature of the chosen approach is its localization. India differs from other markets of Cadbury in income level, preferences of consumers, retail structure and culture. Cadbury managed to enter the market of India because of making its chocolate products available for more people. Thanks to smaller packages and different prices, Cadbury reached less affluent consumers, and with the help of premium products - the consumers with higher income. </w:t>
      </w:r>
    </w:p>
    <w:p w:rsidR="00000000" w:rsidDel="00000000" w:rsidP="00000000" w:rsidRDefault="00000000" w:rsidRPr="00000000" w14:paraId="000000AB">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company also benefitted from entering and growing its operations through local production and distribution. By setting up its facilities in India, Cadbury minimized its dependence on imported products and helped it become responsive to local needs. The role of distribution was even more pronounced because Indian consumers buy confectionery products through multiple channels ranging from local retailers to supermarkets and even digital media. A large retail network also allowed Cadbury to cater to consumers outside of large urban centers (Hindson, 2023). Cultural adaptation also helped grow the business. By associating chocolate not as a foreign snack but as an offering associated with festivals, celebrations and gifts in India, Cadbury slowly encouraged consumers to see it as a substitute for local sweets. On the whole, the market entry strategy adopted by Cadbury can be regarded as a long-term strategy with foreign direct investment as its base along with localization and market development. The company’s success did not depend on mere adaptation of a British marketing model in India. In fact, the company succeeded due to its localization process, easy availability of its products, wide distribution network, and localized marketing strategies.</w:t>
      </w:r>
    </w:p>
    <w:p w:rsidR="00000000" w:rsidDel="00000000" w:rsidP="00000000" w:rsidRDefault="00000000" w:rsidRPr="00000000" w14:paraId="000000AC">
      <w:pPr>
        <w:pStyle w:val="Heading1"/>
        <w:rPr>
          <w:color w:val="000000"/>
        </w:rPr>
      </w:pPr>
      <w:bookmarkStart w:colFirst="0" w:colLast="0" w:name="_2b3kwb4xue3l" w:id="8"/>
      <w:bookmarkEnd w:id="8"/>
      <w:r w:rsidDel="00000000" w:rsidR="00000000" w:rsidRPr="00000000">
        <w:rPr>
          <w:color w:val="000000"/>
          <w:rtl w:val="0"/>
        </w:rPr>
        <w:t xml:space="preserve">6. An evaluation of ethical issues related to this brand’s marketing mix in India</w:t>
      </w:r>
    </w:p>
    <w:p w:rsidR="00000000" w:rsidDel="00000000" w:rsidP="00000000" w:rsidRDefault="00000000" w:rsidRPr="00000000" w14:paraId="000000AD">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There are various ethical issues associated with the marketing mix of Cadbury in India including product responsibility, pricing, promotion, distribution and sustainability. Since chocolates form an integral part of consumption pattern for children and families, the company needs to take care of business ethics related to consumer welfare and responsible marketing of products. For responsible marketing practices, it is very important that apart from regulatory compliance, Cadbury ensures transparency and social responsibility in its marketing activities (Magnan and Michelon, 2024). An issue that can be raised about product and health responsibility is that chocolate products may have high content of sugar and fat. Thus, ethical dilemma can arise with the marketing of such products frequently by Cadbury. In order to maintain health responsibility, it should ensure product labeling and moderate portion sizes in its products. However, such products need to have transparent labeling in order to promote ethical marketing and consumers can make informed decisions about their consumption (Milošević, 2025). Food safety and product quality are other important factors. </w:t>
      </w:r>
    </w:p>
    <w:p w:rsidR="00000000" w:rsidDel="00000000" w:rsidP="00000000" w:rsidRDefault="00000000" w:rsidRPr="00000000" w14:paraId="000000AE">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Ethics play an important role in pricing and distribution context. There exist consumers in India who differ greatly in terms of purchasing power and income levels. Packaging of Cadbury using different packs is beneficial for affordability and access but consumers need to get value for their money irrespective of packaging size (ADEKOYA </w:t>
      </w:r>
      <w:r w:rsidDel="00000000" w:rsidR="00000000" w:rsidRPr="00000000">
        <w:rPr>
          <w:rFonts w:ascii="Times New Roman" w:cs="Times New Roman" w:eastAsia="Times New Roman" w:hAnsi="Times New Roman"/>
          <w:i w:val="1"/>
          <w:iCs w:val="1"/>
          <w:color w:val="000000"/>
          <w:sz w:val="24"/>
          <w:szCs w:val="24"/>
          <w:rtl w:val="0"/>
        </w:rPr>
        <w:t xml:space="preserve">et al. </w:t>
      </w:r>
      <w:r w:rsidDel="00000000" w:rsidR="00000000" w:rsidRPr="00000000">
        <w:rPr>
          <w:rFonts w:ascii="Times New Roman" w:cs="Times New Roman" w:eastAsia="Times New Roman" w:hAnsi="Times New Roman"/>
          <w:color w:val="000000"/>
          <w:sz w:val="24"/>
          <w:szCs w:val="24"/>
          <w:rtl w:val="0"/>
        </w:rPr>
        <w:t xml:space="preserve">2024). Decisions on pricing must be clear to everyone especially when there is a period of inflation or increased cost of raw materials. Likewise, Cadbury’s distribution approach makes it necessary for them to make sure that their products are stored appropriately and have good quality especially in cases where the products are affected by high temperatures. Promotion ethics are extremely important for Cadbury. Chocolate is frequently linked with happiness, relationships, festivals, and gift-giving among other things at Cadbury. Despite cultural promotion being highly effective in engaging consumers, advertisements should not make use of emotional and cultural value manipulations for promoting consumption. Promotions targeted at kids require extra care since children might not understand commercial messaging (Sun </w:t>
      </w:r>
      <w:r w:rsidDel="00000000" w:rsidR="00000000" w:rsidRPr="00000000">
        <w:rPr>
          <w:rFonts w:ascii="Times New Roman" w:cs="Times New Roman" w:eastAsia="Times New Roman" w:hAnsi="Times New Roman"/>
          <w:i w:val="1"/>
          <w:iCs w:val="1"/>
          <w:color w:val="000000"/>
          <w:sz w:val="24"/>
          <w:szCs w:val="24"/>
          <w:rtl w:val="0"/>
        </w:rPr>
        <w:t xml:space="preserve">et al. </w:t>
      </w:r>
      <w:r w:rsidDel="00000000" w:rsidR="00000000" w:rsidRPr="00000000">
        <w:rPr>
          <w:rFonts w:ascii="Times New Roman" w:cs="Times New Roman" w:eastAsia="Times New Roman" w:hAnsi="Times New Roman"/>
          <w:color w:val="000000"/>
          <w:sz w:val="24"/>
          <w:szCs w:val="24"/>
          <w:rtl w:val="0"/>
        </w:rPr>
        <w:t xml:space="preserve">2024). In addition, there is an issue of environment and supply chain ethics due to packaging and production processes. The packaging of products is causing problems of plastic and other kinds of waste, which makes recyclable packaging, minimization of waste and proper disposal of products one of the most important ethical considerations. The sourcing of cocoa is another aspect that may pose some issues in terms of labour conditions, well-being of the farmers and environment sustainability. Thus, Cadbury should ensure traceability, proper sourcing and sustainability in order not to use the issues of sustainability just for promotion only. </w:t>
      </w:r>
    </w:p>
    <w:p w:rsidR="00000000" w:rsidDel="00000000" w:rsidP="00000000" w:rsidRDefault="00000000" w:rsidRPr="00000000" w14:paraId="000000AF">
      <w:pPr>
        <w:pStyle w:val="Heading1"/>
        <w:rPr>
          <w:color w:val="000000"/>
        </w:rPr>
      </w:pPr>
      <w:bookmarkStart w:colFirst="0" w:colLast="0" w:name="_4s2rku3ocn2b" w:id="9"/>
      <w:bookmarkEnd w:id="9"/>
      <w:r w:rsidDel="00000000" w:rsidR="00000000" w:rsidRPr="00000000">
        <w:rPr>
          <w:color w:val="000000"/>
          <w:rtl w:val="0"/>
        </w:rPr>
        <w:t xml:space="preserve">7. Recommendation</w:t>
      </w:r>
    </w:p>
    <w:p w:rsidR="00000000" w:rsidDel="00000000" w:rsidP="00000000" w:rsidRDefault="00000000" w:rsidRPr="00000000" w14:paraId="000000B0">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Cadbury should continue to follow the approach of glocalization by developing a coherent image across the globe but making changes in its international marketing based on the cultural, economic and consumer differences in different countries. In the UK, Cadbury should try to consolidate its position in the market by making use of innovation in products, seasonality and marketing campaigns that highlight the heritage, enjoyment and emotions (RAJARAJAN, 2025). In India, more localisation is the key approach that Cadbury should follow, where the marketing campaigns should be based on the festivals, gifting, family ties and changing occasions of consumption. In terms of product and pricing adaptation, Cadbury should improve its efforts in both countries. In India, Cadbury should maintain the different pack sizes and competitive pricing to cater to the consumers with different buying capabilities (Pramodini </w:t>
      </w:r>
      <w:r w:rsidDel="00000000" w:rsidR="00000000" w:rsidRPr="00000000">
        <w:rPr>
          <w:rFonts w:ascii="Times New Roman" w:cs="Times New Roman" w:eastAsia="Times New Roman" w:hAnsi="Times New Roman"/>
          <w:i w:val="1"/>
          <w:iCs w:val="1"/>
          <w:color w:val="000000"/>
          <w:sz w:val="24"/>
          <w:szCs w:val="24"/>
          <w:rtl w:val="0"/>
        </w:rPr>
        <w:t xml:space="preserve">et al. </w:t>
      </w:r>
      <w:r w:rsidDel="00000000" w:rsidR="00000000" w:rsidRPr="00000000">
        <w:rPr>
          <w:rFonts w:ascii="Times New Roman" w:cs="Times New Roman" w:eastAsia="Times New Roman" w:hAnsi="Times New Roman"/>
          <w:color w:val="000000"/>
          <w:sz w:val="24"/>
          <w:szCs w:val="24"/>
          <w:rtl w:val="0"/>
        </w:rPr>
        <w:t xml:space="preserve">2026). Also, it can introduce the premium range of products to cater to the demand of premium chocolates among consumers in India.</w:t>
      </w:r>
    </w:p>
    <w:p w:rsidR="00000000" w:rsidDel="00000000" w:rsidP="00000000" w:rsidRDefault="00000000" w:rsidRPr="00000000" w14:paraId="000000B1">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 addition, Cadbury should speed up the development of its digital and omnichannel marketing approach. Using social media, e-commerce, personalized ads and consumer data engagement could allow the company to communicate with younger consumers and offer them more relevant experiences (Duffett and Maraule, 2024). However, any personalization should be done in an honest manner, while making sure that consumer data is well protected and advertising practices are responsible. Sustainability should become an important part of Cadbury’s international positioning. The company should improve the practices of responsible sourcing of cocoa beans, using recyclable packaging, reducing waste and communicating about its environmental and social performance (Boegman </w:t>
      </w:r>
      <w:r w:rsidDel="00000000" w:rsidR="00000000" w:rsidRPr="00000000">
        <w:rPr>
          <w:rFonts w:ascii="Times New Roman" w:cs="Times New Roman" w:eastAsia="Times New Roman" w:hAnsi="Times New Roman"/>
          <w:i w:val="1"/>
          <w:iCs w:val="1"/>
          <w:color w:val="000000"/>
          <w:sz w:val="24"/>
          <w:szCs w:val="24"/>
          <w:rtl w:val="0"/>
        </w:rPr>
        <w:t xml:space="preserve">et al. </w:t>
      </w:r>
      <w:r w:rsidDel="00000000" w:rsidR="00000000" w:rsidRPr="00000000">
        <w:rPr>
          <w:rFonts w:ascii="Times New Roman" w:cs="Times New Roman" w:eastAsia="Times New Roman" w:hAnsi="Times New Roman"/>
          <w:color w:val="000000"/>
          <w:sz w:val="24"/>
          <w:szCs w:val="24"/>
          <w:rtl w:val="0"/>
        </w:rPr>
        <w:t xml:space="preserve">2023). All these things will help in gaining the trust of stakeholders and differentiation from competitors. Finally, Cadbury should always conduct market research before transferring any strategies between the countries. Cultural context and consumer data should influence the decisions about the product, communication, distribution and positioning.</w:t>
      </w:r>
    </w:p>
    <w:p w:rsidR="00000000" w:rsidDel="00000000" w:rsidP="00000000" w:rsidRDefault="00000000" w:rsidRPr="00000000" w14:paraId="000000B2">
      <w:pPr>
        <w:pStyle w:val="Heading1"/>
        <w:rPr>
          <w:color w:val="000000"/>
        </w:rPr>
      </w:pPr>
      <w:bookmarkStart w:colFirst="0" w:colLast="0" w:name="_eoa3vugd98if" w:id="10"/>
      <w:bookmarkEnd w:id="10"/>
      <w:r w:rsidDel="00000000" w:rsidR="00000000" w:rsidRPr="00000000">
        <w:rPr>
          <w:color w:val="000000"/>
          <w:rtl w:val="0"/>
        </w:rPr>
        <w:t xml:space="preserve">8. Conclusion</w:t>
      </w:r>
    </w:p>
    <w:p w:rsidR="00000000" w:rsidDel="00000000" w:rsidP="00000000" w:rsidRDefault="00000000" w:rsidRPr="00000000" w14:paraId="000000B3">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Thus, it can be concluded that the success of Cadbury in the UK and India clearly illustrates the need for adjusting the company’s international marketing strategies depending on culture, economy and competition. The PESTLE analysis, Hofstede's model, STP and 7 Ps reveal how the differences found affect Cadbury’s marketing practices in both countries. Even though Cadbury has the advantage of brand legacy and loyal customers in the UK, India needs more localization and affordability. The expansion of Cadbury in India illustrates well the proper adjustment of Cadbury’s strategy to local conditions. In the future, the innovations in digital marketing, responsible marketing and sustainability will become critical.</w:t>
      </w:r>
    </w:p>
    <w:p w:rsidR="00000000" w:rsidDel="00000000" w:rsidP="00000000" w:rsidRDefault="00000000" w:rsidRPr="00000000" w14:paraId="000000B4">
      <w:pPr>
        <w:pStyle w:val="Heading1"/>
        <w:rPr>
          <w:color w:val="000000"/>
        </w:rPr>
      </w:pPr>
      <w:bookmarkStart w:colFirst="0" w:colLast="0" w:name="_eca9ase6rmji" w:id="11"/>
      <w:bookmarkEnd w:id="11"/>
      <w:r w:rsidDel="00000000" w:rsidR="00000000" w:rsidRPr="00000000">
        <w:rPr>
          <w:color w:val="000000"/>
          <w:rtl w:val="0"/>
        </w:rPr>
        <w:t xml:space="preserve">Section 2</w:t>
      </w:r>
    </w:p>
    <w:p w:rsidR="00000000" w:rsidDel="00000000" w:rsidP="00000000" w:rsidRDefault="00000000" w:rsidRPr="00000000" w14:paraId="000000B5">
      <w:pPr>
        <w:pStyle w:val="Heading2"/>
        <w:rPr>
          <w:color w:val="000000"/>
        </w:rPr>
      </w:pPr>
      <w:bookmarkStart w:colFirst="0" w:colLast="0" w:name="_lo1920k6xklj" w:id="12"/>
      <w:bookmarkEnd w:id="12"/>
      <w:r w:rsidDel="00000000" w:rsidR="00000000" w:rsidRPr="00000000">
        <w:rPr>
          <w:color w:val="000000"/>
          <w:rtl w:val="0"/>
        </w:rPr>
        <w:t xml:space="preserve">Reflective Account</w:t>
      </w:r>
    </w:p>
    <w:p w:rsidR="00000000" w:rsidDel="00000000" w:rsidP="00000000" w:rsidRDefault="00000000" w:rsidRPr="00000000" w14:paraId="000000B6">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Gibbs Reflective Model</w:t>
      </w:r>
    </w:p>
    <w:p w:rsidR="00000000" w:rsidDel="00000000" w:rsidP="00000000" w:rsidRDefault="00000000" w:rsidRPr="00000000" w14:paraId="000000B7">
      <w:pPr>
        <w:spacing w:line="360" w:lineRule="auto"/>
        <w:jc w:val="both"/>
        <w:rPr>
          <w:rFonts w:ascii="Times New Roman" w:cs="Times New Roman" w:eastAsia="Times New Roman" w:hAnsi="Times New Roman"/>
          <w:b w:val="1"/>
          <w:bCs w:val="1"/>
          <w:i w:val="1"/>
          <w:iCs w:val="1"/>
          <w:color w:val="000000"/>
          <w:sz w:val="24"/>
          <w:szCs w:val="24"/>
        </w:rPr>
      </w:pPr>
      <w:r w:rsidDel="00000000" w:rsidR="00000000" w:rsidRPr="00000000">
        <w:rPr>
          <w:rFonts w:ascii="Times New Roman" w:cs="Times New Roman" w:eastAsia="Times New Roman" w:hAnsi="Times New Roman"/>
          <w:b w:val="1"/>
          <w:bCs w:val="1"/>
          <w:i w:val="1"/>
          <w:iCs w:val="1"/>
          <w:color w:val="000000"/>
          <w:sz w:val="24"/>
          <w:szCs w:val="24"/>
          <w:rtl w:val="0"/>
        </w:rPr>
        <w:t xml:space="preserve">Description</w:t>
      </w:r>
    </w:p>
    <w:p w:rsidR="00000000" w:rsidDel="00000000" w:rsidP="00000000" w:rsidRDefault="00000000" w:rsidRPr="00000000" w14:paraId="000000B8">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For conducting the assessment, I adopted the following structured procedure for assessing the international marketing strategy of Cadbury in India and UK. First of all, I researched the external environment of India and UK using PESTLE analysis taking into consideration the political, economic, social, technological, legal and environmental aspects. Then, I used the cultural dimensions of Hofstede in order to evaluate the ways in which the difference in culture between India and the UK may affect the company in terms of employees, customers and marketing decisions. Further, I analyzed the segmentation, targeting and positioning strategies of Cadbury and the 7Ps of the international marketing mix that include product, price, place, promotion, people, process and physical evidence. In addition, I conducted the research on Cadbury’s market entry strategy in India and role of localization in the strategy development. I assessed ethical issues related to the health of the customers, pricing policy, advertisements, packaging and sourcing of cocoa. Finally, I combined the results of my research in order to make recommendations on Cadbury’s international marketing strategy in the future.</w:t>
      </w:r>
    </w:p>
    <w:p w:rsidR="00000000" w:rsidDel="00000000" w:rsidP="00000000" w:rsidRDefault="00000000" w:rsidRPr="00000000" w14:paraId="000000B9">
      <w:pPr>
        <w:spacing w:line="360" w:lineRule="auto"/>
        <w:jc w:val="both"/>
        <w:rPr>
          <w:rFonts w:ascii="Times New Roman" w:cs="Times New Roman" w:eastAsia="Times New Roman" w:hAnsi="Times New Roman"/>
          <w:b w:val="1"/>
          <w:bCs w:val="1"/>
          <w:i w:val="1"/>
          <w:iCs w:val="1"/>
          <w:color w:val="000000"/>
          <w:sz w:val="24"/>
          <w:szCs w:val="24"/>
        </w:rPr>
      </w:pPr>
      <w:r w:rsidDel="00000000" w:rsidR="00000000" w:rsidRPr="00000000">
        <w:rPr>
          <w:rFonts w:ascii="Times New Roman" w:cs="Times New Roman" w:eastAsia="Times New Roman" w:hAnsi="Times New Roman"/>
          <w:b w:val="1"/>
          <w:bCs w:val="1"/>
          <w:i w:val="1"/>
          <w:iCs w:val="1"/>
          <w:color w:val="000000"/>
          <w:sz w:val="24"/>
          <w:szCs w:val="24"/>
          <w:rtl w:val="0"/>
        </w:rPr>
        <w:t xml:space="preserve">Feelings</w:t>
      </w:r>
    </w:p>
    <w:p w:rsidR="00000000" w:rsidDel="00000000" w:rsidP="00000000" w:rsidRDefault="00000000" w:rsidRPr="00000000" w14:paraId="000000BA">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At the starting of the assessment, I thought that comparative study of international marketing strategies of Cadbury in two countries would be difficult because I had to take into account a number of different environmental, cultural and marketing factors. I was concerned that I might have problems to find appropriate information on both the UK and India and to make sure that my comparison is related to Cadbury and not to countries' characteristics in general. However, the further research process increased my confidence because PESTLE and Hofstede frameworks helped to organise the gathered information. What was interesting to me, the cultural comparison has shown how important it is to adjust marketing and management strategy depending on cultural peculiarities of country and I started to be more interested when analysing 7P framework. It allowed me to see why certain economic and cultural characteristics could impact the strategy of making decisions about product, price, place and promotion. Finally, I was more confident in my skills after conducting the ethical analysis because I saw how important it is to be responsible as international brand especially regarding the aspects of health, advertising and sourcing.</w:t>
      </w:r>
    </w:p>
    <w:p w:rsidR="00000000" w:rsidDel="00000000" w:rsidP="00000000" w:rsidRDefault="00000000" w:rsidRPr="00000000" w14:paraId="000000BB">
      <w:pPr>
        <w:spacing w:line="360" w:lineRule="auto"/>
        <w:jc w:val="both"/>
        <w:rPr>
          <w:rFonts w:ascii="Times New Roman" w:cs="Times New Roman" w:eastAsia="Times New Roman" w:hAnsi="Times New Roman"/>
          <w:b w:val="1"/>
          <w:bCs w:val="1"/>
          <w:i w:val="1"/>
          <w:iCs w:val="1"/>
          <w:color w:val="000000"/>
          <w:sz w:val="24"/>
          <w:szCs w:val="24"/>
        </w:rPr>
      </w:pPr>
      <w:r w:rsidDel="00000000" w:rsidR="00000000" w:rsidRPr="00000000">
        <w:rPr>
          <w:rFonts w:ascii="Times New Roman" w:cs="Times New Roman" w:eastAsia="Times New Roman" w:hAnsi="Times New Roman"/>
          <w:b w:val="1"/>
          <w:bCs w:val="1"/>
          <w:i w:val="1"/>
          <w:iCs w:val="1"/>
          <w:color w:val="000000"/>
          <w:sz w:val="24"/>
          <w:szCs w:val="24"/>
          <w:rtl w:val="0"/>
        </w:rPr>
        <w:t xml:space="preserve">Evaluation</w:t>
      </w:r>
    </w:p>
    <w:p w:rsidR="00000000" w:rsidDel="00000000" w:rsidP="00000000" w:rsidRDefault="00000000" w:rsidRPr="00000000" w14:paraId="000000BC">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One good thing about the process is that I applied multiple models instead of one to analyze Cadbury’s international marketing efforts. While PESTLE analysis helped me understand macro-environmental differences between India and the United Kingdom, Hofstede’s model helped me examine cultural differences. STP and 7Ps, in turn, allowed me to relate these general differences to marketing practices of Cadbury. I thought that this combination was beneficial because it helped me gain a deeper understanding of international marketing. The other good thing is that I managed to use different kinds of sources, such as academic researches, official data, information from companies and market statistics. However, there were some limitations of my research process. There were certain challenges while trying to make comparisons due to the differences in sources from which the market statistics was obtained for both the UK and India and due to the different ways they were measured. I understood that cultural context tends to generalise the characteristics of the nation and does not account for all consumers and employees. In addition, there were cases when some parts became more descriptive and not analytical since my focus was on providing information rather than analysing it for Cadbury.</w:t>
      </w:r>
    </w:p>
    <w:p w:rsidR="00000000" w:rsidDel="00000000" w:rsidP="00000000" w:rsidRDefault="00000000" w:rsidRPr="00000000" w14:paraId="000000BD">
      <w:pPr>
        <w:spacing w:line="360" w:lineRule="auto"/>
        <w:jc w:val="both"/>
        <w:rPr>
          <w:rFonts w:ascii="Times New Roman" w:cs="Times New Roman" w:eastAsia="Times New Roman" w:hAnsi="Times New Roman"/>
          <w:b w:val="1"/>
          <w:bCs w:val="1"/>
          <w:i w:val="1"/>
          <w:iCs w:val="1"/>
          <w:color w:val="000000"/>
          <w:sz w:val="24"/>
          <w:szCs w:val="24"/>
        </w:rPr>
      </w:pPr>
      <w:r w:rsidDel="00000000" w:rsidR="00000000" w:rsidRPr="00000000">
        <w:rPr>
          <w:rFonts w:ascii="Times New Roman" w:cs="Times New Roman" w:eastAsia="Times New Roman" w:hAnsi="Times New Roman"/>
          <w:b w:val="1"/>
          <w:bCs w:val="1"/>
          <w:i w:val="1"/>
          <w:iCs w:val="1"/>
          <w:color w:val="000000"/>
          <w:sz w:val="24"/>
          <w:szCs w:val="24"/>
          <w:rtl w:val="0"/>
        </w:rPr>
        <w:t xml:space="preserve">Analysis</w:t>
      </w:r>
    </w:p>
    <w:p w:rsidR="00000000" w:rsidDel="00000000" w:rsidP="00000000" w:rsidRDefault="00000000" w:rsidRPr="00000000" w14:paraId="000000BE">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Upon reflection, I realized that proper international marketing analysis depends on integrating theory and empirical market facts rather than on analyzing them separately. Thus, in the course of doing PESTLE analysis, I discovered many economic and environmental differences between India and the UK; however, only upon applying these findings to Cadbury’s marketing mix did I realize their significance. Purchasing power differences explained to me why varied pack size and affordable prices are very important in India, whereas the maturity of the UK confectionery market means that differentiation, innovation and strong brand heritage are crucial. Additionally, understanding cultural differences through Hofstede’s framework allowed me to realize how cultural characteristics affect managerial and marketing strategies of a company. Collectivism of India helped me to analyze marketing based on family ties, festivals and gifts, whereas individualism and indulgence of the UK helped me to understand different consumer behavior and communication practices. In other words, I understood that cultural analysis could help to explain the ineffectiveness of standardized international marketing. The STP and 7 Ps Analysis further proved the significance of localization. I understood that while Cadbury retains its uniformity in terms of global image, it adapts its marketing operations according to the local environment. The market entry analysis helped me understand that the development of Cadbury in India involved localization. </w:t>
      </w:r>
    </w:p>
    <w:p w:rsidR="00000000" w:rsidDel="00000000" w:rsidP="00000000" w:rsidRDefault="00000000" w:rsidRPr="00000000" w14:paraId="000000BF">
      <w:pPr>
        <w:spacing w:line="360" w:lineRule="auto"/>
        <w:jc w:val="both"/>
        <w:rPr>
          <w:rFonts w:ascii="Times New Roman" w:cs="Times New Roman" w:eastAsia="Times New Roman" w:hAnsi="Times New Roman"/>
          <w:b w:val="1"/>
          <w:bCs w:val="1"/>
          <w:i w:val="1"/>
          <w:iCs w:val="1"/>
          <w:color w:val="000000"/>
          <w:sz w:val="24"/>
          <w:szCs w:val="24"/>
        </w:rPr>
      </w:pPr>
      <w:r w:rsidDel="00000000" w:rsidR="00000000" w:rsidRPr="00000000">
        <w:rPr>
          <w:rFonts w:ascii="Times New Roman" w:cs="Times New Roman" w:eastAsia="Times New Roman" w:hAnsi="Times New Roman"/>
          <w:b w:val="1"/>
          <w:bCs w:val="1"/>
          <w:i w:val="1"/>
          <w:iCs w:val="1"/>
          <w:color w:val="000000"/>
          <w:sz w:val="24"/>
          <w:szCs w:val="24"/>
          <w:rtl w:val="0"/>
        </w:rPr>
        <w:t xml:space="preserve">Conclusion</w:t>
      </w:r>
    </w:p>
    <w:p w:rsidR="00000000" w:rsidDel="00000000" w:rsidP="00000000" w:rsidRDefault="00000000" w:rsidRPr="00000000" w14:paraId="000000C0">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As a result of this assessment, I discovered that in order to undertake research for international marketing, one has to use a structured method which includes the use of valid information, theories and comparative analysis. I gained a better insight into how the PESTLE analysis, Hofstede, STP and the 7Ps framework can be used for analysis of international activities of multinational brands like Cadbury. Another thing I learned was that merely discovering the differences among countries will not do, I also have to discover how these differences affect marketing decisions.</w:t>
      </w:r>
    </w:p>
    <w:p w:rsidR="00000000" w:rsidDel="00000000" w:rsidP="00000000" w:rsidRDefault="00000000" w:rsidRPr="00000000" w14:paraId="000000C1">
      <w:pPr>
        <w:spacing w:line="360" w:lineRule="auto"/>
        <w:jc w:val="both"/>
        <w:rPr>
          <w:rFonts w:ascii="Times New Roman" w:cs="Times New Roman" w:eastAsia="Times New Roman" w:hAnsi="Times New Roman"/>
          <w:b w:val="1"/>
          <w:bCs w:val="1"/>
          <w:i w:val="1"/>
          <w:iCs w:val="1"/>
          <w:color w:val="000000"/>
          <w:sz w:val="24"/>
          <w:szCs w:val="24"/>
        </w:rPr>
      </w:pPr>
      <w:r w:rsidDel="00000000" w:rsidR="00000000" w:rsidRPr="00000000">
        <w:rPr>
          <w:rFonts w:ascii="Times New Roman" w:cs="Times New Roman" w:eastAsia="Times New Roman" w:hAnsi="Times New Roman"/>
          <w:b w:val="1"/>
          <w:bCs w:val="1"/>
          <w:i w:val="1"/>
          <w:iCs w:val="1"/>
          <w:color w:val="000000"/>
          <w:sz w:val="24"/>
          <w:szCs w:val="24"/>
          <w:rtl w:val="0"/>
        </w:rPr>
        <w:t xml:space="preserve">Action Plan</w:t>
      </w:r>
    </w:p>
    <w:p w:rsidR="00000000" w:rsidDel="00000000" w:rsidP="00000000" w:rsidRDefault="00000000" w:rsidRPr="00000000" w14:paraId="000000C2">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SMART action plan </w:t>
      </w:r>
    </w:p>
    <w:tbl>
      <w:tblPr>
        <w:tblStyle w:val="Table4"/>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03"/>
        <w:gridCol w:w="1803"/>
        <w:gridCol w:w="1803"/>
        <w:gridCol w:w="1803"/>
        <w:gridCol w:w="1804"/>
        <w:tblGridChange w:id="0">
          <w:tblGrid>
            <w:gridCol w:w="1803"/>
            <w:gridCol w:w="1803"/>
            <w:gridCol w:w="1803"/>
            <w:gridCol w:w="1803"/>
            <w:gridCol w:w="1804"/>
          </w:tblGrid>
        </w:tblGridChange>
      </w:tblGrid>
      <w:tr>
        <w:trPr>
          <w:cantSplit w:val="0"/>
          <w:tblHeader w:val="0"/>
        </w:trPr>
        <w:tc>
          <w:tcPr/>
          <w:p w:rsidR="00000000" w:rsidDel="00000000" w:rsidP="00000000" w:rsidRDefault="00000000" w:rsidRPr="00000000" w14:paraId="000000C3">
            <w:pPr>
              <w:spacing w:line="360" w:lineRule="auto"/>
              <w:jc w:val="center"/>
              <w:rPr>
                <w:rFonts w:ascii="Times New Roman" w:cs="Times New Roman" w:eastAsia="Times New Roman" w:hAnsi="Times New Roman"/>
                <w:b w:val="1"/>
                <w:bCs w:val="1"/>
                <w:i w:val="1"/>
                <w:iCs w:val="1"/>
                <w:color w:val="000000"/>
                <w:sz w:val="24"/>
                <w:szCs w:val="24"/>
              </w:rPr>
            </w:pPr>
            <w:r w:rsidDel="00000000" w:rsidR="00000000" w:rsidRPr="00000000">
              <w:rPr>
                <w:rFonts w:ascii="Times New Roman" w:cs="Times New Roman" w:eastAsia="Times New Roman" w:hAnsi="Times New Roman"/>
                <w:b w:val="1"/>
                <w:bCs w:val="1"/>
                <w:i w:val="1"/>
                <w:iCs w:val="1"/>
                <w:color w:val="000000"/>
                <w:sz w:val="24"/>
                <w:szCs w:val="24"/>
                <w:rtl w:val="0"/>
              </w:rPr>
              <w:t xml:space="preserve">Specific (S)</w:t>
            </w:r>
          </w:p>
        </w:tc>
        <w:tc>
          <w:tcPr/>
          <w:p w:rsidR="00000000" w:rsidDel="00000000" w:rsidP="00000000" w:rsidRDefault="00000000" w:rsidRPr="00000000" w14:paraId="000000C4">
            <w:pPr>
              <w:spacing w:line="360" w:lineRule="auto"/>
              <w:jc w:val="center"/>
              <w:rPr>
                <w:rFonts w:ascii="Times New Roman" w:cs="Times New Roman" w:eastAsia="Times New Roman" w:hAnsi="Times New Roman"/>
                <w:b w:val="1"/>
                <w:bCs w:val="1"/>
                <w:i w:val="1"/>
                <w:iCs w:val="1"/>
                <w:color w:val="000000"/>
                <w:sz w:val="24"/>
                <w:szCs w:val="24"/>
              </w:rPr>
            </w:pPr>
            <w:r w:rsidDel="00000000" w:rsidR="00000000" w:rsidRPr="00000000">
              <w:rPr>
                <w:rFonts w:ascii="Times New Roman" w:cs="Times New Roman" w:eastAsia="Times New Roman" w:hAnsi="Times New Roman"/>
                <w:b w:val="1"/>
                <w:bCs w:val="1"/>
                <w:i w:val="1"/>
                <w:iCs w:val="1"/>
                <w:color w:val="000000"/>
                <w:sz w:val="24"/>
                <w:szCs w:val="24"/>
                <w:rtl w:val="0"/>
              </w:rPr>
              <w:t xml:space="preserve">Measurable (M)</w:t>
            </w:r>
          </w:p>
        </w:tc>
        <w:tc>
          <w:tcPr/>
          <w:p w:rsidR="00000000" w:rsidDel="00000000" w:rsidP="00000000" w:rsidRDefault="00000000" w:rsidRPr="00000000" w14:paraId="000000C5">
            <w:pPr>
              <w:spacing w:line="360" w:lineRule="auto"/>
              <w:jc w:val="center"/>
              <w:rPr>
                <w:rFonts w:ascii="Times New Roman" w:cs="Times New Roman" w:eastAsia="Times New Roman" w:hAnsi="Times New Roman"/>
                <w:b w:val="1"/>
                <w:bCs w:val="1"/>
                <w:i w:val="1"/>
                <w:iCs w:val="1"/>
                <w:color w:val="000000"/>
                <w:sz w:val="24"/>
                <w:szCs w:val="24"/>
              </w:rPr>
            </w:pPr>
            <w:r w:rsidDel="00000000" w:rsidR="00000000" w:rsidRPr="00000000">
              <w:rPr>
                <w:rFonts w:ascii="Times New Roman" w:cs="Times New Roman" w:eastAsia="Times New Roman" w:hAnsi="Times New Roman"/>
                <w:b w:val="1"/>
                <w:bCs w:val="1"/>
                <w:i w:val="1"/>
                <w:iCs w:val="1"/>
                <w:color w:val="000000"/>
                <w:sz w:val="24"/>
                <w:szCs w:val="24"/>
                <w:rtl w:val="0"/>
              </w:rPr>
              <w:t xml:space="preserve">Attainable (A)</w:t>
            </w:r>
          </w:p>
        </w:tc>
        <w:tc>
          <w:tcPr/>
          <w:p w:rsidR="00000000" w:rsidDel="00000000" w:rsidP="00000000" w:rsidRDefault="00000000" w:rsidRPr="00000000" w14:paraId="000000C6">
            <w:pPr>
              <w:spacing w:line="360" w:lineRule="auto"/>
              <w:jc w:val="center"/>
              <w:rPr>
                <w:rFonts w:ascii="Times New Roman" w:cs="Times New Roman" w:eastAsia="Times New Roman" w:hAnsi="Times New Roman"/>
                <w:b w:val="1"/>
                <w:bCs w:val="1"/>
                <w:i w:val="1"/>
                <w:iCs w:val="1"/>
                <w:color w:val="000000"/>
                <w:sz w:val="24"/>
                <w:szCs w:val="24"/>
              </w:rPr>
            </w:pPr>
            <w:r w:rsidDel="00000000" w:rsidR="00000000" w:rsidRPr="00000000">
              <w:rPr>
                <w:rFonts w:ascii="Times New Roman" w:cs="Times New Roman" w:eastAsia="Times New Roman" w:hAnsi="Times New Roman"/>
                <w:b w:val="1"/>
                <w:bCs w:val="1"/>
                <w:i w:val="1"/>
                <w:iCs w:val="1"/>
                <w:color w:val="000000"/>
                <w:sz w:val="24"/>
                <w:szCs w:val="24"/>
                <w:rtl w:val="0"/>
              </w:rPr>
              <w:t xml:space="preserve">Relevance (R)</w:t>
            </w:r>
          </w:p>
        </w:tc>
        <w:tc>
          <w:tcPr/>
          <w:p w:rsidR="00000000" w:rsidDel="00000000" w:rsidP="00000000" w:rsidRDefault="00000000" w:rsidRPr="00000000" w14:paraId="000000C7">
            <w:pPr>
              <w:spacing w:line="360" w:lineRule="auto"/>
              <w:jc w:val="center"/>
              <w:rPr>
                <w:rFonts w:ascii="Times New Roman" w:cs="Times New Roman" w:eastAsia="Times New Roman" w:hAnsi="Times New Roman"/>
                <w:b w:val="1"/>
                <w:bCs w:val="1"/>
                <w:i w:val="1"/>
                <w:iCs w:val="1"/>
                <w:color w:val="000000"/>
                <w:sz w:val="24"/>
                <w:szCs w:val="24"/>
              </w:rPr>
            </w:pPr>
            <w:r w:rsidDel="00000000" w:rsidR="00000000" w:rsidRPr="00000000">
              <w:rPr>
                <w:rFonts w:ascii="Times New Roman" w:cs="Times New Roman" w:eastAsia="Times New Roman" w:hAnsi="Times New Roman"/>
                <w:b w:val="1"/>
                <w:bCs w:val="1"/>
                <w:i w:val="1"/>
                <w:iCs w:val="1"/>
                <w:color w:val="000000"/>
                <w:sz w:val="24"/>
                <w:szCs w:val="24"/>
                <w:rtl w:val="0"/>
              </w:rPr>
              <w:t xml:space="preserve">Time-bound (T)</w:t>
            </w:r>
          </w:p>
        </w:tc>
      </w:tr>
      <w:tr>
        <w:trPr>
          <w:cantSplit w:val="0"/>
          <w:tblHeader w:val="0"/>
        </w:trPr>
        <w:tc>
          <w:tcPr/>
          <w:p w:rsidR="00000000" w:rsidDel="00000000" w:rsidP="00000000" w:rsidRDefault="00000000" w:rsidRPr="00000000" w14:paraId="000000C8">
            <w:pPr>
              <w:spacing w:line="360" w:lineRule="auto"/>
              <w:jc w:val="center"/>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I shall have an established research plan prior</w:t>
            </w:r>
          </w:p>
        </w:tc>
        <w:tc>
          <w:tcPr/>
          <w:p w:rsidR="00000000" w:rsidDel="00000000" w:rsidP="00000000" w:rsidRDefault="00000000" w:rsidRPr="00000000" w14:paraId="000000C9">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Conducting a comparison of data from various sources in order to make my research more accurate and credible would be the way to measure the success range of the strategic approach effectively </w:t>
            </w:r>
          </w:p>
        </w:tc>
        <w:tc>
          <w:tcPr/>
          <w:p w:rsidR="00000000" w:rsidDel="00000000" w:rsidP="00000000" w:rsidRDefault="00000000" w:rsidRPr="00000000" w14:paraId="000000CA">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Establishing research plan prior to starting the writing process and use dependable academic, governmental, and corporate sources for each section for my further sustainable researching contexts. </w:t>
            </w:r>
          </w:p>
        </w:tc>
        <w:tc>
          <w:tcPr/>
          <w:p w:rsidR="00000000" w:rsidDel="00000000" w:rsidP="00000000" w:rsidRDefault="00000000" w:rsidRPr="00000000" w14:paraId="000000CB">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Establishing a research plan prior is relevant to support the currently driven industrial report measurement, application understanding of the changing business segmentations and applications more effective in the competitive scenarios. </w:t>
            </w:r>
          </w:p>
        </w:tc>
        <w:tc>
          <w:tcPr/>
          <w:p w:rsidR="00000000" w:rsidDel="00000000" w:rsidP="00000000" w:rsidRDefault="00000000" w:rsidRPr="00000000" w14:paraId="000000CC">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Within next 3 months </w:t>
            </w:r>
          </w:p>
        </w:tc>
      </w:tr>
      <w:tr>
        <w:trPr>
          <w:cantSplit w:val="0"/>
          <w:tblHeader w:val="0"/>
        </w:trPr>
        <w:tc>
          <w:tcPr/>
          <w:p w:rsidR="00000000" w:rsidDel="00000000" w:rsidP="00000000" w:rsidRDefault="00000000" w:rsidRPr="00000000" w14:paraId="000000CD">
            <w:pPr>
              <w:spacing w:line="360" w:lineRule="auto"/>
              <w:jc w:val="center"/>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I shall pay closer attention to analysis</w:t>
            </w:r>
          </w:p>
        </w:tc>
        <w:tc>
          <w:tcPr/>
          <w:p w:rsidR="00000000" w:rsidDel="00000000" w:rsidP="00000000" w:rsidRDefault="00000000" w:rsidRPr="00000000" w14:paraId="000000CE">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Developing focus on providing justification for the importance of the evidence presented and its impact on business decision-making processes rather than just presenting the findings would be the core ways of measuring the success range of the strategic approach </w:t>
            </w:r>
          </w:p>
        </w:tc>
        <w:tc>
          <w:tcPr/>
          <w:p w:rsidR="00000000" w:rsidDel="00000000" w:rsidP="00000000" w:rsidRDefault="00000000" w:rsidRPr="00000000" w14:paraId="000000CF">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Researching over the currently developed business reports, evaluation of the changed strategic applications by companies to balance their functional accessibilities are effective to develop  </w:t>
            </w:r>
          </w:p>
        </w:tc>
        <w:tc>
          <w:tcPr/>
          <w:p w:rsidR="00000000" w:rsidDel="00000000" w:rsidP="00000000" w:rsidRDefault="00000000" w:rsidRPr="00000000" w14:paraId="000000D0">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Paying closer attention to analysis of the real time business evidence and critical operating factors is relevant to emphasise changed business narratives of my future engaging firms effectively. </w:t>
            </w:r>
          </w:p>
        </w:tc>
        <w:tc>
          <w:tcPr/>
          <w:p w:rsidR="00000000" w:rsidDel="00000000" w:rsidP="00000000" w:rsidRDefault="00000000" w:rsidRPr="00000000" w14:paraId="000000D1">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Within next 5 months </w:t>
            </w:r>
          </w:p>
        </w:tc>
      </w:tr>
      <w:tr>
        <w:trPr>
          <w:cantSplit w:val="0"/>
          <w:tblHeader w:val="0"/>
        </w:trPr>
        <w:tc>
          <w:tcPr/>
          <w:p w:rsidR="00000000" w:rsidDel="00000000" w:rsidP="00000000" w:rsidRDefault="00000000" w:rsidRPr="00000000" w14:paraId="000000D2">
            <w:pPr>
              <w:spacing w:line="360" w:lineRule="auto"/>
              <w:jc w:val="center"/>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I shall manage my time more efficiently</w:t>
            </w:r>
          </w:p>
        </w:tc>
        <w:tc>
          <w:tcPr/>
          <w:p w:rsidR="00000000" w:rsidDel="00000000" w:rsidP="00000000" w:rsidRDefault="00000000" w:rsidRPr="00000000" w14:paraId="000000D3">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Completing all the necessary works within a particular time frame and meeting all deadlines depending on the key paradigm of highlighted schedules. </w:t>
            </w:r>
          </w:p>
        </w:tc>
        <w:tc>
          <w:tcPr/>
          <w:p w:rsidR="00000000" w:rsidDel="00000000" w:rsidP="00000000" w:rsidRDefault="00000000" w:rsidRPr="00000000" w14:paraId="000000D4">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Scheduling all my tasks, developing a weekly and daily working routine and timing would ensure my ways to maximise the changed operational patterns management segmentations more effectively. </w:t>
            </w:r>
          </w:p>
        </w:tc>
        <w:tc>
          <w:tcPr/>
          <w:p w:rsidR="00000000" w:rsidDel="00000000" w:rsidP="00000000" w:rsidRDefault="00000000" w:rsidRPr="00000000" w14:paraId="000000D5">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Managing my time more efficiently is relevant by dedicating certain time frames to research, analysis, writing, citation and proofreading. </w:t>
            </w:r>
          </w:p>
        </w:tc>
        <w:tc>
          <w:tcPr/>
          <w:p w:rsidR="00000000" w:rsidDel="00000000" w:rsidP="00000000" w:rsidRDefault="00000000" w:rsidRPr="00000000" w14:paraId="000000D6">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Within next 7 months </w:t>
            </w:r>
          </w:p>
        </w:tc>
      </w:tr>
    </w:tbl>
    <w:p w:rsidR="00000000" w:rsidDel="00000000" w:rsidP="00000000" w:rsidRDefault="00000000" w:rsidRPr="00000000" w14:paraId="000000D7">
      <w:pPr>
        <w:spacing w:after="0" w:lineRule="auto"/>
        <w:jc w:val="center"/>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Table 4: SMART Action plan</w:t>
      </w:r>
    </w:p>
    <w:p w:rsidR="00000000" w:rsidDel="00000000" w:rsidP="00000000" w:rsidRDefault="00000000" w:rsidRPr="00000000" w14:paraId="000000D8">
      <w:pPr>
        <w:spacing w:after="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(Source: Self-developed)</w:t>
      </w:r>
      <w:r w:rsidDel="00000000" w:rsidR="00000000" w:rsidRPr="00000000">
        <w:br w:type="page"/>
      </w:r>
      <w:r w:rsidDel="00000000" w:rsidR="00000000" w:rsidRPr="00000000">
        <w:rPr>
          <w:rtl w:val="0"/>
        </w:rPr>
      </w:r>
    </w:p>
    <w:p w:rsidR="00000000" w:rsidDel="00000000" w:rsidP="00000000" w:rsidRDefault="00000000" w:rsidRPr="00000000" w14:paraId="000000D9">
      <w:pPr>
        <w:pStyle w:val="Heading1"/>
        <w:rPr>
          <w:color w:val="000000"/>
        </w:rPr>
      </w:pPr>
      <w:bookmarkStart w:colFirst="0" w:colLast="0" w:name="_sxeedtoeoqsk" w:id="13"/>
      <w:bookmarkEnd w:id="13"/>
      <w:r w:rsidDel="00000000" w:rsidR="00000000" w:rsidRPr="00000000">
        <w:rPr>
          <w:color w:val="000000"/>
          <w:rtl w:val="0"/>
        </w:rPr>
        <w:t xml:space="preserve">References</w:t>
      </w:r>
    </w:p>
    <w:p w:rsidR="00000000" w:rsidDel="00000000" w:rsidP="00000000" w:rsidRDefault="00000000" w:rsidRPr="00000000" w14:paraId="000000D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ADEKOYA, A., AYENI, O. and BAMIGBAIYE-ELATUYI, O., 2024. AN INVESTIGATION OF THE FACTORS THAT ARE CRITICAL FOR CONSUMERS OF POCKET-FRIENDLY SIZED BEVERAGES REPURCHASE BEHAVIOUR.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UNILAG Journal of Business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10</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 pp.13-38. </w:t>
      </w:r>
    </w:p>
    <w:p w:rsidR="00000000" w:rsidDel="00000000" w:rsidP="00000000" w:rsidRDefault="00000000" w:rsidRPr="00000000" w14:paraId="000000D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Boegman, S.J., Carodenuto, S., Rebitt, S., Grant, H. and Cisneros, B., 2023. Seeing through transparency in the craft chocolate industry: The what, how, and why of cacao sourcing.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Journal of Agriculture and Food Research</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14</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p.100739. </w:t>
      </w:r>
    </w:p>
    <w:p w:rsidR="00000000" w:rsidDel="00000000" w:rsidP="00000000" w:rsidRDefault="00000000" w:rsidRPr="00000000" w14:paraId="000000D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Brouthers, K.D., Chen, L., Li, S. and Shaheer, N., 2022. Charting new courses to enter foreign markets: Conceptualization, theoretical framework, and research directions on non-traditional entry modes: Keith D. Brouthers et al.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Journal of International Business Studies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53</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(9), pp.2088-2115. </w:t>
      </w:r>
    </w:p>
    <w:p w:rsidR="00000000" w:rsidDel="00000000" w:rsidP="00000000" w:rsidRDefault="00000000" w:rsidRPr="00000000" w14:paraId="000000D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bCs w:val="0"/>
          <w:i w:val="0"/>
          <w:iCs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Cadbury, 2026.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Cadbury Advertising and Campaigns.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[Online]. Available at: https://www.cadbury.co.uk/explore/seasonal/lastest-campaigns </w:t>
      </w:r>
      <w:r w:rsidDel="00000000" w:rsidR="00000000" w:rsidRPr="00000000">
        <w:rPr>
          <w:rtl w:val="0"/>
        </w:rPr>
      </w:r>
    </w:p>
    <w:p w:rsidR="00000000" w:rsidDel="00000000" w:rsidP="00000000" w:rsidRDefault="00000000" w:rsidRPr="00000000" w14:paraId="000000DE">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Cadbury.co.uk, 2026. </w:t>
      </w:r>
      <w:r w:rsidDel="00000000" w:rsidR="00000000" w:rsidRPr="00000000">
        <w:rPr>
          <w:rFonts w:ascii="Times New Roman" w:cs="Times New Roman" w:eastAsia="Times New Roman" w:hAnsi="Times New Roman"/>
          <w:i w:val="1"/>
          <w:iCs w:val="1"/>
          <w:color w:val="000000"/>
          <w:sz w:val="24"/>
          <w:szCs w:val="24"/>
          <w:rtl w:val="0"/>
        </w:rPr>
        <w:t xml:space="preserve">All Cadbury products</w:t>
      </w:r>
      <w:r w:rsidDel="00000000" w:rsidR="00000000" w:rsidRPr="00000000">
        <w:rPr>
          <w:rFonts w:ascii="Times New Roman" w:cs="Times New Roman" w:eastAsia="Times New Roman" w:hAnsi="Times New Roman"/>
          <w:color w:val="000000"/>
          <w:sz w:val="24"/>
          <w:szCs w:val="24"/>
          <w:rtl w:val="0"/>
        </w:rPr>
        <w:t xml:space="preserve"> [Online]. Available at: https://www.cadbury.co.uk/products/</w:t>
      </w:r>
    </w:p>
    <w:p w:rsidR="00000000" w:rsidDel="00000000" w:rsidP="00000000" w:rsidRDefault="00000000" w:rsidRPr="00000000" w14:paraId="000000D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bCs w:val="0"/>
          <w:i w:val="0"/>
          <w:iCs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Campaignlive, 2025.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Cadbury “Game changing wins” by Elvis. </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[Online]. Available at: https://www.campaignlive.co.uk/article/cadbury-%E2%80%9Cgame-changing-wins%E2%80%9D-elvis/1916606 </w:t>
      </w:r>
      <w:r w:rsidDel="00000000" w:rsidR="00000000" w:rsidRPr="00000000">
        <w:rPr>
          <w:rtl w:val="0"/>
        </w:rPr>
      </w:r>
    </w:p>
    <w:p w:rsidR="00000000" w:rsidDel="00000000" w:rsidP="00000000" w:rsidRDefault="00000000" w:rsidRPr="00000000" w14:paraId="000000E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Duffett, R.G. and Maraule, M., 2024. Customer engagement and intention to purchase attitudes of generation Z consumers toward emojis in digital marketing communications.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Young Consumers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25</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 pp.607-624. </w:t>
      </w:r>
    </w:p>
    <w:p w:rsidR="00000000" w:rsidDel="00000000" w:rsidP="00000000" w:rsidRDefault="00000000" w:rsidRPr="00000000" w14:paraId="000000E1">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Hamidi, I.A., 2022. The Effect of Pricing Strategies on Competitive Advantage. </w:t>
      </w:r>
      <w:r w:rsidDel="00000000" w:rsidR="00000000" w:rsidRPr="00000000">
        <w:rPr>
          <w:rFonts w:ascii="Times New Roman" w:cs="Times New Roman" w:eastAsia="Times New Roman" w:hAnsi="Times New Roman"/>
          <w:i w:val="1"/>
          <w:iCs w:val="1"/>
          <w:color w:val="000000"/>
          <w:sz w:val="24"/>
          <w:szCs w:val="24"/>
          <w:rtl w:val="0"/>
        </w:rPr>
        <w:t xml:space="preserve">American Journal of Economics and Business Management</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iCs w:val="1"/>
          <w:color w:val="000000"/>
          <w:sz w:val="24"/>
          <w:szCs w:val="24"/>
          <w:rtl w:val="0"/>
        </w:rPr>
        <w:t xml:space="preserve">5</w:t>
      </w:r>
      <w:r w:rsidDel="00000000" w:rsidR="00000000" w:rsidRPr="00000000">
        <w:rPr>
          <w:rFonts w:ascii="Times New Roman" w:cs="Times New Roman" w:eastAsia="Times New Roman" w:hAnsi="Times New Roman"/>
          <w:color w:val="000000"/>
          <w:sz w:val="24"/>
          <w:szCs w:val="24"/>
          <w:rtl w:val="0"/>
        </w:rPr>
        <w:t xml:space="preserve">(11), pp.250-264.</w:t>
      </w:r>
    </w:p>
    <w:p w:rsidR="00000000" w:rsidDel="00000000" w:rsidP="00000000" w:rsidRDefault="00000000" w:rsidRPr="00000000" w14:paraId="000000E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Hindson, C., 2023.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Theatre in the Chocolate Factory: Performance at Cadbury's Bournville, 1900–1935</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Cambridge University Press. </w:t>
      </w:r>
    </w:p>
    <w:p w:rsidR="00000000" w:rsidDel="00000000" w:rsidP="00000000" w:rsidRDefault="00000000" w:rsidRPr="00000000" w14:paraId="000000E3">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Indiacode.nic.in, 2025. </w:t>
      </w:r>
      <w:r w:rsidDel="00000000" w:rsidR="00000000" w:rsidRPr="00000000">
        <w:rPr>
          <w:rFonts w:ascii="Times New Roman" w:cs="Times New Roman" w:eastAsia="Times New Roman" w:hAnsi="Times New Roman"/>
          <w:i w:val="1"/>
          <w:iCs w:val="1"/>
          <w:color w:val="000000"/>
          <w:sz w:val="24"/>
          <w:szCs w:val="24"/>
          <w:rtl w:val="0"/>
        </w:rPr>
        <w:t xml:space="preserve">The Code on Wages, 2019</w:t>
      </w:r>
      <w:r w:rsidDel="00000000" w:rsidR="00000000" w:rsidRPr="00000000">
        <w:rPr>
          <w:rFonts w:ascii="Times New Roman" w:cs="Times New Roman" w:eastAsia="Times New Roman" w:hAnsi="Times New Roman"/>
          <w:color w:val="000000"/>
          <w:sz w:val="24"/>
          <w:szCs w:val="24"/>
          <w:rtl w:val="0"/>
        </w:rPr>
        <w:t xml:space="preserve"> [Online]. Available at: https://www.indiacode.nic.in/bitstream/123456789/15793/1/aA2019-29.pdf </w:t>
      </w:r>
    </w:p>
    <w:p w:rsidR="00000000" w:rsidDel="00000000" w:rsidP="00000000" w:rsidRDefault="00000000" w:rsidRPr="00000000" w14:paraId="000000E4">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Indiacode.nic.in, 2025. </w:t>
      </w:r>
      <w:r w:rsidDel="00000000" w:rsidR="00000000" w:rsidRPr="00000000">
        <w:rPr>
          <w:rFonts w:ascii="Times New Roman" w:cs="Times New Roman" w:eastAsia="Times New Roman" w:hAnsi="Times New Roman"/>
          <w:i w:val="1"/>
          <w:iCs w:val="1"/>
          <w:color w:val="000000"/>
          <w:sz w:val="24"/>
          <w:szCs w:val="24"/>
          <w:rtl w:val="0"/>
        </w:rPr>
        <w:t xml:space="preserve">The Occupational Safety, Health and Working Conditions Code, 2020</w:t>
      </w:r>
      <w:r w:rsidDel="00000000" w:rsidR="00000000" w:rsidRPr="00000000">
        <w:rPr>
          <w:rFonts w:ascii="Times New Roman" w:cs="Times New Roman" w:eastAsia="Times New Roman" w:hAnsi="Times New Roman"/>
          <w:color w:val="000000"/>
          <w:sz w:val="24"/>
          <w:szCs w:val="24"/>
          <w:rtl w:val="0"/>
        </w:rPr>
        <w:t xml:space="preserve"> [Online]. Available at: https://www.indiacode.nic.in/bitstream/123456789/22041/1/a2020-37.pdf </w:t>
      </w:r>
    </w:p>
    <w:p w:rsidR="00000000" w:rsidDel="00000000" w:rsidP="00000000" w:rsidRDefault="00000000" w:rsidRPr="00000000" w14:paraId="000000E5">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Indiacode.nic.in, 2026. </w:t>
      </w:r>
      <w:r w:rsidDel="00000000" w:rsidR="00000000" w:rsidRPr="00000000">
        <w:rPr>
          <w:rFonts w:ascii="Times New Roman" w:cs="Times New Roman" w:eastAsia="Times New Roman" w:hAnsi="Times New Roman"/>
          <w:i w:val="1"/>
          <w:iCs w:val="1"/>
          <w:color w:val="000000"/>
          <w:sz w:val="24"/>
          <w:szCs w:val="24"/>
          <w:rtl w:val="0"/>
        </w:rPr>
        <w:t xml:space="preserve">THE ENVIRONMENT (PROTECTION) ACT, 1986</w:t>
      </w:r>
      <w:r w:rsidDel="00000000" w:rsidR="00000000" w:rsidRPr="00000000">
        <w:rPr>
          <w:rFonts w:ascii="Times New Roman" w:cs="Times New Roman" w:eastAsia="Times New Roman" w:hAnsi="Times New Roman"/>
          <w:color w:val="000000"/>
          <w:sz w:val="24"/>
          <w:szCs w:val="24"/>
          <w:rtl w:val="0"/>
        </w:rPr>
        <w:t xml:space="preserve"> [Online]. Available at: https://www.indiacode.nic.in/bitstream/123456789/4316/1/ep_act_1986.pdf </w:t>
      </w:r>
    </w:p>
    <w:p w:rsidR="00000000" w:rsidDel="00000000" w:rsidP="00000000" w:rsidRDefault="00000000" w:rsidRPr="00000000" w14:paraId="000000E6">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Itpro.co.uk, 2021. </w:t>
      </w:r>
      <w:r w:rsidDel="00000000" w:rsidR="00000000" w:rsidRPr="00000000">
        <w:rPr>
          <w:rFonts w:ascii="Times New Roman" w:cs="Times New Roman" w:eastAsia="Times New Roman" w:hAnsi="Times New Roman"/>
          <w:i w:val="1"/>
          <w:iCs w:val="1"/>
          <w:color w:val="000000"/>
          <w:sz w:val="24"/>
          <w:szCs w:val="24"/>
          <w:rtl w:val="0"/>
        </w:rPr>
        <w:t xml:space="preserve">UK tech sector investment hits record £13.5 billion in 2021</w:t>
      </w:r>
      <w:r w:rsidDel="00000000" w:rsidR="00000000" w:rsidRPr="00000000">
        <w:rPr>
          <w:rFonts w:ascii="Times New Roman" w:cs="Times New Roman" w:eastAsia="Times New Roman" w:hAnsi="Times New Roman"/>
          <w:color w:val="000000"/>
          <w:sz w:val="24"/>
          <w:szCs w:val="24"/>
          <w:rtl w:val="0"/>
        </w:rPr>
        <w:t xml:space="preserve">. [Online]. Available at: https://www.itpro.co.uk/business-strategy/startups/360929/2021-uk-tech-sector-investment-record </w:t>
      </w:r>
    </w:p>
    <w:p w:rsidR="00000000" w:rsidDel="00000000" w:rsidP="00000000" w:rsidRDefault="00000000" w:rsidRPr="00000000" w14:paraId="000000E7">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Legislation.gov.uk, 2026. </w:t>
      </w:r>
      <w:r w:rsidDel="00000000" w:rsidR="00000000" w:rsidRPr="00000000">
        <w:rPr>
          <w:rFonts w:ascii="Times New Roman" w:cs="Times New Roman" w:eastAsia="Times New Roman" w:hAnsi="Times New Roman"/>
          <w:i w:val="1"/>
          <w:iCs w:val="1"/>
          <w:color w:val="000000"/>
          <w:sz w:val="24"/>
          <w:szCs w:val="24"/>
          <w:rtl w:val="0"/>
        </w:rPr>
        <w:t xml:space="preserve">Environmental Protection Act 1990 </w:t>
      </w:r>
      <w:r w:rsidDel="00000000" w:rsidR="00000000" w:rsidRPr="00000000">
        <w:rPr>
          <w:rFonts w:ascii="Times New Roman" w:cs="Times New Roman" w:eastAsia="Times New Roman" w:hAnsi="Times New Roman"/>
          <w:color w:val="000000"/>
          <w:sz w:val="24"/>
          <w:szCs w:val="24"/>
          <w:rtl w:val="0"/>
        </w:rPr>
        <w:t xml:space="preserve">[Online]. Available at: https://www.legislation.gov.uk/ukpga/1990/43/contents </w:t>
      </w:r>
    </w:p>
    <w:p w:rsidR="00000000" w:rsidDel="00000000" w:rsidP="00000000" w:rsidRDefault="00000000" w:rsidRPr="00000000" w14:paraId="000000E8">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Legislation.gov.uk, 2026. </w:t>
      </w:r>
      <w:r w:rsidDel="00000000" w:rsidR="00000000" w:rsidRPr="00000000">
        <w:rPr>
          <w:rFonts w:ascii="Times New Roman" w:cs="Times New Roman" w:eastAsia="Times New Roman" w:hAnsi="Times New Roman"/>
          <w:i w:val="1"/>
          <w:iCs w:val="1"/>
          <w:color w:val="000000"/>
          <w:sz w:val="24"/>
          <w:szCs w:val="24"/>
          <w:rtl w:val="0"/>
        </w:rPr>
        <w:t xml:space="preserve">Equality Act 2010</w:t>
      </w:r>
      <w:r w:rsidDel="00000000" w:rsidR="00000000" w:rsidRPr="00000000">
        <w:rPr>
          <w:rFonts w:ascii="Times New Roman" w:cs="Times New Roman" w:eastAsia="Times New Roman" w:hAnsi="Times New Roman"/>
          <w:color w:val="000000"/>
          <w:sz w:val="24"/>
          <w:szCs w:val="24"/>
          <w:rtl w:val="0"/>
        </w:rPr>
        <w:t xml:space="preserve"> [Online]. Available at: https://www.legislation.gov.uk/ukpga/2010/15/contents </w:t>
      </w:r>
    </w:p>
    <w:p w:rsidR="00000000" w:rsidDel="00000000" w:rsidP="00000000" w:rsidRDefault="00000000" w:rsidRPr="00000000" w14:paraId="000000E9">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Legislation.gov.uk, 2026. </w:t>
      </w:r>
      <w:r w:rsidDel="00000000" w:rsidR="00000000" w:rsidRPr="00000000">
        <w:rPr>
          <w:rFonts w:ascii="Times New Roman" w:cs="Times New Roman" w:eastAsia="Times New Roman" w:hAnsi="Times New Roman"/>
          <w:i w:val="1"/>
          <w:iCs w:val="1"/>
          <w:color w:val="000000"/>
          <w:sz w:val="24"/>
          <w:szCs w:val="24"/>
          <w:rtl w:val="0"/>
        </w:rPr>
        <w:t xml:space="preserve">Health and Safety at Work etc. Act 1974</w:t>
      </w:r>
      <w:r w:rsidDel="00000000" w:rsidR="00000000" w:rsidRPr="00000000">
        <w:rPr>
          <w:rFonts w:ascii="Times New Roman" w:cs="Times New Roman" w:eastAsia="Times New Roman" w:hAnsi="Times New Roman"/>
          <w:color w:val="000000"/>
          <w:sz w:val="24"/>
          <w:szCs w:val="24"/>
          <w:rtl w:val="0"/>
        </w:rPr>
        <w:t xml:space="preserve"> {Online]. Available at: https://www.legislation.gov.uk/ukpga/1974/37/contents </w:t>
      </w:r>
    </w:p>
    <w:p w:rsidR="00000000" w:rsidDel="00000000" w:rsidP="00000000" w:rsidRDefault="00000000" w:rsidRPr="00000000" w14:paraId="000000E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Magnan, M. and Michelon, G., 2024. Corporate governance and corporate social responsibility: A reconciliation with tension. In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Handbook on corporate governance and corporate social responsibility</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(pp. 2-11). Edward Elgar Publishing. </w:t>
      </w:r>
    </w:p>
    <w:p w:rsidR="00000000" w:rsidDel="00000000" w:rsidP="00000000" w:rsidRDefault="00000000" w:rsidRPr="00000000" w14:paraId="000000E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Milošević, N., 2025. Ethical Problems in Communication with Consumers when Declaring, Labeling and Advertising Food Products.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PaKSoM 2023</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p.85. </w:t>
      </w:r>
    </w:p>
    <w:p w:rsidR="00000000" w:rsidDel="00000000" w:rsidP="00000000" w:rsidRDefault="00000000" w:rsidRPr="00000000" w14:paraId="000000EC">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Nashiroh, A.A.S., Shiddiqy, I.A. and Hidayat, M.N., 2024. Exploring the depths of digital marketing: a systematic literature review on segmentation, targeting, differentiation, and positioning strategies. </w:t>
      </w:r>
      <w:r w:rsidDel="00000000" w:rsidR="00000000" w:rsidRPr="00000000">
        <w:rPr>
          <w:rFonts w:ascii="Times New Roman" w:cs="Times New Roman" w:eastAsia="Times New Roman" w:hAnsi="Times New Roman"/>
          <w:i w:val="1"/>
          <w:iCs w:val="1"/>
          <w:color w:val="000000"/>
          <w:sz w:val="24"/>
          <w:szCs w:val="24"/>
          <w:rtl w:val="0"/>
        </w:rPr>
        <w:t xml:space="preserve">International Journal of Business, Law, and Education</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iCs w:val="1"/>
          <w:color w:val="000000"/>
          <w:sz w:val="24"/>
          <w:szCs w:val="24"/>
          <w:rtl w:val="0"/>
        </w:rPr>
        <w:t xml:space="preserve">5</w:t>
      </w:r>
      <w:r w:rsidDel="00000000" w:rsidR="00000000" w:rsidRPr="00000000">
        <w:rPr>
          <w:rFonts w:ascii="Times New Roman" w:cs="Times New Roman" w:eastAsia="Times New Roman" w:hAnsi="Times New Roman"/>
          <w:color w:val="000000"/>
          <w:sz w:val="24"/>
          <w:szCs w:val="24"/>
          <w:rtl w:val="0"/>
        </w:rPr>
        <w:t xml:space="preserve">(1), pp.1270-1283.</w:t>
      </w:r>
    </w:p>
    <w:p w:rsidR="00000000" w:rsidDel="00000000" w:rsidP="00000000" w:rsidRDefault="00000000" w:rsidRPr="00000000" w14:paraId="000000ED">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Pib.gov.in, 2026. </w:t>
      </w:r>
      <w:r w:rsidDel="00000000" w:rsidR="00000000" w:rsidRPr="00000000">
        <w:rPr>
          <w:rFonts w:ascii="Times New Roman" w:cs="Times New Roman" w:eastAsia="Times New Roman" w:hAnsi="Times New Roman"/>
          <w:i w:val="1"/>
          <w:iCs w:val="1"/>
          <w:color w:val="000000"/>
          <w:sz w:val="24"/>
          <w:szCs w:val="24"/>
          <w:rtl w:val="0"/>
        </w:rPr>
        <w:t xml:space="preserve">Budget 2026-27 lays strong foundation for AI Data Centres and Semiconductor Ecosystem</w:t>
      </w:r>
      <w:r w:rsidDel="00000000" w:rsidR="00000000" w:rsidRPr="00000000">
        <w:rPr>
          <w:rFonts w:ascii="Times New Roman" w:cs="Times New Roman" w:eastAsia="Times New Roman" w:hAnsi="Times New Roman"/>
          <w:color w:val="000000"/>
          <w:sz w:val="24"/>
          <w:szCs w:val="24"/>
          <w:rtl w:val="0"/>
        </w:rPr>
        <w:t xml:space="preserve"> [Online]. Available at: https://www.pib.gov.in/PressReleasePage.aspx?PRID=2221894&amp;reg=48&amp;lang=2 </w:t>
      </w:r>
    </w:p>
    <w:p w:rsidR="00000000" w:rsidDel="00000000" w:rsidP="00000000" w:rsidRDefault="00000000" w:rsidRPr="00000000" w14:paraId="000000E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Pramodini, S., Prajna, M. and Aithal, P.S., 2026. The Sweet Revolution: The Rise of the Chocolate Industry in India.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Poornaprajna International Journal of Teaching &amp; Research Case Studies (PIJTRCS)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3</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 pp.59-102. </w:t>
      </w:r>
    </w:p>
    <w:p w:rsidR="00000000" w:rsidDel="00000000" w:rsidP="00000000" w:rsidRDefault="00000000" w:rsidRPr="00000000" w14:paraId="000000E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RAJARAJAN, D.M., 2025. MARKETING STRATEGIES ADOPTED BY CADBURY CHOCOLATE AND BISCUITS COMPANY TO INFLUENCE CHILDREN IN SEASONAL BUYING THROUGH SOCIAL MEDIA PLATFORMS–A STUDY WITH REFERENCE TO CHENNAI CITY.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TPM–Testing, Psychometrics, Methodology in Applied Psychology</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32</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(S6 (2025): Posted 15 September), pp.1790-1796. </w:t>
      </w:r>
    </w:p>
    <w:p w:rsidR="00000000" w:rsidDel="00000000" w:rsidP="00000000" w:rsidRDefault="00000000" w:rsidRPr="00000000" w14:paraId="000000F0">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Statista.com, 2026. </w:t>
      </w:r>
      <w:r w:rsidDel="00000000" w:rsidR="00000000" w:rsidRPr="00000000">
        <w:rPr>
          <w:rFonts w:ascii="Times New Roman" w:cs="Times New Roman" w:eastAsia="Times New Roman" w:hAnsi="Times New Roman"/>
          <w:i w:val="1"/>
          <w:iCs w:val="1"/>
          <w:color w:val="000000"/>
          <w:sz w:val="24"/>
          <w:szCs w:val="24"/>
          <w:rtl w:val="0"/>
        </w:rPr>
        <w:t xml:space="preserve">Estimated population of the United Kingdom from 1871 to 2023</w:t>
      </w:r>
      <w:r w:rsidDel="00000000" w:rsidR="00000000" w:rsidRPr="00000000">
        <w:rPr>
          <w:rFonts w:ascii="Times New Roman" w:cs="Times New Roman" w:eastAsia="Times New Roman" w:hAnsi="Times New Roman"/>
          <w:color w:val="000000"/>
          <w:sz w:val="24"/>
          <w:szCs w:val="24"/>
          <w:rtl w:val="0"/>
        </w:rPr>
        <w:t xml:space="preserve"> [Online]. Available at: https://www.statista.com/statistics/281296/uk-population/ </w:t>
      </w:r>
    </w:p>
    <w:p w:rsidR="00000000" w:rsidDel="00000000" w:rsidP="00000000" w:rsidRDefault="00000000" w:rsidRPr="00000000" w14:paraId="000000F1">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Statista.com, 2026. </w:t>
      </w:r>
      <w:r w:rsidDel="00000000" w:rsidR="00000000" w:rsidRPr="00000000">
        <w:rPr>
          <w:rFonts w:ascii="Times New Roman" w:cs="Times New Roman" w:eastAsia="Times New Roman" w:hAnsi="Times New Roman"/>
          <w:i w:val="1"/>
          <w:iCs w:val="1"/>
          <w:color w:val="000000"/>
          <w:sz w:val="24"/>
          <w:szCs w:val="24"/>
          <w:rtl w:val="0"/>
        </w:rPr>
        <w:t xml:space="preserve">United Kingdom: Inflation rate from 1986 to 2026</w:t>
      </w:r>
      <w:r w:rsidDel="00000000" w:rsidR="00000000" w:rsidRPr="00000000">
        <w:rPr>
          <w:rFonts w:ascii="Times New Roman" w:cs="Times New Roman" w:eastAsia="Times New Roman" w:hAnsi="Times New Roman"/>
          <w:color w:val="000000"/>
          <w:sz w:val="24"/>
          <w:szCs w:val="24"/>
          <w:rtl w:val="0"/>
        </w:rPr>
        <w:t xml:space="preserve"> [Online]. Available at: https://www.statista.com/statistics/270384/inflation-rate-in-the-united-kingdom/ </w:t>
      </w:r>
    </w:p>
    <w:p w:rsidR="00000000" w:rsidDel="00000000" w:rsidP="00000000" w:rsidRDefault="00000000" w:rsidRPr="00000000" w14:paraId="000000F2">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Statista.com, 2026. </w:t>
      </w:r>
      <w:r w:rsidDel="00000000" w:rsidR="00000000" w:rsidRPr="00000000">
        <w:rPr>
          <w:rFonts w:ascii="Times New Roman" w:cs="Times New Roman" w:eastAsia="Times New Roman" w:hAnsi="Times New Roman"/>
          <w:i w:val="1"/>
          <w:iCs w:val="1"/>
          <w:color w:val="000000"/>
          <w:sz w:val="24"/>
          <w:szCs w:val="24"/>
          <w:rtl w:val="0"/>
        </w:rPr>
        <w:t xml:space="preserve">United Kingdom: Real gross domestic product (GDP) growth rate from 2016 to 2026</w:t>
      </w:r>
      <w:r w:rsidDel="00000000" w:rsidR="00000000" w:rsidRPr="00000000">
        <w:rPr>
          <w:rFonts w:ascii="Times New Roman" w:cs="Times New Roman" w:eastAsia="Times New Roman" w:hAnsi="Times New Roman"/>
          <w:color w:val="000000"/>
          <w:sz w:val="24"/>
          <w:szCs w:val="24"/>
          <w:rtl w:val="0"/>
        </w:rPr>
        <w:t xml:space="preserve"> [Online]. Available at: https://www.statista.com/statistics/263613/gross-domestic-product-gdp-growth-rate-in-the-united-kingdom/ </w:t>
      </w:r>
    </w:p>
    <w:p w:rsidR="00000000" w:rsidDel="00000000" w:rsidP="00000000" w:rsidRDefault="00000000" w:rsidRPr="00000000" w14:paraId="000000F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Sun, K., Li, J., Zou, Y., Radesky, J., Brooks, C. and Schaub, F., 2024. Unfulfilled promises of child safety and privacy: portrayals and use of children in smart home marketing.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Proceedings of the ACM on Human-Computer Interaction</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8</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(CSCW1), pp.1-29. </w:t>
      </w:r>
    </w:p>
    <w:p w:rsidR="00000000" w:rsidDel="00000000" w:rsidP="00000000" w:rsidRDefault="00000000" w:rsidRPr="00000000" w14:paraId="000000F4">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Theculturefactor.com, 2026. </w:t>
      </w:r>
      <w:r w:rsidDel="00000000" w:rsidR="00000000" w:rsidRPr="00000000">
        <w:rPr>
          <w:rFonts w:ascii="Times New Roman" w:cs="Times New Roman" w:eastAsia="Times New Roman" w:hAnsi="Times New Roman"/>
          <w:i w:val="1"/>
          <w:iCs w:val="1"/>
          <w:color w:val="000000"/>
          <w:sz w:val="24"/>
          <w:szCs w:val="24"/>
          <w:rtl w:val="0"/>
        </w:rPr>
        <w:t xml:space="preserve">Country Comparison tool</w:t>
      </w:r>
      <w:r w:rsidDel="00000000" w:rsidR="00000000" w:rsidRPr="00000000">
        <w:rPr>
          <w:rFonts w:ascii="Times New Roman" w:cs="Times New Roman" w:eastAsia="Times New Roman" w:hAnsi="Times New Roman"/>
          <w:color w:val="000000"/>
          <w:sz w:val="24"/>
          <w:szCs w:val="24"/>
          <w:rtl w:val="0"/>
        </w:rPr>
        <w:t xml:space="preserve"> [Online]. Available at: https://www.theculturefactor.com/country-comparison-tool?countries=india%2Cunited+kingdom ]</w:t>
      </w:r>
    </w:p>
    <w:p w:rsidR="00000000" w:rsidDel="00000000" w:rsidP="00000000" w:rsidRDefault="00000000" w:rsidRPr="00000000" w14:paraId="000000F5">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Tradingeconomics.com, 2026. </w:t>
      </w:r>
      <w:r w:rsidDel="00000000" w:rsidR="00000000" w:rsidRPr="00000000">
        <w:rPr>
          <w:rFonts w:ascii="Times New Roman" w:cs="Times New Roman" w:eastAsia="Times New Roman" w:hAnsi="Times New Roman"/>
          <w:i w:val="1"/>
          <w:iCs w:val="1"/>
          <w:color w:val="000000"/>
          <w:sz w:val="24"/>
          <w:szCs w:val="24"/>
          <w:rtl w:val="0"/>
        </w:rPr>
        <w:t xml:space="preserve">India Corporate Tax Rate</w:t>
      </w:r>
      <w:r w:rsidDel="00000000" w:rsidR="00000000" w:rsidRPr="00000000">
        <w:rPr>
          <w:rFonts w:ascii="Times New Roman" w:cs="Times New Roman" w:eastAsia="Times New Roman" w:hAnsi="Times New Roman"/>
          <w:color w:val="000000"/>
          <w:sz w:val="24"/>
          <w:szCs w:val="24"/>
          <w:rtl w:val="0"/>
        </w:rPr>
        <w:t xml:space="preserve"> [Online]. Available at: https://tradingeconomics.com/india/corporate-tax-rate </w:t>
      </w:r>
    </w:p>
    <w:p w:rsidR="00000000" w:rsidDel="00000000" w:rsidP="00000000" w:rsidRDefault="00000000" w:rsidRPr="00000000" w14:paraId="000000F6">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Tradingeconomics.com, 2026. </w:t>
      </w:r>
      <w:r w:rsidDel="00000000" w:rsidR="00000000" w:rsidRPr="00000000">
        <w:rPr>
          <w:rFonts w:ascii="Times New Roman" w:cs="Times New Roman" w:eastAsia="Times New Roman" w:hAnsi="Times New Roman"/>
          <w:i w:val="1"/>
          <w:iCs w:val="1"/>
          <w:color w:val="000000"/>
          <w:sz w:val="24"/>
          <w:szCs w:val="24"/>
          <w:rtl w:val="0"/>
        </w:rPr>
        <w:t xml:space="preserve">India GDP Growth Rate</w:t>
      </w:r>
      <w:r w:rsidDel="00000000" w:rsidR="00000000" w:rsidRPr="00000000">
        <w:rPr>
          <w:rFonts w:ascii="Times New Roman" w:cs="Times New Roman" w:eastAsia="Times New Roman" w:hAnsi="Times New Roman"/>
          <w:color w:val="000000"/>
          <w:sz w:val="24"/>
          <w:szCs w:val="24"/>
          <w:rtl w:val="0"/>
        </w:rPr>
        <w:t xml:space="preserve"> [Online]. Available at: https://tradingeconomics.com/india/gdp-growth </w:t>
      </w:r>
    </w:p>
    <w:p w:rsidR="00000000" w:rsidDel="00000000" w:rsidP="00000000" w:rsidRDefault="00000000" w:rsidRPr="00000000" w14:paraId="000000F7">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Tradingeconomics.com, 2026. </w:t>
      </w:r>
      <w:r w:rsidDel="00000000" w:rsidR="00000000" w:rsidRPr="00000000">
        <w:rPr>
          <w:rFonts w:ascii="Times New Roman" w:cs="Times New Roman" w:eastAsia="Times New Roman" w:hAnsi="Times New Roman"/>
          <w:i w:val="1"/>
          <w:iCs w:val="1"/>
          <w:color w:val="000000"/>
          <w:sz w:val="24"/>
          <w:szCs w:val="24"/>
          <w:rtl w:val="0"/>
        </w:rPr>
        <w:t xml:space="preserve">India Inflation Rate</w:t>
      </w:r>
      <w:r w:rsidDel="00000000" w:rsidR="00000000" w:rsidRPr="00000000">
        <w:rPr>
          <w:rFonts w:ascii="Times New Roman" w:cs="Times New Roman" w:eastAsia="Times New Roman" w:hAnsi="Times New Roman"/>
          <w:color w:val="000000"/>
          <w:sz w:val="24"/>
          <w:szCs w:val="24"/>
          <w:rtl w:val="0"/>
        </w:rPr>
        <w:t xml:space="preserve"> [Online]. Available at: https://tradingeconomics.com/india/inflation-cpi </w:t>
      </w:r>
    </w:p>
    <w:p w:rsidR="00000000" w:rsidDel="00000000" w:rsidP="00000000" w:rsidRDefault="00000000" w:rsidRPr="00000000" w14:paraId="000000F8">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Tradingeconomics.com, 2026. </w:t>
      </w:r>
      <w:r w:rsidDel="00000000" w:rsidR="00000000" w:rsidRPr="00000000">
        <w:rPr>
          <w:rFonts w:ascii="Times New Roman" w:cs="Times New Roman" w:eastAsia="Times New Roman" w:hAnsi="Times New Roman"/>
          <w:i w:val="1"/>
          <w:iCs w:val="1"/>
          <w:color w:val="000000"/>
          <w:sz w:val="24"/>
          <w:szCs w:val="24"/>
          <w:rtl w:val="0"/>
        </w:rPr>
        <w:t xml:space="preserve">India Population</w:t>
      </w:r>
      <w:r w:rsidDel="00000000" w:rsidR="00000000" w:rsidRPr="00000000">
        <w:rPr>
          <w:rFonts w:ascii="Times New Roman" w:cs="Times New Roman" w:eastAsia="Times New Roman" w:hAnsi="Times New Roman"/>
          <w:color w:val="000000"/>
          <w:sz w:val="24"/>
          <w:szCs w:val="24"/>
          <w:rtl w:val="0"/>
        </w:rPr>
        <w:t xml:space="preserve"> [Online]. Available at: https://tradingeconomics.com/india/population ]</w:t>
      </w:r>
    </w:p>
    <w:p w:rsidR="00000000" w:rsidDel="00000000" w:rsidP="00000000" w:rsidRDefault="00000000" w:rsidRPr="00000000" w14:paraId="000000F9">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Tradingeconomics.com, 2026. </w:t>
      </w:r>
      <w:r w:rsidDel="00000000" w:rsidR="00000000" w:rsidRPr="00000000">
        <w:rPr>
          <w:rFonts w:ascii="Times New Roman" w:cs="Times New Roman" w:eastAsia="Times New Roman" w:hAnsi="Times New Roman"/>
          <w:i w:val="1"/>
          <w:iCs w:val="1"/>
          <w:color w:val="000000"/>
          <w:sz w:val="24"/>
          <w:szCs w:val="24"/>
          <w:rtl w:val="0"/>
        </w:rPr>
        <w:t xml:space="preserve">India Unemployment Rate </w:t>
      </w:r>
      <w:r w:rsidDel="00000000" w:rsidR="00000000" w:rsidRPr="00000000">
        <w:rPr>
          <w:rFonts w:ascii="Times New Roman" w:cs="Times New Roman" w:eastAsia="Times New Roman" w:hAnsi="Times New Roman"/>
          <w:color w:val="000000"/>
          <w:sz w:val="24"/>
          <w:szCs w:val="24"/>
          <w:rtl w:val="0"/>
        </w:rPr>
        <w:t xml:space="preserve">[Online]. Available at: https://tradingeconomics.com/india/unemployment-rate </w:t>
      </w:r>
    </w:p>
    <w:p w:rsidR="00000000" w:rsidDel="00000000" w:rsidP="00000000" w:rsidRDefault="00000000" w:rsidRPr="00000000" w14:paraId="000000FA">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Tradingeconomics.com, 2026. </w:t>
      </w:r>
      <w:r w:rsidDel="00000000" w:rsidR="00000000" w:rsidRPr="00000000">
        <w:rPr>
          <w:rFonts w:ascii="Times New Roman" w:cs="Times New Roman" w:eastAsia="Times New Roman" w:hAnsi="Times New Roman"/>
          <w:i w:val="1"/>
          <w:iCs w:val="1"/>
          <w:color w:val="000000"/>
          <w:sz w:val="24"/>
          <w:szCs w:val="24"/>
          <w:rtl w:val="0"/>
        </w:rPr>
        <w:t xml:space="preserve">United Kingdom Corporate Tax Rate</w:t>
      </w:r>
      <w:r w:rsidDel="00000000" w:rsidR="00000000" w:rsidRPr="00000000">
        <w:rPr>
          <w:rFonts w:ascii="Times New Roman" w:cs="Times New Roman" w:eastAsia="Times New Roman" w:hAnsi="Times New Roman"/>
          <w:color w:val="000000"/>
          <w:sz w:val="24"/>
          <w:szCs w:val="24"/>
          <w:rtl w:val="0"/>
        </w:rPr>
        <w:t xml:space="preserve"> [Online]. Available at: https://tradingeconomics.com/united-kingdom/corporate-tax-rate</w:t>
      </w:r>
    </w:p>
    <w:p w:rsidR="00000000" w:rsidDel="00000000" w:rsidP="00000000" w:rsidRDefault="00000000" w:rsidRPr="00000000" w14:paraId="000000FB">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Tradingeconomics.com, 2026. </w:t>
      </w:r>
      <w:r w:rsidDel="00000000" w:rsidR="00000000" w:rsidRPr="00000000">
        <w:rPr>
          <w:rFonts w:ascii="Times New Roman" w:cs="Times New Roman" w:eastAsia="Times New Roman" w:hAnsi="Times New Roman"/>
          <w:i w:val="1"/>
          <w:iCs w:val="1"/>
          <w:color w:val="000000"/>
          <w:sz w:val="24"/>
          <w:szCs w:val="24"/>
          <w:rtl w:val="0"/>
        </w:rPr>
        <w:t xml:space="preserve">United Kingdom Unemployment Rate</w:t>
      </w:r>
      <w:r w:rsidDel="00000000" w:rsidR="00000000" w:rsidRPr="00000000">
        <w:rPr>
          <w:rFonts w:ascii="Times New Roman" w:cs="Times New Roman" w:eastAsia="Times New Roman" w:hAnsi="Times New Roman"/>
          <w:color w:val="000000"/>
          <w:sz w:val="24"/>
          <w:szCs w:val="24"/>
          <w:rtl w:val="0"/>
        </w:rPr>
        <w:t xml:space="preserve"> [Online]. Available at: https://tradingeconomics.com/united-kingdom/unemployment-rate </w:t>
      </w:r>
    </w:p>
    <w:p w:rsidR="00000000" w:rsidDel="00000000" w:rsidP="00000000" w:rsidRDefault="00000000" w:rsidRPr="00000000" w14:paraId="000000F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Tring, 2026.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Cadbury Dairy Milk’s Long-Standing Bollywood Partnerships with Amitabh Bachchan and SRK.</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[Online]. Available at: https://www.tring.co.in/brands/blogs/amitabh-bachchan-and-shah-rukh-khan-for-cadbury </w:t>
      </w:r>
    </w:p>
    <w:p w:rsidR="00000000" w:rsidDel="00000000" w:rsidP="00000000" w:rsidRDefault="00000000" w:rsidRPr="00000000" w14:paraId="000000F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bCs w:val="0"/>
          <w:i w:val="0"/>
          <w:iCs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FE">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FF">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100">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101">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tl w:val="0"/>
        </w:rPr>
      </w:r>
    </w:p>
    <w:sectPr>
      <w:footerReference r:id="rId9"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0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0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9">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IN"/>
      </w:rPr>
    </w:rPrDefault>
    <w:pPrDefault>
      <w:pPr>
        <w:spacing w:after="200"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spacing w:line="360" w:lineRule="auto"/>
      <w:jc w:val="both"/>
    </w:pPr>
    <w:rPr>
      <w:rFonts w:ascii="Times New Roman" w:cs="Times New Roman" w:eastAsia="Times New Roman" w:hAnsi="Times New Roman"/>
      <w:b w:val="1"/>
      <w:bCs w:val="1"/>
      <w:sz w:val="28"/>
      <w:szCs w:val="28"/>
    </w:rPr>
  </w:style>
  <w:style w:type="paragraph" w:styleId="Heading2">
    <w:name w:val="heading 2"/>
    <w:basedOn w:val="Normal"/>
    <w:next w:val="Normal"/>
    <w:pPr>
      <w:spacing w:line="360" w:lineRule="auto"/>
      <w:jc w:val="both"/>
    </w:pPr>
    <w:rPr>
      <w:rFonts w:ascii="Times New Roman" w:cs="Times New Roman" w:eastAsia="Times New Roman" w:hAnsi="Times New Roman"/>
      <w:b w:val="1"/>
      <w:bCs w:val="1"/>
      <w:sz w:val="24"/>
      <w:szCs w:val="24"/>
    </w:rPr>
  </w:style>
  <w:style w:type="paragraph" w:styleId="Heading3">
    <w:name w:val="heading 3"/>
    <w:basedOn w:val="Normal"/>
    <w:next w:val="Normal"/>
    <w:pPr>
      <w:keepNext w:val="1"/>
      <w:keepLines w:val="1"/>
      <w:spacing w:after="80" w:before="160" w:lineRule="auto"/>
    </w:pPr>
    <w:rPr>
      <w:color w:val="2f5496"/>
      <w:sz w:val="28"/>
      <w:szCs w:val="28"/>
    </w:rPr>
  </w:style>
  <w:style w:type="paragraph" w:styleId="Heading4">
    <w:name w:val="heading 4"/>
    <w:basedOn w:val="Normal"/>
    <w:next w:val="Normal"/>
    <w:pPr>
      <w:keepNext w:val="1"/>
      <w:keepLines w:val="1"/>
      <w:spacing w:after="40" w:before="80" w:lineRule="auto"/>
    </w:pPr>
    <w:rPr>
      <w:i w:val="1"/>
      <w:iCs w:val="1"/>
      <w:color w:val="2f5496"/>
    </w:rPr>
  </w:style>
  <w:style w:type="paragraph" w:styleId="Heading5">
    <w:name w:val="heading 5"/>
    <w:basedOn w:val="Normal"/>
    <w:next w:val="Normal"/>
    <w:pPr>
      <w:keepNext w:val="1"/>
      <w:keepLines w:val="1"/>
      <w:spacing w:after="40" w:before="80" w:lineRule="auto"/>
    </w:pPr>
    <w:rPr>
      <w:color w:val="2f5496"/>
    </w:rPr>
  </w:style>
  <w:style w:type="paragraph" w:styleId="Heading6">
    <w:name w:val="heading 6"/>
    <w:basedOn w:val="Normal"/>
    <w:next w:val="Normal"/>
    <w:pPr>
      <w:keepNext w:val="1"/>
      <w:keepLines w:val="1"/>
      <w:spacing w:before="40" w:lineRule="auto"/>
    </w:pPr>
    <w:rPr>
      <w:i w:val="1"/>
      <w:iCs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Subtitle">
    <w:name w:val="Subtitle"/>
    <w:basedOn w:val="Normal"/>
    <w:next w:val="Normal"/>
    <w:pPr>
      <w:spacing w:after="160" w:lineRule="auto"/>
    </w:pPr>
    <w:rPr>
      <w:color w:val="595959"/>
      <w:sz w:val="28"/>
      <w:szCs w:val="28"/>
    </w:rPr>
  </w:style>
  <w:style w:type="table" w:styleId="Table1">
    <w:basedOn w:val="TableNormal"/>
    <w:pPr>
      <w:spacing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