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C0CC7">
      <w:pPr>
        <w:rPr>
          <w:rFonts w:hint="default" w:ascii="Arial" w:hAnsi="Arial" w:cs="Arial"/>
        </w:rPr>
      </w:pPr>
    </w:p>
    <w:p w14:paraId="1EC34BAD">
      <w:pPr>
        <w:jc w:val="center"/>
        <w:rPr>
          <w:rFonts w:hint="default" w:ascii="Arial" w:hAnsi="Arial" w:cs="Arial"/>
        </w:rPr>
      </w:pPr>
      <w:r>
        <w:rPr>
          <w:rFonts w:hint="default" w:ascii="Arial" w:hAnsi="Arial" w:cs="Arial"/>
        </w:rPr>
        <w:drawing>
          <wp:inline distT="0" distB="0" distL="0" distR="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2AAC98E7">
      <w:pPr>
        <w:jc w:val="center"/>
        <w:rPr>
          <w:rFonts w:hint="default" w:ascii="Arial" w:hAnsi="Arial" w:cs="Arial"/>
          <w:b/>
          <w:bCs/>
          <w:sz w:val="28"/>
          <w:szCs w:val="28"/>
        </w:rPr>
      </w:pPr>
      <w:r>
        <w:rPr>
          <w:rFonts w:hint="default" w:ascii="Arial" w:hAnsi="Arial" w:cs="Arial"/>
          <w:b/>
          <w:bCs/>
          <w:sz w:val="28"/>
          <w:szCs w:val="28"/>
        </w:rPr>
        <w:t>Student Name:</w:t>
      </w:r>
      <w:r>
        <w:rPr>
          <w:rFonts w:hint="default" w:ascii="Arial" w:hAnsi="Arial" w:cs="Arial"/>
          <w:b/>
          <w:bCs/>
          <w:sz w:val="28"/>
          <w:szCs w:val="28"/>
          <w:lang w:val="en-IN"/>
        </w:rPr>
        <w:t xml:space="preserve">Galla Prasith </w:t>
      </w:r>
    </w:p>
    <w:p w14:paraId="3D7751B6">
      <w:pPr>
        <w:jc w:val="center"/>
        <w:rPr>
          <w:rFonts w:hint="default" w:ascii="Arial" w:hAnsi="Arial" w:cs="Arial"/>
          <w:sz w:val="28"/>
          <w:szCs w:val="28"/>
        </w:rPr>
      </w:pPr>
      <w:r>
        <w:rPr>
          <w:rFonts w:hint="default" w:ascii="Arial" w:hAnsi="Arial" w:cs="Arial"/>
          <w:b/>
          <w:bCs/>
          <w:sz w:val="28"/>
          <w:szCs w:val="28"/>
        </w:rPr>
        <w:t>Student ID:</w:t>
      </w:r>
      <w:r>
        <w:rPr>
          <w:rFonts w:hint="default" w:ascii="Arial" w:hAnsi="Arial" w:cs="Arial"/>
          <w:b/>
          <w:bCs/>
          <w:sz w:val="28"/>
          <w:szCs w:val="28"/>
          <w:lang w:val="en-IN"/>
        </w:rPr>
        <w:t>2543438</w:t>
      </w:r>
    </w:p>
    <w:p w14:paraId="1F614A44">
      <w:pPr>
        <w:jc w:val="center"/>
        <w:rPr>
          <w:rFonts w:hint="default" w:ascii="Arial" w:hAnsi="Arial" w:cs="Arial"/>
          <w:b/>
          <w:bCs/>
          <w:sz w:val="28"/>
          <w:szCs w:val="28"/>
          <w:lang w:val="en-US"/>
        </w:rPr>
      </w:pPr>
      <w:r>
        <w:rPr>
          <w:rFonts w:hint="default" w:ascii="Arial" w:hAnsi="Arial" w:cs="Arial"/>
          <w:b/>
          <w:bCs/>
          <w:sz w:val="28"/>
          <w:szCs w:val="28"/>
        </w:rPr>
        <w:t xml:space="preserve">Module Name: </w:t>
      </w:r>
      <w:r>
        <w:rPr>
          <w:rFonts w:hint="default" w:cs="Arial"/>
          <w:b/>
          <w:bCs/>
          <w:sz w:val="28"/>
          <w:szCs w:val="28"/>
          <w:lang w:val="en-US"/>
        </w:rPr>
        <w:t xml:space="preserve">Human Capital Management </w:t>
      </w:r>
    </w:p>
    <w:p w14:paraId="7E74A1F6">
      <w:pPr>
        <w:jc w:val="center"/>
        <w:rPr>
          <w:rFonts w:hint="default" w:ascii="Arial" w:hAnsi="Arial" w:cs="Arial"/>
          <w:b/>
          <w:bCs/>
          <w:sz w:val="28"/>
          <w:szCs w:val="28"/>
          <w:lang w:val="en-US"/>
        </w:rPr>
      </w:pPr>
      <w:r>
        <w:rPr>
          <w:rFonts w:hint="default" w:ascii="Arial" w:hAnsi="Arial" w:cs="Arial"/>
          <w:b/>
          <w:bCs/>
          <w:sz w:val="28"/>
          <w:szCs w:val="28"/>
        </w:rPr>
        <w:t>Module Code: LCMB702</w:t>
      </w:r>
      <w:r>
        <w:rPr>
          <w:rFonts w:hint="default" w:cs="Arial"/>
          <w:b/>
          <w:bCs/>
          <w:sz w:val="28"/>
          <w:szCs w:val="28"/>
          <w:lang w:val="en-US"/>
        </w:rPr>
        <w:t>3</w:t>
      </w:r>
    </w:p>
    <w:p w14:paraId="55B10977">
      <w:pPr>
        <w:jc w:val="center"/>
        <w:rPr>
          <w:rFonts w:hint="default" w:ascii="Arial" w:hAnsi="Arial" w:cs="Arial"/>
          <w:b/>
          <w:bCs/>
          <w:sz w:val="28"/>
          <w:szCs w:val="28"/>
          <w:lang w:val="en-US"/>
        </w:rPr>
      </w:pPr>
      <w:r>
        <w:rPr>
          <w:rFonts w:hint="default" w:ascii="Arial" w:hAnsi="Arial" w:cs="Arial"/>
          <w:b/>
          <w:bCs/>
          <w:sz w:val="28"/>
          <w:szCs w:val="28"/>
        </w:rPr>
        <w:t>Lecturer’s Name</w:t>
      </w:r>
      <w:r>
        <w:rPr>
          <w:rFonts w:hint="default" w:cs="Arial"/>
          <w:b/>
          <w:bCs/>
          <w:sz w:val="28"/>
          <w:szCs w:val="28"/>
          <w:lang w:val="en-US"/>
        </w:rPr>
        <w:t>: Sharukh irfan</w:t>
      </w:r>
    </w:p>
    <w:p w14:paraId="39FE983B">
      <w:pPr>
        <w:jc w:val="center"/>
        <w:rPr>
          <w:rFonts w:hint="default" w:ascii="Arial" w:hAnsi="Arial" w:cs="Arial"/>
          <w:b/>
          <w:bCs/>
          <w:sz w:val="28"/>
          <w:szCs w:val="28"/>
          <w:lang w:val="en-US"/>
        </w:rPr>
      </w:pPr>
      <w:r>
        <w:rPr>
          <w:rFonts w:hint="default" w:ascii="Arial" w:hAnsi="Arial" w:cs="Arial"/>
          <w:b/>
          <w:bCs/>
          <w:sz w:val="28"/>
          <w:szCs w:val="28"/>
        </w:rPr>
        <w:t>Work Count:</w:t>
      </w:r>
      <w:r>
        <w:rPr>
          <w:rFonts w:hint="default" w:cs="Arial"/>
          <w:b/>
          <w:bCs/>
          <w:sz w:val="28"/>
          <w:szCs w:val="28"/>
          <w:lang w:val="en-US"/>
        </w:rPr>
        <w:t>2534</w:t>
      </w:r>
    </w:p>
    <w:p w14:paraId="76B4AC18">
      <w:pPr>
        <w:jc w:val="both"/>
        <w:rPr>
          <w:rFonts w:hint="default" w:ascii="Arial" w:hAnsi="Arial" w:cs="Arial"/>
          <w:b/>
          <w:bCs/>
          <w:sz w:val="28"/>
          <w:szCs w:val="28"/>
        </w:rPr>
      </w:pPr>
    </w:p>
    <w:p w14:paraId="76AC9D1E">
      <w:pPr>
        <w:jc w:val="center"/>
        <w:rPr>
          <w:rFonts w:hint="default" w:ascii="Arial" w:hAnsi="Arial" w:cs="Arial"/>
          <w:b/>
          <w:bCs/>
          <w:sz w:val="28"/>
          <w:szCs w:val="28"/>
        </w:rPr>
      </w:pPr>
      <w:r>
        <w:rPr>
          <w:rFonts w:hint="default" w:ascii="Arial" w:hAnsi="Arial" w:cs="Arial"/>
          <w:b/>
          <w:bCs/>
          <w:sz w:val="28"/>
          <w:szCs w:val="28"/>
        </w:rPr>
        <w:t>Term 1</w:t>
      </w:r>
    </w:p>
    <w:p w14:paraId="42D3EDD2">
      <w:pPr>
        <w:jc w:val="center"/>
        <w:rPr>
          <w:rFonts w:hint="default" w:ascii="Arial" w:hAnsi="Arial" w:cs="Arial"/>
          <w:b/>
          <w:bCs/>
          <w:sz w:val="28"/>
          <w:szCs w:val="28"/>
        </w:rPr>
      </w:pPr>
    </w:p>
    <w:p w14:paraId="219714F0">
      <w:pPr>
        <w:jc w:val="both"/>
        <w:rPr>
          <w:rFonts w:hint="default" w:ascii="Arial" w:hAnsi="Arial" w:cs="Arial"/>
          <w:b/>
          <w:bCs/>
          <w:sz w:val="28"/>
          <w:szCs w:val="28"/>
        </w:rPr>
      </w:pPr>
    </w:p>
    <w:p w14:paraId="6AD0C4BD">
      <w:pPr>
        <w:jc w:val="both"/>
        <w:rPr>
          <w:rFonts w:hint="default" w:ascii="Arial" w:hAnsi="Arial" w:cs="Arial"/>
          <w:b/>
          <w:bCs/>
          <w:sz w:val="28"/>
          <w:szCs w:val="28"/>
        </w:rPr>
      </w:pPr>
    </w:p>
    <w:sdt>
      <w:sdtPr>
        <w:rPr>
          <w:sz w:val="32"/>
          <w:szCs w:val="32"/>
        </w:rPr>
        <w:id w:val="5414472"/>
        <w:docPartObj>
          <w:docPartGallery w:val="Table of Contents"/>
          <w:docPartUnique/>
        </w:docPartObj>
      </w:sdtPr>
      <w:sdtEndPr>
        <w:rPr>
          <w:rFonts w:ascii="Arial" w:hAnsi="Arial" w:eastAsia="Arial" w:cs="Arial"/>
          <w:color w:val="222222"/>
          <w:sz w:val="24"/>
          <w:szCs w:val="24"/>
          <w:lang w:val="en-GB" w:eastAsia="en-GB"/>
        </w:rPr>
      </w:sdtEndPr>
      <w:sdtContent>
        <w:p w14:paraId="49D5F8C3">
          <w:pPr>
            <w:pStyle w:val="249"/>
            <w:spacing w:line="360" w:lineRule="auto"/>
            <w:jc w:val="center"/>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Table of Contents</w:t>
          </w:r>
        </w:p>
        <w:p w14:paraId="7FD72438">
          <w:pPr>
            <w:pStyle w:val="142"/>
            <w:tabs>
              <w:tab w:val="right" w:leader="dot" w:pos="9019"/>
            </w:tabs>
            <w:spacing w:line="360" w:lineRule="auto"/>
            <w:jc w:val="both"/>
            <w:rPr>
              <w:rFonts w:ascii="Arial" w:hAnsi="Arial"/>
              <w:b w:val="0"/>
              <w:bCs w:val="0"/>
              <w:i w:val="0"/>
              <w:iCs w:val="0"/>
              <w:color w:val="000000" w:themeColor="text1"/>
              <w14:textFill>
                <w14:solidFill>
                  <w14:schemeClr w14:val="tx1"/>
                </w14:solidFill>
              </w14:textFill>
            </w:rPr>
          </w:pPr>
          <w:r>
            <w:rPr>
              <w:rFonts w:ascii="Arial" w:hAnsi="Arial"/>
              <w:b w:val="0"/>
              <w:bCs w:val="0"/>
              <w:i w:val="0"/>
              <w:iCs w:val="0"/>
              <w:color w:val="000000" w:themeColor="text1"/>
              <w14:textFill>
                <w14:solidFill>
                  <w14:schemeClr w14:val="tx1"/>
                </w14:solidFill>
              </w14:textFill>
            </w:rPr>
            <w:fldChar w:fldCharType="begin"/>
          </w:r>
          <w:r>
            <w:rPr>
              <w:rFonts w:ascii="Arial" w:hAnsi="Arial"/>
              <w:b w:val="0"/>
              <w:bCs w:val="0"/>
              <w:i w:val="0"/>
              <w:iCs w:val="0"/>
              <w:color w:val="000000" w:themeColor="text1"/>
              <w14:textFill>
                <w14:solidFill>
                  <w14:schemeClr w14:val="tx1"/>
                </w14:solidFill>
              </w14:textFill>
            </w:rPr>
            <w:instrText xml:space="preserve"> TOC \o "1-3" \h \z \u </w:instrText>
          </w:r>
          <w:r>
            <w:rPr>
              <w:rFonts w:ascii="Arial" w:hAnsi="Arial"/>
              <w:b w:val="0"/>
              <w:bCs w:val="0"/>
              <w:i w:val="0"/>
              <w:iCs w:val="0"/>
              <w:color w:val="000000" w:themeColor="text1"/>
              <w14:textFill>
                <w14:solidFill>
                  <w14:schemeClr w14:val="tx1"/>
                </w14:solidFill>
              </w14:textFill>
            </w:rPr>
            <w:fldChar w:fldCharType="separate"/>
          </w:r>
          <w:r>
            <w:fldChar w:fldCharType="begin"/>
          </w:r>
          <w:r>
            <w:instrText xml:space="preserve"> HYPERLINK \l "_Toc235015769" </w:instrText>
          </w:r>
          <w:r>
            <w:fldChar w:fldCharType="separate"/>
          </w:r>
          <w:r>
            <w:rPr>
              <w:rStyle w:val="51"/>
              <w:rFonts w:ascii="Arial" w:hAnsi="Arial"/>
              <w:b w:val="0"/>
              <w:bCs w:val="0"/>
              <w:i w:val="0"/>
              <w:iCs w:val="0"/>
              <w:color w:val="000000" w:themeColor="text1"/>
              <w14:textFill>
                <w14:solidFill>
                  <w14:schemeClr w14:val="tx1"/>
                </w14:solidFill>
              </w14:textFill>
            </w:rPr>
            <w:t>Task A: Socialisation, Identity &amp; Business Activism</w:t>
          </w:r>
          <w:r>
            <w:rPr>
              <w:rFonts w:ascii="Arial" w:hAnsi="Arial"/>
              <w:b w:val="0"/>
              <w:bCs w:val="0"/>
              <w:i w:val="0"/>
              <w:iCs w:val="0"/>
              <w:color w:val="000000" w:themeColor="text1"/>
              <w14:textFill>
                <w14:solidFill>
                  <w14:schemeClr w14:val="tx1"/>
                </w14:solidFill>
              </w14:textFill>
            </w:rPr>
            <w:tab/>
          </w:r>
          <w:r>
            <w:rPr>
              <w:rFonts w:ascii="Arial" w:hAnsi="Arial"/>
              <w:b w:val="0"/>
              <w:bCs w:val="0"/>
              <w:i w:val="0"/>
              <w:iCs w:val="0"/>
              <w:color w:val="000000" w:themeColor="text1"/>
              <w14:textFill>
                <w14:solidFill>
                  <w14:schemeClr w14:val="tx1"/>
                </w14:solidFill>
              </w14:textFill>
            </w:rPr>
            <w:fldChar w:fldCharType="begin"/>
          </w:r>
          <w:r>
            <w:rPr>
              <w:rFonts w:ascii="Arial" w:hAnsi="Arial"/>
              <w:b w:val="0"/>
              <w:bCs w:val="0"/>
              <w:i w:val="0"/>
              <w:iCs w:val="0"/>
              <w:color w:val="000000" w:themeColor="text1"/>
              <w14:textFill>
                <w14:solidFill>
                  <w14:schemeClr w14:val="tx1"/>
                </w14:solidFill>
              </w14:textFill>
            </w:rPr>
            <w:instrText xml:space="preserve"> PAGEREF _Toc235015769 \h </w:instrText>
          </w:r>
          <w:r>
            <w:rPr>
              <w:rFonts w:ascii="Arial" w:hAnsi="Arial"/>
              <w:b w:val="0"/>
              <w:bCs w:val="0"/>
              <w:i w:val="0"/>
              <w:iCs w:val="0"/>
              <w:color w:val="000000" w:themeColor="text1"/>
              <w14:textFill>
                <w14:solidFill>
                  <w14:schemeClr w14:val="tx1"/>
                </w14:solidFill>
              </w14:textFill>
            </w:rPr>
            <w:fldChar w:fldCharType="separate"/>
          </w:r>
          <w:r>
            <w:rPr>
              <w:rFonts w:ascii="Arial" w:hAnsi="Arial"/>
              <w:b w:val="0"/>
              <w:bCs w:val="0"/>
              <w:i w:val="0"/>
              <w:iCs w:val="0"/>
              <w:color w:val="000000" w:themeColor="text1"/>
              <w14:textFill>
                <w14:solidFill>
                  <w14:schemeClr w14:val="tx1"/>
                </w14:solidFill>
              </w14:textFill>
            </w:rPr>
            <w:t>3</w:t>
          </w:r>
          <w:r>
            <w:rPr>
              <w:rFonts w:ascii="Arial" w:hAnsi="Arial"/>
              <w:b w:val="0"/>
              <w:bCs w:val="0"/>
              <w:i w:val="0"/>
              <w:iCs w:val="0"/>
              <w:color w:val="000000" w:themeColor="text1"/>
              <w14:textFill>
                <w14:solidFill>
                  <w14:schemeClr w14:val="tx1"/>
                </w14:solidFill>
              </w14:textFill>
            </w:rPr>
            <w:fldChar w:fldCharType="end"/>
          </w:r>
          <w:r>
            <w:rPr>
              <w:rFonts w:ascii="Arial" w:hAnsi="Arial"/>
              <w:b w:val="0"/>
              <w:bCs w:val="0"/>
              <w:i w:val="0"/>
              <w:iCs w:val="0"/>
              <w:color w:val="000000" w:themeColor="text1"/>
              <w14:textFill>
                <w14:solidFill>
                  <w14:schemeClr w14:val="tx1"/>
                </w14:solidFill>
              </w14:textFill>
            </w:rPr>
            <w:fldChar w:fldCharType="end"/>
          </w:r>
        </w:p>
        <w:p w14:paraId="1082C897">
          <w:pPr>
            <w:pStyle w:val="143"/>
            <w:tabs>
              <w:tab w:val="right" w:leader="dot" w:pos="9019"/>
            </w:tabs>
            <w:spacing w:line="360" w:lineRule="auto"/>
            <w:jc w:val="both"/>
            <w:rPr>
              <w:rFonts w:ascii="Arial" w:hAnsi="Arial"/>
              <w:b w:val="0"/>
              <w:bCs w:val="0"/>
              <w:color w:val="000000" w:themeColor="text1"/>
              <w:sz w:val="24"/>
              <w:szCs w:val="24"/>
              <w14:textFill>
                <w14:solidFill>
                  <w14:schemeClr w14:val="tx1"/>
                </w14:solidFill>
              </w14:textFill>
            </w:rPr>
          </w:pPr>
          <w:r>
            <w:fldChar w:fldCharType="begin"/>
          </w:r>
          <w:r>
            <w:instrText xml:space="preserve"> HYPERLINK \l "_Toc235015770" </w:instrText>
          </w:r>
          <w:r>
            <w:fldChar w:fldCharType="separate"/>
          </w:r>
          <w:r>
            <w:rPr>
              <w:rStyle w:val="51"/>
              <w:rFonts w:ascii="Arial" w:hAnsi="Arial"/>
              <w:b w:val="0"/>
              <w:bCs w:val="0"/>
              <w:color w:val="000000" w:themeColor="text1"/>
              <w:sz w:val="24"/>
              <w:szCs w:val="24"/>
              <w14:textFill>
                <w14:solidFill>
                  <w14:schemeClr w14:val="tx1"/>
                </w14:solidFill>
              </w14:textFill>
            </w:rPr>
            <w:t>Traditional Onboarding versus Strategic Organisational Socialisation</w:t>
          </w:r>
          <w:r>
            <w:rPr>
              <w:rFonts w:ascii="Arial" w:hAnsi="Arial"/>
              <w:b w:val="0"/>
              <w:bCs w:val="0"/>
              <w:color w:val="000000" w:themeColor="text1"/>
              <w:sz w:val="24"/>
              <w:szCs w:val="24"/>
              <w14:textFill>
                <w14:solidFill>
                  <w14:schemeClr w14:val="tx1"/>
                </w14:solidFill>
              </w14:textFill>
            </w:rPr>
            <w:tab/>
          </w:r>
          <w:r>
            <w:rPr>
              <w:rFonts w:ascii="Arial" w:hAnsi="Arial"/>
              <w:b w:val="0"/>
              <w:bCs w:val="0"/>
              <w:color w:val="000000" w:themeColor="text1"/>
              <w:sz w:val="24"/>
              <w:szCs w:val="24"/>
              <w14:textFill>
                <w14:solidFill>
                  <w14:schemeClr w14:val="tx1"/>
                </w14:solidFill>
              </w14:textFill>
            </w:rPr>
            <w:fldChar w:fldCharType="begin"/>
          </w:r>
          <w:r>
            <w:rPr>
              <w:rFonts w:ascii="Arial" w:hAnsi="Arial"/>
              <w:b w:val="0"/>
              <w:bCs w:val="0"/>
              <w:color w:val="000000" w:themeColor="text1"/>
              <w:sz w:val="24"/>
              <w:szCs w:val="24"/>
              <w14:textFill>
                <w14:solidFill>
                  <w14:schemeClr w14:val="tx1"/>
                </w14:solidFill>
              </w14:textFill>
            </w:rPr>
            <w:instrText xml:space="preserve"> PAGEREF _Toc235015770 \h </w:instrText>
          </w:r>
          <w:r>
            <w:rPr>
              <w:rFonts w:ascii="Arial" w:hAnsi="Arial"/>
              <w:b w:val="0"/>
              <w:bCs w:val="0"/>
              <w:color w:val="000000" w:themeColor="text1"/>
              <w:sz w:val="24"/>
              <w:szCs w:val="24"/>
              <w14:textFill>
                <w14:solidFill>
                  <w14:schemeClr w14:val="tx1"/>
                </w14:solidFill>
              </w14:textFill>
            </w:rPr>
            <w:fldChar w:fldCharType="separate"/>
          </w:r>
          <w:r>
            <w:rPr>
              <w:rFonts w:ascii="Arial" w:hAnsi="Arial"/>
              <w:b w:val="0"/>
              <w:bCs w:val="0"/>
              <w:color w:val="000000" w:themeColor="text1"/>
              <w:sz w:val="24"/>
              <w:szCs w:val="24"/>
              <w14:textFill>
                <w14:solidFill>
                  <w14:schemeClr w14:val="tx1"/>
                </w14:solidFill>
              </w14:textFill>
            </w:rPr>
            <w:t>3</w:t>
          </w:r>
          <w:r>
            <w:rPr>
              <w:rFonts w:ascii="Arial" w:hAnsi="Arial"/>
              <w:b w:val="0"/>
              <w:bCs w:val="0"/>
              <w:color w:val="000000" w:themeColor="text1"/>
              <w:sz w:val="24"/>
              <w:szCs w:val="24"/>
              <w14:textFill>
                <w14:solidFill>
                  <w14:schemeClr w14:val="tx1"/>
                </w14:solidFill>
              </w14:textFill>
            </w:rPr>
            <w:fldChar w:fldCharType="end"/>
          </w:r>
          <w:r>
            <w:rPr>
              <w:rFonts w:ascii="Arial" w:hAnsi="Arial"/>
              <w:b w:val="0"/>
              <w:bCs w:val="0"/>
              <w:color w:val="000000" w:themeColor="text1"/>
              <w:sz w:val="24"/>
              <w:szCs w:val="24"/>
              <w14:textFill>
                <w14:solidFill>
                  <w14:schemeClr w14:val="tx1"/>
                </w14:solidFill>
              </w14:textFill>
            </w:rPr>
            <w:fldChar w:fldCharType="end"/>
          </w:r>
        </w:p>
        <w:p w14:paraId="014CA7BF">
          <w:pPr>
            <w:pStyle w:val="143"/>
            <w:tabs>
              <w:tab w:val="right" w:leader="dot" w:pos="9019"/>
            </w:tabs>
            <w:spacing w:line="360" w:lineRule="auto"/>
            <w:jc w:val="both"/>
            <w:rPr>
              <w:rFonts w:ascii="Arial" w:hAnsi="Arial"/>
              <w:b w:val="0"/>
              <w:bCs w:val="0"/>
              <w:color w:val="000000" w:themeColor="text1"/>
              <w:sz w:val="24"/>
              <w:szCs w:val="24"/>
              <w14:textFill>
                <w14:solidFill>
                  <w14:schemeClr w14:val="tx1"/>
                </w14:solidFill>
              </w14:textFill>
            </w:rPr>
          </w:pPr>
          <w:r>
            <w:fldChar w:fldCharType="begin"/>
          </w:r>
          <w:r>
            <w:instrText xml:space="preserve"> HYPERLINK \l "_Toc235015771" </w:instrText>
          </w:r>
          <w:r>
            <w:fldChar w:fldCharType="separate"/>
          </w:r>
          <w:r>
            <w:rPr>
              <w:rStyle w:val="51"/>
              <w:rFonts w:ascii="Arial" w:hAnsi="Arial"/>
              <w:b w:val="0"/>
              <w:bCs w:val="0"/>
              <w:color w:val="000000" w:themeColor="text1"/>
              <w:sz w:val="24"/>
              <w:szCs w:val="24"/>
              <w14:textFill>
                <w14:solidFill>
                  <w14:schemeClr w14:val="tx1"/>
                </w14:solidFill>
              </w14:textFill>
            </w:rPr>
            <w:t>Strategic Socialisation Framework for Helios</w:t>
          </w:r>
          <w:r>
            <w:rPr>
              <w:rFonts w:ascii="Arial" w:hAnsi="Arial"/>
              <w:b w:val="0"/>
              <w:bCs w:val="0"/>
              <w:color w:val="000000" w:themeColor="text1"/>
              <w:sz w:val="24"/>
              <w:szCs w:val="24"/>
              <w14:textFill>
                <w14:solidFill>
                  <w14:schemeClr w14:val="tx1"/>
                </w14:solidFill>
              </w14:textFill>
            </w:rPr>
            <w:tab/>
          </w:r>
          <w:r>
            <w:rPr>
              <w:rFonts w:ascii="Arial" w:hAnsi="Arial"/>
              <w:b w:val="0"/>
              <w:bCs w:val="0"/>
              <w:color w:val="000000" w:themeColor="text1"/>
              <w:sz w:val="24"/>
              <w:szCs w:val="24"/>
              <w14:textFill>
                <w14:solidFill>
                  <w14:schemeClr w14:val="tx1"/>
                </w14:solidFill>
              </w14:textFill>
            </w:rPr>
            <w:fldChar w:fldCharType="begin"/>
          </w:r>
          <w:r>
            <w:rPr>
              <w:rFonts w:ascii="Arial" w:hAnsi="Arial"/>
              <w:b w:val="0"/>
              <w:bCs w:val="0"/>
              <w:color w:val="000000" w:themeColor="text1"/>
              <w:sz w:val="24"/>
              <w:szCs w:val="24"/>
              <w14:textFill>
                <w14:solidFill>
                  <w14:schemeClr w14:val="tx1"/>
                </w14:solidFill>
              </w14:textFill>
            </w:rPr>
            <w:instrText xml:space="preserve"> PAGEREF _Toc235015771 \h </w:instrText>
          </w:r>
          <w:r>
            <w:rPr>
              <w:rFonts w:ascii="Arial" w:hAnsi="Arial"/>
              <w:b w:val="0"/>
              <w:bCs w:val="0"/>
              <w:color w:val="000000" w:themeColor="text1"/>
              <w:sz w:val="24"/>
              <w:szCs w:val="24"/>
              <w14:textFill>
                <w14:solidFill>
                  <w14:schemeClr w14:val="tx1"/>
                </w14:solidFill>
              </w14:textFill>
            </w:rPr>
            <w:fldChar w:fldCharType="separate"/>
          </w:r>
          <w:r>
            <w:rPr>
              <w:rFonts w:ascii="Arial" w:hAnsi="Arial"/>
              <w:b w:val="0"/>
              <w:bCs w:val="0"/>
              <w:color w:val="000000" w:themeColor="text1"/>
              <w:sz w:val="24"/>
              <w:szCs w:val="24"/>
              <w14:textFill>
                <w14:solidFill>
                  <w14:schemeClr w14:val="tx1"/>
                </w14:solidFill>
              </w14:textFill>
            </w:rPr>
            <w:t>5</w:t>
          </w:r>
          <w:r>
            <w:rPr>
              <w:rFonts w:ascii="Arial" w:hAnsi="Arial"/>
              <w:b w:val="0"/>
              <w:bCs w:val="0"/>
              <w:color w:val="000000" w:themeColor="text1"/>
              <w:sz w:val="24"/>
              <w:szCs w:val="24"/>
              <w14:textFill>
                <w14:solidFill>
                  <w14:schemeClr w14:val="tx1"/>
                </w14:solidFill>
              </w14:textFill>
            </w:rPr>
            <w:fldChar w:fldCharType="end"/>
          </w:r>
          <w:r>
            <w:rPr>
              <w:rFonts w:ascii="Arial" w:hAnsi="Arial"/>
              <w:b w:val="0"/>
              <w:bCs w:val="0"/>
              <w:color w:val="000000" w:themeColor="text1"/>
              <w:sz w:val="24"/>
              <w:szCs w:val="24"/>
              <w14:textFill>
                <w14:solidFill>
                  <w14:schemeClr w14:val="tx1"/>
                </w14:solidFill>
              </w14:textFill>
            </w:rPr>
            <w:fldChar w:fldCharType="end"/>
          </w:r>
        </w:p>
        <w:p w14:paraId="0A3CC7B3">
          <w:pPr>
            <w:pStyle w:val="143"/>
            <w:tabs>
              <w:tab w:val="right" w:leader="dot" w:pos="9019"/>
            </w:tabs>
            <w:spacing w:line="360" w:lineRule="auto"/>
            <w:jc w:val="both"/>
            <w:rPr>
              <w:rFonts w:ascii="Arial" w:hAnsi="Arial"/>
              <w:b w:val="0"/>
              <w:bCs w:val="0"/>
              <w:color w:val="000000" w:themeColor="text1"/>
              <w:sz w:val="24"/>
              <w:szCs w:val="24"/>
              <w14:textFill>
                <w14:solidFill>
                  <w14:schemeClr w14:val="tx1"/>
                </w14:solidFill>
              </w14:textFill>
            </w:rPr>
          </w:pPr>
          <w:r>
            <w:fldChar w:fldCharType="begin"/>
          </w:r>
          <w:r>
            <w:instrText xml:space="preserve"> HYPERLINK \l "_Toc235015772" </w:instrText>
          </w:r>
          <w:r>
            <w:fldChar w:fldCharType="separate"/>
          </w:r>
          <w:r>
            <w:rPr>
              <w:rStyle w:val="51"/>
              <w:rFonts w:ascii="Arial" w:hAnsi="Arial"/>
              <w:b w:val="0"/>
              <w:bCs w:val="0"/>
              <w:color w:val="000000" w:themeColor="text1"/>
              <w:sz w:val="24"/>
              <w:szCs w:val="24"/>
              <w14:textFill>
                <w14:solidFill>
                  <w14:schemeClr w14:val="tx1"/>
                </w14:solidFill>
              </w14:textFill>
            </w:rPr>
            <w:t>Creating Organisational Identification and Ethical Professionalism</w:t>
          </w:r>
          <w:r>
            <w:rPr>
              <w:rFonts w:ascii="Arial" w:hAnsi="Arial"/>
              <w:b w:val="0"/>
              <w:bCs w:val="0"/>
              <w:color w:val="000000" w:themeColor="text1"/>
              <w:sz w:val="24"/>
              <w:szCs w:val="24"/>
              <w14:textFill>
                <w14:solidFill>
                  <w14:schemeClr w14:val="tx1"/>
                </w14:solidFill>
              </w14:textFill>
            </w:rPr>
            <w:tab/>
          </w:r>
          <w:r>
            <w:rPr>
              <w:rFonts w:ascii="Arial" w:hAnsi="Arial"/>
              <w:b w:val="0"/>
              <w:bCs w:val="0"/>
              <w:color w:val="000000" w:themeColor="text1"/>
              <w:sz w:val="24"/>
              <w:szCs w:val="24"/>
              <w14:textFill>
                <w14:solidFill>
                  <w14:schemeClr w14:val="tx1"/>
                </w14:solidFill>
              </w14:textFill>
            </w:rPr>
            <w:fldChar w:fldCharType="begin"/>
          </w:r>
          <w:r>
            <w:rPr>
              <w:rFonts w:ascii="Arial" w:hAnsi="Arial"/>
              <w:b w:val="0"/>
              <w:bCs w:val="0"/>
              <w:color w:val="000000" w:themeColor="text1"/>
              <w:sz w:val="24"/>
              <w:szCs w:val="24"/>
              <w14:textFill>
                <w14:solidFill>
                  <w14:schemeClr w14:val="tx1"/>
                </w14:solidFill>
              </w14:textFill>
            </w:rPr>
            <w:instrText xml:space="preserve"> PAGEREF _Toc235015772 \h </w:instrText>
          </w:r>
          <w:r>
            <w:rPr>
              <w:rFonts w:ascii="Arial" w:hAnsi="Arial"/>
              <w:b w:val="0"/>
              <w:bCs w:val="0"/>
              <w:color w:val="000000" w:themeColor="text1"/>
              <w:sz w:val="24"/>
              <w:szCs w:val="24"/>
              <w14:textFill>
                <w14:solidFill>
                  <w14:schemeClr w14:val="tx1"/>
                </w14:solidFill>
              </w14:textFill>
            </w:rPr>
            <w:fldChar w:fldCharType="separate"/>
          </w:r>
          <w:r>
            <w:rPr>
              <w:rFonts w:ascii="Arial" w:hAnsi="Arial"/>
              <w:b w:val="0"/>
              <w:bCs w:val="0"/>
              <w:color w:val="000000" w:themeColor="text1"/>
              <w:sz w:val="24"/>
              <w:szCs w:val="24"/>
              <w14:textFill>
                <w14:solidFill>
                  <w14:schemeClr w14:val="tx1"/>
                </w14:solidFill>
              </w14:textFill>
            </w:rPr>
            <w:t>7</w:t>
          </w:r>
          <w:r>
            <w:rPr>
              <w:rFonts w:ascii="Arial" w:hAnsi="Arial"/>
              <w:b w:val="0"/>
              <w:bCs w:val="0"/>
              <w:color w:val="000000" w:themeColor="text1"/>
              <w:sz w:val="24"/>
              <w:szCs w:val="24"/>
              <w14:textFill>
                <w14:solidFill>
                  <w14:schemeClr w14:val="tx1"/>
                </w14:solidFill>
              </w14:textFill>
            </w:rPr>
            <w:fldChar w:fldCharType="end"/>
          </w:r>
          <w:r>
            <w:rPr>
              <w:rFonts w:ascii="Arial" w:hAnsi="Arial"/>
              <w:b w:val="0"/>
              <w:bCs w:val="0"/>
              <w:color w:val="000000" w:themeColor="text1"/>
              <w:sz w:val="24"/>
              <w:szCs w:val="24"/>
              <w14:textFill>
                <w14:solidFill>
                  <w14:schemeClr w14:val="tx1"/>
                </w14:solidFill>
              </w14:textFill>
            </w:rPr>
            <w:fldChar w:fldCharType="end"/>
          </w:r>
        </w:p>
        <w:p w14:paraId="6DA334C1">
          <w:pPr>
            <w:pStyle w:val="143"/>
            <w:tabs>
              <w:tab w:val="right" w:leader="dot" w:pos="9019"/>
            </w:tabs>
            <w:spacing w:line="360" w:lineRule="auto"/>
            <w:jc w:val="both"/>
            <w:rPr>
              <w:rFonts w:ascii="Arial" w:hAnsi="Arial"/>
              <w:b w:val="0"/>
              <w:bCs w:val="0"/>
              <w:color w:val="000000" w:themeColor="text1"/>
              <w:sz w:val="24"/>
              <w:szCs w:val="24"/>
              <w14:textFill>
                <w14:solidFill>
                  <w14:schemeClr w14:val="tx1"/>
                </w14:solidFill>
              </w14:textFill>
            </w:rPr>
          </w:pPr>
          <w:r>
            <w:fldChar w:fldCharType="begin"/>
          </w:r>
          <w:r>
            <w:instrText xml:space="preserve"> HYPERLINK \l "_Toc235015773" </w:instrText>
          </w:r>
          <w:r>
            <w:fldChar w:fldCharType="separate"/>
          </w:r>
          <w:r>
            <w:rPr>
              <w:rStyle w:val="51"/>
              <w:rFonts w:ascii="Arial" w:hAnsi="Arial"/>
              <w:b w:val="0"/>
              <w:bCs w:val="0"/>
              <w:color w:val="000000" w:themeColor="text1"/>
              <w:sz w:val="24"/>
              <w:szCs w:val="24"/>
              <w14:textFill>
                <w14:solidFill>
                  <w14:schemeClr w14:val="tx1"/>
                </w14:solidFill>
              </w14:textFill>
            </w:rPr>
            <w:t>Developing a Business Activist Mindset</w:t>
          </w:r>
          <w:r>
            <w:rPr>
              <w:rFonts w:ascii="Arial" w:hAnsi="Arial"/>
              <w:b w:val="0"/>
              <w:bCs w:val="0"/>
              <w:color w:val="000000" w:themeColor="text1"/>
              <w:sz w:val="24"/>
              <w:szCs w:val="24"/>
              <w14:textFill>
                <w14:solidFill>
                  <w14:schemeClr w14:val="tx1"/>
                </w14:solidFill>
              </w14:textFill>
            </w:rPr>
            <w:tab/>
          </w:r>
          <w:r>
            <w:rPr>
              <w:rFonts w:ascii="Arial" w:hAnsi="Arial"/>
              <w:b w:val="0"/>
              <w:bCs w:val="0"/>
              <w:color w:val="000000" w:themeColor="text1"/>
              <w:sz w:val="24"/>
              <w:szCs w:val="24"/>
              <w14:textFill>
                <w14:solidFill>
                  <w14:schemeClr w14:val="tx1"/>
                </w14:solidFill>
              </w14:textFill>
            </w:rPr>
            <w:fldChar w:fldCharType="begin"/>
          </w:r>
          <w:r>
            <w:rPr>
              <w:rFonts w:ascii="Arial" w:hAnsi="Arial"/>
              <w:b w:val="0"/>
              <w:bCs w:val="0"/>
              <w:color w:val="000000" w:themeColor="text1"/>
              <w:sz w:val="24"/>
              <w:szCs w:val="24"/>
              <w14:textFill>
                <w14:solidFill>
                  <w14:schemeClr w14:val="tx1"/>
                </w14:solidFill>
              </w14:textFill>
            </w:rPr>
            <w:instrText xml:space="preserve"> PAGEREF _Toc235015773 \h </w:instrText>
          </w:r>
          <w:r>
            <w:rPr>
              <w:rFonts w:ascii="Arial" w:hAnsi="Arial"/>
              <w:b w:val="0"/>
              <w:bCs w:val="0"/>
              <w:color w:val="000000" w:themeColor="text1"/>
              <w:sz w:val="24"/>
              <w:szCs w:val="24"/>
              <w14:textFill>
                <w14:solidFill>
                  <w14:schemeClr w14:val="tx1"/>
                </w14:solidFill>
              </w14:textFill>
            </w:rPr>
            <w:fldChar w:fldCharType="separate"/>
          </w:r>
          <w:r>
            <w:rPr>
              <w:rFonts w:ascii="Arial" w:hAnsi="Arial"/>
              <w:b w:val="0"/>
              <w:bCs w:val="0"/>
              <w:color w:val="000000" w:themeColor="text1"/>
              <w:sz w:val="24"/>
              <w:szCs w:val="24"/>
              <w14:textFill>
                <w14:solidFill>
                  <w14:schemeClr w14:val="tx1"/>
                </w14:solidFill>
              </w14:textFill>
            </w:rPr>
            <w:t>8</w:t>
          </w:r>
          <w:r>
            <w:rPr>
              <w:rFonts w:ascii="Arial" w:hAnsi="Arial"/>
              <w:b w:val="0"/>
              <w:bCs w:val="0"/>
              <w:color w:val="000000" w:themeColor="text1"/>
              <w:sz w:val="24"/>
              <w:szCs w:val="24"/>
              <w14:textFill>
                <w14:solidFill>
                  <w14:schemeClr w14:val="tx1"/>
                </w14:solidFill>
              </w14:textFill>
            </w:rPr>
            <w:fldChar w:fldCharType="end"/>
          </w:r>
          <w:r>
            <w:rPr>
              <w:rFonts w:ascii="Arial" w:hAnsi="Arial"/>
              <w:b w:val="0"/>
              <w:bCs w:val="0"/>
              <w:color w:val="000000" w:themeColor="text1"/>
              <w:sz w:val="24"/>
              <w:szCs w:val="24"/>
              <w14:textFill>
                <w14:solidFill>
                  <w14:schemeClr w14:val="tx1"/>
                </w14:solidFill>
              </w14:textFill>
            </w:rPr>
            <w:fldChar w:fldCharType="end"/>
          </w:r>
        </w:p>
        <w:p w14:paraId="13F7C255">
          <w:pPr>
            <w:pStyle w:val="142"/>
            <w:tabs>
              <w:tab w:val="right" w:leader="dot" w:pos="9019"/>
            </w:tabs>
            <w:spacing w:line="360" w:lineRule="auto"/>
            <w:jc w:val="both"/>
            <w:rPr>
              <w:rFonts w:ascii="Arial" w:hAnsi="Arial"/>
              <w:b w:val="0"/>
              <w:bCs w:val="0"/>
              <w:i w:val="0"/>
              <w:iCs w:val="0"/>
              <w:color w:val="000000" w:themeColor="text1"/>
              <w14:textFill>
                <w14:solidFill>
                  <w14:schemeClr w14:val="tx1"/>
                </w14:solidFill>
              </w14:textFill>
            </w:rPr>
          </w:pPr>
          <w:r>
            <w:fldChar w:fldCharType="begin"/>
          </w:r>
          <w:r>
            <w:instrText xml:space="preserve"> HYPERLINK \l "_Toc235015774" </w:instrText>
          </w:r>
          <w:r>
            <w:fldChar w:fldCharType="separate"/>
          </w:r>
          <w:r>
            <w:rPr>
              <w:rStyle w:val="51"/>
              <w:rFonts w:ascii="Arial" w:hAnsi="Arial"/>
              <w:b w:val="0"/>
              <w:bCs w:val="0"/>
              <w:i w:val="0"/>
              <w:iCs w:val="0"/>
              <w:color w:val="000000" w:themeColor="text1"/>
              <w14:textFill>
                <w14:solidFill>
                  <w14:schemeClr w14:val="tx1"/>
                </w14:solidFill>
              </w14:textFill>
            </w:rPr>
            <w:t>Task B: Job Design Strategy for Innovation and Employee Motivation</w:t>
          </w:r>
          <w:r>
            <w:rPr>
              <w:rFonts w:ascii="Arial" w:hAnsi="Arial"/>
              <w:b w:val="0"/>
              <w:bCs w:val="0"/>
              <w:i w:val="0"/>
              <w:iCs w:val="0"/>
              <w:color w:val="000000" w:themeColor="text1"/>
              <w14:textFill>
                <w14:solidFill>
                  <w14:schemeClr w14:val="tx1"/>
                </w14:solidFill>
              </w14:textFill>
            </w:rPr>
            <w:tab/>
          </w:r>
          <w:r>
            <w:rPr>
              <w:rFonts w:ascii="Arial" w:hAnsi="Arial"/>
              <w:b w:val="0"/>
              <w:bCs w:val="0"/>
              <w:i w:val="0"/>
              <w:iCs w:val="0"/>
              <w:color w:val="000000" w:themeColor="text1"/>
              <w14:textFill>
                <w14:solidFill>
                  <w14:schemeClr w14:val="tx1"/>
                </w14:solidFill>
              </w14:textFill>
            </w:rPr>
            <w:fldChar w:fldCharType="begin"/>
          </w:r>
          <w:r>
            <w:rPr>
              <w:rFonts w:ascii="Arial" w:hAnsi="Arial"/>
              <w:b w:val="0"/>
              <w:bCs w:val="0"/>
              <w:i w:val="0"/>
              <w:iCs w:val="0"/>
              <w:color w:val="000000" w:themeColor="text1"/>
              <w14:textFill>
                <w14:solidFill>
                  <w14:schemeClr w14:val="tx1"/>
                </w14:solidFill>
              </w14:textFill>
            </w:rPr>
            <w:instrText xml:space="preserve"> PAGEREF _Toc235015774 \h </w:instrText>
          </w:r>
          <w:r>
            <w:rPr>
              <w:rFonts w:ascii="Arial" w:hAnsi="Arial"/>
              <w:b w:val="0"/>
              <w:bCs w:val="0"/>
              <w:i w:val="0"/>
              <w:iCs w:val="0"/>
              <w:color w:val="000000" w:themeColor="text1"/>
              <w14:textFill>
                <w14:solidFill>
                  <w14:schemeClr w14:val="tx1"/>
                </w14:solidFill>
              </w14:textFill>
            </w:rPr>
            <w:fldChar w:fldCharType="separate"/>
          </w:r>
          <w:r>
            <w:rPr>
              <w:rFonts w:ascii="Arial" w:hAnsi="Arial"/>
              <w:b w:val="0"/>
              <w:bCs w:val="0"/>
              <w:i w:val="0"/>
              <w:iCs w:val="0"/>
              <w:color w:val="000000" w:themeColor="text1"/>
              <w14:textFill>
                <w14:solidFill>
                  <w14:schemeClr w14:val="tx1"/>
                </w14:solidFill>
              </w14:textFill>
            </w:rPr>
            <w:t>8</w:t>
          </w:r>
          <w:r>
            <w:rPr>
              <w:rFonts w:ascii="Arial" w:hAnsi="Arial"/>
              <w:b w:val="0"/>
              <w:bCs w:val="0"/>
              <w:i w:val="0"/>
              <w:iCs w:val="0"/>
              <w:color w:val="000000" w:themeColor="text1"/>
              <w14:textFill>
                <w14:solidFill>
                  <w14:schemeClr w14:val="tx1"/>
                </w14:solidFill>
              </w14:textFill>
            </w:rPr>
            <w:fldChar w:fldCharType="end"/>
          </w:r>
          <w:r>
            <w:rPr>
              <w:rFonts w:ascii="Arial" w:hAnsi="Arial"/>
              <w:b w:val="0"/>
              <w:bCs w:val="0"/>
              <w:i w:val="0"/>
              <w:iCs w:val="0"/>
              <w:color w:val="000000" w:themeColor="text1"/>
              <w14:textFill>
                <w14:solidFill>
                  <w14:schemeClr w14:val="tx1"/>
                </w14:solidFill>
              </w14:textFill>
            </w:rPr>
            <w:fldChar w:fldCharType="end"/>
          </w:r>
        </w:p>
        <w:p w14:paraId="5857D518">
          <w:pPr>
            <w:pStyle w:val="143"/>
            <w:tabs>
              <w:tab w:val="right" w:leader="dot" w:pos="9019"/>
            </w:tabs>
            <w:spacing w:line="360" w:lineRule="auto"/>
            <w:jc w:val="both"/>
            <w:rPr>
              <w:rFonts w:ascii="Arial" w:hAnsi="Arial"/>
              <w:b w:val="0"/>
              <w:bCs w:val="0"/>
              <w:color w:val="000000" w:themeColor="text1"/>
              <w:sz w:val="24"/>
              <w:szCs w:val="24"/>
              <w14:textFill>
                <w14:solidFill>
                  <w14:schemeClr w14:val="tx1"/>
                </w14:solidFill>
              </w14:textFill>
            </w:rPr>
          </w:pPr>
          <w:r>
            <w:fldChar w:fldCharType="begin"/>
          </w:r>
          <w:r>
            <w:instrText xml:space="preserve"> HYPERLINK \l "_Toc235015775" </w:instrText>
          </w:r>
          <w:r>
            <w:fldChar w:fldCharType="separate"/>
          </w:r>
          <w:r>
            <w:rPr>
              <w:rStyle w:val="51"/>
              <w:rFonts w:ascii="Arial" w:hAnsi="Arial"/>
              <w:b w:val="0"/>
              <w:bCs w:val="0"/>
              <w:color w:val="000000" w:themeColor="text1"/>
              <w:sz w:val="24"/>
              <w:szCs w:val="24"/>
              <w14:textFill>
                <w14:solidFill>
                  <w14:schemeClr w14:val="tx1"/>
                </w14:solidFill>
              </w14:textFill>
            </w:rPr>
            <w:t>Current Job Design Challenges</w:t>
          </w:r>
          <w:r>
            <w:rPr>
              <w:rFonts w:ascii="Arial" w:hAnsi="Arial"/>
              <w:b w:val="0"/>
              <w:bCs w:val="0"/>
              <w:color w:val="000000" w:themeColor="text1"/>
              <w:sz w:val="24"/>
              <w:szCs w:val="24"/>
              <w14:textFill>
                <w14:solidFill>
                  <w14:schemeClr w14:val="tx1"/>
                </w14:solidFill>
              </w14:textFill>
            </w:rPr>
            <w:tab/>
          </w:r>
          <w:r>
            <w:rPr>
              <w:rFonts w:ascii="Arial" w:hAnsi="Arial"/>
              <w:b w:val="0"/>
              <w:bCs w:val="0"/>
              <w:color w:val="000000" w:themeColor="text1"/>
              <w:sz w:val="24"/>
              <w:szCs w:val="24"/>
              <w14:textFill>
                <w14:solidFill>
                  <w14:schemeClr w14:val="tx1"/>
                </w14:solidFill>
              </w14:textFill>
            </w:rPr>
            <w:fldChar w:fldCharType="begin"/>
          </w:r>
          <w:r>
            <w:rPr>
              <w:rFonts w:ascii="Arial" w:hAnsi="Arial"/>
              <w:b w:val="0"/>
              <w:bCs w:val="0"/>
              <w:color w:val="000000" w:themeColor="text1"/>
              <w:sz w:val="24"/>
              <w:szCs w:val="24"/>
              <w14:textFill>
                <w14:solidFill>
                  <w14:schemeClr w14:val="tx1"/>
                </w14:solidFill>
              </w14:textFill>
            </w:rPr>
            <w:instrText xml:space="preserve"> PAGEREF _Toc235015775 \h </w:instrText>
          </w:r>
          <w:r>
            <w:rPr>
              <w:rFonts w:ascii="Arial" w:hAnsi="Arial"/>
              <w:b w:val="0"/>
              <w:bCs w:val="0"/>
              <w:color w:val="000000" w:themeColor="text1"/>
              <w:sz w:val="24"/>
              <w:szCs w:val="24"/>
              <w14:textFill>
                <w14:solidFill>
                  <w14:schemeClr w14:val="tx1"/>
                </w14:solidFill>
              </w14:textFill>
            </w:rPr>
            <w:fldChar w:fldCharType="separate"/>
          </w:r>
          <w:r>
            <w:rPr>
              <w:rFonts w:ascii="Arial" w:hAnsi="Arial"/>
              <w:b w:val="0"/>
              <w:bCs w:val="0"/>
              <w:color w:val="000000" w:themeColor="text1"/>
              <w:sz w:val="24"/>
              <w:szCs w:val="24"/>
              <w14:textFill>
                <w14:solidFill>
                  <w14:schemeClr w14:val="tx1"/>
                </w14:solidFill>
              </w14:textFill>
            </w:rPr>
            <w:t>8</w:t>
          </w:r>
          <w:r>
            <w:rPr>
              <w:rFonts w:ascii="Arial" w:hAnsi="Arial"/>
              <w:b w:val="0"/>
              <w:bCs w:val="0"/>
              <w:color w:val="000000" w:themeColor="text1"/>
              <w:sz w:val="24"/>
              <w:szCs w:val="24"/>
              <w14:textFill>
                <w14:solidFill>
                  <w14:schemeClr w14:val="tx1"/>
                </w14:solidFill>
              </w14:textFill>
            </w:rPr>
            <w:fldChar w:fldCharType="end"/>
          </w:r>
          <w:r>
            <w:rPr>
              <w:rFonts w:ascii="Arial" w:hAnsi="Arial"/>
              <w:b w:val="0"/>
              <w:bCs w:val="0"/>
              <w:color w:val="000000" w:themeColor="text1"/>
              <w:sz w:val="24"/>
              <w:szCs w:val="24"/>
              <w14:textFill>
                <w14:solidFill>
                  <w14:schemeClr w14:val="tx1"/>
                </w14:solidFill>
              </w14:textFill>
            </w:rPr>
            <w:fldChar w:fldCharType="end"/>
          </w:r>
        </w:p>
        <w:p w14:paraId="32B26457">
          <w:pPr>
            <w:pStyle w:val="143"/>
            <w:tabs>
              <w:tab w:val="right" w:leader="dot" w:pos="9019"/>
            </w:tabs>
            <w:spacing w:line="360" w:lineRule="auto"/>
            <w:jc w:val="both"/>
            <w:rPr>
              <w:rFonts w:ascii="Arial" w:hAnsi="Arial"/>
              <w:b w:val="0"/>
              <w:bCs w:val="0"/>
              <w:color w:val="000000" w:themeColor="text1"/>
              <w:sz w:val="24"/>
              <w:szCs w:val="24"/>
              <w14:textFill>
                <w14:solidFill>
                  <w14:schemeClr w14:val="tx1"/>
                </w14:solidFill>
              </w14:textFill>
            </w:rPr>
          </w:pPr>
          <w:r>
            <w:fldChar w:fldCharType="begin"/>
          </w:r>
          <w:r>
            <w:instrText xml:space="preserve"> HYPERLINK \l "_Toc235015776" </w:instrText>
          </w:r>
          <w:r>
            <w:fldChar w:fldCharType="separate"/>
          </w:r>
          <w:r>
            <w:rPr>
              <w:rStyle w:val="51"/>
              <w:rFonts w:ascii="Arial" w:hAnsi="Arial"/>
              <w:b w:val="0"/>
              <w:bCs w:val="0"/>
              <w:color w:val="000000" w:themeColor="text1"/>
              <w:sz w:val="24"/>
              <w:szCs w:val="24"/>
              <w14:textFill>
                <w14:solidFill>
                  <w14:schemeClr w14:val="tx1"/>
                </w14:solidFill>
              </w14:textFill>
            </w:rPr>
            <w:t>Applying the Job Characteristics Model</w:t>
          </w:r>
          <w:r>
            <w:rPr>
              <w:rFonts w:ascii="Arial" w:hAnsi="Arial"/>
              <w:b w:val="0"/>
              <w:bCs w:val="0"/>
              <w:color w:val="000000" w:themeColor="text1"/>
              <w:sz w:val="24"/>
              <w:szCs w:val="24"/>
              <w14:textFill>
                <w14:solidFill>
                  <w14:schemeClr w14:val="tx1"/>
                </w14:solidFill>
              </w14:textFill>
            </w:rPr>
            <w:tab/>
          </w:r>
          <w:r>
            <w:rPr>
              <w:rFonts w:ascii="Arial" w:hAnsi="Arial"/>
              <w:b w:val="0"/>
              <w:bCs w:val="0"/>
              <w:color w:val="000000" w:themeColor="text1"/>
              <w:sz w:val="24"/>
              <w:szCs w:val="24"/>
              <w14:textFill>
                <w14:solidFill>
                  <w14:schemeClr w14:val="tx1"/>
                </w14:solidFill>
              </w14:textFill>
            </w:rPr>
            <w:fldChar w:fldCharType="begin"/>
          </w:r>
          <w:r>
            <w:rPr>
              <w:rFonts w:ascii="Arial" w:hAnsi="Arial"/>
              <w:b w:val="0"/>
              <w:bCs w:val="0"/>
              <w:color w:val="000000" w:themeColor="text1"/>
              <w:sz w:val="24"/>
              <w:szCs w:val="24"/>
              <w14:textFill>
                <w14:solidFill>
                  <w14:schemeClr w14:val="tx1"/>
                </w14:solidFill>
              </w14:textFill>
            </w:rPr>
            <w:instrText xml:space="preserve"> PAGEREF _Toc235015776 \h </w:instrText>
          </w:r>
          <w:r>
            <w:rPr>
              <w:rFonts w:ascii="Arial" w:hAnsi="Arial"/>
              <w:b w:val="0"/>
              <w:bCs w:val="0"/>
              <w:color w:val="000000" w:themeColor="text1"/>
              <w:sz w:val="24"/>
              <w:szCs w:val="24"/>
              <w14:textFill>
                <w14:solidFill>
                  <w14:schemeClr w14:val="tx1"/>
                </w14:solidFill>
              </w14:textFill>
            </w:rPr>
            <w:fldChar w:fldCharType="separate"/>
          </w:r>
          <w:r>
            <w:rPr>
              <w:rFonts w:ascii="Arial" w:hAnsi="Arial"/>
              <w:b w:val="0"/>
              <w:bCs w:val="0"/>
              <w:color w:val="000000" w:themeColor="text1"/>
              <w:sz w:val="24"/>
              <w:szCs w:val="24"/>
              <w14:textFill>
                <w14:solidFill>
                  <w14:schemeClr w14:val="tx1"/>
                </w14:solidFill>
              </w14:textFill>
            </w:rPr>
            <w:t>9</w:t>
          </w:r>
          <w:r>
            <w:rPr>
              <w:rFonts w:ascii="Arial" w:hAnsi="Arial"/>
              <w:b w:val="0"/>
              <w:bCs w:val="0"/>
              <w:color w:val="000000" w:themeColor="text1"/>
              <w:sz w:val="24"/>
              <w:szCs w:val="24"/>
              <w14:textFill>
                <w14:solidFill>
                  <w14:schemeClr w14:val="tx1"/>
                </w14:solidFill>
              </w14:textFill>
            </w:rPr>
            <w:fldChar w:fldCharType="end"/>
          </w:r>
          <w:r>
            <w:rPr>
              <w:rFonts w:ascii="Arial" w:hAnsi="Arial"/>
              <w:b w:val="0"/>
              <w:bCs w:val="0"/>
              <w:color w:val="000000" w:themeColor="text1"/>
              <w:sz w:val="24"/>
              <w:szCs w:val="24"/>
              <w14:textFill>
                <w14:solidFill>
                  <w14:schemeClr w14:val="tx1"/>
                </w14:solidFill>
              </w14:textFill>
            </w:rPr>
            <w:fldChar w:fldCharType="end"/>
          </w:r>
        </w:p>
        <w:p w14:paraId="5D8F5FAE">
          <w:pPr>
            <w:pStyle w:val="143"/>
            <w:tabs>
              <w:tab w:val="right" w:leader="dot" w:pos="9019"/>
            </w:tabs>
            <w:spacing w:line="360" w:lineRule="auto"/>
            <w:jc w:val="both"/>
            <w:rPr>
              <w:rFonts w:ascii="Arial" w:hAnsi="Arial"/>
              <w:b w:val="0"/>
              <w:bCs w:val="0"/>
              <w:color w:val="000000" w:themeColor="text1"/>
              <w:sz w:val="24"/>
              <w:szCs w:val="24"/>
              <w14:textFill>
                <w14:solidFill>
                  <w14:schemeClr w14:val="tx1"/>
                </w14:solidFill>
              </w14:textFill>
            </w:rPr>
          </w:pPr>
          <w:r>
            <w:fldChar w:fldCharType="begin"/>
          </w:r>
          <w:r>
            <w:instrText xml:space="preserve"> HYPERLINK \l "_Toc235015777" </w:instrText>
          </w:r>
          <w:r>
            <w:fldChar w:fldCharType="separate"/>
          </w:r>
          <w:r>
            <w:rPr>
              <w:rStyle w:val="51"/>
              <w:rFonts w:ascii="Arial" w:hAnsi="Arial"/>
              <w:b w:val="0"/>
              <w:bCs w:val="0"/>
              <w:color w:val="000000" w:themeColor="text1"/>
              <w:sz w:val="24"/>
              <w:szCs w:val="24"/>
              <w14:textFill>
                <w14:solidFill>
                  <w14:schemeClr w14:val="tx1"/>
                </w14:solidFill>
              </w14:textFill>
            </w:rPr>
            <w:t>Integrating Job Crafting Theory</w:t>
          </w:r>
          <w:r>
            <w:rPr>
              <w:rFonts w:ascii="Arial" w:hAnsi="Arial"/>
              <w:b w:val="0"/>
              <w:bCs w:val="0"/>
              <w:color w:val="000000" w:themeColor="text1"/>
              <w:sz w:val="24"/>
              <w:szCs w:val="24"/>
              <w14:textFill>
                <w14:solidFill>
                  <w14:schemeClr w14:val="tx1"/>
                </w14:solidFill>
              </w14:textFill>
            </w:rPr>
            <w:tab/>
          </w:r>
          <w:r>
            <w:rPr>
              <w:rFonts w:ascii="Arial" w:hAnsi="Arial"/>
              <w:b w:val="0"/>
              <w:bCs w:val="0"/>
              <w:color w:val="000000" w:themeColor="text1"/>
              <w:sz w:val="24"/>
              <w:szCs w:val="24"/>
              <w14:textFill>
                <w14:solidFill>
                  <w14:schemeClr w14:val="tx1"/>
                </w14:solidFill>
              </w14:textFill>
            </w:rPr>
            <w:fldChar w:fldCharType="begin"/>
          </w:r>
          <w:r>
            <w:rPr>
              <w:rFonts w:ascii="Arial" w:hAnsi="Arial"/>
              <w:b w:val="0"/>
              <w:bCs w:val="0"/>
              <w:color w:val="000000" w:themeColor="text1"/>
              <w:sz w:val="24"/>
              <w:szCs w:val="24"/>
              <w14:textFill>
                <w14:solidFill>
                  <w14:schemeClr w14:val="tx1"/>
                </w14:solidFill>
              </w14:textFill>
            </w:rPr>
            <w:instrText xml:space="preserve"> PAGEREF _Toc235015777 \h </w:instrText>
          </w:r>
          <w:r>
            <w:rPr>
              <w:rFonts w:ascii="Arial" w:hAnsi="Arial"/>
              <w:b w:val="0"/>
              <w:bCs w:val="0"/>
              <w:color w:val="000000" w:themeColor="text1"/>
              <w:sz w:val="24"/>
              <w:szCs w:val="24"/>
              <w14:textFill>
                <w14:solidFill>
                  <w14:schemeClr w14:val="tx1"/>
                </w14:solidFill>
              </w14:textFill>
            </w:rPr>
            <w:fldChar w:fldCharType="separate"/>
          </w:r>
          <w:r>
            <w:rPr>
              <w:rFonts w:ascii="Arial" w:hAnsi="Arial"/>
              <w:b w:val="0"/>
              <w:bCs w:val="0"/>
              <w:color w:val="000000" w:themeColor="text1"/>
              <w:sz w:val="24"/>
              <w:szCs w:val="24"/>
              <w14:textFill>
                <w14:solidFill>
                  <w14:schemeClr w14:val="tx1"/>
                </w14:solidFill>
              </w14:textFill>
            </w:rPr>
            <w:t>10</w:t>
          </w:r>
          <w:r>
            <w:rPr>
              <w:rFonts w:ascii="Arial" w:hAnsi="Arial"/>
              <w:b w:val="0"/>
              <w:bCs w:val="0"/>
              <w:color w:val="000000" w:themeColor="text1"/>
              <w:sz w:val="24"/>
              <w:szCs w:val="24"/>
              <w14:textFill>
                <w14:solidFill>
                  <w14:schemeClr w14:val="tx1"/>
                </w14:solidFill>
              </w14:textFill>
            </w:rPr>
            <w:fldChar w:fldCharType="end"/>
          </w:r>
          <w:r>
            <w:rPr>
              <w:rFonts w:ascii="Arial" w:hAnsi="Arial"/>
              <w:b w:val="0"/>
              <w:bCs w:val="0"/>
              <w:color w:val="000000" w:themeColor="text1"/>
              <w:sz w:val="24"/>
              <w:szCs w:val="24"/>
              <w14:textFill>
                <w14:solidFill>
                  <w14:schemeClr w14:val="tx1"/>
                </w14:solidFill>
              </w14:textFill>
            </w:rPr>
            <w:fldChar w:fldCharType="end"/>
          </w:r>
        </w:p>
        <w:p w14:paraId="4099B6DC">
          <w:pPr>
            <w:pStyle w:val="143"/>
            <w:tabs>
              <w:tab w:val="right" w:leader="dot" w:pos="9019"/>
            </w:tabs>
            <w:spacing w:line="360" w:lineRule="auto"/>
            <w:jc w:val="both"/>
            <w:rPr>
              <w:rFonts w:ascii="Arial" w:hAnsi="Arial"/>
              <w:b w:val="0"/>
              <w:bCs w:val="0"/>
              <w:color w:val="000000" w:themeColor="text1"/>
              <w:sz w:val="24"/>
              <w:szCs w:val="24"/>
              <w14:textFill>
                <w14:solidFill>
                  <w14:schemeClr w14:val="tx1"/>
                </w14:solidFill>
              </w14:textFill>
            </w:rPr>
          </w:pPr>
          <w:r>
            <w:fldChar w:fldCharType="begin"/>
          </w:r>
          <w:r>
            <w:instrText xml:space="preserve"> HYPERLINK \l "_Toc235015778" </w:instrText>
          </w:r>
          <w:r>
            <w:fldChar w:fldCharType="separate"/>
          </w:r>
          <w:r>
            <w:rPr>
              <w:rStyle w:val="51"/>
              <w:rFonts w:ascii="Arial" w:hAnsi="Arial"/>
              <w:b w:val="0"/>
              <w:bCs w:val="0"/>
              <w:color w:val="000000" w:themeColor="text1"/>
              <w:sz w:val="24"/>
              <w:szCs w:val="24"/>
              <w14:textFill>
                <w14:solidFill>
                  <w14:schemeClr w14:val="tx1"/>
                </w14:solidFill>
              </w14:textFill>
            </w:rPr>
            <w:t>Developing a Skills-Based Architecture</w:t>
          </w:r>
          <w:r>
            <w:rPr>
              <w:rFonts w:ascii="Arial" w:hAnsi="Arial"/>
              <w:b w:val="0"/>
              <w:bCs w:val="0"/>
              <w:color w:val="000000" w:themeColor="text1"/>
              <w:sz w:val="24"/>
              <w:szCs w:val="24"/>
              <w14:textFill>
                <w14:solidFill>
                  <w14:schemeClr w14:val="tx1"/>
                </w14:solidFill>
              </w14:textFill>
            </w:rPr>
            <w:tab/>
          </w:r>
          <w:r>
            <w:rPr>
              <w:rFonts w:ascii="Arial" w:hAnsi="Arial"/>
              <w:b w:val="0"/>
              <w:bCs w:val="0"/>
              <w:color w:val="000000" w:themeColor="text1"/>
              <w:sz w:val="24"/>
              <w:szCs w:val="24"/>
              <w14:textFill>
                <w14:solidFill>
                  <w14:schemeClr w14:val="tx1"/>
                </w14:solidFill>
              </w14:textFill>
            </w:rPr>
            <w:fldChar w:fldCharType="begin"/>
          </w:r>
          <w:r>
            <w:rPr>
              <w:rFonts w:ascii="Arial" w:hAnsi="Arial"/>
              <w:b w:val="0"/>
              <w:bCs w:val="0"/>
              <w:color w:val="000000" w:themeColor="text1"/>
              <w:sz w:val="24"/>
              <w:szCs w:val="24"/>
              <w14:textFill>
                <w14:solidFill>
                  <w14:schemeClr w14:val="tx1"/>
                </w14:solidFill>
              </w14:textFill>
            </w:rPr>
            <w:instrText xml:space="preserve"> PAGEREF _Toc235015778 \h </w:instrText>
          </w:r>
          <w:r>
            <w:rPr>
              <w:rFonts w:ascii="Arial" w:hAnsi="Arial"/>
              <w:b w:val="0"/>
              <w:bCs w:val="0"/>
              <w:color w:val="000000" w:themeColor="text1"/>
              <w:sz w:val="24"/>
              <w:szCs w:val="24"/>
              <w14:textFill>
                <w14:solidFill>
                  <w14:schemeClr w14:val="tx1"/>
                </w14:solidFill>
              </w14:textFill>
            </w:rPr>
            <w:fldChar w:fldCharType="separate"/>
          </w:r>
          <w:r>
            <w:rPr>
              <w:rFonts w:ascii="Arial" w:hAnsi="Arial"/>
              <w:b w:val="0"/>
              <w:bCs w:val="0"/>
              <w:color w:val="000000" w:themeColor="text1"/>
              <w:sz w:val="24"/>
              <w:szCs w:val="24"/>
              <w14:textFill>
                <w14:solidFill>
                  <w14:schemeClr w14:val="tx1"/>
                </w14:solidFill>
              </w14:textFill>
            </w:rPr>
            <w:t>12</w:t>
          </w:r>
          <w:r>
            <w:rPr>
              <w:rFonts w:ascii="Arial" w:hAnsi="Arial"/>
              <w:b w:val="0"/>
              <w:bCs w:val="0"/>
              <w:color w:val="000000" w:themeColor="text1"/>
              <w:sz w:val="24"/>
              <w:szCs w:val="24"/>
              <w14:textFill>
                <w14:solidFill>
                  <w14:schemeClr w14:val="tx1"/>
                </w14:solidFill>
              </w14:textFill>
            </w:rPr>
            <w:fldChar w:fldCharType="end"/>
          </w:r>
          <w:r>
            <w:rPr>
              <w:rFonts w:ascii="Arial" w:hAnsi="Arial"/>
              <w:b w:val="0"/>
              <w:bCs w:val="0"/>
              <w:color w:val="000000" w:themeColor="text1"/>
              <w:sz w:val="24"/>
              <w:szCs w:val="24"/>
              <w14:textFill>
                <w14:solidFill>
                  <w14:schemeClr w14:val="tx1"/>
                </w14:solidFill>
              </w14:textFill>
            </w:rPr>
            <w:fldChar w:fldCharType="end"/>
          </w:r>
        </w:p>
        <w:p w14:paraId="6242A138">
          <w:pPr>
            <w:pStyle w:val="143"/>
            <w:tabs>
              <w:tab w:val="right" w:leader="dot" w:pos="9019"/>
            </w:tabs>
            <w:spacing w:line="240" w:lineRule="auto"/>
            <w:jc w:val="both"/>
            <w:rPr>
              <w:rFonts w:ascii="Arial" w:hAnsi="Arial"/>
              <w:b w:val="0"/>
              <w:bCs w:val="0"/>
              <w:color w:val="000000" w:themeColor="text1"/>
              <w:sz w:val="24"/>
              <w:szCs w:val="24"/>
              <w14:textFill>
                <w14:solidFill>
                  <w14:schemeClr w14:val="tx1"/>
                </w14:solidFill>
              </w14:textFill>
            </w:rPr>
          </w:pPr>
          <w:r>
            <w:fldChar w:fldCharType="begin"/>
          </w:r>
          <w:r>
            <w:instrText xml:space="preserve"> HYPERLINK \l "_Toc235015779" </w:instrText>
          </w:r>
          <w:r>
            <w:fldChar w:fldCharType="separate"/>
          </w:r>
          <w:r>
            <w:rPr>
              <w:rStyle w:val="51"/>
              <w:rFonts w:ascii="Arial" w:hAnsi="Arial"/>
              <w:b w:val="0"/>
              <w:bCs w:val="0"/>
              <w:color w:val="000000" w:themeColor="text1"/>
              <w:sz w:val="24"/>
              <w:szCs w:val="24"/>
              <w14:textFill>
                <w14:solidFill>
                  <w14:schemeClr w14:val="tx1"/>
                </w14:solidFill>
              </w14:textFill>
            </w:rPr>
            <w:t>Internal Talent Marketplace</w:t>
          </w:r>
          <w:r>
            <w:rPr>
              <w:rFonts w:ascii="Arial" w:hAnsi="Arial"/>
              <w:b w:val="0"/>
              <w:bCs w:val="0"/>
              <w:color w:val="000000" w:themeColor="text1"/>
              <w:sz w:val="24"/>
              <w:szCs w:val="24"/>
              <w14:textFill>
                <w14:solidFill>
                  <w14:schemeClr w14:val="tx1"/>
                </w14:solidFill>
              </w14:textFill>
            </w:rPr>
            <w:tab/>
          </w:r>
          <w:r>
            <w:rPr>
              <w:rFonts w:ascii="Arial" w:hAnsi="Arial"/>
              <w:b w:val="0"/>
              <w:bCs w:val="0"/>
              <w:color w:val="000000" w:themeColor="text1"/>
              <w:sz w:val="24"/>
              <w:szCs w:val="24"/>
              <w14:textFill>
                <w14:solidFill>
                  <w14:schemeClr w14:val="tx1"/>
                </w14:solidFill>
              </w14:textFill>
            </w:rPr>
            <w:fldChar w:fldCharType="begin"/>
          </w:r>
          <w:r>
            <w:rPr>
              <w:rFonts w:ascii="Arial" w:hAnsi="Arial"/>
              <w:b w:val="0"/>
              <w:bCs w:val="0"/>
              <w:color w:val="000000" w:themeColor="text1"/>
              <w:sz w:val="24"/>
              <w:szCs w:val="24"/>
              <w14:textFill>
                <w14:solidFill>
                  <w14:schemeClr w14:val="tx1"/>
                </w14:solidFill>
              </w14:textFill>
            </w:rPr>
            <w:instrText xml:space="preserve"> PAGEREF _Toc235015779 \h </w:instrText>
          </w:r>
          <w:r>
            <w:rPr>
              <w:rFonts w:ascii="Arial" w:hAnsi="Arial"/>
              <w:b w:val="0"/>
              <w:bCs w:val="0"/>
              <w:color w:val="000000" w:themeColor="text1"/>
              <w:sz w:val="24"/>
              <w:szCs w:val="24"/>
              <w14:textFill>
                <w14:solidFill>
                  <w14:schemeClr w14:val="tx1"/>
                </w14:solidFill>
              </w14:textFill>
            </w:rPr>
            <w:fldChar w:fldCharType="separate"/>
          </w:r>
          <w:r>
            <w:rPr>
              <w:rFonts w:ascii="Arial" w:hAnsi="Arial"/>
              <w:b w:val="0"/>
              <w:bCs w:val="0"/>
              <w:color w:val="000000" w:themeColor="text1"/>
              <w:sz w:val="24"/>
              <w:szCs w:val="24"/>
              <w14:textFill>
                <w14:solidFill>
                  <w14:schemeClr w14:val="tx1"/>
                </w14:solidFill>
              </w14:textFill>
            </w:rPr>
            <w:t>12</w:t>
          </w:r>
          <w:r>
            <w:rPr>
              <w:rFonts w:ascii="Arial" w:hAnsi="Arial"/>
              <w:b w:val="0"/>
              <w:bCs w:val="0"/>
              <w:color w:val="000000" w:themeColor="text1"/>
              <w:sz w:val="24"/>
              <w:szCs w:val="24"/>
              <w14:textFill>
                <w14:solidFill>
                  <w14:schemeClr w14:val="tx1"/>
                </w14:solidFill>
              </w14:textFill>
            </w:rPr>
            <w:fldChar w:fldCharType="end"/>
          </w:r>
          <w:r>
            <w:rPr>
              <w:rFonts w:ascii="Arial" w:hAnsi="Arial"/>
              <w:b w:val="0"/>
              <w:bCs w:val="0"/>
              <w:color w:val="000000" w:themeColor="text1"/>
              <w:sz w:val="24"/>
              <w:szCs w:val="24"/>
              <w14:textFill>
                <w14:solidFill>
                  <w14:schemeClr w14:val="tx1"/>
                </w14:solidFill>
              </w14:textFill>
            </w:rPr>
            <w:fldChar w:fldCharType="end"/>
          </w:r>
        </w:p>
        <w:p w14:paraId="5143A189">
          <w:pPr>
            <w:pStyle w:val="143"/>
            <w:tabs>
              <w:tab w:val="right" w:leader="dot" w:pos="9019"/>
            </w:tabs>
            <w:spacing w:line="360" w:lineRule="auto"/>
            <w:jc w:val="both"/>
            <w:rPr>
              <w:rFonts w:ascii="Arial" w:hAnsi="Arial"/>
              <w:b w:val="0"/>
              <w:bCs w:val="0"/>
              <w:color w:val="000000" w:themeColor="text1"/>
              <w:sz w:val="24"/>
              <w:szCs w:val="24"/>
              <w14:textFill>
                <w14:solidFill>
                  <w14:schemeClr w14:val="tx1"/>
                </w14:solidFill>
              </w14:textFill>
            </w:rPr>
          </w:pPr>
          <w:r>
            <w:fldChar w:fldCharType="begin"/>
          </w:r>
          <w:r>
            <w:instrText xml:space="preserve"> HYPERLINK \l "_Toc235015780" </w:instrText>
          </w:r>
          <w:r>
            <w:fldChar w:fldCharType="separate"/>
          </w:r>
          <w:r>
            <w:rPr>
              <w:rStyle w:val="51"/>
              <w:rFonts w:ascii="Arial" w:hAnsi="Arial"/>
              <w:b w:val="0"/>
              <w:bCs w:val="0"/>
              <w:color w:val="000000" w:themeColor="text1"/>
              <w:sz w:val="24"/>
              <w:szCs w:val="24"/>
              <w14:textFill>
                <w14:solidFill>
                  <w14:schemeClr w14:val="tx1"/>
                </w14:solidFill>
              </w14:textFill>
            </w:rPr>
            <w:t>Supporting Motivation and Innovation</w:t>
          </w:r>
          <w:r>
            <w:rPr>
              <w:rFonts w:ascii="Arial" w:hAnsi="Arial"/>
              <w:b w:val="0"/>
              <w:bCs w:val="0"/>
              <w:color w:val="000000" w:themeColor="text1"/>
              <w:sz w:val="24"/>
              <w:szCs w:val="24"/>
              <w14:textFill>
                <w14:solidFill>
                  <w14:schemeClr w14:val="tx1"/>
                </w14:solidFill>
              </w14:textFill>
            </w:rPr>
            <w:tab/>
          </w:r>
          <w:r>
            <w:rPr>
              <w:rFonts w:ascii="Arial" w:hAnsi="Arial"/>
              <w:b w:val="0"/>
              <w:bCs w:val="0"/>
              <w:color w:val="000000" w:themeColor="text1"/>
              <w:sz w:val="24"/>
              <w:szCs w:val="24"/>
              <w14:textFill>
                <w14:solidFill>
                  <w14:schemeClr w14:val="tx1"/>
                </w14:solidFill>
              </w14:textFill>
            </w:rPr>
            <w:fldChar w:fldCharType="begin"/>
          </w:r>
          <w:r>
            <w:rPr>
              <w:rFonts w:ascii="Arial" w:hAnsi="Arial"/>
              <w:b w:val="0"/>
              <w:bCs w:val="0"/>
              <w:color w:val="000000" w:themeColor="text1"/>
              <w:sz w:val="24"/>
              <w:szCs w:val="24"/>
              <w14:textFill>
                <w14:solidFill>
                  <w14:schemeClr w14:val="tx1"/>
                </w14:solidFill>
              </w14:textFill>
            </w:rPr>
            <w:instrText xml:space="preserve"> PAGEREF _Toc235015780 \h </w:instrText>
          </w:r>
          <w:r>
            <w:rPr>
              <w:rFonts w:ascii="Arial" w:hAnsi="Arial"/>
              <w:b w:val="0"/>
              <w:bCs w:val="0"/>
              <w:color w:val="000000" w:themeColor="text1"/>
              <w:sz w:val="24"/>
              <w:szCs w:val="24"/>
              <w14:textFill>
                <w14:solidFill>
                  <w14:schemeClr w14:val="tx1"/>
                </w14:solidFill>
              </w14:textFill>
            </w:rPr>
            <w:fldChar w:fldCharType="separate"/>
          </w:r>
          <w:r>
            <w:rPr>
              <w:rFonts w:ascii="Arial" w:hAnsi="Arial"/>
              <w:b w:val="0"/>
              <w:bCs w:val="0"/>
              <w:color w:val="000000" w:themeColor="text1"/>
              <w:sz w:val="24"/>
              <w:szCs w:val="24"/>
              <w14:textFill>
                <w14:solidFill>
                  <w14:schemeClr w14:val="tx1"/>
                </w14:solidFill>
              </w14:textFill>
            </w:rPr>
            <w:t>12</w:t>
          </w:r>
          <w:r>
            <w:rPr>
              <w:rFonts w:ascii="Arial" w:hAnsi="Arial"/>
              <w:b w:val="0"/>
              <w:bCs w:val="0"/>
              <w:color w:val="000000" w:themeColor="text1"/>
              <w:sz w:val="24"/>
              <w:szCs w:val="24"/>
              <w14:textFill>
                <w14:solidFill>
                  <w14:schemeClr w14:val="tx1"/>
                </w14:solidFill>
              </w14:textFill>
            </w:rPr>
            <w:fldChar w:fldCharType="end"/>
          </w:r>
          <w:r>
            <w:rPr>
              <w:rFonts w:ascii="Arial" w:hAnsi="Arial"/>
              <w:b w:val="0"/>
              <w:bCs w:val="0"/>
              <w:color w:val="000000" w:themeColor="text1"/>
              <w:sz w:val="24"/>
              <w:szCs w:val="24"/>
              <w14:textFill>
                <w14:solidFill>
                  <w14:schemeClr w14:val="tx1"/>
                </w14:solidFill>
              </w14:textFill>
            </w:rPr>
            <w:fldChar w:fldCharType="end"/>
          </w:r>
        </w:p>
        <w:p w14:paraId="0FD9B523">
          <w:pPr>
            <w:pStyle w:val="142"/>
            <w:tabs>
              <w:tab w:val="right" w:leader="dot" w:pos="9019"/>
            </w:tabs>
            <w:spacing w:line="360" w:lineRule="auto"/>
            <w:jc w:val="both"/>
            <w:rPr>
              <w:rFonts w:ascii="Arial" w:hAnsi="Arial"/>
              <w:b w:val="0"/>
              <w:bCs w:val="0"/>
              <w:i w:val="0"/>
              <w:iCs w:val="0"/>
              <w:color w:val="000000" w:themeColor="text1"/>
              <w14:textFill>
                <w14:solidFill>
                  <w14:schemeClr w14:val="tx1"/>
                </w14:solidFill>
              </w14:textFill>
            </w:rPr>
          </w:pPr>
          <w:r>
            <w:fldChar w:fldCharType="begin"/>
          </w:r>
          <w:r>
            <w:instrText xml:space="preserve"> HYPERLINK \l "_Toc235015781" </w:instrText>
          </w:r>
          <w:r>
            <w:fldChar w:fldCharType="separate"/>
          </w:r>
          <w:r>
            <w:rPr>
              <w:rStyle w:val="51"/>
              <w:rFonts w:ascii="Arial" w:hAnsi="Arial"/>
              <w:b w:val="0"/>
              <w:bCs w:val="0"/>
              <w:i w:val="0"/>
              <w:iCs w:val="0"/>
              <w:color w:val="000000" w:themeColor="text1"/>
              <w14:textFill>
                <w14:solidFill>
                  <w14:schemeClr w14:val="tx1"/>
                </w14:solidFill>
              </w14:textFill>
            </w:rPr>
            <w:t>Task C: Reflective Report</w:t>
          </w:r>
          <w:r>
            <w:rPr>
              <w:rFonts w:ascii="Arial" w:hAnsi="Arial"/>
              <w:b w:val="0"/>
              <w:bCs w:val="0"/>
              <w:i w:val="0"/>
              <w:iCs w:val="0"/>
              <w:color w:val="000000" w:themeColor="text1"/>
              <w14:textFill>
                <w14:solidFill>
                  <w14:schemeClr w14:val="tx1"/>
                </w14:solidFill>
              </w14:textFill>
            </w:rPr>
            <w:tab/>
          </w:r>
          <w:r>
            <w:rPr>
              <w:rFonts w:ascii="Arial" w:hAnsi="Arial"/>
              <w:b w:val="0"/>
              <w:bCs w:val="0"/>
              <w:i w:val="0"/>
              <w:iCs w:val="0"/>
              <w:color w:val="000000" w:themeColor="text1"/>
              <w14:textFill>
                <w14:solidFill>
                  <w14:schemeClr w14:val="tx1"/>
                </w14:solidFill>
              </w14:textFill>
            </w:rPr>
            <w:fldChar w:fldCharType="begin"/>
          </w:r>
          <w:r>
            <w:rPr>
              <w:rFonts w:ascii="Arial" w:hAnsi="Arial"/>
              <w:b w:val="0"/>
              <w:bCs w:val="0"/>
              <w:i w:val="0"/>
              <w:iCs w:val="0"/>
              <w:color w:val="000000" w:themeColor="text1"/>
              <w14:textFill>
                <w14:solidFill>
                  <w14:schemeClr w14:val="tx1"/>
                </w14:solidFill>
              </w14:textFill>
            </w:rPr>
            <w:instrText xml:space="preserve"> PAGEREF _Toc235015781 \h </w:instrText>
          </w:r>
          <w:r>
            <w:rPr>
              <w:rFonts w:ascii="Arial" w:hAnsi="Arial"/>
              <w:b w:val="0"/>
              <w:bCs w:val="0"/>
              <w:i w:val="0"/>
              <w:iCs w:val="0"/>
              <w:color w:val="000000" w:themeColor="text1"/>
              <w14:textFill>
                <w14:solidFill>
                  <w14:schemeClr w14:val="tx1"/>
                </w14:solidFill>
              </w14:textFill>
            </w:rPr>
            <w:fldChar w:fldCharType="separate"/>
          </w:r>
          <w:r>
            <w:rPr>
              <w:rFonts w:ascii="Arial" w:hAnsi="Arial"/>
              <w:b w:val="0"/>
              <w:bCs w:val="0"/>
              <w:i w:val="0"/>
              <w:iCs w:val="0"/>
              <w:color w:val="000000" w:themeColor="text1"/>
              <w14:textFill>
                <w14:solidFill>
                  <w14:schemeClr w14:val="tx1"/>
                </w14:solidFill>
              </w14:textFill>
            </w:rPr>
            <w:t>13</w:t>
          </w:r>
          <w:r>
            <w:rPr>
              <w:rFonts w:ascii="Arial" w:hAnsi="Arial"/>
              <w:b w:val="0"/>
              <w:bCs w:val="0"/>
              <w:i w:val="0"/>
              <w:iCs w:val="0"/>
              <w:color w:val="000000" w:themeColor="text1"/>
              <w14:textFill>
                <w14:solidFill>
                  <w14:schemeClr w14:val="tx1"/>
                </w14:solidFill>
              </w14:textFill>
            </w:rPr>
            <w:fldChar w:fldCharType="end"/>
          </w:r>
          <w:r>
            <w:rPr>
              <w:rFonts w:ascii="Arial" w:hAnsi="Arial"/>
              <w:b w:val="0"/>
              <w:bCs w:val="0"/>
              <w:i w:val="0"/>
              <w:iCs w:val="0"/>
              <w:color w:val="000000" w:themeColor="text1"/>
              <w14:textFill>
                <w14:solidFill>
                  <w14:schemeClr w14:val="tx1"/>
                </w14:solidFill>
              </w14:textFill>
            </w:rPr>
            <w:fldChar w:fldCharType="end"/>
          </w:r>
        </w:p>
        <w:p w14:paraId="7BC21A49">
          <w:pPr>
            <w:pStyle w:val="143"/>
            <w:tabs>
              <w:tab w:val="right" w:leader="dot" w:pos="9019"/>
            </w:tabs>
            <w:spacing w:line="360" w:lineRule="auto"/>
            <w:jc w:val="both"/>
            <w:rPr>
              <w:rFonts w:ascii="Arial" w:hAnsi="Arial"/>
              <w:b w:val="0"/>
              <w:bCs w:val="0"/>
              <w:color w:val="000000" w:themeColor="text1"/>
              <w:sz w:val="24"/>
              <w:szCs w:val="24"/>
              <w14:textFill>
                <w14:solidFill>
                  <w14:schemeClr w14:val="tx1"/>
                </w14:solidFill>
              </w14:textFill>
            </w:rPr>
          </w:pPr>
          <w:r>
            <w:fldChar w:fldCharType="begin"/>
          </w:r>
          <w:r>
            <w:instrText xml:space="preserve"> HYPERLINK \l "_Toc235015782" </w:instrText>
          </w:r>
          <w:r>
            <w:fldChar w:fldCharType="separate"/>
          </w:r>
          <w:r>
            <w:rPr>
              <w:rStyle w:val="51"/>
              <w:rFonts w:ascii="Arial" w:hAnsi="Arial"/>
              <w:b w:val="0"/>
              <w:bCs w:val="0"/>
              <w:color w:val="000000" w:themeColor="text1"/>
              <w:sz w:val="24"/>
              <w:szCs w:val="24"/>
              <w14:textFill>
                <w14:solidFill>
                  <w14:schemeClr w14:val="tx1"/>
                </w14:solidFill>
              </w14:textFill>
            </w:rPr>
            <w:t>AI as a Decision-Support Tool</w:t>
          </w:r>
          <w:r>
            <w:rPr>
              <w:rFonts w:ascii="Arial" w:hAnsi="Arial"/>
              <w:b w:val="0"/>
              <w:bCs w:val="0"/>
              <w:color w:val="000000" w:themeColor="text1"/>
              <w:sz w:val="24"/>
              <w:szCs w:val="24"/>
              <w14:textFill>
                <w14:solidFill>
                  <w14:schemeClr w14:val="tx1"/>
                </w14:solidFill>
              </w14:textFill>
            </w:rPr>
            <w:tab/>
          </w:r>
          <w:r>
            <w:rPr>
              <w:rFonts w:ascii="Arial" w:hAnsi="Arial"/>
              <w:b w:val="0"/>
              <w:bCs w:val="0"/>
              <w:color w:val="000000" w:themeColor="text1"/>
              <w:sz w:val="24"/>
              <w:szCs w:val="24"/>
              <w14:textFill>
                <w14:solidFill>
                  <w14:schemeClr w14:val="tx1"/>
                </w14:solidFill>
              </w14:textFill>
            </w:rPr>
            <w:fldChar w:fldCharType="begin"/>
          </w:r>
          <w:r>
            <w:rPr>
              <w:rFonts w:ascii="Arial" w:hAnsi="Arial"/>
              <w:b w:val="0"/>
              <w:bCs w:val="0"/>
              <w:color w:val="000000" w:themeColor="text1"/>
              <w:sz w:val="24"/>
              <w:szCs w:val="24"/>
              <w14:textFill>
                <w14:solidFill>
                  <w14:schemeClr w14:val="tx1"/>
                </w14:solidFill>
              </w14:textFill>
            </w:rPr>
            <w:instrText xml:space="preserve"> PAGEREF _Toc235015782 \h </w:instrText>
          </w:r>
          <w:r>
            <w:rPr>
              <w:rFonts w:ascii="Arial" w:hAnsi="Arial"/>
              <w:b w:val="0"/>
              <w:bCs w:val="0"/>
              <w:color w:val="000000" w:themeColor="text1"/>
              <w:sz w:val="24"/>
              <w:szCs w:val="24"/>
              <w14:textFill>
                <w14:solidFill>
                  <w14:schemeClr w14:val="tx1"/>
                </w14:solidFill>
              </w14:textFill>
            </w:rPr>
            <w:fldChar w:fldCharType="separate"/>
          </w:r>
          <w:r>
            <w:rPr>
              <w:rFonts w:ascii="Arial" w:hAnsi="Arial"/>
              <w:b w:val="0"/>
              <w:bCs w:val="0"/>
              <w:color w:val="000000" w:themeColor="text1"/>
              <w:sz w:val="24"/>
              <w:szCs w:val="24"/>
              <w14:textFill>
                <w14:solidFill>
                  <w14:schemeClr w14:val="tx1"/>
                </w14:solidFill>
              </w14:textFill>
            </w:rPr>
            <w:t>13</w:t>
          </w:r>
          <w:r>
            <w:rPr>
              <w:rFonts w:ascii="Arial" w:hAnsi="Arial"/>
              <w:b w:val="0"/>
              <w:bCs w:val="0"/>
              <w:color w:val="000000" w:themeColor="text1"/>
              <w:sz w:val="24"/>
              <w:szCs w:val="24"/>
              <w14:textFill>
                <w14:solidFill>
                  <w14:schemeClr w14:val="tx1"/>
                </w14:solidFill>
              </w14:textFill>
            </w:rPr>
            <w:fldChar w:fldCharType="end"/>
          </w:r>
          <w:r>
            <w:rPr>
              <w:rFonts w:ascii="Arial" w:hAnsi="Arial"/>
              <w:b w:val="0"/>
              <w:bCs w:val="0"/>
              <w:color w:val="000000" w:themeColor="text1"/>
              <w:sz w:val="24"/>
              <w:szCs w:val="24"/>
              <w14:textFill>
                <w14:solidFill>
                  <w14:schemeClr w14:val="tx1"/>
                </w14:solidFill>
              </w14:textFill>
            </w:rPr>
            <w:fldChar w:fldCharType="end"/>
          </w:r>
        </w:p>
        <w:p w14:paraId="2EEF85BF">
          <w:pPr>
            <w:pStyle w:val="143"/>
            <w:tabs>
              <w:tab w:val="right" w:leader="dot" w:pos="9019"/>
            </w:tabs>
            <w:spacing w:line="360" w:lineRule="auto"/>
            <w:jc w:val="both"/>
            <w:rPr>
              <w:rFonts w:ascii="Arial" w:hAnsi="Arial"/>
              <w:b w:val="0"/>
              <w:bCs w:val="0"/>
              <w:color w:val="000000" w:themeColor="text1"/>
              <w:sz w:val="24"/>
              <w:szCs w:val="24"/>
              <w14:textFill>
                <w14:solidFill>
                  <w14:schemeClr w14:val="tx1"/>
                </w14:solidFill>
              </w14:textFill>
            </w:rPr>
          </w:pPr>
          <w:r>
            <w:fldChar w:fldCharType="begin"/>
          </w:r>
          <w:r>
            <w:instrText xml:space="preserve"> HYPERLINK \l "_Toc235015783" </w:instrText>
          </w:r>
          <w:r>
            <w:fldChar w:fldCharType="separate"/>
          </w:r>
          <w:r>
            <w:rPr>
              <w:rStyle w:val="51"/>
              <w:rFonts w:ascii="Arial" w:hAnsi="Arial"/>
              <w:b w:val="0"/>
              <w:bCs w:val="0"/>
              <w:color w:val="000000" w:themeColor="text1"/>
              <w:sz w:val="24"/>
              <w:szCs w:val="24"/>
              <w14:textFill>
                <w14:solidFill>
                  <w14:schemeClr w14:val="tx1"/>
                </w14:solidFill>
              </w14:textFill>
            </w:rPr>
            <w:t>Personal Capability Development Plan</w:t>
          </w:r>
          <w:r>
            <w:rPr>
              <w:rFonts w:ascii="Arial" w:hAnsi="Arial"/>
              <w:b w:val="0"/>
              <w:bCs w:val="0"/>
              <w:color w:val="000000" w:themeColor="text1"/>
              <w:sz w:val="24"/>
              <w:szCs w:val="24"/>
              <w14:textFill>
                <w14:solidFill>
                  <w14:schemeClr w14:val="tx1"/>
                </w14:solidFill>
              </w14:textFill>
            </w:rPr>
            <w:tab/>
          </w:r>
          <w:r>
            <w:rPr>
              <w:rFonts w:ascii="Arial" w:hAnsi="Arial"/>
              <w:b w:val="0"/>
              <w:bCs w:val="0"/>
              <w:color w:val="000000" w:themeColor="text1"/>
              <w:sz w:val="24"/>
              <w:szCs w:val="24"/>
              <w14:textFill>
                <w14:solidFill>
                  <w14:schemeClr w14:val="tx1"/>
                </w14:solidFill>
              </w14:textFill>
            </w:rPr>
            <w:fldChar w:fldCharType="begin"/>
          </w:r>
          <w:r>
            <w:rPr>
              <w:rFonts w:ascii="Arial" w:hAnsi="Arial"/>
              <w:b w:val="0"/>
              <w:bCs w:val="0"/>
              <w:color w:val="000000" w:themeColor="text1"/>
              <w:sz w:val="24"/>
              <w:szCs w:val="24"/>
              <w14:textFill>
                <w14:solidFill>
                  <w14:schemeClr w14:val="tx1"/>
                </w14:solidFill>
              </w14:textFill>
            </w:rPr>
            <w:instrText xml:space="preserve"> PAGEREF _Toc235015783 \h </w:instrText>
          </w:r>
          <w:r>
            <w:rPr>
              <w:rFonts w:ascii="Arial" w:hAnsi="Arial"/>
              <w:b w:val="0"/>
              <w:bCs w:val="0"/>
              <w:color w:val="000000" w:themeColor="text1"/>
              <w:sz w:val="24"/>
              <w:szCs w:val="24"/>
              <w14:textFill>
                <w14:solidFill>
                  <w14:schemeClr w14:val="tx1"/>
                </w14:solidFill>
              </w14:textFill>
            </w:rPr>
            <w:fldChar w:fldCharType="separate"/>
          </w:r>
          <w:r>
            <w:rPr>
              <w:rFonts w:ascii="Arial" w:hAnsi="Arial"/>
              <w:b w:val="0"/>
              <w:bCs w:val="0"/>
              <w:color w:val="000000" w:themeColor="text1"/>
              <w:sz w:val="24"/>
              <w:szCs w:val="24"/>
              <w14:textFill>
                <w14:solidFill>
                  <w14:schemeClr w14:val="tx1"/>
                </w14:solidFill>
              </w14:textFill>
            </w:rPr>
            <w:t>14</w:t>
          </w:r>
          <w:r>
            <w:rPr>
              <w:rFonts w:ascii="Arial" w:hAnsi="Arial"/>
              <w:b w:val="0"/>
              <w:bCs w:val="0"/>
              <w:color w:val="000000" w:themeColor="text1"/>
              <w:sz w:val="24"/>
              <w:szCs w:val="24"/>
              <w14:textFill>
                <w14:solidFill>
                  <w14:schemeClr w14:val="tx1"/>
                </w14:solidFill>
              </w14:textFill>
            </w:rPr>
            <w:fldChar w:fldCharType="end"/>
          </w:r>
          <w:r>
            <w:rPr>
              <w:rFonts w:ascii="Arial" w:hAnsi="Arial"/>
              <w:b w:val="0"/>
              <w:bCs w:val="0"/>
              <w:color w:val="000000" w:themeColor="text1"/>
              <w:sz w:val="24"/>
              <w:szCs w:val="24"/>
              <w14:textFill>
                <w14:solidFill>
                  <w14:schemeClr w14:val="tx1"/>
                </w14:solidFill>
              </w14:textFill>
            </w:rPr>
            <w:fldChar w:fldCharType="end"/>
          </w:r>
        </w:p>
        <w:p w14:paraId="5203B60A">
          <w:pPr>
            <w:pStyle w:val="142"/>
            <w:tabs>
              <w:tab w:val="right" w:leader="dot" w:pos="9019"/>
            </w:tabs>
            <w:spacing w:line="360" w:lineRule="auto"/>
            <w:jc w:val="both"/>
            <w:rPr>
              <w:rFonts w:ascii="Arial" w:hAnsi="Arial"/>
              <w:b w:val="0"/>
              <w:bCs w:val="0"/>
              <w:i w:val="0"/>
              <w:iCs w:val="0"/>
              <w:color w:val="000000" w:themeColor="text1"/>
              <w14:textFill>
                <w14:solidFill>
                  <w14:schemeClr w14:val="tx1"/>
                </w14:solidFill>
              </w14:textFill>
            </w:rPr>
          </w:pPr>
          <w:r>
            <w:fldChar w:fldCharType="begin"/>
          </w:r>
          <w:r>
            <w:instrText xml:space="preserve"> HYPERLINK \l "_Toc235015784" </w:instrText>
          </w:r>
          <w:r>
            <w:fldChar w:fldCharType="separate"/>
          </w:r>
          <w:r>
            <w:rPr>
              <w:rStyle w:val="51"/>
              <w:rFonts w:ascii="Arial" w:hAnsi="Arial"/>
              <w:b w:val="0"/>
              <w:bCs w:val="0"/>
              <w:i w:val="0"/>
              <w:iCs w:val="0"/>
              <w:color w:val="000000" w:themeColor="text1"/>
              <w14:textFill>
                <w14:solidFill>
                  <w14:schemeClr w14:val="tx1"/>
                </w14:solidFill>
              </w14:textFill>
            </w:rPr>
            <w:t>References</w:t>
          </w:r>
          <w:r>
            <w:rPr>
              <w:rFonts w:ascii="Arial" w:hAnsi="Arial"/>
              <w:b w:val="0"/>
              <w:bCs w:val="0"/>
              <w:i w:val="0"/>
              <w:iCs w:val="0"/>
              <w:color w:val="000000" w:themeColor="text1"/>
              <w14:textFill>
                <w14:solidFill>
                  <w14:schemeClr w14:val="tx1"/>
                </w14:solidFill>
              </w14:textFill>
            </w:rPr>
            <w:tab/>
          </w:r>
          <w:r>
            <w:rPr>
              <w:rFonts w:ascii="Arial" w:hAnsi="Arial"/>
              <w:b w:val="0"/>
              <w:bCs w:val="0"/>
              <w:i w:val="0"/>
              <w:iCs w:val="0"/>
              <w:color w:val="000000" w:themeColor="text1"/>
              <w14:textFill>
                <w14:solidFill>
                  <w14:schemeClr w14:val="tx1"/>
                </w14:solidFill>
              </w14:textFill>
            </w:rPr>
            <w:fldChar w:fldCharType="begin"/>
          </w:r>
          <w:r>
            <w:rPr>
              <w:rFonts w:ascii="Arial" w:hAnsi="Arial"/>
              <w:b w:val="0"/>
              <w:bCs w:val="0"/>
              <w:i w:val="0"/>
              <w:iCs w:val="0"/>
              <w:color w:val="000000" w:themeColor="text1"/>
              <w14:textFill>
                <w14:solidFill>
                  <w14:schemeClr w14:val="tx1"/>
                </w14:solidFill>
              </w14:textFill>
            </w:rPr>
            <w:instrText xml:space="preserve"> PAGEREF _Toc235015784 \h </w:instrText>
          </w:r>
          <w:r>
            <w:rPr>
              <w:rFonts w:ascii="Arial" w:hAnsi="Arial"/>
              <w:b w:val="0"/>
              <w:bCs w:val="0"/>
              <w:i w:val="0"/>
              <w:iCs w:val="0"/>
              <w:color w:val="000000" w:themeColor="text1"/>
              <w14:textFill>
                <w14:solidFill>
                  <w14:schemeClr w14:val="tx1"/>
                </w14:solidFill>
              </w14:textFill>
            </w:rPr>
            <w:fldChar w:fldCharType="separate"/>
          </w:r>
          <w:r>
            <w:rPr>
              <w:rFonts w:ascii="Arial" w:hAnsi="Arial"/>
              <w:b w:val="0"/>
              <w:bCs w:val="0"/>
              <w:i w:val="0"/>
              <w:iCs w:val="0"/>
              <w:color w:val="000000" w:themeColor="text1"/>
              <w14:textFill>
                <w14:solidFill>
                  <w14:schemeClr w14:val="tx1"/>
                </w14:solidFill>
              </w14:textFill>
            </w:rPr>
            <w:t>16</w:t>
          </w:r>
          <w:r>
            <w:rPr>
              <w:rFonts w:ascii="Arial" w:hAnsi="Arial"/>
              <w:b w:val="0"/>
              <w:bCs w:val="0"/>
              <w:i w:val="0"/>
              <w:iCs w:val="0"/>
              <w:color w:val="000000" w:themeColor="text1"/>
              <w14:textFill>
                <w14:solidFill>
                  <w14:schemeClr w14:val="tx1"/>
                </w14:solidFill>
              </w14:textFill>
            </w:rPr>
            <w:fldChar w:fldCharType="end"/>
          </w:r>
          <w:r>
            <w:rPr>
              <w:rFonts w:ascii="Arial" w:hAnsi="Arial"/>
              <w:b w:val="0"/>
              <w:bCs w:val="0"/>
              <w:i w:val="0"/>
              <w:iCs w:val="0"/>
              <w:color w:val="000000" w:themeColor="text1"/>
              <w14:textFill>
                <w14:solidFill>
                  <w14:schemeClr w14:val="tx1"/>
                </w14:solidFill>
              </w14:textFill>
            </w:rPr>
            <w:fldChar w:fldCharType="end"/>
          </w:r>
        </w:p>
        <w:p w14:paraId="5BF00E4B">
          <w:pPr>
            <w:spacing w:line="360" w:lineRule="auto"/>
          </w:pPr>
          <w:r>
            <w:rPr>
              <w:color w:val="000000" w:themeColor="text1"/>
              <w14:textFill>
                <w14:solidFill>
                  <w14:schemeClr w14:val="tx1"/>
                </w14:solidFill>
              </w14:textFill>
            </w:rPr>
            <w:fldChar w:fldCharType="end"/>
          </w:r>
        </w:p>
      </w:sdtContent>
    </w:sdt>
    <w:p w14:paraId="4C52492E">
      <w:r>
        <w:br w:type="page"/>
      </w:r>
    </w:p>
    <w:p w14:paraId="15029A07">
      <w:pPr>
        <w:jc w:val="center"/>
        <w:rPr>
          <w:b/>
          <w:bCs/>
          <w:sz w:val="28"/>
          <w:szCs w:val="28"/>
        </w:rPr>
      </w:pPr>
      <w:r>
        <w:rPr>
          <w:b/>
          <w:bCs/>
          <w:sz w:val="28"/>
          <w:szCs w:val="28"/>
        </w:rPr>
        <w:t>List of figures</w:t>
      </w:r>
    </w:p>
    <w:p w14:paraId="469D0BA1">
      <w:pPr>
        <w:pStyle w:val="129"/>
        <w:tabs>
          <w:tab w:val="right" w:leader="dot" w:pos="9019"/>
        </w:tabs>
      </w:pPr>
      <w:r>
        <w:fldChar w:fldCharType="begin"/>
      </w:r>
      <w:r>
        <w:instrText xml:space="preserve"> TOC \h \z \t "Heading 4" \c </w:instrText>
      </w:r>
      <w:r>
        <w:fldChar w:fldCharType="separate"/>
      </w:r>
      <w:r>
        <w:fldChar w:fldCharType="begin"/>
      </w:r>
      <w:r>
        <w:instrText xml:space="preserve"> HYPERLINK \l "_Toc235015804" </w:instrText>
      </w:r>
      <w:r>
        <w:fldChar w:fldCharType="separate"/>
      </w:r>
      <w:r>
        <w:rPr>
          <w:rStyle w:val="51"/>
        </w:rPr>
        <w:t>Figure 1: Psychological contract theory</w:t>
      </w:r>
      <w:r>
        <w:tab/>
      </w:r>
      <w:r>
        <w:fldChar w:fldCharType="begin"/>
      </w:r>
      <w:r>
        <w:instrText xml:space="preserve"> PAGEREF _Toc235015804 \h </w:instrText>
      </w:r>
      <w:r>
        <w:fldChar w:fldCharType="separate"/>
      </w:r>
      <w:r>
        <w:t>5</w:t>
      </w:r>
      <w:r>
        <w:fldChar w:fldCharType="end"/>
      </w:r>
      <w:r>
        <w:fldChar w:fldCharType="end"/>
      </w:r>
    </w:p>
    <w:p w14:paraId="2541D6F3">
      <w:pPr>
        <w:pStyle w:val="129"/>
        <w:tabs>
          <w:tab w:val="right" w:leader="dot" w:pos="9019"/>
        </w:tabs>
      </w:pPr>
      <w:r>
        <w:fldChar w:fldCharType="begin"/>
      </w:r>
      <w:r>
        <w:instrText xml:space="preserve"> HYPERLINK \l "_Toc235015805" </w:instrText>
      </w:r>
      <w:r>
        <w:fldChar w:fldCharType="separate"/>
      </w:r>
      <w:r>
        <w:rPr>
          <w:rStyle w:val="51"/>
        </w:rPr>
        <w:t>Figure 2: Guest's HRM Model</w:t>
      </w:r>
      <w:r>
        <w:tab/>
      </w:r>
      <w:r>
        <w:fldChar w:fldCharType="begin"/>
      </w:r>
      <w:r>
        <w:instrText xml:space="preserve"> PAGEREF _Toc235015805 \h </w:instrText>
      </w:r>
      <w:r>
        <w:fldChar w:fldCharType="separate"/>
      </w:r>
      <w:r>
        <w:t>5</w:t>
      </w:r>
      <w:r>
        <w:fldChar w:fldCharType="end"/>
      </w:r>
      <w:r>
        <w:fldChar w:fldCharType="end"/>
      </w:r>
    </w:p>
    <w:p w14:paraId="07A5F791">
      <w:pPr>
        <w:pStyle w:val="129"/>
        <w:tabs>
          <w:tab w:val="right" w:leader="dot" w:pos="9019"/>
        </w:tabs>
      </w:pPr>
      <w:r>
        <w:fldChar w:fldCharType="begin"/>
      </w:r>
      <w:r>
        <w:instrText xml:space="preserve"> HYPERLINK \l "_Toc235015806" </w:instrText>
      </w:r>
      <w:r>
        <w:fldChar w:fldCharType="separate"/>
      </w:r>
      <w:r>
        <w:rPr>
          <w:rStyle w:val="51"/>
        </w:rPr>
        <w:t>Figure 3: Strategic Socialisation Framework for Helios</w:t>
      </w:r>
      <w:r>
        <w:tab/>
      </w:r>
      <w:r>
        <w:fldChar w:fldCharType="begin"/>
      </w:r>
      <w:r>
        <w:instrText xml:space="preserve"> PAGEREF _Toc235015806 \h </w:instrText>
      </w:r>
      <w:r>
        <w:fldChar w:fldCharType="separate"/>
      </w:r>
      <w:r>
        <w:t>7</w:t>
      </w:r>
      <w:r>
        <w:fldChar w:fldCharType="end"/>
      </w:r>
      <w:r>
        <w:fldChar w:fldCharType="end"/>
      </w:r>
    </w:p>
    <w:p w14:paraId="20DCFD24">
      <w:pPr>
        <w:pStyle w:val="129"/>
        <w:tabs>
          <w:tab w:val="right" w:leader="dot" w:pos="9019"/>
        </w:tabs>
      </w:pPr>
      <w:r>
        <w:fldChar w:fldCharType="begin"/>
      </w:r>
      <w:r>
        <w:instrText xml:space="preserve"> HYPERLINK \l "_Toc235015807" </w:instrText>
      </w:r>
      <w:r>
        <w:fldChar w:fldCharType="separate"/>
      </w:r>
      <w:r>
        <w:rPr>
          <w:rStyle w:val="51"/>
        </w:rPr>
        <w:t>Figure 4: Job Crafting Theory</w:t>
      </w:r>
      <w:r>
        <w:tab/>
      </w:r>
      <w:r>
        <w:fldChar w:fldCharType="begin"/>
      </w:r>
      <w:r>
        <w:instrText xml:space="preserve"> PAGEREF _Toc235015807 \h </w:instrText>
      </w:r>
      <w:r>
        <w:fldChar w:fldCharType="separate"/>
      </w:r>
      <w:r>
        <w:t>12</w:t>
      </w:r>
      <w:r>
        <w:fldChar w:fldCharType="end"/>
      </w:r>
      <w:r>
        <w:fldChar w:fldCharType="end"/>
      </w:r>
    </w:p>
    <w:p w14:paraId="23A2E11B">
      <w:r>
        <w:fldChar w:fldCharType="end"/>
      </w:r>
    </w:p>
    <w:p w14:paraId="38E78513">
      <w:r>
        <w:br w:type="page"/>
      </w:r>
    </w:p>
    <w:p w14:paraId="29750450">
      <w:pPr>
        <w:jc w:val="center"/>
        <w:rPr>
          <w:b/>
          <w:bCs/>
          <w:sz w:val="28"/>
          <w:szCs w:val="28"/>
        </w:rPr>
      </w:pPr>
      <w:r>
        <w:rPr>
          <w:b/>
          <w:bCs/>
          <w:sz w:val="28"/>
          <w:szCs w:val="28"/>
        </w:rPr>
        <w:t>List of tables</w:t>
      </w:r>
    </w:p>
    <w:p w14:paraId="1D4D1535">
      <w:pPr>
        <w:pStyle w:val="129"/>
        <w:tabs>
          <w:tab w:val="right" w:leader="dot" w:pos="9019"/>
        </w:tabs>
        <w:rPr>
          <w:rFonts w:asciiTheme="minorHAnsi" w:hAnsiTheme="minorHAnsi" w:eastAsiaTheme="minorEastAsia" w:cstheme="minorBidi"/>
          <w:color w:val="auto"/>
          <w:kern w:val="2"/>
          <w:lang w:val="en-IN"/>
          <w14:ligatures w14:val="standardContextual"/>
        </w:rPr>
      </w:pPr>
      <w:r>
        <w:fldChar w:fldCharType="begin"/>
      </w:r>
      <w:r>
        <w:instrText xml:space="preserve"> TOC \h \z \t "Heading 5" \c </w:instrText>
      </w:r>
      <w:r>
        <w:fldChar w:fldCharType="separate"/>
      </w:r>
      <w:r>
        <w:fldChar w:fldCharType="begin"/>
      </w:r>
      <w:r>
        <w:instrText xml:space="preserve"> HYPERLINK \l "_Toc235015833" </w:instrText>
      </w:r>
      <w:r>
        <w:fldChar w:fldCharType="separate"/>
      </w:r>
      <w:r>
        <w:rPr>
          <w:rStyle w:val="51"/>
        </w:rPr>
        <w:t>Table 1: Job design</w:t>
      </w:r>
      <w:r>
        <w:tab/>
      </w:r>
      <w:r>
        <w:fldChar w:fldCharType="begin"/>
      </w:r>
      <w:r>
        <w:instrText xml:space="preserve"> PAGEREF _Toc235015833 \h </w:instrText>
      </w:r>
      <w:r>
        <w:fldChar w:fldCharType="separate"/>
      </w:r>
      <w:r>
        <w:t>12</w:t>
      </w:r>
      <w:r>
        <w:fldChar w:fldCharType="end"/>
      </w:r>
      <w:r>
        <w:fldChar w:fldCharType="end"/>
      </w:r>
    </w:p>
    <w:p w14:paraId="66769656">
      <w:pPr>
        <w:pStyle w:val="129"/>
        <w:tabs>
          <w:tab w:val="right" w:leader="dot" w:pos="9019"/>
        </w:tabs>
        <w:rPr>
          <w:rFonts w:asciiTheme="minorHAnsi" w:hAnsiTheme="minorHAnsi" w:eastAsiaTheme="minorEastAsia" w:cstheme="minorBidi"/>
          <w:color w:val="auto"/>
          <w:kern w:val="2"/>
          <w:lang w:val="en-IN"/>
          <w14:ligatures w14:val="standardContextual"/>
        </w:rPr>
      </w:pPr>
      <w:r>
        <w:fldChar w:fldCharType="begin"/>
      </w:r>
      <w:r>
        <w:instrText xml:space="preserve"> HYPERLINK \l "_Toc235015834" </w:instrText>
      </w:r>
      <w:r>
        <w:fldChar w:fldCharType="separate"/>
      </w:r>
      <w:r>
        <w:rPr>
          <w:rStyle w:val="51"/>
        </w:rPr>
        <w:t>Table 2: Personal development plan</w:t>
      </w:r>
      <w:r>
        <w:tab/>
      </w:r>
      <w:r>
        <w:fldChar w:fldCharType="begin"/>
      </w:r>
      <w:r>
        <w:instrText xml:space="preserve"> PAGEREF _Toc235015834 \h </w:instrText>
      </w:r>
      <w:r>
        <w:fldChar w:fldCharType="separate"/>
      </w:r>
      <w:r>
        <w:t>17</w:t>
      </w:r>
      <w:r>
        <w:fldChar w:fldCharType="end"/>
      </w:r>
      <w:r>
        <w:fldChar w:fldCharType="end"/>
      </w:r>
    </w:p>
    <w:p w14:paraId="7B7DF9C6">
      <w:r>
        <w:fldChar w:fldCharType="end"/>
      </w:r>
      <w:r>
        <w:br w:type="page"/>
      </w:r>
    </w:p>
    <w:p w14:paraId="0DF4F562">
      <w:pPr>
        <w:pStyle w:val="2"/>
        <w:numPr>
          <w:ilvl w:val="0"/>
          <w:numId w:val="11"/>
        </w:numPr>
        <w:spacing w:line="240" w:lineRule="auto"/>
        <w:ind w:left="425" w:leftChars="0" w:hanging="425" w:firstLineChars="0"/>
        <w:rPr>
          <w:sz w:val="24"/>
          <w:szCs w:val="24"/>
        </w:rPr>
      </w:pPr>
      <w:bookmarkStart w:id="0" w:name="_heading=h.10obiohgc7pz" w:colFirst="0" w:colLast="0"/>
      <w:bookmarkEnd w:id="0"/>
      <w:bookmarkStart w:id="1" w:name="_Toc235015769"/>
      <w:r>
        <w:rPr>
          <w:sz w:val="24"/>
          <w:szCs w:val="24"/>
        </w:rPr>
        <w:t>Task A: Socialisation, Identity &amp; Business Activism</w:t>
      </w:r>
      <w:bookmarkEnd w:id="1"/>
    </w:p>
    <w:p w14:paraId="157E6872">
      <w:pPr>
        <w:pStyle w:val="3"/>
        <w:numPr>
          <w:ilvl w:val="1"/>
          <w:numId w:val="11"/>
        </w:numPr>
        <w:spacing w:line="240" w:lineRule="auto"/>
        <w:ind w:left="567" w:leftChars="0" w:hanging="567" w:firstLineChars="0"/>
        <w:rPr>
          <w:sz w:val="24"/>
          <w:szCs w:val="24"/>
        </w:rPr>
      </w:pPr>
      <w:bookmarkStart w:id="2" w:name="_heading=h.bjsu7l7dk4eb" w:colFirst="0" w:colLast="0"/>
      <w:bookmarkEnd w:id="2"/>
      <w:bookmarkStart w:id="3" w:name="_Toc235015770"/>
      <w:r>
        <w:rPr>
          <w:sz w:val="24"/>
          <w:szCs w:val="24"/>
        </w:rPr>
        <w:t>Traditional Onboarding versus Strategic Organisational Socialisation</w:t>
      </w:r>
      <w:bookmarkEnd w:id="3"/>
    </w:p>
    <w:p w14:paraId="5ABD30CC">
      <w:r>
        <w:t xml:space="preserve">Traditional onboarding is mainly about administrative and operational tasks to get the employee to perform their job quickly. Typical activities involve filling out paperwork for employment, introducing policies, providing equipment, and detailing job roles. These are activities that help diminish initial uncertainty, but tend not to secure emotional commitment, organisational identification or long-term engagement. This means that onboarding becomes a one-time orientation process and not an investment in human resources (Anvari </w:t>
      </w:r>
      <w:r>
        <w:rPr>
          <w:i/>
          <w:iCs/>
        </w:rPr>
        <w:t>et al.,</w:t>
      </w:r>
      <w:r>
        <w:t xml:space="preserve"> 2023). Strategic organisational socialisation takes a more comprehensive and long-term view by embedding employees in the organisation, its culture, values and strategic goals in the longer term. According to the organisational socialisation model, organisations ought to actively influence employee experiences using various structured socialisation strategies, including formal socialisation, mentoring, sequential socialisation, and ongoing socialisation. </w:t>
      </w:r>
    </w:p>
    <w:p w14:paraId="6FBD850E">
      <w:pPr>
        <w:jc w:val="center"/>
      </w:pPr>
      <w:bookmarkStart w:id="4" w:name="_heading=h.vls3m47ziza0" w:colFirst="0" w:colLast="0"/>
      <w:bookmarkEnd w:id="4"/>
      <w:bookmarkStart w:id="5" w:name="_Toc235015804"/>
      <w:r>
        <w:drawing>
          <wp:inline distT="0" distB="0" distL="114300" distR="114300">
            <wp:extent cx="4311015" cy="3597910"/>
            <wp:effectExtent l="0" t="0" r="13335" b="254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pic:cNvPicPr>
                  </pic:nvPicPr>
                  <pic:blipFill>
                    <a:blip r:embed="rId7"/>
                    <a:srcRect l="2838" t="2993" r="3637" b="1732"/>
                    <a:stretch>
                      <a:fillRect/>
                    </a:stretch>
                  </pic:blipFill>
                  <pic:spPr>
                    <a:xfrm>
                      <a:off x="0" y="0"/>
                      <a:ext cx="4311015" cy="3597910"/>
                    </a:xfrm>
                    <a:prstGeom prst="rect">
                      <a:avLst/>
                    </a:prstGeom>
                    <a:noFill/>
                    <a:ln>
                      <a:noFill/>
                    </a:ln>
                  </pic:spPr>
                </pic:pic>
              </a:graphicData>
            </a:graphic>
          </wp:inline>
        </w:drawing>
      </w:r>
    </w:p>
    <w:p w14:paraId="3042852C">
      <w:pPr>
        <w:jc w:val="center"/>
        <w:rPr>
          <w:rFonts w:hint="default"/>
          <w:lang w:val="en-US"/>
        </w:rPr>
      </w:pPr>
      <w:r>
        <w:t>Figure 1: Psychological contract theory</w:t>
      </w:r>
      <w:bookmarkEnd w:id="5"/>
      <w:r>
        <w:rPr>
          <w:rFonts w:hint="default"/>
          <w:lang w:val="en-US"/>
        </w:rPr>
        <w:t xml:space="preserve">   </w:t>
      </w:r>
    </w:p>
    <w:p w14:paraId="53660D94">
      <w:pPr>
        <w:jc w:val="center"/>
      </w:pPr>
      <w:r>
        <w:t>(Source: ResearchGate, 2026)</w:t>
      </w:r>
    </w:p>
    <w:p w14:paraId="6A1C12DD">
      <w:r>
        <w:t>Strategic socialisation is also emphasised by the</w:t>
      </w:r>
      <w:r>
        <w:rPr>
          <w:b/>
          <w:bCs/>
          <w:i/>
          <w:iCs/>
        </w:rPr>
        <w:t xml:space="preserve"> theory of Psychological Contract. </w:t>
      </w:r>
      <w:r>
        <w:t>In addition to an explicit contract of employment, employees create expectations about career development, organisational support, fairness, and opportunity for growth (Korczynski, 2023). Where these expectations are met through coaching, open communication and ongoing training, employees show trust, commitment and enthusiasm to go the extra mile in their job performance. On the other hand, a broken psychological contract can lead to disengagement and resignation. With Helios' low engagement scores and rate of attrition among graduates, there is a possibility that many of the employees may not feel supported in their early years of working for the organisation.</w:t>
      </w:r>
    </w:p>
    <w:p w14:paraId="3F4F5DC8">
      <w:pPr>
        <w:jc w:val="both"/>
      </w:pPr>
      <w:r>
        <w:drawing>
          <wp:anchor distT="114300" distB="114300" distL="114300" distR="114300" simplePos="0" relativeHeight="251659264" behindDoc="0" locked="0" layoutInCell="1" allowOverlap="1">
            <wp:simplePos x="0" y="0"/>
            <wp:positionH relativeFrom="column">
              <wp:posOffset>741680</wp:posOffset>
            </wp:positionH>
            <wp:positionV relativeFrom="paragraph">
              <wp:posOffset>177800</wp:posOffset>
            </wp:positionV>
            <wp:extent cx="4660265" cy="2522220"/>
            <wp:effectExtent l="25400" t="25400" r="38735" b="43180"/>
            <wp:wrapSquare wrapText="bothSides"/>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referRelativeResize="0"/>
                  </pic:nvPicPr>
                  <pic:blipFill>
                    <a:blip r:embed="rId8"/>
                    <a:srcRect r="609" b="1011"/>
                    <a:stretch>
                      <a:fillRect/>
                    </a:stretch>
                  </pic:blipFill>
                  <pic:spPr>
                    <a:xfrm>
                      <a:off x="0" y="0"/>
                      <a:ext cx="4660265" cy="2522220"/>
                    </a:xfrm>
                    <a:prstGeom prst="rect">
                      <a:avLst/>
                    </a:prstGeom>
                    <a:ln w="25400">
                      <a:solidFill>
                        <a:schemeClr val="bg1"/>
                      </a:solidFill>
                      <a:prstDash val="solid"/>
                    </a:ln>
                  </pic:spPr>
                </pic:pic>
              </a:graphicData>
            </a:graphic>
          </wp:anchor>
        </w:drawing>
      </w:r>
    </w:p>
    <w:p w14:paraId="26531D0C">
      <w:pPr>
        <w:pStyle w:val="5"/>
        <w:jc w:val="center"/>
        <w:rPr>
          <w:sz w:val="28"/>
          <w:szCs w:val="28"/>
        </w:rPr>
      </w:pPr>
      <w:bookmarkStart w:id="6" w:name="_heading=h.vu32mkxzmjok" w:colFirst="0" w:colLast="0"/>
      <w:bookmarkEnd w:id="6"/>
      <w:bookmarkStart w:id="7" w:name="_Toc235015805"/>
    </w:p>
    <w:p w14:paraId="65FD364C">
      <w:pPr>
        <w:pStyle w:val="5"/>
        <w:jc w:val="center"/>
        <w:rPr>
          <w:sz w:val="28"/>
          <w:szCs w:val="28"/>
        </w:rPr>
      </w:pPr>
    </w:p>
    <w:p w14:paraId="4150B87F">
      <w:pPr>
        <w:pStyle w:val="5"/>
        <w:spacing w:line="240" w:lineRule="auto"/>
        <w:jc w:val="center"/>
        <w:rPr>
          <w:sz w:val="24"/>
          <w:szCs w:val="24"/>
        </w:rPr>
      </w:pPr>
    </w:p>
    <w:p w14:paraId="33C03858">
      <w:pPr>
        <w:pStyle w:val="5"/>
        <w:spacing w:line="240" w:lineRule="auto"/>
        <w:jc w:val="center"/>
        <w:rPr>
          <w:sz w:val="24"/>
          <w:szCs w:val="24"/>
        </w:rPr>
      </w:pPr>
      <w:r>
        <w:rPr>
          <w:sz w:val="24"/>
          <w:szCs w:val="24"/>
        </w:rPr>
        <w:t>Figure 2: Guest's HRM Model</w:t>
      </w:r>
      <w:bookmarkEnd w:id="7"/>
    </w:p>
    <w:p w14:paraId="13050EF4">
      <w:pPr>
        <w:spacing w:line="240" w:lineRule="auto"/>
        <w:jc w:val="center"/>
      </w:pPr>
      <w:r>
        <w:rPr>
          <w:sz w:val="24"/>
          <w:szCs w:val="24"/>
        </w:rPr>
        <w:t>(Source: ResearchGate, 2026)</w:t>
      </w:r>
    </w:p>
    <w:p w14:paraId="4DC10604">
      <w:r>
        <w:rPr>
          <w:b/>
          <w:bCs/>
          <w:i/>
          <w:iCs/>
        </w:rPr>
        <w:t>Guest's HRM Model</w:t>
      </w:r>
      <w:r>
        <w:t xml:space="preserve"> also proves that there is a positive correlation between integrated HR practices and employee commitment, flexibility, quality and overall organisational performance. Recruitment, onboarding, training, and performance management should be integrated as a system that helps to achieve strategic goals instead of being treated as separate activities (Tinguely </w:t>
      </w:r>
      <w:r>
        <w:rPr>
          <w:i/>
          <w:iCs/>
        </w:rPr>
        <w:t>et al.,</w:t>
      </w:r>
      <w:r>
        <w:t xml:space="preserve"> 2023). This viewpoint is consistent with the Resource-Based View, which states that employees who are committed, skilled and adaptable are valuable resources that are not readily available to the competition.</w:t>
      </w:r>
    </w:p>
    <w:p w14:paraId="7E848F61">
      <w:pPr>
        <w:pStyle w:val="3"/>
        <w:numPr>
          <w:ilvl w:val="1"/>
          <w:numId w:val="11"/>
        </w:numPr>
        <w:spacing w:line="360" w:lineRule="auto"/>
        <w:ind w:left="567" w:leftChars="0" w:hanging="567" w:firstLineChars="0"/>
        <w:rPr>
          <w:sz w:val="24"/>
          <w:szCs w:val="24"/>
        </w:rPr>
      </w:pPr>
      <w:bookmarkStart w:id="8" w:name="_heading=h.fx1gnuy2hmb0" w:colFirst="0" w:colLast="0"/>
      <w:bookmarkEnd w:id="8"/>
      <w:bookmarkStart w:id="9" w:name="_Toc235015771"/>
      <w:r>
        <w:rPr>
          <w:sz w:val="24"/>
          <w:szCs w:val="24"/>
        </w:rPr>
        <w:t>Strategic Socialisation Framework for Helios</w:t>
      </w:r>
      <w:bookmarkEnd w:id="9"/>
    </w:p>
    <w:p w14:paraId="2997E8B0">
      <w:pPr>
        <w:spacing w:line="360" w:lineRule="auto"/>
      </w:pPr>
      <w:r>
        <w:t>Helios needs to have a socialisation structure for the first 90 days, pre-boarding and the first year. The framework ought also to be aligned to the 5P Model of Schuler, which involves HR philosophy, policies, programmes, practices and processes being aligned with the strategic goal of providing sustainable and innovative mobility solutions to the organisation.</w:t>
      </w:r>
    </w:p>
    <w:p w14:paraId="759B3F2A">
      <w:pPr>
        <w:jc w:val="center"/>
      </w:pPr>
      <w:r>
        <w:drawing>
          <wp:inline distT="0" distB="0" distL="114300" distR="114300">
            <wp:extent cx="2527935" cy="6019800"/>
            <wp:effectExtent l="0" t="0" r="5715" b="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pic:cNvPicPr>
                  </pic:nvPicPr>
                  <pic:blipFill>
                    <a:blip r:embed="rId9"/>
                    <a:stretch>
                      <a:fillRect/>
                    </a:stretch>
                  </pic:blipFill>
                  <pic:spPr>
                    <a:xfrm>
                      <a:off x="0" y="0"/>
                      <a:ext cx="2527935" cy="6019800"/>
                    </a:xfrm>
                    <a:prstGeom prst="rect">
                      <a:avLst/>
                    </a:prstGeom>
                    <a:noFill/>
                    <a:ln>
                      <a:noFill/>
                    </a:ln>
                  </pic:spPr>
                </pic:pic>
              </a:graphicData>
            </a:graphic>
          </wp:inline>
        </w:drawing>
      </w:r>
    </w:p>
    <w:p w14:paraId="3A152178">
      <w:pPr>
        <w:pStyle w:val="5"/>
        <w:jc w:val="center"/>
        <w:rPr>
          <w:sz w:val="24"/>
          <w:szCs w:val="24"/>
        </w:rPr>
      </w:pPr>
      <w:bookmarkStart w:id="10" w:name="_heading=h.e9t8xcsl403c" w:colFirst="0" w:colLast="0"/>
      <w:bookmarkEnd w:id="10"/>
      <w:bookmarkStart w:id="11" w:name="_Toc235015806"/>
      <w:r>
        <w:rPr>
          <w:sz w:val="24"/>
          <w:szCs w:val="24"/>
        </w:rPr>
        <w:t>Figure 3: Strategic Socialisation Framework for Helios</w:t>
      </w:r>
      <w:bookmarkEnd w:id="11"/>
    </w:p>
    <w:p w14:paraId="5E0CDFE9">
      <w:pPr>
        <w:jc w:val="center"/>
      </w:pPr>
      <w:r>
        <w:t>(Source: Self-developed)</w:t>
      </w:r>
    </w:p>
    <w:p w14:paraId="5AC9998F">
      <w:pPr>
        <w:rPr>
          <w:b/>
          <w:bCs/>
          <w:u w:val="single"/>
        </w:rPr>
      </w:pPr>
      <w:r>
        <w:rPr>
          <w:b/>
          <w:bCs/>
          <w:u w:val="single"/>
        </w:rPr>
        <w:t>Pre-boarding</w:t>
      </w:r>
    </w:p>
    <w:p w14:paraId="2562E43A">
      <w:r>
        <w:t>The process of socialisation should star</w:t>
      </w:r>
      <w:r>
        <w:rPr>
          <w:rFonts w:hint="default"/>
          <w:lang w:val="en-US"/>
        </w:rPr>
        <w:t>5</w:t>
      </w:r>
      <w:r>
        <w:t xml:space="preserve">t right after the person accepts the job. Digital welcome packages for employees containing information on the organisation's mission, sustainability commitments, ethical standards and strategic priorities. Before the first working day, access to online learning modules on AI governance, AI and organisational culture, and AI and international collaboration should be available (Woodrow </w:t>
      </w:r>
      <w:r>
        <w:rPr>
          <w:i/>
          <w:iCs/>
        </w:rPr>
        <w:t xml:space="preserve">et al., </w:t>
      </w:r>
      <w:r>
        <w:t>2024). The digital onboarding platform should be designed based on TAM. If staff believe that learning technologies are useful and simple to use, they are more likely to use them. A convenient onboarding system thus facilitates quicker adaptation and promotes ongoing digital learning.</w:t>
      </w:r>
    </w:p>
    <w:p w14:paraId="6D5D449A">
      <w:pPr>
        <w:rPr>
          <w:b/>
          <w:bCs/>
          <w:u w:val="single"/>
        </w:rPr>
      </w:pPr>
      <w:r>
        <w:rPr>
          <w:b/>
          <w:bCs/>
          <w:u w:val="single"/>
        </w:rPr>
        <w:t>First 90 Days</w:t>
      </w:r>
    </w:p>
    <w:p w14:paraId="447B261A">
      <w:r>
        <w:t xml:space="preserve">In the first month, employees should be engaged in structured induction courses that integrate organisational strategy, responsible use of AI, ethical decision-making and cross-cultural collaboration. Senior leaders must lead and be active in these sessions to establish a clear message on purpose and commitment to leadership within the organisation. The second month should be dedicated to collaborative learning, by working on cross-functional projects, with employees from London, Berlin and Singapore (Laulié and Pavez, 2024). The last month should be spent on ongoing coaching, rather than a formal performance review. Managers need to regularly discuss development with managers, with constructive feedback and tailored learning goals. </w:t>
      </w:r>
    </w:p>
    <w:p w14:paraId="72649D0B">
      <w:pPr>
        <w:rPr>
          <w:b/>
          <w:bCs/>
          <w:u w:val="single"/>
        </w:rPr>
      </w:pPr>
      <w:r>
        <w:rPr>
          <w:b/>
          <w:bCs/>
          <w:u w:val="single"/>
        </w:rPr>
        <w:t>Year One</w:t>
      </w:r>
    </w:p>
    <w:p w14:paraId="3B067533">
      <w:r>
        <w:t xml:space="preserve">Structured career development, mentoring and tailored learning pathways should be continued in the first year to ensure further socialisation. People analytics powered by artificial intelligence can track engagement, measure learning gaps and forecast employee attrition (Kim </w:t>
      </w:r>
      <w:r>
        <w:rPr>
          <w:i/>
          <w:iCs/>
        </w:rPr>
        <w:t>et al.,</w:t>
      </w:r>
      <w:r>
        <w:t xml:space="preserve"> 2025). The employees should also have planned job rotations and the opportunity to work on projects abroad to expand their awareness of the organisation and promote cross-border working. These experiences build organisational commitment and nurture globally competent professionals.</w:t>
      </w:r>
    </w:p>
    <w:p w14:paraId="73772B6F">
      <w:pPr>
        <w:pStyle w:val="3"/>
        <w:numPr>
          <w:ilvl w:val="1"/>
          <w:numId w:val="11"/>
        </w:numPr>
        <w:ind w:left="567" w:leftChars="0" w:hanging="567" w:firstLineChars="0"/>
        <w:rPr>
          <w:sz w:val="24"/>
          <w:szCs w:val="24"/>
        </w:rPr>
      </w:pPr>
      <w:bookmarkStart w:id="12" w:name="_heading=h.uie3ah58ryu8" w:colFirst="0" w:colLast="0"/>
      <w:bookmarkEnd w:id="12"/>
      <w:bookmarkStart w:id="13" w:name="_Toc235015772"/>
      <w:r>
        <w:rPr>
          <w:sz w:val="24"/>
          <w:szCs w:val="24"/>
        </w:rPr>
        <w:t>Creating Organisational Identification and Ethical Professionalism</w:t>
      </w:r>
      <w:bookmarkEnd w:id="13"/>
    </w:p>
    <w:p w14:paraId="102F0D38">
      <w:pPr>
        <w:rPr>
          <w:sz w:val="24"/>
          <w:szCs w:val="24"/>
        </w:rPr>
      </w:pPr>
      <w:r>
        <w:t>Organisational identification is developed when employees believe that the success of their organisation is related to their success. Helios should always remind its employees of its goal of making smarter and more sustainable cities and give them insight into the social impact of their work. The Employer Value Proposition would be complemented by a clear innovation, career development, sustainability and international dimension, further improving the ability of attracting and retaining employees, especially graduate talent (Madanchian, 2024). The ethical professionalism is especially significant as Helios is developing AI technologies that impact public infrastructure and urban mobility. Employees must have ongoing training and development in the responsible use of AI, data privacy, algorithmic fairness, and ethical decision-making. It is important that open reporting channels are in place to allow staff to report on matters of ethics and do so without fear of repercussions, and that transparency and accountability are evident in the organisation</w:t>
      </w:r>
      <w:r>
        <w:rPr>
          <w:sz w:val="24"/>
          <w:szCs w:val="24"/>
        </w:rPr>
        <w:t>.</w:t>
      </w:r>
    </w:p>
    <w:p w14:paraId="1BDBFC13">
      <w:pPr>
        <w:pStyle w:val="3"/>
        <w:numPr>
          <w:ilvl w:val="1"/>
          <w:numId w:val="11"/>
        </w:numPr>
        <w:ind w:left="567" w:leftChars="0" w:hanging="567" w:firstLineChars="0"/>
        <w:rPr>
          <w:sz w:val="24"/>
          <w:szCs w:val="24"/>
        </w:rPr>
      </w:pPr>
      <w:bookmarkStart w:id="14" w:name="_heading=h.lmau0nayx5zj" w:colFirst="0" w:colLast="0"/>
      <w:bookmarkEnd w:id="14"/>
      <w:bookmarkStart w:id="15" w:name="_Toc235015773"/>
      <w:r>
        <w:rPr>
          <w:sz w:val="24"/>
          <w:szCs w:val="24"/>
        </w:rPr>
        <w:t>Developing a Business Activist Mindset</w:t>
      </w:r>
      <w:bookmarkEnd w:id="15"/>
    </w:p>
    <w:p w14:paraId="4F4127DE">
      <w:pPr>
        <w:spacing w:line="240" w:lineRule="auto"/>
        <w:rPr>
          <w:sz w:val="24"/>
          <w:szCs w:val="24"/>
        </w:rPr>
      </w:pPr>
      <w:r>
        <w:t>In today's business environment, organisations have come to understand that they must create value for several constituents and not just shareholders to gain a sustainable competitive advantage. A stakeholder capitalism approach pushes organisations to seek to reconcile social, environmental and ethical concerns with commercial ones. This includes promoting employees to think about the role of technological innovation in sustainable urban development and public well-being for Helios. Staff should be encouraged to join the sustainability project, the smart city project and community cooperation projects to strengthen the values of the organisation (Strohmeier, 2020). In addition to technical performance, recognition systems are to be based on collaboration, responsible innovation, ethical leadership and knowledge sharing. Patagonia and Ben &amp; Jerry's are examples of organisations that have successfully built social purpose into their business strategy, boosted employee engagement and attracted a growing number of employees who look for employers with values that are in line with their own.</w:t>
      </w:r>
    </w:p>
    <w:p w14:paraId="051255DB">
      <w:pPr>
        <w:pStyle w:val="2"/>
        <w:numPr>
          <w:ilvl w:val="0"/>
          <w:numId w:val="11"/>
        </w:numPr>
        <w:spacing w:line="240" w:lineRule="auto"/>
        <w:ind w:left="425" w:leftChars="0" w:hanging="425" w:firstLineChars="0"/>
        <w:rPr>
          <w:sz w:val="24"/>
          <w:szCs w:val="24"/>
        </w:rPr>
      </w:pPr>
      <w:bookmarkStart w:id="16" w:name="_heading=h.fmw6k28nlznv" w:colFirst="0" w:colLast="0"/>
      <w:bookmarkEnd w:id="16"/>
      <w:bookmarkStart w:id="17" w:name="_Toc235015774"/>
      <w:r>
        <w:rPr>
          <w:sz w:val="24"/>
          <w:szCs w:val="24"/>
        </w:rPr>
        <w:t>Task B: Job Design Strategy for Innovation and Employee Motivation</w:t>
      </w:r>
      <w:bookmarkEnd w:id="17"/>
    </w:p>
    <w:p w14:paraId="543EB656">
      <w:pPr>
        <w:pStyle w:val="3"/>
        <w:numPr>
          <w:ilvl w:val="1"/>
          <w:numId w:val="11"/>
        </w:numPr>
        <w:spacing w:line="240" w:lineRule="auto"/>
        <w:ind w:left="567" w:leftChars="0" w:hanging="567" w:firstLineChars="0"/>
      </w:pPr>
      <w:bookmarkStart w:id="18" w:name="_heading=h.4cyjo645swuy" w:colFirst="0" w:colLast="0"/>
      <w:bookmarkEnd w:id="18"/>
      <w:bookmarkStart w:id="19" w:name="_Toc235015775"/>
      <w:r>
        <w:rPr>
          <w:sz w:val="24"/>
          <w:szCs w:val="24"/>
        </w:rPr>
        <w:t>Current Job Design Challenges</w:t>
      </w:r>
      <w:bookmarkEnd w:id="19"/>
    </w:p>
    <w:p w14:paraId="035B25EC">
      <w:r>
        <w:t xml:space="preserve">The problems in the organisation seem to indicate that the employees have little awareness of their roles, may lack development opportunities and have low organisational commitment. Long onboarding times can be detrimental to productivity, and employee attrition can signify that the employee has not seen adequate growth opportunities. Moreover, job types that are usually hierarchical are not as flexible or collaborative as jobs that span several different geographical locations (Cheng </w:t>
      </w:r>
      <w:r>
        <w:rPr>
          <w:i/>
          <w:iCs/>
        </w:rPr>
        <w:t>et al.,</w:t>
      </w:r>
      <w:r>
        <w:t xml:space="preserve"> 2023). In terms of Strategic Human Resource Management, jobs must be designed to enhance the efficiency of operations as well as the ability and innovation of the employees. The Resource-Based View is built on this idea, as it sees employee knowledge, creativity and skills as strategic resources that provide sustainable competitive advantage. Therefore, the design of jobs should facilitate ongoing learning, instead of limiting workers to very specific functional roles.</w:t>
      </w:r>
    </w:p>
    <w:p w14:paraId="5EEC2E21">
      <w:pPr>
        <w:pStyle w:val="3"/>
        <w:numPr>
          <w:ilvl w:val="1"/>
          <w:numId w:val="11"/>
        </w:numPr>
        <w:ind w:left="567" w:leftChars="0" w:hanging="567" w:firstLineChars="0"/>
        <w:rPr>
          <w:sz w:val="24"/>
          <w:szCs w:val="24"/>
        </w:rPr>
      </w:pPr>
      <w:bookmarkStart w:id="20" w:name="_heading=h.injq9qu8zk1e" w:colFirst="0" w:colLast="0"/>
      <w:bookmarkEnd w:id="20"/>
      <w:bookmarkStart w:id="21" w:name="_Toc235015776"/>
      <w:r>
        <w:rPr>
          <w:sz w:val="24"/>
          <w:szCs w:val="24"/>
        </w:rPr>
        <w:t>Applying the Job Characteristics Model</w:t>
      </w:r>
      <w:bookmarkEnd w:id="21"/>
    </w:p>
    <w:p w14:paraId="19CE0CB0">
      <w:r>
        <w:t>The Job Characteristics Model suggests that five key aspects of a job affect the intrinsic motivation of employees, job satisfaction and employee performance. Helios needs to rethink roles based upon these dimensions to make the work more meaningful and engaging.</w:t>
      </w:r>
    </w:p>
    <w:tbl>
      <w:tblPr>
        <w:tblStyle w:val="250"/>
        <w:tblW w:w="903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2415"/>
        <w:gridCol w:w="3570"/>
        <w:gridCol w:w="3045"/>
      </w:tblGrid>
      <w:tr w14:paraId="0DD7369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050" w:hRule="atLeast"/>
        </w:trPr>
        <w:tc>
          <w:tcPr>
            <w:tcW w:w="2415" w:type="dxa"/>
            <w:tcBorders>
              <w:top w:val="single" w:color="000000" w:sz="6" w:space="0"/>
              <w:left w:val="single" w:color="000000" w:sz="6" w:space="0"/>
              <w:bottom w:val="single" w:color="000000" w:sz="6" w:space="0"/>
              <w:right w:val="single" w:color="000000" w:sz="6" w:space="0"/>
            </w:tcBorders>
            <w:shd w:val="clear" w:color="auto" w:fill="FFFFFF" w:themeFill="background1"/>
            <w:tcMar>
              <w:top w:w="0" w:type="dxa"/>
              <w:left w:w="100" w:type="dxa"/>
              <w:bottom w:w="0" w:type="dxa"/>
              <w:right w:w="100" w:type="dxa"/>
            </w:tcMar>
          </w:tcPr>
          <w:p w14:paraId="407CAC8E">
            <w:pPr>
              <w:spacing w:before="240" w:after="240"/>
              <w:jc w:val="center"/>
              <w:rPr>
                <w:b/>
                <w:bCs/>
                <w:color w:val="000000" w:themeColor="text1"/>
                <w14:textFill>
                  <w14:solidFill>
                    <w14:schemeClr w14:val="tx1"/>
                  </w14:solidFill>
                </w14:textFill>
              </w:rPr>
            </w:pPr>
            <w:r>
              <w:rPr>
                <w:b/>
                <w:bCs/>
                <w:color w:val="000000" w:themeColor="text1"/>
                <w14:textFill>
                  <w14:solidFill>
                    <w14:schemeClr w14:val="tx1"/>
                  </w14:solidFill>
                </w14:textFill>
              </w:rPr>
              <w:t>Job Characteristic</w:t>
            </w:r>
          </w:p>
        </w:tc>
        <w:tc>
          <w:tcPr>
            <w:tcW w:w="3570" w:type="dxa"/>
            <w:tcBorders>
              <w:top w:val="single" w:color="000000" w:sz="6" w:space="0"/>
              <w:left w:val="nil"/>
              <w:bottom w:val="single" w:color="000000" w:sz="6" w:space="0"/>
              <w:right w:val="single" w:color="000000" w:sz="6" w:space="0"/>
            </w:tcBorders>
            <w:shd w:val="clear" w:color="auto" w:fill="FFFFFF" w:themeFill="background1"/>
            <w:tcMar>
              <w:top w:w="0" w:type="dxa"/>
              <w:left w:w="100" w:type="dxa"/>
              <w:bottom w:w="0" w:type="dxa"/>
              <w:right w:w="100" w:type="dxa"/>
            </w:tcMar>
          </w:tcPr>
          <w:p w14:paraId="080ACC13">
            <w:pPr>
              <w:spacing w:before="240" w:after="240"/>
              <w:jc w:val="center"/>
              <w:rPr>
                <w:b/>
                <w:bCs/>
                <w:color w:val="000000" w:themeColor="text1"/>
                <w14:textFill>
                  <w14:solidFill>
                    <w14:schemeClr w14:val="tx1"/>
                  </w14:solidFill>
                </w14:textFill>
              </w:rPr>
            </w:pPr>
            <w:r>
              <w:rPr>
                <w:b/>
                <w:bCs/>
                <w:color w:val="000000" w:themeColor="text1"/>
                <w14:textFill>
                  <w14:solidFill>
                    <w14:schemeClr w14:val="tx1"/>
                  </w14:solidFill>
                </w14:textFill>
              </w:rPr>
              <w:t>Proposed Design at Helios</w:t>
            </w:r>
          </w:p>
        </w:tc>
        <w:tc>
          <w:tcPr>
            <w:tcW w:w="3045" w:type="dxa"/>
            <w:tcBorders>
              <w:top w:val="single" w:color="000000" w:sz="6" w:space="0"/>
              <w:left w:val="nil"/>
              <w:bottom w:val="single" w:color="000000" w:sz="6" w:space="0"/>
              <w:right w:val="single" w:color="000000" w:sz="6" w:space="0"/>
            </w:tcBorders>
            <w:shd w:val="clear" w:color="auto" w:fill="FFFFFF" w:themeFill="background1"/>
            <w:tcMar>
              <w:top w:w="0" w:type="dxa"/>
              <w:left w:w="100" w:type="dxa"/>
              <w:bottom w:w="0" w:type="dxa"/>
              <w:right w:w="100" w:type="dxa"/>
            </w:tcMar>
          </w:tcPr>
          <w:p w14:paraId="601FC1FC">
            <w:pPr>
              <w:spacing w:before="240" w:after="240"/>
              <w:jc w:val="center"/>
              <w:rPr>
                <w:b/>
                <w:bCs/>
                <w:color w:val="000000" w:themeColor="text1"/>
                <w14:textFill>
                  <w14:solidFill>
                    <w14:schemeClr w14:val="tx1"/>
                  </w14:solidFill>
                </w14:textFill>
              </w:rPr>
            </w:pPr>
            <w:r>
              <w:rPr>
                <w:b/>
                <w:bCs/>
                <w:color w:val="000000" w:themeColor="text1"/>
                <w14:textFill>
                  <w14:solidFill>
                    <w14:schemeClr w14:val="tx1"/>
                  </w14:solidFill>
                </w14:textFill>
              </w:rPr>
              <w:t>Expected Outcome</w:t>
            </w:r>
          </w:p>
        </w:tc>
      </w:tr>
      <w:tr w14:paraId="42835BC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890" w:hRule="atLeast"/>
        </w:trPr>
        <w:tc>
          <w:tcPr>
            <w:tcW w:w="2415" w:type="dxa"/>
            <w:tcBorders>
              <w:top w:val="nil"/>
              <w:left w:val="single" w:color="000000" w:sz="6" w:space="0"/>
              <w:bottom w:val="single" w:color="000000" w:sz="6" w:space="0"/>
              <w:right w:val="single" w:color="000000" w:sz="6" w:space="0"/>
            </w:tcBorders>
            <w:shd w:val="clear" w:color="auto" w:fill="FFFFFF" w:themeFill="background1"/>
            <w:tcMar>
              <w:top w:w="0" w:type="dxa"/>
              <w:left w:w="100" w:type="dxa"/>
              <w:bottom w:w="0" w:type="dxa"/>
              <w:right w:w="100" w:type="dxa"/>
            </w:tcMar>
          </w:tcPr>
          <w:p w14:paraId="42E95C41">
            <w:pPr>
              <w:spacing w:before="240" w:after="240"/>
              <w:rPr>
                <w:b/>
                <w:bCs/>
                <w:color w:val="000000" w:themeColor="text1"/>
                <w14:textFill>
                  <w14:solidFill>
                    <w14:schemeClr w14:val="tx1"/>
                  </w14:solidFill>
                </w14:textFill>
              </w:rPr>
            </w:pPr>
            <w:r>
              <w:rPr>
                <w:b/>
                <w:bCs/>
                <w:color w:val="000000" w:themeColor="text1"/>
                <w14:textFill>
                  <w14:solidFill>
                    <w14:schemeClr w14:val="tx1"/>
                  </w14:solidFill>
                </w14:textFill>
              </w:rPr>
              <w:t>Skill Variety</w:t>
            </w:r>
          </w:p>
        </w:tc>
        <w:tc>
          <w:tcPr>
            <w:tcW w:w="3570" w:type="dxa"/>
            <w:tcBorders>
              <w:top w:val="nil"/>
              <w:left w:val="nil"/>
              <w:bottom w:val="single" w:color="000000" w:sz="6" w:space="0"/>
              <w:right w:val="single" w:color="000000" w:sz="6" w:space="0"/>
            </w:tcBorders>
            <w:shd w:val="clear" w:color="auto" w:fill="FFFFFF" w:themeFill="background1"/>
            <w:tcMar>
              <w:top w:w="0" w:type="dxa"/>
              <w:left w:w="100" w:type="dxa"/>
              <w:bottom w:w="0" w:type="dxa"/>
              <w:right w:w="100" w:type="dxa"/>
            </w:tcMar>
          </w:tcPr>
          <w:p w14:paraId="53054B01">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Employees participate in cross-functional projects involving engineering, AI analytics, sustainability, and customer solutions.</w:t>
            </w:r>
          </w:p>
        </w:tc>
        <w:tc>
          <w:tcPr>
            <w:tcW w:w="3045" w:type="dxa"/>
            <w:tcBorders>
              <w:top w:val="nil"/>
              <w:left w:val="nil"/>
              <w:bottom w:val="single" w:color="000000" w:sz="6" w:space="0"/>
              <w:right w:val="single" w:color="000000" w:sz="6" w:space="0"/>
            </w:tcBorders>
            <w:shd w:val="clear" w:color="auto" w:fill="FFFFFF" w:themeFill="background1"/>
            <w:tcMar>
              <w:top w:w="0" w:type="dxa"/>
              <w:left w:w="100" w:type="dxa"/>
              <w:bottom w:w="0" w:type="dxa"/>
              <w:right w:w="100" w:type="dxa"/>
            </w:tcMar>
          </w:tcPr>
          <w:p w14:paraId="671C2505">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Broader capability development, higher engagement, and reduced monotony.</w:t>
            </w:r>
          </w:p>
        </w:tc>
      </w:tr>
      <w:tr w14:paraId="61C91E5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890" w:hRule="atLeast"/>
        </w:trPr>
        <w:tc>
          <w:tcPr>
            <w:tcW w:w="2415" w:type="dxa"/>
            <w:tcBorders>
              <w:top w:val="nil"/>
              <w:left w:val="single" w:color="000000" w:sz="6" w:space="0"/>
              <w:bottom w:val="single" w:color="000000" w:sz="6" w:space="0"/>
              <w:right w:val="single" w:color="000000" w:sz="6" w:space="0"/>
            </w:tcBorders>
            <w:shd w:val="clear" w:color="auto" w:fill="FFFFFF" w:themeFill="background1"/>
            <w:tcMar>
              <w:top w:w="0" w:type="dxa"/>
              <w:left w:w="100" w:type="dxa"/>
              <w:bottom w:w="0" w:type="dxa"/>
              <w:right w:w="100" w:type="dxa"/>
            </w:tcMar>
          </w:tcPr>
          <w:p w14:paraId="20C50718">
            <w:pPr>
              <w:spacing w:before="240" w:after="240"/>
              <w:rPr>
                <w:b/>
                <w:bCs/>
                <w:color w:val="000000" w:themeColor="text1"/>
                <w14:textFill>
                  <w14:solidFill>
                    <w14:schemeClr w14:val="tx1"/>
                  </w14:solidFill>
                </w14:textFill>
              </w:rPr>
            </w:pPr>
            <w:r>
              <w:rPr>
                <w:b/>
                <w:bCs/>
                <w:color w:val="000000" w:themeColor="text1"/>
                <w14:textFill>
                  <w14:solidFill>
                    <w14:schemeClr w14:val="tx1"/>
                  </w14:solidFill>
                </w14:textFill>
              </w:rPr>
              <w:t>Task Identity</w:t>
            </w:r>
          </w:p>
        </w:tc>
        <w:tc>
          <w:tcPr>
            <w:tcW w:w="3570" w:type="dxa"/>
            <w:tcBorders>
              <w:top w:val="nil"/>
              <w:left w:val="nil"/>
              <w:bottom w:val="single" w:color="000000" w:sz="6" w:space="0"/>
              <w:right w:val="single" w:color="000000" w:sz="6" w:space="0"/>
            </w:tcBorders>
            <w:shd w:val="clear" w:color="auto" w:fill="FFFFFF" w:themeFill="background1"/>
            <w:tcMar>
              <w:top w:w="0" w:type="dxa"/>
              <w:left w:w="100" w:type="dxa"/>
              <w:bottom w:w="0" w:type="dxa"/>
              <w:right w:w="100" w:type="dxa"/>
            </w:tcMar>
          </w:tcPr>
          <w:p w14:paraId="2A4ED417">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Employees manage projects from initial design through implementation and evaluation instead of completing isolated tasks.</w:t>
            </w:r>
          </w:p>
        </w:tc>
        <w:tc>
          <w:tcPr>
            <w:tcW w:w="3045" w:type="dxa"/>
            <w:tcBorders>
              <w:top w:val="nil"/>
              <w:left w:val="nil"/>
              <w:bottom w:val="single" w:color="000000" w:sz="6" w:space="0"/>
              <w:right w:val="single" w:color="000000" w:sz="6" w:space="0"/>
            </w:tcBorders>
            <w:shd w:val="clear" w:color="auto" w:fill="FFFFFF" w:themeFill="background1"/>
            <w:tcMar>
              <w:top w:w="0" w:type="dxa"/>
              <w:left w:w="100" w:type="dxa"/>
              <w:bottom w:w="0" w:type="dxa"/>
              <w:right w:w="100" w:type="dxa"/>
            </w:tcMar>
          </w:tcPr>
          <w:p w14:paraId="4E116847">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Greater ownership, accountability, and commitment to project success.</w:t>
            </w:r>
          </w:p>
        </w:tc>
      </w:tr>
      <w:tr w14:paraId="472A3B6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605" w:hRule="atLeast"/>
        </w:trPr>
        <w:tc>
          <w:tcPr>
            <w:tcW w:w="2415" w:type="dxa"/>
            <w:tcBorders>
              <w:top w:val="nil"/>
              <w:left w:val="single" w:color="000000" w:sz="6" w:space="0"/>
              <w:bottom w:val="single" w:color="000000" w:sz="6" w:space="0"/>
              <w:right w:val="single" w:color="000000" w:sz="6" w:space="0"/>
            </w:tcBorders>
            <w:shd w:val="clear" w:color="auto" w:fill="FFFFFF" w:themeFill="background1"/>
            <w:tcMar>
              <w:top w:w="0" w:type="dxa"/>
              <w:left w:w="100" w:type="dxa"/>
              <w:bottom w:w="0" w:type="dxa"/>
              <w:right w:w="100" w:type="dxa"/>
            </w:tcMar>
          </w:tcPr>
          <w:p w14:paraId="514E4442">
            <w:pPr>
              <w:spacing w:before="240" w:after="240"/>
              <w:rPr>
                <w:b/>
                <w:bCs/>
                <w:color w:val="000000" w:themeColor="text1"/>
                <w14:textFill>
                  <w14:solidFill>
                    <w14:schemeClr w14:val="tx1"/>
                  </w14:solidFill>
                </w14:textFill>
              </w:rPr>
            </w:pPr>
            <w:r>
              <w:rPr>
                <w:b/>
                <w:bCs/>
                <w:color w:val="000000" w:themeColor="text1"/>
                <w14:textFill>
                  <w14:solidFill>
                    <w14:schemeClr w14:val="tx1"/>
                  </w14:solidFill>
                </w14:textFill>
              </w:rPr>
              <w:t>Task Significance</w:t>
            </w:r>
          </w:p>
        </w:tc>
        <w:tc>
          <w:tcPr>
            <w:tcW w:w="3570" w:type="dxa"/>
            <w:tcBorders>
              <w:top w:val="nil"/>
              <w:left w:val="nil"/>
              <w:bottom w:val="single" w:color="000000" w:sz="6" w:space="0"/>
              <w:right w:val="single" w:color="000000" w:sz="6" w:space="0"/>
            </w:tcBorders>
            <w:shd w:val="clear" w:color="auto" w:fill="FFFFFF" w:themeFill="background1"/>
            <w:tcMar>
              <w:top w:w="0" w:type="dxa"/>
              <w:left w:w="100" w:type="dxa"/>
              <w:bottom w:w="0" w:type="dxa"/>
              <w:right w:w="100" w:type="dxa"/>
            </w:tcMar>
          </w:tcPr>
          <w:p w14:paraId="727E499A">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 xml:space="preserve">Managers regularly communicate how AI mobility solutions improve urban sustainability and public transport systems (Harju </w:t>
            </w:r>
            <w:r>
              <w:rPr>
                <w:i/>
                <w:iCs/>
                <w:color w:val="000000" w:themeColor="text1"/>
                <w14:textFill>
                  <w14:solidFill>
                    <w14:schemeClr w14:val="tx1"/>
                  </w14:solidFill>
                </w14:textFill>
              </w:rPr>
              <w:t>et al.,</w:t>
            </w:r>
            <w:r>
              <w:rPr>
                <w:color w:val="000000" w:themeColor="text1"/>
                <w14:textFill>
                  <w14:solidFill>
                    <w14:schemeClr w14:val="tx1"/>
                  </w14:solidFill>
                </w14:textFill>
              </w:rPr>
              <w:t xml:space="preserve"> 2024).</w:t>
            </w:r>
          </w:p>
        </w:tc>
        <w:tc>
          <w:tcPr>
            <w:tcW w:w="3045" w:type="dxa"/>
            <w:tcBorders>
              <w:top w:val="nil"/>
              <w:left w:val="nil"/>
              <w:bottom w:val="single" w:color="000000" w:sz="6" w:space="0"/>
              <w:right w:val="single" w:color="000000" w:sz="6" w:space="0"/>
            </w:tcBorders>
            <w:shd w:val="clear" w:color="auto" w:fill="FFFFFF" w:themeFill="background1"/>
            <w:tcMar>
              <w:top w:w="0" w:type="dxa"/>
              <w:left w:w="100" w:type="dxa"/>
              <w:bottom w:w="0" w:type="dxa"/>
              <w:right w:w="100" w:type="dxa"/>
            </w:tcMar>
          </w:tcPr>
          <w:p w14:paraId="000B2619">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Employees understand the wider impact of their work, increasing motivation and organisational commitment.</w:t>
            </w:r>
          </w:p>
        </w:tc>
      </w:tr>
      <w:tr w14:paraId="3E8D8C46">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605" w:hRule="atLeast"/>
        </w:trPr>
        <w:tc>
          <w:tcPr>
            <w:tcW w:w="2415" w:type="dxa"/>
            <w:tcBorders>
              <w:top w:val="nil"/>
              <w:left w:val="single" w:color="000000" w:sz="6" w:space="0"/>
              <w:bottom w:val="single" w:color="000000" w:sz="6" w:space="0"/>
              <w:right w:val="single" w:color="000000" w:sz="6" w:space="0"/>
            </w:tcBorders>
            <w:shd w:val="clear" w:color="auto" w:fill="FFFFFF" w:themeFill="background1"/>
            <w:tcMar>
              <w:top w:w="0" w:type="dxa"/>
              <w:left w:w="100" w:type="dxa"/>
              <w:bottom w:w="0" w:type="dxa"/>
              <w:right w:w="100" w:type="dxa"/>
            </w:tcMar>
          </w:tcPr>
          <w:p w14:paraId="53547816">
            <w:pPr>
              <w:spacing w:before="240" w:after="240"/>
              <w:rPr>
                <w:b/>
                <w:bCs/>
                <w:color w:val="000000" w:themeColor="text1"/>
                <w14:textFill>
                  <w14:solidFill>
                    <w14:schemeClr w14:val="tx1"/>
                  </w14:solidFill>
                </w14:textFill>
              </w:rPr>
            </w:pPr>
            <w:r>
              <w:rPr>
                <w:b/>
                <w:bCs/>
                <w:color w:val="000000" w:themeColor="text1"/>
                <w14:textFill>
                  <w14:solidFill>
                    <w14:schemeClr w14:val="tx1"/>
                  </w14:solidFill>
                </w14:textFill>
              </w:rPr>
              <w:t>Autonomy</w:t>
            </w:r>
          </w:p>
        </w:tc>
        <w:tc>
          <w:tcPr>
            <w:tcW w:w="3570" w:type="dxa"/>
            <w:tcBorders>
              <w:top w:val="nil"/>
              <w:left w:val="nil"/>
              <w:bottom w:val="single" w:color="000000" w:sz="6" w:space="0"/>
              <w:right w:val="single" w:color="000000" w:sz="6" w:space="0"/>
            </w:tcBorders>
            <w:shd w:val="clear" w:color="auto" w:fill="FFFFFF" w:themeFill="background1"/>
            <w:tcMar>
              <w:top w:w="0" w:type="dxa"/>
              <w:left w:w="100" w:type="dxa"/>
              <w:bottom w:w="0" w:type="dxa"/>
              <w:right w:w="100" w:type="dxa"/>
            </w:tcMar>
          </w:tcPr>
          <w:p w14:paraId="5B5849E1">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Flexible work arrangements, self-managed project teams, and greater decision-making authority within project boundaries.</w:t>
            </w:r>
          </w:p>
        </w:tc>
        <w:tc>
          <w:tcPr>
            <w:tcW w:w="3045" w:type="dxa"/>
            <w:tcBorders>
              <w:top w:val="nil"/>
              <w:left w:val="nil"/>
              <w:bottom w:val="single" w:color="000000" w:sz="6" w:space="0"/>
              <w:right w:val="single" w:color="000000" w:sz="6" w:space="0"/>
            </w:tcBorders>
            <w:shd w:val="clear" w:color="auto" w:fill="FFFFFF" w:themeFill="background1"/>
            <w:tcMar>
              <w:top w:w="0" w:type="dxa"/>
              <w:left w:w="100" w:type="dxa"/>
              <w:bottom w:w="0" w:type="dxa"/>
              <w:right w:w="100" w:type="dxa"/>
            </w:tcMar>
          </w:tcPr>
          <w:p w14:paraId="15868401">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Increased creativity, innovation, and employee satisfaction.</w:t>
            </w:r>
          </w:p>
        </w:tc>
      </w:tr>
      <w:tr w14:paraId="194957E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890" w:hRule="atLeast"/>
        </w:trPr>
        <w:tc>
          <w:tcPr>
            <w:tcW w:w="2415" w:type="dxa"/>
            <w:tcBorders>
              <w:top w:val="nil"/>
              <w:left w:val="single" w:color="000000" w:sz="6" w:space="0"/>
              <w:bottom w:val="single" w:color="000000" w:sz="6" w:space="0"/>
              <w:right w:val="single" w:color="000000" w:sz="6" w:space="0"/>
            </w:tcBorders>
            <w:shd w:val="clear" w:color="auto" w:fill="FFFFFF" w:themeFill="background1"/>
            <w:tcMar>
              <w:top w:w="0" w:type="dxa"/>
              <w:left w:w="100" w:type="dxa"/>
              <w:bottom w:w="0" w:type="dxa"/>
              <w:right w:w="100" w:type="dxa"/>
            </w:tcMar>
          </w:tcPr>
          <w:p w14:paraId="3CF7C67E">
            <w:pPr>
              <w:spacing w:before="240" w:after="240"/>
              <w:rPr>
                <w:b/>
                <w:bCs/>
                <w:color w:val="000000" w:themeColor="text1"/>
                <w14:textFill>
                  <w14:solidFill>
                    <w14:schemeClr w14:val="tx1"/>
                  </w14:solidFill>
                </w14:textFill>
              </w:rPr>
            </w:pPr>
            <w:r>
              <w:rPr>
                <w:b/>
                <w:bCs/>
                <w:color w:val="000000" w:themeColor="text1"/>
                <w14:textFill>
                  <w14:solidFill>
                    <w14:schemeClr w14:val="tx1"/>
                  </w14:solidFill>
                </w14:textFill>
              </w:rPr>
              <w:t>Feedback</w:t>
            </w:r>
          </w:p>
        </w:tc>
        <w:tc>
          <w:tcPr>
            <w:tcW w:w="3570" w:type="dxa"/>
            <w:tcBorders>
              <w:top w:val="nil"/>
              <w:left w:val="nil"/>
              <w:bottom w:val="single" w:color="000000" w:sz="6" w:space="0"/>
              <w:right w:val="single" w:color="000000" w:sz="6" w:space="0"/>
            </w:tcBorders>
            <w:shd w:val="clear" w:color="auto" w:fill="FFFFFF" w:themeFill="background1"/>
            <w:tcMar>
              <w:top w:w="0" w:type="dxa"/>
              <w:left w:w="100" w:type="dxa"/>
              <w:bottom w:w="0" w:type="dxa"/>
              <w:right w:w="100" w:type="dxa"/>
            </w:tcMar>
          </w:tcPr>
          <w:p w14:paraId="4D1C2857">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Continuous coaching, real-time project reviews, customer feedback, and peer learning replace annual performance appraisals.</w:t>
            </w:r>
          </w:p>
        </w:tc>
        <w:tc>
          <w:tcPr>
            <w:tcW w:w="3045" w:type="dxa"/>
            <w:tcBorders>
              <w:top w:val="nil"/>
              <w:left w:val="nil"/>
              <w:bottom w:val="single" w:color="000000" w:sz="6" w:space="0"/>
              <w:right w:val="single" w:color="000000" w:sz="6" w:space="0"/>
            </w:tcBorders>
            <w:shd w:val="clear" w:color="auto" w:fill="FFFFFF" w:themeFill="background1"/>
            <w:tcMar>
              <w:top w:w="0" w:type="dxa"/>
              <w:left w:w="100" w:type="dxa"/>
              <w:bottom w:w="0" w:type="dxa"/>
              <w:right w:w="100" w:type="dxa"/>
            </w:tcMar>
          </w:tcPr>
          <w:p w14:paraId="1233E598">
            <w:pPr>
              <w:spacing w:before="240" w:after="240"/>
              <w:rPr>
                <w:color w:val="000000" w:themeColor="text1"/>
                <w14:textFill>
                  <w14:solidFill>
                    <w14:schemeClr w14:val="tx1"/>
                  </w14:solidFill>
                </w14:textFill>
              </w:rPr>
            </w:pPr>
            <w:r>
              <w:rPr>
                <w:color w:val="000000" w:themeColor="text1"/>
                <w14:textFill>
                  <w14:solidFill>
                    <w14:schemeClr w14:val="tx1"/>
                  </w14:solidFill>
                </w14:textFill>
              </w:rPr>
              <w:t>Faster learning, improved performance, and continuous professional development.</w:t>
            </w:r>
          </w:p>
        </w:tc>
      </w:tr>
    </w:tbl>
    <w:p w14:paraId="49D32B64">
      <w:pPr>
        <w:pStyle w:val="6"/>
        <w:jc w:val="center"/>
        <w:rPr>
          <w:sz w:val="24"/>
          <w:szCs w:val="24"/>
        </w:rPr>
      </w:pPr>
      <w:bookmarkStart w:id="22" w:name="_heading=h.z2g93ywzfajb" w:colFirst="0" w:colLast="0"/>
      <w:bookmarkEnd w:id="22"/>
      <w:bookmarkStart w:id="23" w:name="_Toc235015833"/>
      <w:r>
        <w:rPr>
          <w:sz w:val="24"/>
          <w:szCs w:val="24"/>
        </w:rPr>
        <w:t>Table 1: Job design</w:t>
      </w:r>
      <w:bookmarkEnd w:id="23"/>
    </w:p>
    <w:p w14:paraId="3BE552CC">
      <w:pPr>
        <w:jc w:val="center"/>
      </w:pPr>
      <w:r>
        <w:t>(Source: Self-developed)</w:t>
      </w:r>
    </w:p>
    <w:p w14:paraId="12307160">
      <w:r>
        <w:t xml:space="preserve">When all five dimensions are applied together, they produce valuable work, which stimulates employees to contribute more than required by their job. Staff are more motivated as they appreciate not only their value to the organisation, but also the importance of what they do (Demerouti </w:t>
      </w:r>
      <w:r>
        <w:rPr>
          <w:i/>
          <w:iCs/>
        </w:rPr>
        <w:t xml:space="preserve">et al., </w:t>
      </w:r>
      <w:r>
        <w:t>2024).</w:t>
      </w:r>
    </w:p>
    <w:p w14:paraId="3CE6D9AB">
      <w:pPr>
        <w:pStyle w:val="3"/>
        <w:numPr>
          <w:ilvl w:val="1"/>
          <w:numId w:val="11"/>
        </w:numPr>
        <w:ind w:left="567" w:leftChars="0" w:hanging="567" w:firstLineChars="0"/>
        <w:rPr>
          <w:sz w:val="24"/>
          <w:szCs w:val="24"/>
        </w:rPr>
      </w:pPr>
      <w:bookmarkStart w:id="24" w:name="_heading=h.wyrryzx4nq26" w:colFirst="0" w:colLast="0"/>
      <w:bookmarkEnd w:id="24"/>
      <w:bookmarkStart w:id="25" w:name="_Toc235015777"/>
      <w:r>
        <w:rPr>
          <w:sz w:val="24"/>
          <w:szCs w:val="24"/>
        </w:rPr>
        <w:t>Integrating Job Crafting Theory</w:t>
      </w:r>
      <w:bookmarkEnd w:id="25"/>
    </w:p>
    <w:p w14:paraId="375C5900">
      <w:r>
        <w:t xml:space="preserve">In addition to job design, managers need to support employees in job crafting their jobs. </w:t>
      </w:r>
      <w:r>
        <w:rPr>
          <w:b/>
          <w:bCs/>
          <w:i/>
          <w:iCs/>
        </w:rPr>
        <w:t>Job Crafting Theory</w:t>
      </w:r>
      <w:r>
        <w:t xml:space="preserve"> proposes that job crafting can enhance employee engagement by adjusting work characteristics to align with individual strengths, interests, and career goals. At Helios, task crafting might enable workers to engage in sustainability and AI initiatives and innovation difficulties outside of their typical job roles (Lopper </w:t>
      </w:r>
      <w:r>
        <w:rPr>
          <w:i/>
          <w:iCs/>
        </w:rPr>
        <w:t>et al.,</w:t>
      </w:r>
      <w:r>
        <w:t xml:space="preserve"> 2024). This not only enables learning but also allows opportunities for employees to become familiar with other aspects of the organisation. Fostering employees to build global networks through relational crafting. </w:t>
      </w:r>
    </w:p>
    <w:p w14:paraId="0278C609">
      <w:pPr>
        <w:jc w:val="center"/>
      </w:pPr>
      <w:r>
        <w:rPr>
          <w:color w:val="000000" w:themeColor="text1"/>
          <w14:textFill>
            <w14:solidFill>
              <w14:schemeClr w14:val="tx1"/>
            </w14:solidFill>
          </w14:textFill>
        </w:rPr>
        <w:drawing>
          <wp:inline distT="114300" distB="114300" distL="114300" distR="114300">
            <wp:extent cx="4933315" cy="2872740"/>
            <wp:effectExtent l="25400" t="25400" r="32385" b="3556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referRelativeResize="0"/>
                  </pic:nvPicPr>
                  <pic:blipFill>
                    <a:blip r:embed="rId10">
                      <a:clrChange>
                        <a:clrFrom>
                          <a:srgbClr val="FFFFFF">
                            <a:alpha val="100000"/>
                          </a:srgbClr>
                        </a:clrFrom>
                        <a:clrTo>
                          <a:srgbClr val="FFFFFF">
                            <a:alpha val="100000"/>
                            <a:alpha val="0"/>
                          </a:srgbClr>
                        </a:clrTo>
                      </a:clrChange>
                    </a:blip>
                    <a:srcRect/>
                    <a:stretch>
                      <a:fillRect/>
                    </a:stretch>
                  </pic:blipFill>
                  <pic:spPr>
                    <a:xfrm>
                      <a:off x="0" y="0"/>
                      <a:ext cx="4933315" cy="2872740"/>
                    </a:xfrm>
                    <a:prstGeom prst="rect">
                      <a:avLst/>
                    </a:prstGeom>
                    <a:ln w="25400">
                      <a:solidFill>
                        <a:schemeClr val="bg1"/>
                      </a:solidFill>
                      <a:prstDash val="solid"/>
                    </a:ln>
                  </pic:spPr>
                </pic:pic>
              </a:graphicData>
            </a:graphic>
          </wp:inline>
        </w:drawing>
      </w:r>
    </w:p>
    <w:p w14:paraId="54AE557B">
      <w:pPr>
        <w:pStyle w:val="5"/>
        <w:jc w:val="center"/>
        <w:rPr>
          <w:sz w:val="24"/>
          <w:szCs w:val="24"/>
        </w:rPr>
      </w:pPr>
      <w:bookmarkStart w:id="26" w:name="_heading=h.bh126i8zmycd" w:colFirst="0" w:colLast="0"/>
      <w:bookmarkEnd w:id="26"/>
      <w:bookmarkStart w:id="27" w:name="_Toc235015807"/>
      <w:r>
        <w:rPr>
          <w:sz w:val="24"/>
          <w:szCs w:val="24"/>
        </w:rPr>
        <w:t>Figure 4: Job Crafting Theory</w:t>
      </w:r>
      <w:bookmarkEnd w:id="27"/>
    </w:p>
    <w:p w14:paraId="67C53839">
      <w:pPr>
        <w:jc w:val="center"/>
      </w:pPr>
      <w:r>
        <w:t>(Source: ResearchGate, 2026)</w:t>
      </w:r>
    </w:p>
    <w:p w14:paraId="1A435B59">
      <w:pPr>
        <w:rPr>
          <w:sz w:val="24"/>
          <w:szCs w:val="24"/>
        </w:rPr>
      </w:pPr>
      <w:r>
        <w:t xml:space="preserve">Knowledge sharing is boosted, and employees are exposed to different perspectives when teams collaborate across the borders between London, Berlin and Singapore. This is especially important for an organisation in a rapidly changing technological landscape. Cognitive crafting allows workers to retell their work in a way that is socially meaningful. Staff members can see themselves not just as software engineers or analysts, but as part of a team and realise that their work is helping to make cities safer, smarter and more sustainable (Lanke </w:t>
      </w:r>
      <w:r>
        <w:rPr>
          <w:i/>
          <w:iCs/>
        </w:rPr>
        <w:t>et al.,</w:t>
      </w:r>
      <w:r>
        <w:t xml:space="preserve"> 2024). This greater sense of purpose drives greater intrinsic motivation and sustains organisational identification. Managers need to engage and coach employees in job crafting, have flexible working arrangements, and ensure that employee initiatives are still consistent with organisational goals.</w:t>
      </w:r>
    </w:p>
    <w:p w14:paraId="0CF02026">
      <w:pPr>
        <w:pStyle w:val="3"/>
        <w:numPr>
          <w:ilvl w:val="1"/>
          <w:numId w:val="11"/>
        </w:numPr>
        <w:ind w:left="567" w:leftChars="0" w:hanging="567" w:firstLineChars="0"/>
        <w:rPr>
          <w:sz w:val="24"/>
          <w:szCs w:val="24"/>
        </w:rPr>
      </w:pPr>
      <w:bookmarkStart w:id="28" w:name="_heading=h.t5rx6nm54753" w:colFirst="0" w:colLast="0"/>
      <w:bookmarkEnd w:id="28"/>
      <w:bookmarkStart w:id="29" w:name="_Toc235015778"/>
      <w:r>
        <w:rPr>
          <w:sz w:val="24"/>
          <w:szCs w:val="24"/>
        </w:rPr>
        <w:t>Developing a Skills-Based Architecture</w:t>
      </w:r>
      <w:bookmarkEnd w:id="29"/>
    </w:p>
    <w:p w14:paraId="3A15B42C">
      <w:r>
        <w:t xml:space="preserve">With the fast pace of technological progress, job descriptions are changing rapidly. Helios should shift from a position-based to a skills-based approach to work organisation, focusing on work skills instead of job titles. Technical, analytical, digital, leadership and sustainability skills should be mapped across the organisation through skills mapping (LIANG </w:t>
      </w:r>
      <w:r>
        <w:rPr>
          <w:i/>
          <w:iCs/>
        </w:rPr>
        <w:t>et al.,</w:t>
      </w:r>
      <w:r>
        <w:t xml:space="preserve"> 2024). Skills would be constantly maintained by employees, and managers would be able to allocate work based on skills, not only on department, but also on individual employees. This also aids strategic workforce planning by predicting future capability gaps before they impact organisational effectiveness. </w:t>
      </w:r>
    </w:p>
    <w:p w14:paraId="4FF2692C">
      <w:pPr>
        <w:pStyle w:val="3"/>
        <w:numPr>
          <w:ilvl w:val="1"/>
          <w:numId w:val="11"/>
        </w:numPr>
        <w:ind w:left="567" w:leftChars="0" w:hanging="567" w:firstLineChars="0"/>
        <w:rPr>
          <w:sz w:val="24"/>
          <w:szCs w:val="24"/>
        </w:rPr>
      </w:pPr>
      <w:bookmarkStart w:id="30" w:name="_heading=h.mtymsvj306t2" w:colFirst="0" w:colLast="0"/>
      <w:bookmarkEnd w:id="30"/>
      <w:bookmarkStart w:id="31" w:name="_Toc235015779"/>
      <w:r>
        <w:rPr>
          <w:sz w:val="24"/>
          <w:szCs w:val="24"/>
        </w:rPr>
        <w:t>Internal Talent Marketplace</w:t>
      </w:r>
      <w:bookmarkEnd w:id="31"/>
    </w:p>
    <w:p w14:paraId="16085E3F">
      <w:r>
        <w:t xml:space="preserve">Helios should create an internal talent marketplace, underpinned by people analytics and AI-powered matching technology, to complement the skills-based architecture. Employees would not only be able to access internal projects, temporary roles, mentoring and innovation projects, but also be assigned to these based on their proven abilities and career preferences (Bagis and Yulianeu, 2024). The strategy has several benefits. Staff expand their experience in the organisation without leaving, minimising the loss of graduates and enhancing succession planning. Internal expertise can easily be identified by managers when they are creating project teams, and this improves the agility of the organisation and saves on hiring costs. </w:t>
      </w:r>
    </w:p>
    <w:p w14:paraId="33FDF0CE">
      <w:pPr>
        <w:pStyle w:val="3"/>
        <w:numPr>
          <w:ilvl w:val="1"/>
          <w:numId w:val="11"/>
        </w:numPr>
        <w:ind w:left="567" w:leftChars="0" w:hanging="567" w:firstLineChars="0"/>
        <w:rPr>
          <w:sz w:val="24"/>
          <w:szCs w:val="24"/>
        </w:rPr>
      </w:pPr>
      <w:bookmarkStart w:id="32" w:name="_heading=h.w326utlzlgoy" w:colFirst="0" w:colLast="0"/>
      <w:bookmarkEnd w:id="32"/>
      <w:bookmarkStart w:id="33" w:name="_Toc235015780"/>
      <w:r>
        <w:rPr>
          <w:sz w:val="24"/>
          <w:szCs w:val="24"/>
        </w:rPr>
        <w:t>Supporting Motivation and Innovation</w:t>
      </w:r>
      <w:bookmarkEnd w:id="33"/>
    </w:p>
    <w:p w14:paraId="27A94F6F">
      <w:pPr>
        <w:rPr>
          <w:sz w:val="24"/>
          <w:szCs w:val="24"/>
        </w:rPr>
      </w:pPr>
      <w:r>
        <w:t xml:space="preserve">Workers have more autonomy, better learning opportunities, have a sense of purpose and develop their careers. The factors foster intrinsic motivation, as employees are motivated not only by monetary gains but also by their own personal development, success, and the purpose of the organisation. More knowledge sharing and collaboration also help to promote innovation. Cross-functional teams promote bringing together different skills and knowledge to tackle complex problems, and internal mobility allows ideas to flow beyond organisational boundaries (Li </w:t>
      </w:r>
      <w:r>
        <w:rPr>
          <w:i/>
          <w:iCs/>
        </w:rPr>
        <w:t xml:space="preserve">et al., </w:t>
      </w:r>
      <w:r>
        <w:t xml:space="preserve">2024). Feedback and personalised learning also facilitate experimentation and improvement by allowing employees to enhance their skills as they progress in their careers. Guest's HRM Model further supports this integrated approach by showing that when HR practices are aligned, their impact is on employee commitment, flexibility, quality and organisational performance (Yang </w:t>
      </w:r>
      <w:r>
        <w:rPr>
          <w:i/>
          <w:iCs/>
        </w:rPr>
        <w:t>et al.,</w:t>
      </w:r>
      <w:r>
        <w:t xml:space="preserve"> 2024). Likewise, Schuler's 5P Model emphasises the need to take into account job design policies, practices and processes in the context of Helios' strategic goal of providing innovative and sustainable mobility solution</w:t>
      </w:r>
      <w:r>
        <w:rPr>
          <w:sz w:val="24"/>
          <w:szCs w:val="24"/>
        </w:rPr>
        <w:t>s.</w:t>
      </w:r>
    </w:p>
    <w:p w14:paraId="1C7A9D83">
      <w:pPr>
        <w:pStyle w:val="2"/>
        <w:numPr>
          <w:ilvl w:val="0"/>
          <w:numId w:val="11"/>
        </w:numPr>
        <w:spacing w:line="240" w:lineRule="auto"/>
        <w:ind w:left="425" w:leftChars="0" w:hanging="425" w:firstLineChars="0"/>
        <w:rPr>
          <w:sz w:val="24"/>
          <w:szCs w:val="24"/>
        </w:rPr>
      </w:pPr>
      <w:bookmarkStart w:id="34" w:name="_heading=h.exwn12b5szv9" w:colFirst="0" w:colLast="0"/>
      <w:bookmarkEnd w:id="34"/>
      <w:bookmarkStart w:id="35" w:name="_Toc235015781"/>
      <w:r>
        <w:rPr>
          <w:sz w:val="24"/>
          <w:szCs w:val="24"/>
        </w:rPr>
        <w:t>Task C: Reflective Report</w:t>
      </w:r>
      <w:bookmarkEnd w:id="35"/>
    </w:p>
    <w:p w14:paraId="140CF32B">
      <w:pPr>
        <w:pStyle w:val="3"/>
        <w:numPr>
          <w:ilvl w:val="1"/>
          <w:numId w:val="11"/>
        </w:numPr>
        <w:spacing w:line="240" w:lineRule="auto"/>
        <w:ind w:left="567" w:leftChars="0" w:hanging="567" w:firstLineChars="0"/>
        <w:rPr>
          <w:sz w:val="24"/>
          <w:szCs w:val="24"/>
        </w:rPr>
      </w:pPr>
      <w:bookmarkStart w:id="36" w:name="_heading=h.o32jxq54kgnm" w:colFirst="0" w:colLast="0"/>
      <w:bookmarkEnd w:id="36"/>
      <w:bookmarkStart w:id="37" w:name="_Toc235015782"/>
      <w:r>
        <w:rPr>
          <w:sz w:val="24"/>
          <w:szCs w:val="24"/>
        </w:rPr>
        <w:t>AI as a Decision-Support Tool</w:t>
      </w:r>
      <w:bookmarkEnd w:id="37"/>
    </w:p>
    <w:p w14:paraId="6B3DD9D8">
      <w:r>
        <w:t>I am using Gibbs' Reflective Cycle to identify how my understanding of AI in S.H.R.M. and the application of AI is informed by the cycle and how it can support HRM in a way that does not threaten critical human judgment.</w:t>
      </w:r>
    </w:p>
    <w:p w14:paraId="26ECCA0C">
      <w:pPr>
        <w:pStyle w:val="3"/>
        <w:numPr>
          <w:ilvl w:val="1"/>
          <w:numId w:val="11"/>
        </w:numPr>
        <w:ind w:left="567" w:leftChars="0" w:hanging="567" w:firstLineChars="0"/>
      </w:pPr>
      <w:r>
        <w:rPr>
          <w:rFonts w:hint="default"/>
          <w:sz w:val="24"/>
          <w:szCs w:val="24"/>
          <w:lang w:val="en-IN"/>
        </w:rPr>
        <w:t>Discription</w:t>
      </w:r>
    </w:p>
    <w:p w14:paraId="289DD010">
      <w:r>
        <w:t xml:space="preserve">For this assignment, I examine how AI is revolutionising HR functions, such as people analytics, predictive workforce planning, recruitment, performance management, and tailored learning. AI can process vast amounts of data to gain insights into workforce trends, forecast employee attrition, uncover skill gaps, and guide decision-making (Pezeshkpour </w:t>
      </w:r>
      <w:r>
        <w:rPr>
          <w:i/>
          <w:iCs/>
        </w:rPr>
        <w:t>et al.,</w:t>
      </w:r>
      <w:r>
        <w:t xml:space="preserve"> 2023). I also saw that some ethical, cultural and interpersonal issues may have a bearing on HR decisions, which algorithms can't fully comprehend.</w:t>
      </w:r>
    </w:p>
    <w:p w14:paraId="2F9BC730">
      <w:pPr>
        <w:pStyle w:val="3"/>
        <w:numPr>
          <w:ilvl w:val="1"/>
          <w:numId w:val="11"/>
        </w:numPr>
        <w:ind w:left="567" w:leftChars="0" w:hanging="567" w:firstLineChars="0"/>
        <w:rPr>
          <w:sz w:val="28"/>
          <w:szCs w:val="28"/>
        </w:rPr>
      </w:pPr>
      <w:r>
        <w:rPr>
          <w:rFonts w:hint="default"/>
          <w:sz w:val="28"/>
          <w:szCs w:val="28"/>
          <w:lang w:val="en-IN"/>
        </w:rPr>
        <w:t>Feelings</w:t>
      </w:r>
    </w:p>
    <w:p w14:paraId="28D8E3B4">
      <w:r>
        <w:t>I thought AI had the potential to greatly enhance HR decision-making due to its speed, consistency, and processing of massive amounts of workforce data. I considered my opportunities and challenges, and my outlook shifted. I understood that while technology helps increase productivity, it can sometimes lead to decisions that are not based on a holistic understanding and can be unfair or biased. This knowledge helped develop my awareness of the need to combine technological skills with professional judgment.</w:t>
      </w:r>
    </w:p>
    <w:p w14:paraId="2F0F4EC9">
      <w:pPr>
        <w:pStyle w:val="3"/>
        <w:numPr>
          <w:ilvl w:val="1"/>
          <w:numId w:val="11"/>
        </w:numPr>
        <w:ind w:left="567" w:leftChars="0" w:hanging="567" w:firstLineChars="0"/>
      </w:pPr>
      <w:r>
        <w:rPr>
          <w:rFonts w:hint="default"/>
          <w:sz w:val="24"/>
          <w:szCs w:val="24"/>
          <w:lang w:val="en-IN"/>
        </w:rPr>
        <w:t>Evaluation</w:t>
      </w:r>
    </w:p>
    <w:p w14:paraId="542A4E71">
      <w:r>
        <w:t>AI can provide many benefits by helping to conduct evidence-based HR practices. Predictive analytics helps businesses forecast future hiring needs, tailor training programs for individuals, and optimise their succession planning. It also saves administration time to enable HR professionals to concentrate on strategic functions like employee engagement and organisational development (Bone</w:t>
      </w:r>
      <w:r>
        <w:rPr>
          <w:i/>
          <w:iCs/>
        </w:rPr>
        <w:t xml:space="preserve"> et al., </w:t>
      </w:r>
      <w:r>
        <w:t xml:space="preserve">2025). AI, however, has some serious dangers. </w:t>
      </w:r>
    </w:p>
    <w:p w14:paraId="6ABC45F0">
      <w:pPr>
        <w:pStyle w:val="3"/>
        <w:numPr>
          <w:ilvl w:val="1"/>
          <w:numId w:val="11"/>
        </w:numPr>
        <w:ind w:left="567" w:leftChars="0" w:hanging="567" w:firstLineChars="0"/>
      </w:pPr>
      <w:r>
        <w:rPr>
          <w:sz w:val="24"/>
          <w:szCs w:val="24"/>
        </w:rPr>
        <w:t>A</w:t>
      </w:r>
      <w:r>
        <w:rPr>
          <w:rFonts w:hint="default"/>
          <w:sz w:val="24"/>
          <w:szCs w:val="24"/>
          <w:lang w:val="en-IN"/>
        </w:rPr>
        <w:t>nalysis</w:t>
      </w:r>
    </w:p>
    <w:p w14:paraId="268D2E00">
      <w:r>
        <w:t xml:space="preserve">Considering these pros and cons, I think that AI should be a decision support system, not a decision-maker. HR professionals need to carefully review and consider AI-generated recommendations before deciding. There is still a need for human judgment in matters related to fairness, ethics, organisational values and employee well-being. </w:t>
      </w:r>
    </w:p>
    <w:p w14:paraId="64073741">
      <w:r>
        <w:rPr>
          <w:b/>
          <w:bCs/>
          <w:u w:val="single"/>
        </w:rPr>
        <w:t>Conclusion</w:t>
      </w:r>
      <w:r>
        <w:t>:</w:t>
      </w:r>
    </w:p>
    <w:p w14:paraId="77395A79">
      <w:r>
        <w:t xml:space="preserve">In summary, this reflection has helped me to gain a new perspective on AI in HR. AI is not meant to replace human resources professionals, but rather to aid them in making informed decisions based on data. </w:t>
      </w:r>
    </w:p>
    <w:p w14:paraId="59367C85">
      <w:bookmarkStart w:id="45" w:name="_GoBack"/>
      <w:bookmarkEnd w:id="45"/>
    </w:p>
    <w:p w14:paraId="46091EB0">
      <w:pPr>
        <w:rPr>
          <w:b/>
          <w:bCs/>
          <w:u w:val="single"/>
        </w:rPr>
      </w:pPr>
      <w:r>
        <w:rPr>
          <w:b/>
          <w:bCs/>
          <w:u w:val="single"/>
        </w:rPr>
        <w:t>Action plan:</w:t>
      </w:r>
    </w:p>
    <w:p w14:paraId="51B20649">
      <w:r>
        <w:t>The new job of HR demands them to be analytical, emotionally intelligent, ethical and strategic. So, even with the high levels of technology, it will still be important to have critical human judgment.</w:t>
      </w:r>
    </w:p>
    <w:p w14:paraId="7BAE319C">
      <w:pPr>
        <w:pStyle w:val="3"/>
        <w:rPr>
          <w:sz w:val="24"/>
          <w:szCs w:val="24"/>
        </w:rPr>
      </w:pPr>
      <w:bookmarkStart w:id="38" w:name="_heading=h.ghjpc43rxujg" w:colFirst="0" w:colLast="0"/>
      <w:bookmarkEnd w:id="38"/>
      <w:bookmarkStart w:id="39" w:name="_Toc235015783"/>
      <w:r>
        <w:rPr>
          <w:sz w:val="24"/>
          <w:szCs w:val="24"/>
        </w:rPr>
        <w:t>Personal Capability Development Plan</w:t>
      </w:r>
      <w:bookmarkEnd w:id="39"/>
    </w:p>
    <w:tbl>
      <w:tblPr>
        <w:tblStyle w:val="252"/>
        <w:tblW w:w="901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EF2CA" w:themeFill="accent3" w:themeFillTint="33"/>
        <w:tblLayout w:type="fixed"/>
        <w:tblCellMar>
          <w:top w:w="100" w:type="dxa"/>
          <w:left w:w="100" w:type="dxa"/>
          <w:bottom w:w="100" w:type="dxa"/>
          <w:right w:w="100" w:type="dxa"/>
        </w:tblCellMar>
      </w:tblPr>
      <w:tblGrid>
        <w:gridCol w:w="3000"/>
        <w:gridCol w:w="6015"/>
      </w:tblGrid>
      <w:tr w14:paraId="720C0C3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70" w:hRule="atLeast"/>
        </w:trPr>
        <w:tc>
          <w:tcPr>
            <w:tcW w:w="3000" w:type="dxa"/>
            <w:tcBorders>
              <w:top w:val="single" w:color="000000" w:sz="6" w:space="0"/>
              <w:left w:val="single" w:color="000000" w:sz="6" w:space="0"/>
              <w:bottom w:val="single" w:color="000000" w:sz="6" w:space="0"/>
              <w:right w:val="single" w:color="000000" w:sz="6" w:space="0"/>
            </w:tcBorders>
            <w:shd w:val="clear" w:color="auto" w:fill="FFFFFF" w:themeFill="background1" w:themeFillTint="33"/>
            <w:tcMar>
              <w:top w:w="0" w:type="dxa"/>
              <w:left w:w="100" w:type="dxa"/>
              <w:bottom w:w="0" w:type="dxa"/>
              <w:right w:w="100" w:type="dxa"/>
            </w:tcMar>
          </w:tcPr>
          <w:p w14:paraId="07D6FC4A">
            <w:pPr>
              <w:spacing w:before="0" w:after="0"/>
              <w:jc w:val="center"/>
              <w:rPr>
                <w:b/>
                <w:bCs/>
              </w:rPr>
            </w:pPr>
            <w:r>
              <w:rPr>
                <w:b/>
                <w:bCs/>
              </w:rPr>
              <w:t>Development Area</w:t>
            </w:r>
          </w:p>
        </w:tc>
        <w:tc>
          <w:tcPr>
            <w:tcW w:w="6015" w:type="dxa"/>
            <w:tcBorders>
              <w:top w:val="single" w:color="000000" w:sz="6" w:space="0"/>
              <w:left w:val="nil"/>
              <w:bottom w:val="single" w:color="000000" w:sz="6" w:space="0"/>
              <w:right w:val="single" w:color="000000" w:sz="6" w:space="0"/>
            </w:tcBorders>
            <w:shd w:val="clear" w:color="auto" w:fill="FFFFFF" w:themeFill="background1" w:themeFillTint="33"/>
            <w:tcMar>
              <w:top w:w="0" w:type="dxa"/>
              <w:left w:w="100" w:type="dxa"/>
              <w:bottom w:w="0" w:type="dxa"/>
              <w:right w:w="100" w:type="dxa"/>
            </w:tcMar>
          </w:tcPr>
          <w:p w14:paraId="580123F7">
            <w:pPr>
              <w:spacing w:before="0" w:after="0"/>
              <w:jc w:val="center"/>
              <w:rPr>
                <w:b/>
                <w:bCs/>
              </w:rPr>
            </w:pPr>
            <w:r>
              <w:rPr>
                <w:b/>
                <w:bCs/>
              </w:rPr>
              <w:t>Development Plan</w:t>
            </w:r>
          </w:p>
        </w:tc>
      </w:tr>
      <w:tr w14:paraId="1C2B23E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EF2CA" w:themeFill="accent3" w:themeFillTint="33"/>
          <w:tblCellMar>
            <w:top w:w="100" w:type="dxa"/>
            <w:left w:w="100" w:type="dxa"/>
            <w:bottom w:w="100" w:type="dxa"/>
            <w:right w:w="100" w:type="dxa"/>
          </w:tblCellMar>
        </w:tblPrEx>
        <w:trPr>
          <w:trHeight w:val="765" w:hRule="atLeast"/>
        </w:trPr>
        <w:tc>
          <w:tcPr>
            <w:tcW w:w="3000" w:type="dxa"/>
            <w:tcBorders>
              <w:top w:val="nil"/>
              <w:left w:val="single" w:color="000000" w:sz="6" w:space="0"/>
              <w:bottom w:val="single" w:color="000000" w:sz="6" w:space="0"/>
              <w:right w:val="single" w:color="000000" w:sz="6" w:space="0"/>
            </w:tcBorders>
            <w:shd w:val="clear" w:color="auto" w:fill="FFFFFF" w:themeFill="background1" w:themeFillTint="33"/>
            <w:tcMar>
              <w:top w:w="0" w:type="dxa"/>
              <w:left w:w="100" w:type="dxa"/>
              <w:bottom w:w="0" w:type="dxa"/>
              <w:right w:w="100" w:type="dxa"/>
            </w:tcMar>
          </w:tcPr>
          <w:p w14:paraId="1C8A683F">
            <w:pPr>
              <w:spacing w:before="0" w:after="0"/>
            </w:pPr>
            <w:r>
              <w:t>Data Literacy</w:t>
            </w:r>
          </w:p>
        </w:tc>
        <w:tc>
          <w:tcPr>
            <w:tcW w:w="6015" w:type="dxa"/>
            <w:tcBorders>
              <w:top w:val="nil"/>
              <w:left w:val="nil"/>
              <w:bottom w:val="single" w:color="000000" w:sz="6" w:space="0"/>
              <w:right w:val="single" w:color="000000" w:sz="6" w:space="0"/>
            </w:tcBorders>
            <w:shd w:val="clear" w:color="auto" w:fill="FFFFFF" w:themeFill="background1" w:themeFillTint="33"/>
            <w:tcMar>
              <w:top w:w="0" w:type="dxa"/>
              <w:left w:w="100" w:type="dxa"/>
              <w:bottom w:w="0" w:type="dxa"/>
              <w:right w:w="100" w:type="dxa"/>
            </w:tcMar>
          </w:tcPr>
          <w:p w14:paraId="1444729D">
            <w:pPr>
              <w:spacing w:before="0" w:after="0"/>
            </w:pPr>
            <w:r>
              <w:t>Enhance my ability to analyse HR data by learning people analytics tools and interpreting workforce metrics to support evidence-based decision-making.</w:t>
            </w:r>
          </w:p>
        </w:tc>
      </w:tr>
      <w:tr w14:paraId="2BE372D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EF2CA" w:themeFill="accent3" w:themeFillTint="33"/>
          <w:tblCellMar>
            <w:top w:w="100" w:type="dxa"/>
            <w:left w:w="100" w:type="dxa"/>
            <w:bottom w:w="100" w:type="dxa"/>
            <w:right w:w="100" w:type="dxa"/>
          </w:tblCellMar>
        </w:tblPrEx>
        <w:trPr>
          <w:trHeight w:val="765" w:hRule="atLeast"/>
        </w:trPr>
        <w:tc>
          <w:tcPr>
            <w:tcW w:w="3000" w:type="dxa"/>
            <w:tcBorders>
              <w:top w:val="nil"/>
              <w:left w:val="single" w:color="000000" w:sz="6" w:space="0"/>
              <w:bottom w:val="single" w:color="000000" w:sz="6" w:space="0"/>
              <w:right w:val="single" w:color="000000" w:sz="6" w:space="0"/>
            </w:tcBorders>
            <w:shd w:val="clear" w:color="auto" w:fill="FFFFFF" w:themeFill="background1" w:themeFillTint="33"/>
            <w:tcMar>
              <w:top w:w="0" w:type="dxa"/>
              <w:left w:w="100" w:type="dxa"/>
              <w:bottom w:w="0" w:type="dxa"/>
              <w:right w:w="100" w:type="dxa"/>
            </w:tcMar>
          </w:tcPr>
          <w:p w14:paraId="6B648A82">
            <w:pPr>
              <w:spacing w:before="0" w:after="0"/>
            </w:pPr>
            <w:r>
              <w:t>AI Augmentation in HR</w:t>
            </w:r>
          </w:p>
        </w:tc>
        <w:tc>
          <w:tcPr>
            <w:tcW w:w="6015" w:type="dxa"/>
            <w:tcBorders>
              <w:top w:val="nil"/>
              <w:left w:val="nil"/>
              <w:bottom w:val="single" w:color="000000" w:sz="6" w:space="0"/>
              <w:right w:val="single" w:color="000000" w:sz="6" w:space="0"/>
            </w:tcBorders>
            <w:shd w:val="clear" w:color="auto" w:fill="FFFFFF" w:themeFill="background1" w:themeFillTint="33"/>
            <w:tcMar>
              <w:top w:w="0" w:type="dxa"/>
              <w:left w:w="100" w:type="dxa"/>
              <w:bottom w:w="0" w:type="dxa"/>
              <w:right w:w="100" w:type="dxa"/>
            </w:tcMar>
          </w:tcPr>
          <w:p w14:paraId="1BDA61B0">
            <w:pPr>
              <w:spacing w:before="0" w:after="0"/>
            </w:pPr>
            <w:r>
              <w:t>Develop practical knowledge of AI applications in recruitment, performance management, and workforce planning while ensuring ethical use and avoiding over-reliance on automated decisions (Dongre and Kanchan, 2025).</w:t>
            </w:r>
          </w:p>
        </w:tc>
      </w:tr>
      <w:tr w14:paraId="5E3A2DEF">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EF2CA" w:themeFill="accent3" w:themeFillTint="33"/>
          <w:tblCellMar>
            <w:top w:w="100" w:type="dxa"/>
            <w:left w:w="100" w:type="dxa"/>
            <w:bottom w:w="100" w:type="dxa"/>
            <w:right w:w="100" w:type="dxa"/>
          </w:tblCellMar>
        </w:tblPrEx>
        <w:trPr>
          <w:trHeight w:val="765" w:hRule="atLeast"/>
        </w:trPr>
        <w:tc>
          <w:tcPr>
            <w:tcW w:w="3000" w:type="dxa"/>
            <w:tcBorders>
              <w:top w:val="nil"/>
              <w:left w:val="single" w:color="000000" w:sz="6" w:space="0"/>
              <w:bottom w:val="single" w:color="000000" w:sz="6" w:space="0"/>
              <w:right w:val="single" w:color="000000" w:sz="6" w:space="0"/>
            </w:tcBorders>
            <w:shd w:val="clear" w:color="auto" w:fill="FFFFFF" w:themeFill="background1" w:themeFillTint="33"/>
            <w:tcMar>
              <w:top w:w="0" w:type="dxa"/>
              <w:left w:w="100" w:type="dxa"/>
              <w:bottom w:w="0" w:type="dxa"/>
              <w:right w:w="100" w:type="dxa"/>
            </w:tcMar>
          </w:tcPr>
          <w:p w14:paraId="2D3BEA72">
            <w:pPr>
              <w:spacing w:before="0" w:after="0"/>
            </w:pPr>
            <w:r>
              <w:t>Strategic Influencing Skills</w:t>
            </w:r>
          </w:p>
        </w:tc>
        <w:tc>
          <w:tcPr>
            <w:tcW w:w="6015" w:type="dxa"/>
            <w:tcBorders>
              <w:top w:val="nil"/>
              <w:left w:val="nil"/>
              <w:bottom w:val="single" w:color="000000" w:sz="6" w:space="0"/>
              <w:right w:val="single" w:color="000000" w:sz="6" w:space="0"/>
            </w:tcBorders>
            <w:shd w:val="clear" w:color="auto" w:fill="FFFFFF" w:themeFill="background1" w:themeFillTint="33"/>
            <w:tcMar>
              <w:top w:w="0" w:type="dxa"/>
              <w:left w:w="100" w:type="dxa"/>
              <w:bottom w:w="0" w:type="dxa"/>
              <w:right w:w="100" w:type="dxa"/>
            </w:tcMar>
          </w:tcPr>
          <w:p w14:paraId="6DCB6281">
            <w:pPr>
              <w:spacing w:before="0" w:after="0"/>
            </w:pPr>
            <w:r>
              <w:t>Improve communication, negotiation, and stakeholder management skills through professional training and collaborative projects to contribute more effectively as a strategic HR partner.</w:t>
            </w:r>
          </w:p>
        </w:tc>
      </w:tr>
      <w:tr w14:paraId="18C95ED0">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EF2CA" w:themeFill="accent3" w:themeFillTint="33"/>
          <w:tblCellMar>
            <w:top w:w="100" w:type="dxa"/>
            <w:left w:w="100" w:type="dxa"/>
            <w:bottom w:w="100" w:type="dxa"/>
            <w:right w:w="100" w:type="dxa"/>
          </w:tblCellMar>
        </w:tblPrEx>
        <w:trPr>
          <w:trHeight w:val="765" w:hRule="atLeast"/>
        </w:trPr>
        <w:tc>
          <w:tcPr>
            <w:tcW w:w="3000" w:type="dxa"/>
            <w:tcBorders>
              <w:top w:val="nil"/>
              <w:left w:val="single" w:color="000000" w:sz="6" w:space="0"/>
              <w:bottom w:val="single" w:color="000000" w:sz="6" w:space="0"/>
              <w:right w:val="single" w:color="000000" w:sz="6" w:space="0"/>
            </w:tcBorders>
            <w:shd w:val="clear" w:color="auto" w:fill="FFFFFF" w:themeFill="background1" w:themeFillTint="33"/>
            <w:tcMar>
              <w:top w:w="0" w:type="dxa"/>
              <w:left w:w="100" w:type="dxa"/>
              <w:bottom w:w="0" w:type="dxa"/>
              <w:right w:w="100" w:type="dxa"/>
            </w:tcMar>
          </w:tcPr>
          <w:p w14:paraId="10CF284F">
            <w:pPr>
              <w:spacing w:before="0" w:after="0"/>
            </w:pPr>
            <w:r>
              <w:t>Global Mobility Awareness</w:t>
            </w:r>
          </w:p>
        </w:tc>
        <w:tc>
          <w:tcPr>
            <w:tcW w:w="6015" w:type="dxa"/>
            <w:tcBorders>
              <w:top w:val="nil"/>
              <w:left w:val="nil"/>
              <w:bottom w:val="single" w:color="000000" w:sz="6" w:space="0"/>
              <w:right w:val="single" w:color="000000" w:sz="6" w:space="0"/>
            </w:tcBorders>
            <w:shd w:val="clear" w:color="auto" w:fill="FFFFFF" w:themeFill="background1" w:themeFillTint="33"/>
            <w:tcMar>
              <w:top w:w="0" w:type="dxa"/>
              <w:left w:w="100" w:type="dxa"/>
              <w:bottom w:w="0" w:type="dxa"/>
              <w:right w:w="100" w:type="dxa"/>
            </w:tcMar>
          </w:tcPr>
          <w:p w14:paraId="1A1BC578">
            <w:pPr>
              <w:spacing w:before="0" w:after="0"/>
            </w:pPr>
            <w:r>
              <w:t>Build knowledge of international HRM, cross-cultural management, and expatriate practices to effectively manage diverse workforces within multinational organisations.</w:t>
            </w:r>
          </w:p>
        </w:tc>
      </w:tr>
      <w:tr w14:paraId="1D9D5B1A">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FEF2CA" w:themeFill="accent3" w:themeFillTint="33"/>
          <w:tblCellMar>
            <w:top w:w="100" w:type="dxa"/>
            <w:left w:w="100" w:type="dxa"/>
            <w:bottom w:w="100" w:type="dxa"/>
            <w:right w:w="100" w:type="dxa"/>
          </w:tblCellMar>
        </w:tblPrEx>
        <w:trPr>
          <w:trHeight w:val="765" w:hRule="atLeast"/>
        </w:trPr>
        <w:tc>
          <w:tcPr>
            <w:tcW w:w="3000" w:type="dxa"/>
            <w:tcBorders>
              <w:top w:val="nil"/>
              <w:left w:val="single" w:color="000000" w:sz="6" w:space="0"/>
              <w:bottom w:val="single" w:color="000000" w:sz="6" w:space="0"/>
              <w:right w:val="single" w:color="000000" w:sz="6" w:space="0"/>
            </w:tcBorders>
            <w:shd w:val="clear" w:color="auto" w:fill="FFFFFF" w:themeFill="background1" w:themeFillTint="33"/>
            <w:tcMar>
              <w:top w:w="0" w:type="dxa"/>
              <w:left w:w="100" w:type="dxa"/>
              <w:bottom w:w="0" w:type="dxa"/>
              <w:right w:w="100" w:type="dxa"/>
            </w:tcMar>
          </w:tcPr>
          <w:p w14:paraId="0F0D0C59">
            <w:pPr>
              <w:spacing w:before="0" w:after="0"/>
            </w:pPr>
            <w:r>
              <w:t>Continuous Professional Development</w:t>
            </w:r>
          </w:p>
        </w:tc>
        <w:tc>
          <w:tcPr>
            <w:tcW w:w="6015" w:type="dxa"/>
            <w:tcBorders>
              <w:top w:val="nil"/>
              <w:left w:val="nil"/>
              <w:bottom w:val="single" w:color="000000" w:sz="6" w:space="0"/>
              <w:right w:val="single" w:color="000000" w:sz="6" w:space="0"/>
            </w:tcBorders>
            <w:shd w:val="clear" w:color="auto" w:fill="FFFFFF" w:themeFill="background1" w:themeFillTint="33"/>
            <w:tcMar>
              <w:top w:w="0" w:type="dxa"/>
              <w:left w:w="100" w:type="dxa"/>
              <w:bottom w:w="0" w:type="dxa"/>
              <w:right w:w="100" w:type="dxa"/>
            </w:tcMar>
          </w:tcPr>
          <w:p w14:paraId="27252482">
            <w:pPr>
              <w:spacing w:before="0" w:after="0"/>
            </w:pPr>
            <w:r>
              <w:t xml:space="preserve">Engage in lifelong learning through HR certifications, webinars, industry research, and networking to remain adaptable to emerging technologies and changing organisational needs (Pezeshkpour </w:t>
            </w:r>
            <w:r>
              <w:rPr>
                <w:i/>
                <w:iCs/>
              </w:rPr>
              <w:t xml:space="preserve">et al., </w:t>
            </w:r>
            <w:r>
              <w:t>2023).</w:t>
            </w:r>
          </w:p>
        </w:tc>
      </w:tr>
    </w:tbl>
    <w:p w14:paraId="21FEEE44">
      <w:pPr>
        <w:pStyle w:val="6"/>
        <w:jc w:val="center"/>
        <w:rPr>
          <w:sz w:val="24"/>
          <w:szCs w:val="24"/>
        </w:rPr>
      </w:pPr>
      <w:bookmarkStart w:id="40" w:name="_heading=h.9xrue2n4phd" w:colFirst="0" w:colLast="0"/>
      <w:bookmarkEnd w:id="40"/>
      <w:bookmarkStart w:id="41" w:name="_Toc235015834"/>
      <w:r>
        <w:rPr>
          <w:sz w:val="24"/>
          <w:szCs w:val="24"/>
        </w:rPr>
        <w:t>Table 2: Personal development plan</w:t>
      </w:r>
      <w:bookmarkEnd w:id="41"/>
    </w:p>
    <w:p w14:paraId="187E42E5">
      <w:pPr>
        <w:jc w:val="center"/>
      </w:pPr>
      <w:r>
        <w:t>(Source: Self-developed)</w:t>
      </w:r>
    </w:p>
    <w:p w14:paraId="5FF08F77">
      <w:pPr>
        <w:spacing w:before="240" w:after="240"/>
        <w:ind w:firstLine="720" w:firstLineChars="0"/>
      </w:pPr>
    </w:p>
    <w:p w14:paraId="19D495AA">
      <w:pPr>
        <w:pStyle w:val="2"/>
        <w:spacing w:before="240" w:after="240"/>
      </w:pPr>
      <w:bookmarkStart w:id="42" w:name="_heading=h.gdd1jz15hjuz" w:colFirst="0" w:colLast="0"/>
      <w:bookmarkEnd w:id="42"/>
      <w:r>
        <w:br w:type="page"/>
      </w:r>
    </w:p>
    <w:p w14:paraId="379754FA">
      <w:pPr>
        <w:pStyle w:val="2"/>
        <w:spacing w:before="240" w:after="240"/>
        <w:rPr>
          <w:sz w:val="24"/>
          <w:szCs w:val="24"/>
        </w:rPr>
      </w:pPr>
      <w:bookmarkStart w:id="43" w:name="_heading=h.2458nroxjy4s" w:colFirst="0" w:colLast="0"/>
      <w:bookmarkEnd w:id="43"/>
      <w:bookmarkStart w:id="44" w:name="_Toc235015784"/>
      <w:r>
        <w:rPr>
          <w:sz w:val="28"/>
          <w:szCs w:val="28"/>
        </w:rPr>
        <w:t>References</w:t>
      </w:r>
      <w:bookmarkEnd w:id="44"/>
    </w:p>
    <w:p w14:paraId="645AE0CD">
      <w:pPr>
        <w:numPr>
          <w:ilvl w:val="0"/>
          <w:numId w:val="12"/>
        </w:numPr>
        <w:shd w:val="clear" w:color="auto" w:fill="FFFFFF"/>
        <w:spacing w:before="0" w:after="240"/>
        <w:ind w:left="425" w:leftChars="0" w:hanging="425" w:firstLineChars="0"/>
      </w:pPr>
      <w:r>
        <w:t xml:space="preserve">Anvari, R., Kumpikaitė-Valiūnienė, V., Mobarhan, R., Janjaria, M. and Hosseinpour Chermahini, S., 2023. Strategic human resource management practitioners’ emotional intelligence and affective organizational commitment in higher education institutions in Georgia during post-COVID-19. </w:t>
      </w:r>
      <w:r>
        <w:rPr>
          <w:i/>
          <w:iCs/>
        </w:rPr>
        <w:t>Plos one</w:t>
      </w:r>
      <w:r>
        <w:t xml:space="preserve">, </w:t>
      </w:r>
      <w:r>
        <w:rPr>
          <w:i/>
          <w:iCs/>
        </w:rPr>
        <w:t>18</w:t>
      </w:r>
      <w:r>
        <w:t>(12), p.e0295084.</w:t>
      </w:r>
    </w:p>
    <w:p w14:paraId="00FFE55C">
      <w:pPr>
        <w:numPr>
          <w:ilvl w:val="0"/>
          <w:numId w:val="12"/>
        </w:numPr>
        <w:shd w:val="clear" w:color="auto" w:fill="FFFFFF"/>
        <w:spacing w:before="0" w:after="240"/>
        <w:ind w:left="425" w:leftChars="0" w:hanging="425" w:firstLineChars="0"/>
      </w:pPr>
      <w:r>
        <w:t xml:space="preserve">Bagis, F. and Yulianeu, A., 2024. Enhancing employee performance through AI-enabled HR analytics: Exploring the roles of job crafting, perceived risk, and employee engagement. </w:t>
      </w:r>
      <w:r>
        <w:rPr>
          <w:i/>
          <w:iCs/>
        </w:rPr>
        <w:t>Journal of Digitovation and information system</w:t>
      </w:r>
      <w:r>
        <w:t xml:space="preserve">, </w:t>
      </w:r>
      <w:r>
        <w:rPr>
          <w:i/>
          <w:iCs/>
        </w:rPr>
        <w:t>4</w:t>
      </w:r>
      <w:r>
        <w:t>(1), pp.81-97.</w:t>
      </w:r>
    </w:p>
    <w:p w14:paraId="1F0B7321">
      <w:pPr>
        <w:numPr>
          <w:ilvl w:val="0"/>
          <w:numId w:val="12"/>
        </w:numPr>
        <w:shd w:val="clear" w:color="auto" w:fill="FFFFFF"/>
        <w:spacing w:before="0" w:after="240"/>
        <w:ind w:left="425" w:leftChars="0" w:hanging="425" w:firstLineChars="0"/>
      </w:pPr>
      <w:r>
        <w:t xml:space="preserve">Bone, M., Ehlinger, E.G. and Stephany, F., 2025. Skills or degree? The rise of skill-based hiring for AI and green jobs. </w:t>
      </w:r>
      <w:r>
        <w:rPr>
          <w:i/>
          <w:iCs/>
        </w:rPr>
        <w:t>Technological Forecasting and Social Change</w:t>
      </w:r>
      <w:r>
        <w:t xml:space="preserve">, </w:t>
      </w:r>
      <w:r>
        <w:rPr>
          <w:i/>
          <w:iCs/>
        </w:rPr>
        <w:t>214</w:t>
      </w:r>
      <w:r>
        <w:t>, p.124042.</w:t>
      </w:r>
    </w:p>
    <w:p w14:paraId="2F2F57AB">
      <w:pPr>
        <w:numPr>
          <w:ilvl w:val="0"/>
          <w:numId w:val="12"/>
        </w:numPr>
        <w:shd w:val="clear" w:color="auto" w:fill="FFFFFF"/>
        <w:spacing w:before="0" w:after="240"/>
        <w:ind w:left="425" w:leftChars="0" w:hanging="425" w:firstLineChars="0"/>
      </w:pPr>
      <w:r>
        <w:t xml:space="preserve">Cheng, B., Lin, H. and Kong, Y., 2023. Challenge or hindrance? How and when organizational artificial intelligence adoption influences employee job crafting. </w:t>
      </w:r>
      <w:r>
        <w:rPr>
          <w:i/>
          <w:iCs/>
        </w:rPr>
        <w:t>Journal of Business Research</w:t>
      </w:r>
      <w:r>
        <w:t xml:space="preserve">, </w:t>
      </w:r>
      <w:r>
        <w:rPr>
          <w:i/>
          <w:iCs/>
        </w:rPr>
        <w:t>164</w:t>
      </w:r>
      <w:r>
        <w:t>, p.113987.</w:t>
      </w:r>
    </w:p>
    <w:p w14:paraId="6F357075">
      <w:pPr>
        <w:numPr>
          <w:ilvl w:val="0"/>
          <w:numId w:val="12"/>
        </w:numPr>
        <w:shd w:val="clear" w:color="auto" w:fill="FFFFFF"/>
        <w:spacing w:before="0" w:after="240"/>
        <w:ind w:left="425" w:leftChars="0" w:hanging="425" w:firstLineChars="0"/>
      </w:pPr>
      <w:r>
        <w:t xml:space="preserve">Demerouti, E., Roth, C., Ebner, K., Soucek, R. and Moser, K., 2024. Toward a better understanding of self‐regulation promoting interventions: When performance management and job crafting meet. </w:t>
      </w:r>
      <w:r>
        <w:rPr>
          <w:i/>
          <w:iCs/>
        </w:rPr>
        <w:t>Human Resource Management</w:t>
      </w:r>
      <w:r>
        <w:t xml:space="preserve">, </w:t>
      </w:r>
      <w:r>
        <w:rPr>
          <w:i/>
          <w:iCs/>
        </w:rPr>
        <w:t>63</w:t>
      </w:r>
      <w:r>
        <w:t>(5), pp.849-867.</w:t>
      </w:r>
    </w:p>
    <w:p w14:paraId="339B61A1">
      <w:pPr>
        <w:numPr>
          <w:ilvl w:val="0"/>
          <w:numId w:val="12"/>
        </w:numPr>
        <w:shd w:val="clear" w:color="auto" w:fill="FFFFFF"/>
        <w:spacing w:before="0" w:after="240"/>
        <w:ind w:left="425" w:leftChars="0" w:hanging="425" w:firstLineChars="0"/>
      </w:pPr>
      <w:r>
        <w:t xml:space="preserve">Dongre, D. and Kanchan, P., 2025. THE FUTURE OF HIRING: IMPACT OF SKILL-BASED HIRING ON PROFESSIONAL DEVELOPMENT AND LIFELONG LEARNING. </w:t>
      </w:r>
      <w:r>
        <w:rPr>
          <w:i/>
          <w:iCs/>
        </w:rPr>
        <w:t>VIDYA-A JOURNAL OF GUJARAT UNIVERSITY</w:t>
      </w:r>
      <w:r>
        <w:t xml:space="preserve">, </w:t>
      </w:r>
      <w:r>
        <w:rPr>
          <w:i/>
          <w:iCs/>
        </w:rPr>
        <w:t>4</w:t>
      </w:r>
      <w:r>
        <w:t>(2), pp.66-72.</w:t>
      </w:r>
    </w:p>
    <w:p w14:paraId="3A70D2BF">
      <w:pPr>
        <w:numPr>
          <w:ilvl w:val="0"/>
          <w:numId w:val="12"/>
        </w:numPr>
        <w:shd w:val="clear" w:color="auto" w:fill="FFFFFF"/>
        <w:spacing w:before="0" w:after="240"/>
        <w:ind w:left="425" w:leftChars="0" w:hanging="425" w:firstLineChars="0"/>
      </w:pPr>
      <w:r>
        <w:t xml:space="preserve">Harju, L.K., Tims, M., Hakanen, J.J. and Khapova, S.N., 2024. Crafting for oneself while considering others: How the relational design of work shapes job crafting. </w:t>
      </w:r>
      <w:r>
        <w:rPr>
          <w:i/>
          <w:iCs/>
        </w:rPr>
        <w:t>The InTernaTIonal Journal of human resource managemenT</w:t>
      </w:r>
      <w:r>
        <w:t xml:space="preserve">, </w:t>
      </w:r>
      <w:r>
        <w:rPr>
          <w:i/>
          <w:iCs/>
        </w:rPr>
        <w:t>35</w:t>
      </w:r>
      <w:r>
        <w:t>(1), pp.67-97.</w:t>
      </w:r>
    </w:p>
    <w:p w14:paraId="623D56A1">
      <w:pPr>
        <w:numPr>
          <w:ilvl w:val="0"/>
          <w:numId w:val="12"/>
        </w:numPr>
        <w:shd w:val="clear" w:color="auto" w:fill="FFFFFF"/>
        <w:spacing w:before="0" w:after="240"/>
        <w:ind w:left="425" w:leftChars="0" w:hanging="425" w:firstLineChars="0"/>
      </w:pPr>
      <w:r>
        <w:t xml:space="preserve">Kim, S., Khoreva, V. and Vaiman, V., 2025. Strategic human resource management in the era of algorithmic technologies: key insights and future research agenda. </w:t>
      </w:r>
      <w:r>
        <w:rPr>
          <w:i/>
          <w:iCs/>
        </w:rPr>
        <w:t>Human Resource Management</w:t>
      </w:r>
      <w:r>
        <w:t xml:space="preserve">, </w:t>
      </w:r>
      <w:r>
        <w:rPr>
          <w:i/>
          <w:iCs/>
        </w:rPr>
        <w:t>64</w:t>
      </w:r>
      <w:r>
        <w:t>(2), pp.447-464.</w:t>
      </w:r>
    </w:p>
    <w:p w14:paraId="75237141">
      <w:pPr>
        <w:numPr>
          <w:ilvl w:val="0"/>
          <w:numId w:val="12"/>
        </w:numPr>
        <w:shd w:val="clear" w:color="auto" w:fill="FFFFFF"/>
        <w:spacing w:before="0" w:after="240"/>
        <w:ind w:left="425" w:leftChars="0" w:hanging="425" w:firstLineChars="0"/>
      </w:pPr>
      <w:r>
        <w:t xml:space="preserve">Korczynski, M., 2023. The social contract of work: Moving beyond the psychological contract. </w:t>
      </w:r>
      <w:r>
        <w:rPr>
          <w:i/>
          <w:iCs/>
        </w:rPr>
        <w:t>Human Resource Management Journal</w:t>
      </w:r>
      <w:r>
        <w:t xml:space="preserve">, </w:t>
      </w:r>
      <w:r>
        <w:rPr>
          <w:i/>
          <w:iCs/>
        </w:rPr>
        <w:t>33</w:t>
      </w:r>
      <w:r>
        <w:t>(1), pp.115-128.</w:t>
      </w:r>
    </w:p>
    <w:p w14:paraId="72478138">
      <w:pPr>
        <w:numPr>
          <w:ilvl w:val="0"/>
          <w:numId w:val="12"/>
        </w:numPr>
        <w:shd w:val="clear" w:color="auto" w:fill="FFFFFF"/>
        <w:spacing w:before="0" w:after="240"/>
        <w:ind w:left="425" w:leftChars="0" w:hanging="425" w:firstLineChars="0"/>
      </w:pPr>
      <w:r>
        <w:t xml:space="preserve">Lanke, P., Nath, P., Verma, S. and Singh, V., 2024. The past, present and the future of job crafting research: A retrospective review. </w:t>
      </w:r>
      <w:r>
        <w:rPr>
          <w:i/>
          <w:iCs/>
        </w:rPr>
        <w:t>Australian Journal of Career Development</w:t>
      </w:r>
      <w:r>
        <w:t xml:space="preserve">, </w:t>
      </w:r>
      <w:r>
        <w:rPr>
          <w:i/>
          <w:iCs/>
        </w:rPr>
        <w:t>33</w:t>
      </w:r>
      <w:r>
        <w:t>(1), pp.57-71.</w:t>
      </w:r>
    </w:p>
    <w:p w14:paraId="6EC46A8A">
      <w:pPr>
        <w:numPr>
          <w:ilvl w:val="0"/>
          <w:numId w:val="12"/>
        </w:numPr>
        <w:shd w:val="clear" w:color="auto" w:fill="FFFFFF"/>
        <w:spacing w:before="0" w:after="240"/>
        <w:ind w:left="425" w:leftChars="0" w:hanging="425" w:firstLineChars="0"/>
      </w:pPr>
      <w:r>
        <w:t xml:space="preserve">Laulié, L. and Pavez, I., 2024. Sustainable human resources management and psychological contracts: exploring theoretical anchors to solve relational tensions in employment relationships. </w:t>
      </w:r>
      <w:r>
        <w:rPr>
          <w:i/>
          <w:iCs/>
        </w:rPr>
        <w:t>Group &amp; Organization Management</w:t>
      </w:r>
      <w:r>
        <w:t xml:space="preserve">, </w:t>
      </w:r>
      <w:r>
        <w:rPr>
          <w:i/>
          <w:iCs/>
        </w:rPr>
        <w:t>49</w:t>
      </w:r>
      <w:r>
        <w:t>(6), pp.1391-1424.</w:t>
      </w:r>
    </w:p>
    <w:p w14:paraId="0BF1D65B">
      <w:pPr>
        <w:numPr>
          <w:ilvl w:val="0"/>
          <w:numId w:val="12"/>
        </w:numPr>
        <w:shd w:val="clear" w:color="auto" w:fill="FFFFFF"/>
        <w:spacing w:before="0" w:after="240"/>
        <w:ind w:left="425" w:leftChars="0" w:hanging="425" w:firstLineChars="0"/>
      </w:pPr>
      <w:r>
        <w:t xml:space="preserve">Li, W., Qin, X., Yam, K.C., Deng, H., Chen, C., Dong, X., Jiang, L. and Tang, W., 2024. Embracing artificial intelligence (AI) with job crafting: Exploring trickle-down effect and employees’ outcomes. </w:t>
      </w:r>
      <w:r>
        <w:rPr>
          <w:i/>
          <w:iCs/>
        </w:rPr>
        <w:t>Tourism Management</w:t>
      </w:r>
      <w:r>
        <w:t xml:space="preserve">, </w:t>
      </w:r>
      <w:r>
        <w:rPr>
          <w:i/>
          <w:iCs/>
        </w:rPr>
        <w:t>104</w:t>
      </w:r>
      <w:r>
        <w:t>, p.104935.</w:t>
      </w:r>
    </w:p>
    <w:p w14:paraId="4A49CD8C">
      <w:pPr>
        <w:numPr>
          <w:ilvl w:val="0"/>
          <w:numId w:val="12"/>
        </w:numPr>
        <w:shd w:val="clear" w:color="auto" w:fill="FFFFFF"/>
        <w:spacing w:before="0" w:after="240"/>
        <w:ind w:left="425" w:leftChars="0" w:hanging="425" w:firstLineChars="0"/>
      </w:pPr>
      <w:r>
        <w:t xml:space="preserve">LIANG, Y., WU, T.J., DUAN, W.Y., Li, S.J. and Cui, X.X., 2024. AI-Related Job Crafting to (In) Congruence Between Human-AI Collaboration Job Demands and Resources. In </w:t>
      </w:r>
      <w:r>
        <w:rPr>
          <w:i/>
          <w:iCs/>
        </w:rPr>
        <w:t>Academy of Management Proceedings</w:t>
      </w:r>
      <w:r>
        <w:t xml:space="preserve"> (Vol. 2024, No. 1, p. 14576). Valhalla, NY 10595: Academy of Management.</w:t>
      </w:r>
    </w:p>
    <w:p w14:paraId="120B5F41">
      <w:pPr>
        <w:numPr>
          <w:ilvl w:val="0"/>
          <w:numId w:val="12"/>
        </w:numPr>
        <w:shd w:val="clear" w:color="auto" w:fill="FFFFFF"/>
        <w:spacing w:before="0" w:after="240"/>
        <w:ind w:left="425" w:leftChars="0" w:hanging="425" w:firstLineChars="0"/>
      </w:pPr>
      <w:r>
        <w:t xml:space="preserve">Lopper, E., Horstmann, K.T. and Hoppe, A., 2024. The Approach‐Avoidance Job Crafting Scale: Development and validation of a measurement of the hierarchical structure of job crafting. </w:t>
      </w:r>
      <w:r>
        <w:rPr>
          <w:i/>
          <w:iCs/>
        </w:rPr>
        <w:t>Applied Psychology</w:t>
      </w:r>
      <w:r>
        <w:t xml:space="preserve">, </w:t>
      </w:r>
      <w:r>
        <w:rPr>
          <w:i/>
          <w:iCs/>
        </w:rPr>
        <w:t>73</w:t>
      </w:r>
      <w:r>
        <w:t>(1), pp.93-134.</w:t>
      </w:r>
    </w:p>
    <w:p w14:paraId="76E0ECA1">
      <w:pPr>
        <w:numPr>
          <w:ilvl w:val="0"/>
          <w:numId w:val="12"/>
        </w:numPr>
        <w:shd w:val="clear" w:color="auto" w:fill="FFFFFF"/>
        <w:spacing w:before="0" w:after="240"/>
        <w:ind w:left="425" w:leftChars="0" w:hanging="425" w:firstLineChars="0"/>
      </w:pPr>
      <w:r>
        <w:t xml:space="preserve">Madanchian, M., 2024. From recruitment to retention: AI tools for human resource decision-making. </w:t>
      </w:r>
      <w:r>
        <w:rPr>
          <w:i/>
          <w:iCs/>
        </w:rPr>
        <w:t>Applied Sciences</w:t>
      </w:r>
      <w:r>
        <w:t xml:space="preserve">, </w:t>
      </w:r>
      <w:r>
        <w:rPr>
          <w:i/>
          <w:iCs/>
        </w:rPr>
        <w:t>14</w:t>
      </w:r>
      <w:r>
        <w:t>(24), p.11750.</w:t>
      </w:r>
    </w:p>
    <w:p w14:paraId="02689AB7">
      <w:pPr>
        <w:numPr>
          <w:ilvl w:val="0"/>
          <w:numId w:val="12"/>
        </w:numPr>
        <w:shd w:val="clear" w:color="auto" w:fill="FFFFFF"/>
        <w:spacing w:before="0" w:after="240"/>
        <w:ind w:left="425" w:leftChars="0" w:hanging="425" w:firstLineChars="0"/>
      </w:pPr>
      <w:r>
        <w:t xml:space="preserve">Pezeshkpour, P., Iso, H., Lake, T., Bhutani, N. and Hruschka, E., 2023. Distilling Large Language Models using Skill-Occupation Graph Context for HR-Related Tasks. </w:t>
      </w:r>
      <w:r>
        <w:rPr>
          <w:i/>
          <w:iCs/>
        </w:rPr>
        <w:t>arXiv preprint arXiv:2311.06383</w:t>
      </w:r>
      <w:r>
        <w:t>.</w:t>
      </w:r>
    </w:p>
    <w:p w14:paraId="27057334">
      <w:pPr>
        <w:numPr>
          <w:ilvl w:val="0"/>
          <w:numId w:val="12"/>
        </w:numPr>
        <w:shd w:val="clear" w:color="auto" w:fill="FFFFFF"/>
        <w:spacing w:before="0" w:after="240"/>
        <w:ind w:left="425" w:leftChars="0" w:hanging="425" w:firstLineChars="0"/>
      </w:pPr>
      <w:r>
        <w:rPr>
          <w:color w:val="000000"/>
        </w:rPr>
        <w:t>ResearchGate, 2026</w:t>
      </w:r>
      <w:r>
        <w:rPr>
          <w:i/>
          <w:iCs/>
          <w:color w:val="000000"/>
        </w:rPr>
        <w:t xml:space="preserve"> A-model-of-psychological-contract-creation</w:t>
      </w:r>
      <w:r>
        <w:rPr>
          <w:color w:val="000000"/>
        </w:rPr>
        <w:t xml:space="preserve"> available at: </w:t>
      </w:r>
      <w:r>
        <w:fldChar w:fldCharType="begin"/>
      </w:r>
      <w:r>
        <w:instrText xml:space="preserve"> HYPERLINK "https://www.researchgate.net/figure/A-model-of-psychological-contract-creation_fig1_235318799" \h </w:instrText>
      </w:r>
      <w:r>
        <w:fldChar w:fldCharType="separate"/>
      </w:r>
      <w:r>
        <w:rPr>
          <w:color w:val="1155CC"/>
          <w:u w:val="single"/>
        </w:rPr>
        <w:t>https://www.researchgate.net/figure/A-model-of-psychological-contract-creation_fig1_235318799</w:t>
      </w:r>
      <w:r>
        <w:rPr>
          <w:color w:val="1155CC"/>
          <w:u w:val="single"/>
        </w:rPr>
        <w:fldChar w:fldCharType="end"/>
      </w:r>
      <w:r>
        <w:t xml:space="preserve"> [accessed on 15.7.2026]</w:t>
      </w:r>
    </w:p>
    <w:p w14:paraId="762E1B44">
      <w:pPr>
        <w:numPr>
          <w:ilvl w:val="0"/>
          <w:numId w:val="12"/>
        </w:numPr>
        <w:shd w:val="clear" w:color="auto" w:fill="FFFFFF"/>
        <w:spacing w:before="0" w:after="240"/>
        <w:ind w:left="425" w:leftChars="0" w:hanging="425" w:firstLineChars="0"/>
      </w:pPr>
      <w:r>
        <w:rPr>
          <w:color w:val="000000"/>
        </w:rPr>
        <w:t>ResearchGate, 2026</w:t>
      </w:r>
      <w:r>
        <w:rPr>
          <w:i/>
          <w:iCs/>
          <w:color w:val="000000"/>
        </w:rPr>
        <w:t xml:space="preserve"> Guests-HRM-human-resource-management-model</w:t>
      </w:r>
      <w:r>
        <w:rPr>
          <w:color w:val="000000"/>
        </w:rPr>
        <w:t xml:space="preserve"> available at: </w:t>
      </w:r>
      <w:r>
        <w:fldChar w:fldCharType="begin"/>
      </w:r>
      <w:r>
        <w:instrText xml:space="preserve"> HYPERLINK "https://www.researchgate.net/figure/Guests-HRM-human-resource-management-model_fig5_50235774" \h </w:instrText>
      </w:r>
      <w:r>
        <w:fldChar w:fldCharType="separate"/>
      </w:r>
      <w:r>
        <w:rPr>
          <w:color w:val="1155CC"/>
          <w:u w:val="single"/>
        </w:rPr>
        <w:t>https://www.researchgate.net/figure/Guests-HRM-human-resource-management-model_fig5_50235774</w:t>
      </w:r>
      <w:r>
        <w:rPr>
          <w:color w:val="1155CC"/>
          <w:u w:val="single"/>
        </w:rPr>
        <w:fldChar w:fldCharType="end"/>
      </w:r>
      <w:r>
        <w:t xml:space="preserve"> [accessed on 15.7.2026]</w:t>
      </w:r>
    </w:p>
    <w:p w14:paraId="64FF02BC">
      <w:pPr>
        <w:numPr>
          <w:ilvl w:val="0"/>
          <w:numId w:val="12"/>
        </w:numPr>
        <w:shd w:val="clear" w:color="auto" w:fill="FFFFFF"/>
        <w:spacing w:before="0" w:after="240"/>
        <w:ind w:left="425" w:leftChars="0" w:hanging="425" w:firstLineChars="0"/>
      </w:pPr>
      <w:r>
        <w:rPr>
          <w:color w:val="000000"/>
        </w:rPr>
        <w:t>ResearchGate, 2026</w:t>
      </w:r>
      <w:r>
        <w:rPr>
          <w:i/>
          <w:iCs/>
          <w:color w:val="000000"/>
        </w:rPr>
        <w:t xml:space="preserve"> Hypothesised-Model-Note-Job-crafting-and-role-stress-are-second-order-latent-variables</w:t>
      </w:r>
      <w:r>
        <w:rPr>
          <w:color w:val="000000"/>
        </w:rPr>
        <w:t xml:space="preserve"> available at: </w:t>
      </w:r>
      <w:r>
        <w:fldChar w:fldCharType="begin"/>
      </w:r>
      <w:r>
        <w:instrText xml:space="preserve"> HYPERLINK "https://www.researchgate.net/figure/Hypothesised-Model-Note-Job-crafting-and-role-stress-are-second-order-latent-variables_fig2_325563160" \h </w:instrText>
      </w:r>
      <w:r>
        <w:fldChar w:fldCharType="separate"/>
      </w:r>
      <w:r>
        <w:rPr>
          <w:color w:val="1155CC"/>
          <w:u w:val="single"/>
        </w:rPr>
        <w:t>https://www.researchgate.net/figure/Hypothesised-Model-Note-Job-crafting-and-role-stress-are-second-order-latent-variables_fig2_325563160</w:t>
      </w:r>
      <w:r>
        <w:rPr>
          <w:color w:val="1155CC"/>
          <w:u w:val="single"/>
        </w:rPr>
        <w:fldChar w:fldCharType="end"/>
      </w:r>
      <w:r>
        <w:t xml:space="preserve">  [accessed on 15.7.2026]</w:t>
      </w:r>
    </w:p>
    <w:p w14:paraId="1CA80752">
      <w:pPr>
        <w:numPr>
          <w:ilvl w:val="0"/>
          <w:numId w:val="12"/>
        </w:numPr>
        <w:shd w:val="clear" w:color="auto" w:fill="FFFFFF"/>
        <w:spacing w:before="0" w:after="240"/>
        <w:ind w:left="425" w:leftChars="0" w:hanging="425" w:firstLineChars="0"/>
      </w:pPr>
      <w:r>
        <w:t xml:space="preserve">Strohmeier, S., 2020. Digital human resource management: A conceptual clarification. </w:t>
      </w:r>
      <w:r>
        <w:rPr>
          <w:i/>
          <w:iCs/>
        </w:rPr>
        <w:t>German Journal of Human Resource Management</w:t>
      </w:r>
      <w:r>
        <w:t xml:space="preserve">, </w:t>
      </w:r>
      <w:r>
        <w:rPr>
          <w:i/>
          <w:iCs/>
        </w:rPr>
        <w:t>34</w:t>
      </w:r>
      <w:r>
        <w:t>(3), pp.345-365.</w:t>
      </w:r>
    </w:p>
    <w:p w14:paraId="3831C58E">
      <w:pPr>
        <w:numPr>
          <w:ilvl w:val="0"/>
          <w:numId w:val="12"/>
        </w:numPr>
        <w:shd w:val="clear" w:color="auto" w:fill="FFFFFF"/>
        <w:spacing w:before="0" w:after="240"/>
        <w:ind w:left="425" w:leftChars="0" w:hanging="425" w:firstLineChars="0"/>
      </w:pPr>
      <w:r>
        <w:t xml:space="preserve">Tinguely, P.N., Lee, J. and He, V.F., 2023. Designing human resource management systems in the age of AI. </w:t>
      </w:r>
      <w:r>
        <w:rPr>
          <w:i/>
          <w:iCs/>
        </w:rPr>
        <w:t>Journal of Organization Design</w:t>
      </w:r>
      <w:r>
        <w:t xml:space="preserve">, </w:t>
      </w:r>
      <w:r>
        <w:rPr>
          <w:i/>
          <w:iCs/>
        </w:rPr>
        <w:t>12</w:t>
      </w:r>
      <w:r>
        <w:t>(4), pp.263-269.</w:t>
      </w:r>
    </w:p>
    <w:p w14:paraId="3483EB61">
      <w:pPr>
        <w:numPr>
          <w:ilvl w:val="0"/>
          <w:numId w:val="12"/>
        </w:numPr>
        <w:shd w:val="clear" w:color="auto" w:fill="FFFFFF"/>
        <w:spacing w:before="0" w:after="240"/>
        <w:ind w:left="425" w:leftChars="0" w:hanging="425" w:firstLineChars="0"/>
      </w:pPr>
      <w:r>
        <w:t xml:space="preserve">Woodrow, C., Erdem, C. and Guest, D.E., 2024. The role of previous experience in the analysis of the psychological contract and its outcomes during the socialization process: a signalling theory perspective. </w:t>
      </w:r>
      <w:r>
        <w:rPr>
          <w:i/>
          <w:iCs/>
        </w:rPr>
        <w:t>The InTernaTIonal Journal of human resource managemenT</w:t>
      </w:r>
      <w:r>
        <w:t xml:space="preserve">, </w:t>
      </w:r>
      <w:r>
        <w:rPr>
          <w:i/>
          <w:iCs/>
        </w:rPr>
        <w:t>35</w:t>
      </w:r>
      <w:r>
        <w:t>(18), pp.3145-3171.</w:t>
      </w:r>
    </w:p>
    <w:p w14:paraId="578C8483">
      <w:pPr>
        <w:numPr>
          <w:ilvl w:val="0"/>
          <w:numId w:val="12"/>
        </w:numPr>
        <w:shd w:val="clear" w:color="auto" w:fill="FFFFFF"/>
        <w:spacing w:before="0" w:after="240"/>
        <w:ind w:left="425" w:leftChars="0" w:hanging="425" w:firstLineChars="0"/>
      </w:pPr>
      <w:r>
        <w:t xml:space="preserve">Yang, C., Luo, Z., Xu, N. and Tang, C., 2024. Fostering career crafting by developmental HR practices: The mediating role of future work self and moderating role of AI awareness. </w:t>
      </w:r>
      <w:r>
        <w:rPr>
          <w:i/>
          <w:iCs/>
        </w:rPr>
        <w:t>Career Development International</w:t>
      </w:r>
      <w:r>
        <w:t xml:space="preserve">, </w:t>
      </w:r>
      <w:r>
        <w:rPr>
          <w:i/>
          <w:iCs/>
        </w:rPr>
        <w:t>29</w:t>
      </w:r>
      <w:r>
        <w:t>(6), pp.641-655.</w:t>
      </w:r>
    </w:p>
    <w:p w14:paraId="17D557BE">
      <w:pPr>
        <w:shd w:val="clear" w:color="auto" w:fill="FFFFFF"/>
        <w:spacing w:before="0" w:after="240"/>
      </w:pPr>
    </w:p>
    <w:p w14:paraId="4B45818F">
      <w:pPr>
        <w:shd w:val="clear" w:color="auto" w:fill="FFFFFF"/>
        <w:spacing w:before="0" w:after="240"/>
      </w:pPr>
    </w:p>
    <w:p w14:paraId="50B92132">
      <w:pPr>
        <w:shd w:val="clear" w:color="auto" w:fill="FFFFFF"/>
        <w:spacing w:before="0" w:after="240"/>
      </w:pPr>
    </w:p>
    <w:p w14:paraId="307F8CAB"/>
    <w:sectPr>
      <w:pgSz w:w="11906" w:h="16838"/>
      <w:pgMar w:top="960" w:right="1506" w:bottom="758" w:left="1800" w:header="720" w:footer="720" w:gutter="0"/>
      <w:cols w:space="0" w:num="1"/>
      <w:rtlGutter w:val="0"/>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等线">
    <w:altName w:val="Microsoft YaHei"/>
    <w:panose1 w:val="00000000000000000000"/>
    <w:charset w:val="86"/>
    <w:family w:val="auto"/>
    <w:pitch w:val="default"/>
    <w:sig w:usb0="00000000" w:usb1="00000000" w:usb2="00000000" w:usb3="00000000" w:csb0="00000000" w:csb1="00000000"/>
  </w:font>
  <w:font w:name="Calibri Light">
    <w:panose1 w:val="020F0302020204030204"/>
    <w:charset w:val="00"/>
    <w:family w:val="auto"/>
    <w:pitch w:val="default"/>
    <w:sig w:usb0="E4002EFF" w:usb1="C200247B" w:usb2="00000009" w:usb3="00000000" w:csb0="200001FF" w:csb1="00000000"/>
  </w:font>
  <w:font w:name="MS PGothic">
    <w:panose1 w:val="020B0600070205080204"/>
    <w:charset w:val="80"/>
    <w:family w:val="auto"/>
    <w:pitch w:val="default"/>
    <w:sig w:usb0="E00002FF" w:usb1="6AC7FDFB" w:usb2="08000012" w:usb3="00000000" w:csb0="4002009F" w:csb1="DFD7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291E6F4"/>
    <w:multiLevelType w:val="multilevel"/>
    <w:tmpl w:val="F291E6F4"/>
    <w:lvl w:ilvl="0" w:tentative="0">
      <w:start w:val="1"/>
      <w:numFmt w:val="decimal"/>
      <w:lvlText w:val="%1."/>
      <w:lvlJc w:val="left"/>
      <w:pPr>
        <w:tabs>
          <w:tab w:val="left" w:pos="425"/>
        </w:tabs>
        <w:ind w:left="425" w:leftChars="0" w:hanging="425" w:firstLineChars="0"/>
      </w:pPr>
      <w:rPr>
        <w:rFonts w:hint="default"/>
      </w:rPr>
    </w:lvl>
    <w:lvl w:ilvl="1" w:tentative="0">
      <w:start w:val="1"/>
      <w:numFmt w:val="decimal"/>
      <w:lvlText w:val="%1.%2."/>
      <w:lvlJc w:val="left"/>
      <w:pPr>
        <w:tabs>
          <w:tab w:val="left" w:pos="567"/>
        </w:tabs>
        <w:ind w:left="567" w:leftChars="0" w:hanging="567" w:firstLineChars="0"/>
      </w:pPr>
      <w:rPr>
        <w:rFonts w:hint="default"/>
        <w:sz w:val="24"/>
        <w:szCs w:val="24"/>
      </w:rPr>
    </w:lvl>
    <w:lvl w:ilvl="2" w:tentative="0">
      <w:start w:val="1"/>
      <w:numFmt w:val="decimal"/>
      <w:lvlText w:val="%1.%2.%3."/>
      <w:lvlJc w:val="left"/>
      <w:pPr>
        <w:tabs>
          <w:tab w:val="left" w:pos="709"/>
        </w:tabs>
        <w:ind w:left="709" w:leftChars="0" w:hanging="709" w:firstLineChars="0"/>
      </w:pPr>
      <w:rPr>
        <w:rFonts w:hint="default"/>
      </w:rPr>
    </w:lvl>
    <w:lvl w:ilvl="3" w:tentative="0">
      <w:start w:val="1"/>
      <w:numFmt w:val="decimal"/>
      <w:lvlText w:val="%1.%2.%3.%4."/>
      <w:lvlJc w:val="left"/>
      <w:pPr>
        <w:tabs>
          <w:tab w:val="left" w:pos="850"/>
        </w:tabs>
        <w:ind w:left="850" w:leftChars="0" w:hanging="850" w:firstLineChars="0"/>
      </w:pPr>
      <w:rPr>
        <w:rFonts w:hint="default"/>
      </w:rPr>
    </w:lvl>
    <w:lvl w:ilvl="4" w:tentative="0">
      <w:start w:val="1"/>
      <w:numFmt w:val="decimal"/>
      <w:lvlText w:val="%1.%2.%3.%4.%5."/>
      <w:lvlJc w:val="left"/>
      <w:pPr>
        <w:tabs>
          <w:tab w:val="left" w:pos="991"/>
        </w:tabs>
        <w:ind w:left="991" w:leftChars="0" w:hanging="991" w:firstLineChars="0"/>
      </w:pPr>
      <w:rPr>
        <w:rFonts w:hint="default"/>
      </w:rPr>
    </w:lvl>
    <w:lvl w:ilvl="5" w:tentative="0">
      <w:start w:val="1"/>
      <w:numFmt w:val="decimal"/>
      <w:lvlText w:val="%1.%2.%3.%4.%5.%6."/>
      <w:lvlJc w:val="left"/>
      <w:pPr>
        <w:tabs>
          <w:tab w:val="left" w:pos="1134"/>
        </w:tabs>
        <w:ind w:left="1134" w:leftChars="0" w:hanging="1134" w:firstLineChars="0"/>
      </w:pPr>
      <w:rPr>
        <w:rFonts w:hint="default"/>
      </w:rPr>
    </w:lvl>
    <w:lvl w:ilvl="6" w:tentative="0">
      <w:start w:val="1"/>
      <w:numFmt w:val="decimal"/>
      <w:lvlText w:val="%1.%2.%3.%4.%5.%6.%7."/>
      <w:lvlJc w:val="left"/>
      <w:pPr>
        <w:tabs>
          <w:tab w:val="left" w:pos="1275"/>
        </w:tabs>
        <w:ind w:left="1275" w:leftChars="0" w:hanging="1275" w:firstLineChars="0"/>
      </w:pPr>
      <w:rPr>
        <w:rFonts w:hint="default"/>
      </w:rPr>
    </w:lvl>
    <w:lvl w:ilvl="7" w:tentative="0">
      <w:start w:val="1"/>
      <w:numFmt w:val="decimal"/>
      <w:lvlText w:val="%1.%2.%3.%4.%5.%6.%7.%8."/>
      <w:lvlJc w:val="left"/>
      <w:pPr>
        <w:tabs>
          <w:tab w:val="left" w:pos="1418"/>
        </w:tabs>
        <w:ind w:left="1418" w:leftChars="0" w:hanging="1418" w:firstLineChars="0"/>
      </w:pPr>
      <w:rPr>
        <w:rFonts w:hint="default"/>
      </w:rPr>
    </w:lvl>
    <w:lvl w:ilvl="8" w:tentative="0">
      <w:start w:val="1"/>
      <w:numFmt w:val="decimal"/>
      <w:lvlText w:val="%1.%2.%3.%4.%5.%6.%7.%8.%9."/>
      <w:lvlJc w:val="left"/>
      <w:pPr>
        <w:tabs>
          <w:tab w:val="left" w:pos="1558"/>
        </w:tabs>
        <w:ind w:left="1558" w:leftChars="0" w:hanging="1558" w:firstLineChars="0"/>
      </w:pPr>
      <w:rPr>
        <w:rFonts w:hint="default"/>
      </w:rPr>
    </w:lvl>
  </w:abstractNum>
  <w:abstractNum w:abstractNumId="1">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2">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3">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4">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5">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6">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7">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8">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9">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10">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abstractNum w:abstractNumId="11">
    <w:nsid w:val="41E615AC"/>
    <w:multiLevelType w:val="singleLevel"/>
    <w:tmpl w:val="41E615AC"/>
    <w:lvl w:ilvl="0" w:tentative="0">
      <w:start w:val="1"/>
      <w:numFmt w:val="decimal"/>
      <w:lvlText w:val="%1."/>
      <w:lvlJc w:val="left"/>
      <w:pPr>
        <w:tabs>
          <w:tab w:val="left" w:pos="425"/>
        </w:tabs>
        <w:ind w:left="425" w:leftChars="0" w:hanging="425" w:firstLineChars="0"/>
      </w:pPr>
      <w:rPr>
        <w:rFonts w:hint="default"/>
      </w:rPr>
    </w:lvl>
  </w:abstractNum>
  <w:num w:numId="1">
    <w:abstractNumId w:val="10"/>
  </w:num>
  <w:num w:numId="2">
    <w:abstractNumId w:val="8"/>
  </w:num>
  <w:num w:numId="3">
    <w:abstractNumId w:val="7"/>
  </w:num>
  <w:num w:numId="4">
    <w:abstractNumId w:val="6"/>
  </w:num>
  <w:num w:numId="5">
    <w:abstractNumId w:val="5"/>
  </w:num>
  <w:num w:numId="6">
    <w:abstractNumId w:val="9"/>
  </w:num>
  <w:num w:numId="7">
    <w:abstractNumId w:val="4"/>
  </w:num>
  <w:num w:numId="8">
    <w:abstractNumId w:val="3"/>
  </w:num>
  <w:num w:numId="9">
    <w:abstractNumId w:val="2"/>
  </w:num>
  <w:num w:numId="10">
    <w:abstractNumId w:val="1"/>
  </w:num>
  <w:num w:numId="11">
    <w:abstractNumId w:val="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displayBackgroundShape w:val="1"/>
  <w:embedSystemFonts/>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hyphenationZone w:val="360"/>
  <w:drawingGridVerticalSpacing w:val="156"/>
  <w:displayHorizontalDrawingGridEvery w:val="1"/>
  <w:displayVerticalDrawingGridEvery w:val="1"/>
  <w:characterSpacingControl w:val="doNotCompress"/>
  <w:footnotePr>
    <w:footnote w:id="0"/>
    <w:footnote w:id="1"/>
  </w:footnotePr>
  <w:endnotePr>
    <w:endnote w:id="0"/>
    <w:endnote w:id="1"/>
  </w:endnotePr>
  <w:compat>
    <w:spaceForUL/>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4C53C65"/>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09C94B9B"/>
    <w:rsid w:val="0AC61D98"/>
    <w:rsid w:val="0B491B94"/>
    <w:rsid w:val="1AD9749D"/>
    <w:rsid w:val="228316AC"/>
    <w:rsid w:val="260006E9"/>
    <w:rsid w:val="28125B4B"/>
    <w:rsid w:val="34C53C65"/>
    <w:rsid w:val="35A5140F"/>
    <w:rsid w:val="40050695"/>
    <w:rsid w:val="40CE5B5F"/>
    <w:rsid w:val="43EA5DFC"/>
    <w:rsid w:val="4E611424"/>
    <w:rsid w:val="5060696B"/>
    <w:rsid w:val="50C2570B"/>
    <w:rsid w:val="604F208F"/>
    <w:rsid w:val="629C2F58"/>
    <w:rsid w:val="6C8E1A66"/>
    <w:rsid w:val="6EAB2E1E"/>
    <w:rsid w:val="7572283C"/>
    <w:rsid w:val="790C7B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qFormat="1" w:unhideWhenUsed="0" w:uiPriority="0" w:semiHidden="0" w:name="index 1"/>
    <w:lsdException w:unhideWhenUsed="0" w:uiPriority="0" w:semiHidden="0" w:name="index 2"/>
    <w:lsdException w:qFormat="1" w:unhideWhenUsed="0" w:uiPriority="0" w:semiHidden="0" w:name="index 3"/>
    <w:lsdException w:qFormat="1" w:unhideWhenUsed="0" w:uiPriority="0" w:semiHidden="0" w:name="index 4"/>
    <w:lsdException w:qFormat="1" w:unhideWhenUsed="0" w:uiPriority="0" w:semiHidden="0" w:name="index 5"/>
    <w:lsdException w:qFormat="1" w:unhideWhenUsed="0" w:uiPriority="0" w:semiHidden="0" w:name="index 6"/>
    <w:lsdException w:qFormat="1" w:unhideWhenUsed="0" w:uiPriority="0" w:semiHidden="0" w:name="index 7"/>
    <w:lsdException w:qFormat="1" w:unhideWhenUsed="0" w:uiPriority="0" w:semiHidden="0" w:name="index 8"/>
    <w:lsdException w:qFormat="1"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qFormat="1" w:unhideWhenUsed="0" w:uiPriority="0" w:semiHidden="0" w:name="toc 4"/>
    <w:lsdException w:qFormat="1" w:unhideWhenUsed="0" w:uiPriority="0" w:semiHidden="0" w:name="toc 5"/>
    <w:lsdException w:qFormat="1" w:unhideWhenUsed="0" w:uiPriority="0" w:semiHidden="0" w:name="toc 6"/>
    <w:lsdException w:qFormat="1" w:unhideWhenUsed="0" w:uiPriority="0" w:semiHidden="0" w:name="toc 7"/>
    <w:lsdException w:qFormat="1" w:unhideWhenUsed="0" w:uiPriority="0" w:semiHidden="0" w:name="toc 8"/>
    <w:lsdException w:qFormat="1"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qFormat="1" w:unhideWhenUsed="0" w:uiPriority="0" w:semiHidden="0" w:name="annotation reference"/>
    <w:lsdException w:qFormat="1" w:unhideWhenUsed="0" w:uiPriority="0" w:semiHidden="0" w:name="line number"/>
    <w:lsdException w:qFormat="1"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qFormat="1" w:unhideWhenUsed="0" w:uiPriority="0" w:semiHidden="0" w:name="macro"/>
    <w:lsdException w:qFormat="1" w:unhideWhenUsed="0" w:uiPriority="0" w:semiHidden="0" w:name="toa heading"/>
    <w:lsdException w:unhideWhenUsed="0" w:uiPriority="0" w:semiHidden="0" w:name="List"/>
    <w:lsdException w:qFormat="1" w:unhideWhenUsed="0" w:uiPriority="0" w:semiHidden="0" w:name="List Bullet"/>
    <w:lsdException w:unhideWhenUsed="0" w:uiPriority="0" w:semiHidden="0" w:name="List Number"/>
    <w:lsdException w:unhideWhenUsed="0" w:uiPriority="0" w:semiHidden="0" w:name="List 2"/>
    <w:lsdException w:qFormat="1" w:unhideWhenUsed="0" w:uiPriority="0" w:semiHidden="0" w:name="List 3"/>
    <w:lsdException w:qFormat="1" w:unhideWhenUsed="0" w:uiPriority="0" w:semiHidden="0" w:name="List 4"/>
    <w:lsdException w:unhideWhenUsed="0" w:uiPriority="0" w:semiHidden="0" w:name="List 5"/>
    <w:lsdException w:unhideWhenUsed="0" w:uiPriority="0" w:semiHidden="0" w:name="List Bullet 2"/>
    <w:lsdException w:qFormat="1" w:unhideWhenUsed="0" w:uiPriority="0" w:semiHidden="0" w:name="List Bullet 3"/>
    <w:lsdException w:qFormat="1" w:unhideWhenUsed="0" w:uiPriority="0" w:semiHidden="0" w:name="List Bullet 4"/>
    <w:lsdException w:qFormat="1" w:unhideWhenUsed="0" w:uiPriority="0" w:semiHidden="0" w:name="List Bullet 5"/>
    <w:lsdException w:qFormat="1" w:unhideWhenUsed="0" w:uiPriority="0" w:semiHidden="0" w:name="List Number 2"/>
    <w:lsdException w:qFormat="1"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qFormat="1" w:unhideWhenUsed="0" w:uiPriority="0" w:semiHidden="0" w:name="Closing"/>
    <w:lsdException w:qFormat="1" w:unhideWhenUsed="0" w:uiPriority="0" w:semiHidden="0" w:name="Signature"/>
    <w:lsdException w:qFormat="1" w:unhideWhenUsed="0" w:uiPriority="0" w:name="Default Paragraph Font"/>
    <w:lsdException w:qFormat="1" w:unhideWhenUsed="0" w:uiPriority="0" w:semiHidden="0" w:name="Body Text"/>
    <w:lsdException w:qFormat="1" w:unhideWhenUsed="0" w:uiPriority="0" w:semiHidden="0" w:name="Body Text Indent"/>
    <w:lsdException w:qFormat="1" w:unhideWhenUsed="0" w:uiPriority="0" w:semiHidden="0" w:name="List Continue"/>
    <w:lsdException w:qFormat="1" w:unhideWhenUsed="0" w:uiPriority="0" w:semiHidden="0" w:name="List Continue 2"/>
    <w:lsdException w:qFormat="1"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qFormat="1" w:unhideWhenUsed="0" w:uiPriority="0" w:semiHidden="0" w:name="Body Text First Indent"/>
    <w:lsdException w:qFormat="1" w:unhideWhenUsed="0" w:uiPriority="0" w:semiHidden="0" w:name="Body Text First Indent 2"/>
    <w:lsdException w:unhideWhenUsed="0" w:uiPriority="0" w:semiHidden="0" w:name="Note Heading"/>
    <w:lsdException w:qFormat="1" w:unhideWhenUsed="0" w:uiPriority="0" w:semiHidden="0" w:name="Body Text 2"/>
    <w:lsdException w:qFormat="1" w:unhideWhenUsed="0" w:uiPriority="0" w:semiHidden="0" w:name="Body Text 3"/>
    <w:lsdException w:qFormat="1" w:unhideWhenUsed="0" w:uiPriority="0" w:semiHidden="0" w:name="Body Text Indent 2"/>
    <w:lsdException w:qFormat="1" w:unhideWhenUsed="0" w:uiPriority="0" w:semiHidden="0" w:name="Body Text Indent 3"/>
    <w:lsdException w:qFormat="1"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qFormat="1" w:unhideWhenUsed="0" w:uiPriority="0" w:semiHidden="0" w:name="E-mail Signature"/>
    <w:lsdException w:qFormat="1" w:unhideWhenUsed="0" w:uiPriority="0" w:semiHidden="0" w:name="Normal (Web)"/>
    <w:lsdException w:qFormat="1"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qFormat="1"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qFormat="1" w:unhideWhenUsed="0" w:uiPriority="0" w:semiHidden="0" w:name="Table Subtle 2"/>
    <w:lsdException w:qFormat="1" w:unhideWhenUsed="0" w:uiPriority="0" w:semiHidden="0" w:name="Table Web 1"/>
    <w:lsdException w:qFormat="1" w:unhideWhenUsed="0" w:uiPriority="0" w:semiHidden="0" w:name="Table Web 2"/>
    <w:lsdException w:qFormat="1" w:unhideWhenUsed="0" w:uiPriority="0" w:semiHidden="0" w:name="Table Web 3"/>
    <w:lsdException w:qFormat="1" w:unhideWhenUsed="0" w:uiPriority="0" w:semiHidden="0" w:name="Balloon Text"/>
    <w:lsdException w:unhideWhenUsed="0" w:uiPriority="0" w:semiHidden="0" w:name="Table Grid"/>
    <w:lsdException w:qFormat="1" w:unhideWhenUsed="0" w:uiPriority="0" w:semiHidden="0" w:name="Table Theme"/>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qFormat="1"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qFormat="1" w:unhideWhenUsed="0" w:uiPriority="69" w:semiHidden="0" w:name="Medium Grid 3 Accent 2"/>
    <w:lsdException w:qFormat="1"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unhideWhenUsed="0" w:uiPriority="73" w:semiHidden="0" w:name="Colorful Grid Accent 4"/>
    <w:lsdException w:qFormat="1" w:unhideWhenUsed="0" w:uiPriority="60" w:semiHidden="0" w:name="Light Shading Accent 5"/>
    <w:lsdException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qFormat="1"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qFormat="1" w:unhideWhenUsed="0" w:uiPriority="70" w:semiHidden="0" w:name="Dark List Accent 6"/>
    <w:lsdException w:qFormat="1"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360" w:after="80" w:line="360" w:lineRule="auto"/>
      <w:jc w:val="both"/>
    </w:pPr>
    <w:rPr>
      <w:rFonts w:ascii="Arial" w:hAnsi="Arial" w:eastAsia="Arial" w:cs="Arial"/>
      <w:color w:val="222222"/>
      <w:sz w:val="24"/>
      <w:szCs w:val="24"/>
      <w:lang w:val="en-GB" w:eastAsia="en-GB"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basedOn w:val="1"/>
    <w:next w:val="1"/>
    <w:semiHidden/>
    <w:unhideWhenUsed/>
    <w:qFormat/>
    <w:uiPriority w:val="0"/>
    <w:pPr>
      <w:keepNext/>
      <w:keepLines/>
      <w:spacing w:before="260" w:after="260" w:line="416" w:lineRule="auto"/>
      <w:outlineLvl w:val="1"/>
    </w:pPr>
    <w:rPr>
      <w:b/>
      <w:bCs/>
      <w:sz w:val="32"/>
      <w:szCs w:val="32"/>
    </w:rPr>
  </w:style>
  <w:style w:type="paragraph" w:styleId="4">
    <w:name w:val="heading 3"/>
    <w:basedOn w:val="1"/>
    <w:next w:val="1"/>
    <w:semiHidden/>
    <w:unhideWhenUsed/>
    <w:qFormat/>
    <w:uiPriority w:val="0"/>
    <w:pPr>
      <w:keepNext/>
      <w:keepLines/>
      <w:spacing w:before="260" w:after="260" w:line="416" w:lineRule="auto"/>
      <w:outlineLvl w:val="2"/>
    </w:pPr>
    <w:rPr>
      <w:b/>
      <w:bCs/>
      <w:sz w:val="32"/>
      <w:szCs w:val="32"/>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default="1" w:styleId="11">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13">
    <w:name w:val="Balloon Text"/>
    <w:basedOn w:val="1"/>
    <w:qFormat/>
    <w:uiPriority w:val="0"/>
    <w:rPr>
      <w:sz w:val="16"/>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qFormat/>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qFormat/>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qFormat/>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黑体" w:cs="Arial"/>
      <w:sz w:val="20"/>
    </w:rPr>
  </w:style>
  <w:style w:type="paragraph" w:styleId="24">
    <w:name w:val="Closing"/>
    <w:basedOn w:val="1"/>
    <w:qFormat/>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qFormat/>
    <w:uiPriority w:val="0"/>
    <w:pPr>
      <w:jc w:val="left"/>
    </w:pPr>
  </w:style>
  <w:style w:type="paragraph" w:styleId="27">
    <w:name w:val="annotation subject"/>
    <w:basedOn w:val="26"/>
    <w:next w:val="26"/>
    <w:uiPriority w:val="0"/>
    <w:rPr>
      <w:b/>
      <w:bCs/>
    </w:rPr>
  </w:style>
  <w:style w:type="paragraph" w:styleId="28">
    <w:name w:val="Date"/>
    <w:basedOn w:val="1"/>
    <w:next w:val="1"/>
    <w:uiPriority w:val="0"/>
    <w:pPr>
      <w:ind w:left="100" w:leftChars="2500"/>
    </w:pPr>
  </w:style>
  <w:style w:type="paragraph" w:styleId="29">
    <w:name w:val="Document Map"/>
    <w:basedOn w:val="1"/>
    <w:uiPriority w:val="0"/>
    <w:pPr>
      <w:shd w:val="clear" w:color="auto" w:fill="000080"/>
    </w:pPr>
  </w:style>
  <w:style w:type="paragraph" w:styleId="30">
    <w:name w:val="E-mail Signature"/>
    <w:basedOn w:val="1"/>
    <w:qFormat/>
    <w:uiPriority w:val="0"/>
  </w:style>
  <w:style w:type="character" w:styleId="31">
    <w:name w:val="Emphasis"/>
    <w:basedOn w:val="11"/>
    <w:qFormat/>
    <w:uiPriority w:val="0"/>
    <w:rPr>
      <w:i/>
      <w:iCs/>
    </w:rPr>
  </w:style>
  <w:style w:type="character" w:styleId="32">
    <w:name w:val="endnote reference"/>
    <w:basedOn w:val="11"/>
    <w:uiPriority w:val="0"/>
    <w:rPr>
      <w:vertAlign w:val="superscript"/>
    </w:rPr>
  </w:style>
  <w:style w:type="paragraph" w:styleId="33">
    <w:name w:val="endnote text"/>
    <w:basedOn w:val="1"/>
    <w:uiPriority w:val="0"/>
    <w:pPr>
      <w:snapToGrid w:val="0"/>
      <w:jc w:val="left"/>
    </w:pPr>
  </w:style>
  <w:style w:type="paragraph" w:styleId="34">
    <w:name w:val="envelope address"/>
    <w:basedOn w:val="1"/>
    <w:uiPriority w:val="0"/>
    <w:pPr>
      <w:framePr w:w="7920" w:h="1980" w:hRule="exact" w:hSpace="180" w:wrap="auto" w:vAnchor="margin" w:hAnchor="page" w:xAlign="center" w:yAlign="bottom"/>
      <w:snapToGrid w:val="0"/>
      <w:ind w:left="100" w:leftChars="1400"/>
    </w:pPr>
    <w:rPr>
      <w:rFonts w:ascii="Arial" w:hAnsi="Arial" w:cs="Arial"/>
      <w:sz w:val="24"/>
      <w:szCs w:val="24"/>
    </w:rPr>
  </w:style>
  <w:style w:type="paragraph" w:styleId="35">
    <w:name w:val="envelope return"/>
    <w:basedOn w:val="1"/>
    <w:uiPriority w:val="0"/>
    <w:pPr>
      <w:snapToGrid w:val="0"/>
    </w:pPr>
    <w:rPr>
      <w:rFonts w:ascii="Arial" w:hAnsi="Arial" w:cs="Arial"/>
    </w:rPr>
  </w:style>
  <w:style w:type="character" w:styleId="36">
    <w:name w:val="FollowedHyperlink"/>
    <w:basedOn w:val="11"/>
    <w:uiPriority w:val="0"/>
    <w:rPr>
      <w:color w:val="800080"/>
      <w:u w:val="single"/>
    </w:rPr>
  </w:style>
  <w:style w:type="paragraph" w:styleId="37">
    <w:name w:val="footer"/>
    <w:basedOn w:val="1"/>
    <w:uiPriority w:val="0"/>
    <w:pPr>
      <w:tabs>
        <w:tab w:val="center" w:pos="4153"/>
        <w:tab w:val="right" w:pos="8306"/>
      </w:tabs>
      <w:snapToGrid w:val="0"/>
      <w:jc w:val="left"/>
    </w:pPr>
    <w:rPr>
      <w:sz w:val="18"/>
      <w:szCs w:val="18"/>
    </w:rPr>
  </w:style>
  <w:style w:type="character" w:styleId="38">
    <w:name w:val="footnote reference"/>
    <w:basedOn w:val="11"/>
    <w:qFormat/>
    <w:uiPriority w:val="0"/>
    <w:rPr>
      <w:vertAlign w:val="superscript"/>
    </w:rPr>
  </w:style>
  <w:style w:type="paragraph" w:styleId="39">
    <w:name w:val="footnote text"/>
    <w:basedOn w:val="1"/>
    <w:uiPriority w:val="0"/>
    <w:pPr>
      <w:snapToGrid w:val="0"/>
      <w:jc w:val="left"/>
    </w:pPr>
    <w:rPr>
      <w:sz w:val="18"/>
      <w:szCs w:val="18"/>
    </w:rPr>
  </w:style>
  <w:style w:type="paragraph" w:styleId="40">
    <w:name w:val="header"/>
    <w:basedOn w:val="1"/>
    <w:uiPriority w:val="0"/>
    <w:pPr>
      <w:tabs>
        <w:tab w:val="center" w:pos="4153"/>
        <w:tab w:val="right" w:pos="8306"/>
      </w:tabs>
      <w:snapToGrid w:val="0"/>
    </w:pPr>
    <w:rPr>
      <w:sz w:val="18"/>
      <w:szCs w:val="18"/>
    </w:rPr>
  </w:style>
  <w:style w:type="character" w:styleId="41">
    <w:name w:val="HTML Acronym"/>
    <w:basedOn w:val="11"/>
    <w:qFormat/>
    <w:uiPriority w:val="0"/>
  </w:style>
  <w:style w:type="paragraph" w:styleId="42">
    <w:name w:val="HTML Address"/>
    <w:basedOn w:val="1"/>
    <w:uiPriority w:val="0"/>
    <w:rPr>
      <w:i/>
      <w:iCs/>
    </w:rPr>
  </w:style>
  <w:style w:type="character" w:styleId="43">
    <w:name w:val="HTML Cite"/>
    <w:basedOn w:val="11"/>
    <w:uiPriority w:val="0"/>
    <w:rPr>
      <w:i/>
      <w:iCs/>
    </w:rPr>
  </w:style>
  <w:style w:type="character" w:styleId="44">
    <w:name w:val="HTML Code"/>
    <w:basedOn w:val="11"/>
    <w:uiPriority w:val="0"/>
    <w:rPr>
      <w:rFonts w:ascii="Courier New" w:hAnsi="Courier New" w:cs="Courier New"/>
      <w:sz w:val="20"/>
      <w:szCs w:val="20"/>
    </w:rPr>
  </w:style>
  <w:style w:type="character" w:styleId="45">
    <w:name w:val="HTML Definition"/>
    <w:basedOn w:val="11"/>
    <w:qFormat/>
    <w:uiPriority w:val="0"/>
    <w:rPr>
      <w:i/>
      <w:iCs/>
    </w:rPr>
  </w:style>
  <w:style w:type="character" w:styleId="46">
    <w:name w:val="HTML Keyboard"/>
    <w:basedOn w:val="11"/>
    <w:uiPriority w:val="0"/>
    <w:rPr>
      <w:rFonts w:ascii="Courier New" w:hAnsi="Courier New" w:cs="Courier New"/>
      <w:sz w:val="20"/>
      <w:szCs w:val="20"/>
    </w:rPr>
  </w:style>
  <w:style w:type="paragraph" w:styleId="47">
    <w:name w:val="HTML Preformatted"/>
    <w:basedOn w:val="1"/>
    <w:uiPriority w:val="0"/>
    <w:rPr>
      <w:rFonts w:ascii="Courier New" w:hAnsi="Courier New" w:cs="Courier New"/>
      <w:sz w:val="20"/>
    </w:rPr>
  </w:style>
  <w:style w:type="character" w:styleId="48">
    <w:name w:val="HTML Sample"/>
    <w:basedOn w:val="11"/>
    <w:uiPriority w:val="0"/>
    <w:rPr>
      <w:rFonts w:ascii="Courier New" w:hAnsi="Courier New" w:cs="Courier New"/>
    </w:rPr>
  </w:style>
  <w:style w:type="character" w:styleId="49">
    <w:name w:val="HTML Typewriter"/>
    <w:basedOn w:val="11"/>
    <w:uiPriority w:val="0"/>
    <w:rPr>
      <w:rFonts w:ascii="Courier New" w:hAnsi="Courier New" w:cs="Courier New"/>
      <w:sz w:val="20"/>
      <w:szCs w:val="20"/>
    </w:rPr>
  </w:style>
  <w:style w:type="character" w:styleId="50">
    <w:name w:val="HTML Variable"/>
    <w:basedOn w:val="11"/>
    <w:uiPriority w:val="0"/>
    <w:rPr>
      <w:i/>
      <w:iCs/>
    </w:rPr>
  </w:style>
  <w:style w:type="character" w:styleId="51">
    <w:name w:val="Hyperlink"/>
    <w:basedOn w:val="11"/>
    <w:qFormat/>
    <w:uiPriority w:val="0"/>
    <w:rPr>
      <w:color w:val="0000FF"/>
      <w:u w:val="single"/>
    </w:rPr>
  </w:style>
  <w:style w:type="paragraph" w:styleId="52">
    <w:name w:val="index 1"/>
    <w:basedOn w:val="1"/>
    <w:next w:val="1"/>
    <w:qFormat/>
    <w:uiPriority w:val="0"/>
  </w:style>
  <w:style w:type="paragraph" w:styleId="53">
    <w:name w:val="index 2"/>
    <w:basedOn w:val="1"/>
    <w:next w:val="1"/>
    <w:uiPriority w:val="0"/>
    <w:pPr>
      <w:ind w:left="200" w:leftChars="200"/>
    </w:pPr>
  </w:style>
  <w:style w:type="paragraph" w:styleId="54">
    <w:name w:val="index 3"/>
    <w:basedOn w:val="1"/>
    <w:next w:val="1"/>
    <w:qFormat/>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qFormat/>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qFormat/>
    <w:uiPriority w:val="0"/>
    <w:pPr>
      <w:ind w:left="1400" w:leftChars="1400"/>
    </w:pPr>
  </w:style>
  <w:style w:type="paragraph" w:styleId="60">
    <w:name w:val="index 9"/>
    <w:basedOn w:val="1"/>
    <w:next w:val="1"/>
    <w:qFormat/>
    <w:uiPriority w:val="0"/>
    <w:pPr>
      <w:ind w:left="1600" w:leftChars="1600"/>
    </w:pPr>
  </w:style>
  <w:style w:type="paragraph" w:styleId="61">
    <w:name w:val="index heading"/>
    <w:basedOn w:val="1"/>
    <w:next w:val="52"/>
    <w:uiPriority w:val="0"/>
    <w:rPr>
      <w:rFonts w:ascii="Arial" w:hAnsi="Arial" w:cs="Arial"/>
      <w:b/>
      <w:bCs/>
    </w:rPr>
  </w:style>
  <w:style w:type="character" w:styleId="62">
    <w:name w:val="line number"/>
    <w:basedOn w:val="11"/>
    <w:qFormat/>
    <w:uiPriority w:val="0"/>
  </w:style>
  <w:style w:type="paragraph" w:styleId="63">
    <w:name w:val="List"/>
    <w:basedOn w:val="1"/>
    <w:uiPriority w:val="0"/>
    <w:pPr>
      <w:ind w:left="200" w:hanging="200" w:hangingChars="200"/>
    </w:pPr>
  </w:style>
  <w:style w:type="paragraph" w:styleId="64">
    <w:name w:val="List 2"/>
    <w:basedOn w:val="1"/>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qFormat/>
    <w:uiPriority w:val="0"/>
    <w:pPr>
      <w:ind w:left="100" w:leftChars="600" w:hanging="200" w:hangingChars="200"/>
    </w:pPr>
  </w:style>
  <w:style w:type="paragraph" w:styleId="67">
    <w:name w:val="List 5"/>
    <w:basedOn w:val="1"/>
    <w:uiPriority w:val="0"/>
    <w:pPr>
      <w:ind w:left="100" w:leftChars="800" w:hanging="200" w:hangingChars="200"/>
    </w:pPr>
  </w:style>
  <w:style w:type="paragraph" w:styleId="68">
    <w:name w:val="List Bullet"/>
    <w:basedOn w:val="1"/>
    <w:qFormat/>
    <w:uiPriority w:val="0"/>
    <w:pPr>
      <w:numPr>
        <w:ilvl w:val="0"/>
        <w:numId w:val="1"/>
      </w:numPr>
    </w:pPr>
  </w:style>
  <w:style w:type="paragraph" w:styleId="69">
    <w:name w:val="List Bullet 2"/>
    <w:basedOn w:val="1"/>
    <w:uiPriority w:val="0"/>
    <w:pPr>
      <w:numPr>
        <w:ilvl w:val="0"/>
        <w:numId w:val="2"/>
      </w:numPr>
    </w:pPr>
  </w:style>
  <w:style w:type="paragraph" w:styleId="70">
    <w:name w:val="List Bullet 3"/>
    <w:basedOn w:val="1"/>
    <w:qFormat/>
    <w:uiPriority w:val="0"/>
    <w:pPr>
      <w:numPr>
        <w:ilvl w:val="0"/>
        <w:numId w:val="3"/>
      </w:numPr>
    </w:pPr>
  </w:style>
  <w:style w:type="paragraph" w:styleId="71">
    <w:name w:val="List Bullet 4"/>
    <w:basedOn w:val="1"/>
    <w:qFormat/>
    <w:uiPriority w:val="0"/>
    <w:pPr>
      <w:numPr>
        <w:ilvl w:val="0"/>
        <w:numId w:val="4"/>
      </w:numPr>
    </w:pPr>
  </w:style>
  <w:style w:type="paragraph" w:styleId="72">
    <w:name w:val="List Bullet 5"/>
    <w:basedOn w:val="1"/>
    <w:qFormat/>
    <w:uiPriority w:val="0"/>
    <w:pPr>
      <w:numPr>
        <w:ilvl w:val="0"/>
        <w:numId w:val="5"/>
      </w:numPr>
    </w:pPr>
  </w:style>
  <w:style w:type="paragraph" w:styleId="73">
    <w:name w:val="List Continue"/>
    <w:basedOn w:val="1"/>
    <w:qFormat/>
    <w:uiPriority w:val="0"/>
    <w:pPr>
      <w:spacing w:after="120"/>
      <w:ind w:left="420" w:leftChars="200"/>
    </w:pPr>
  </w:style>
  <w:style w:type="paragraph" w:styleId="74">
    <w:name w:val="List Continue 2"/>
    <w:basedOn w:val="1"/>
    <w:qFormat/>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uiPriority w:val="0"/>
    <w:pPr>
      <w:spacing w:after="120"/>
      <w:ind w:left="1680" w:leftChars="800"/>
    </w:pPr>
  </w:style>
  <w:style w:type="paragraph" w:styleId="77">
    <w:name w:val="List Continue 5"/>
    <w:basedOn w:val="1"/>
    <w:uiPriority w:val="0"/>
    <w:pPr>
      <w:spacing w:after="120"/>
      <w:ind w:left="2100" w:leftChars="1000"/>
    </w:pPr>
  </w:style>
  <w:style w:type="paragraph" w:styleId="78">
    <w:name w:val="List Number"/>
    <w:basedOn w:val="1"/>
    <w:uiPriority w:val="0"/>
    <w:pPr>
      <w:numPr>
        <w:ilvl w:val="0"/>
        <w:numId w:val="6"/>
      </w:numPr>
    </w:pPr>
  </w:style>
  <w:style w:type="paragraph" w:styleId="79">
    <w:name w:val="List Number 2"/>
    <w:basedOn w:val="1"/>
    <w:qFormat/>
    <w:uiPriority w:val="0"/>
    <w:pPr>
      <w:numPr>
        <w:ilvl w:val="0"/>
        <w:numId w:val="7"/>
      </w:numPr>
    </w:pPr>
  </w:style>
  <w:style w:type="paragraph" w:styleId="80">
    <w:name w:val="List Number 3"/>
    <w:basedOn w:val="1"/>
    <w:qFormat/>
    <w:uiPriority w:val="0"/>
    <w:pPr>
      <w:numPr>
        <w:ilvl w:val="0"/>
        <w:numId w:val="8"/>
      </w:numPr>
    </w:pPr>
  </w:style>
  <w:style w:type="paragraph" w:styleId="81">
    <w:name w:val="List Number 4"/>
    <w:basedOn w:val="1"/>
    <w:uiPriority w:val="0"/>
    <w:pPr>
      <w:numPr>
        <w:ilvl w:val="0"/>
        <w:numId w:val="9"/>
      </w:numPr>
    </w:pPr>
  </w:style>
  <w:style w:type="paragraph" w:styleId="82">
    <w:name w:val="List Number 5"/>
    <w:basedOn w:val="1"/>
    <w:uiPriority w:val="0"/>
    <w:pPr>
      <w:numPr>
        <w:ilvl w:val="0"/>
        <w:numId w:val="10"/>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basedOn w:val="1"/>
    <w:qFormat/>
    <w:uiPriority w:val="0"/>
    <w:rPr>
      <w:sz w:val="24"/>
      <w:szCs w:val="24"/>
    </w:rPr>
  </w:style>
  <w:style w:type="paragraph" w:styleId="86">
    <w:name w:val="Normal Indent"/>
    <w:basedOn w:val="1"/>
    <w:uiPriority w:val="0"/>
    <w:pPr>
      <w:ind w:firstLine="420" w:firstLineChars="200"/>
    </w:pPr>
  </w:style>
  <w:style w:type="paragraph" w:styleId="87">
    <w:name w:val="Note Heading"/>
    <w:basedOn w:val="1"/>
    <w:next w:val="1"/>
    <w:uiPriority w:val="0"/>
    <w:pPr>
      <w:jc w:val="center"/>
    </w:pPr>
  </w:style>
  <w:style w:type="character" w:styleId="88">
    <w:name w:val="page number"/>
    <w:basedOn w:val="11"/>
    <w:qFormat/>
    <w:uiPriority w:val="0"/>
  </w:style>
  <w:style w:type="paragraph" w:styleId="89">
    <w:name w:val="Plain Text"/>
    <w:basedOn w:val="1"/>
    <w:uiPriority w:val="0"/>
    <w:rPr>
      <w:rFonts w:ascii="SimSun" w:hAnsi="Courier New" w:cs="Courier New"/>
      <w:szCs w:val="21"/>
    </w:rPr>
  </w:style>
  <w:style w:type="paragraph" w:styleId="90">
    <w:name w:val="Salutation"/>
    <w:basedOn w:val="1"/>
    <w:next w:val="1"/>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uiPriority w:val="0"/>
    <w:pPr>
      <w:ind w:left="420" w:leftChars="200"/>
    </w:pPr>
  </w:style>
  <w:style w:type="paragraph" w:styleId="129">
    <w:name w:val="table of figures"/>
    <w:basedOn w:val="1"/>
    <w:next w:val="1"/>
    <w:uiPriority w:val="0"/>
    <w:pPr>
      <w:ind w:leftChars="200" w:hanging="200" w:hangingChars="200"/>
    </w:pPr>
  </w:style>
  <w:style w:type="table" w:styleId="130">
    <w:name w:val="Table Professional"/>
    <w:basedOn w:val="12"/>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qFormat/>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qFormat/>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qFormat/>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qFormat/>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qFormat/>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qFormat/>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qFormat/>
    <w:uiPriority w:val="0"/>
    <w:pPr>
      <w:ind w:left="1260" w:leftChars="600"/>
    </w:pPr>
  </w:style>
  <w:style w:type="paragraph" w:styleId="146">
    <w:name w:val="toc 5"/>
    <w:basedOn w:val="1"/>
    <w:next w:val="1"/>
    <w:qFormat/>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qFormat/>
    <w:uiPriority w:val="0"/>
    <w:pPr>
      <w:ind w:left="2520" w:leftChars="1200"/>
    </w:pPr>
  </w:style>
  <w:style w:type="paragraph" w:styleId="149">
    <w:name w:val="toc 8"/>
    <w:basedOn w:val="1"/>
    <w:next w:val="1"/>
    <w:qFormat/>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qFormat/>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qFormat/>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qFormat/>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qFormat/>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qFormat/>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qFormat/>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qFormat/>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qFormat/>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qFormat/>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qFormat/>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qFormat/>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qFormat/>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qFormat/>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qFormat/>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qFormat/>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qFormat/>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qFormat/>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qFormat/>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qFormat/>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qFormat/>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qFormat/>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qFormat/>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qFormat/>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qFormat/>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qFormat/>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qFormat/>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qFormat/>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qFormat/>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qFormat/>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qFormat/>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qFormat/>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qFormat/>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qFormat/>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qFormat/>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qFormat/>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qFormat/>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qFormat/>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qFormat/>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qFormat/>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qFormat/>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qFormat/>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qFormat/>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qFormat/>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qFormat/>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qFormat/>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qFormat/>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qFormat/>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qFormat/>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qFormat/>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qFormat/>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qFormat/>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qFormat/>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qFormat/>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qFormat/>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qFormat/>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qFormat/>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qFormat/>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qFormat/>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qFormat/>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qFormat/>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qFormat/>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qFormat/>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qFormat/>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qFormat/>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qFormat/>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qFormat/>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qFormat/>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qFormat/>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qFormat/>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qFormat/>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qFormat/>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qFormat/>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249">
    <w:name w:val="TOC Heading"/>
    <w:basedOn w:val="2"/>
    <w:next w:val="1"/>
    <w:unhideWhenUsed/>
    <w:qFormat/>
    <w:uiPriority w:val="39"/>
    <w:pPr>
      <w:spacing w:before="480" w:after="0" w:line="276" w:lineRule="auto"/>
      <w:jc w:val="left"/>
      <w:outlineLvl w:val="9"/>
    </w:pPr>
    <w:rPr>
      <w:rFonts w:asciiTheme="majorHAnsi" w:hAnsiTheme="majorHAnsi" w:eastAsiaTheme="majorEastAsia" w:cstheme="majorBidi"/>
      <w:color w:val="2E54A1" w:themeColor="accent1" w:themeShade="BF"/>
      <w:lang w:val="en-US" w:eastAsia="en-US"/>
    </w:rPr>
  </w:style>
  <w:style w:type="table" w:customStyle="1" w:styleId="250">
    <w:name w:val="_Style 12"/>
    <w:basedOn w:val="251"/>
    <w:qFormat/>
    <w:uiPriority w:val="0"/>
  </w:style>
  <w:style w:type="table" w:customStyle="1" w:styleId="251">
    <w:name w:val="TableNormal"/>
    <w:qFormat/>
    <w:uiPriority w:val="0"/>
    <w:tblPr>
      <w:tblCellMar>
        <w:top w:w="100" w:type="dxa"/>
        <w:left w:w="100" w:type="dxa"/>
        <w:bottom w:w="100" w:type="dxa"/>
        <w:right w:w="100" w:type="dxa"/>
      </w:tblCellMar>
    </w:tblPr>
  </w:style>
  <w:style w:type="table" w:customStyle="1" w:styleId="252">
    <w:name w:val="_Style 13"/>
    <w:basedOn w:val="251"/>
    <w:qFormat/>
    <w:uiPriority w:val="0"/>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19</Pages>
  <Words>173</Words>
  <Characters>1068</Characters>
  <Lines>0</Lines>
  <Paragraphs>0</Paragraphs>
  <TotalTime>6</TotalTime>
  <ScaleCrop>false</ScaleCrop>
  <LinksUpToDate>false</LinksUpToDate>
  <CharactersWithSpaces>1241</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2026-07-15T22:01:00Z</dcterms:created>
  <dc:creator>Sidhu</dc:creator>
  <cp:lastModifiedBy>Galla Prasith</cp:lastModifiedBy>
  <dcterms:modified xsi:type="dcterms:W3CDTF">2026-07-16T14:04:36Z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52E2C7AD7C344A2EAF201ED34D54A7A0_11</vt:lpwstr>
  </property>
  <property fmtid="{D5CDD505-2E9C-101B-9397-08002B2CF9AE}" pid="4" name="KSOTemplateDocerSaveRecord">
    <vt:lpwstr>eyJoZGlkIjoiODc0YWI4MThhOWI1YTUzNjUzZTdiOGMxMmU0MGY1NWUiLCJ1c2VySWQiOiI1NjcwOTM3MjI4NDcifQ==</vt:lpwstr>
  </property>
</Properties>
</file>