
<file path=[Content_Types].xml><?xml version="1.0" encoding="utf-8"?>
<Types xmlns="http://schemas.openxmlformats.org/package/2006/content-types">
  <Default Extension="xml" ContentType="application/xml"/>
  <Default Extension="wmf" ContentType="image/x-w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D9BE513">
      <w:pPr>
        <w:rPr>
          <w:rFonts w:hint="default" w:ascii="Arial" w:hAnsi="Arial" w:cs="Arial"/>
          <w:lang w:val="en-GB"/>
        </w:rPr>
      </w:pPr>
      <w:r>
        <w:rPr>
          <w:rFonts w:hint="default" w:ascii="Arial" w:hAnsi="Arial" w:cs="Arial"/>
          <w:lang w:val="en-GB"/>
        </w:rPr>
        <w:t xml:space="preserve">Student name: Mariama Dalanda Jallow </w:t>
      </w:r>
    </w:p>
    <w:p w14:paraId="2A1BA403">
      <w:pPr>
        <w:rPr>
          <w:rFonts w:hint="default" w:ascii="Arial" w:hAnsi="Arial" w:cs="Arial"/>
          <w:lang w:val="en-GB"/>
        </w:rPr>
      </w:pPr>
      <w:r>
        <w:rPr>
          <w:rFonts w:hint="default" w:ascii="Arial" w:hAnsi="Arial" w:cs="Arial"/>
          <w:lang w:val="en-GB"/>
        </w:rPr>
        <w:t>Student number: 2442841</w:t>
      </w:r>
    </w:p>
    <w:p w14:paraId="493FDDA1">
      <w:pPr>
        <w:rPr>
          <w:rFonts w:hint="default" w:ascii="Arial" w:hAnsi="Arial" w:cs="Arial"/>
          <w:b w:val="0"/>
          <w:bCs w:val="0"/>
          <w:i w:val="0"/>
          <w:iCs w:val="0"/>
          <w:sz w:val="24"/>
          <w:szCs w:val="24"/>
          <w:lang w:val="en-GB"/>
        </w:rPr>
      </w:pPr>
      <w:r>
        <w:rPr>
          <w:rFonts w:hint="default" w:ascii="Arial" w:hAnsi="Arial" w:cs="Arial"/>
          <w:lang w:val="en-GB"/>
        </w:rPr>
        <w:t xml:space="preserve">Module Name: </w:t>
      </w:r>
      <w:r>
        <w:rPr>
          <w:rFonts w:hint="default" w:ascii="Arial" w:hAnsi="Arial" w:cs="Arial"/>
          <w:b w:val="0"/>
          <w:bCs w:val="0"/>
          <w:i w:val="0"/>
          <w:iCs w:val="0"/>
          <w:sz w:val="24"/>
          <w:szCs w:val="24"/>
          <w:lang w:val="en-GB"/>
        </w:rPr>
        <w:t>LCHS4010</w:t>
      </w:r>
    </w:p>
    <w:p w14:paraId="63802FF4">
      <w:pPr>
        <w:rPr>
          <w:rFonts w:hint="default" w:ascii="Arial" w:hAnsi="Arial" w:cs="Arial"/>
          <w:b w:val="0"/>
          <w:bCs w:val="0"/>
          <w:i/>
          <w:iCs/>
          <w:sz w:val="24"/>
          <w:szCs w:val="24"/>
          <w:lang w:val="en-GB"/>
        </w:rPr>
      </w:pPr>
      <w:r>
        <w:rPr>
          <w:rFonts w:hint="default" w:ascii="Arial" w:hAnsi="Arial" w:cs="Arial"/>
          <w:b w:val="0"/>
          <w:bCs w:val="0"/>
          <w:i w:val="0"/>
          <w:iCs w:val="0"/>
          <w:sz w:val="24"/>
          <w:szCs w:val="24"/>
          <w:lang w:val="en-GB"/>
        </w:rPr>
        <w:t>Lecturer Name:Dr pascal Navelle</w:t>
      </w:r>
    </w:p>
    <w:p w14:paraId="178FBDF4">
      <w:pPr>
        <w:rPr>
          <w:rFonts w:hint="default" w:ascii="Arial" w:hAnsi="Arial" w:cs="Arial"/>
          <w:b/>
          <w:bCs/>
          <w:i/>
          <w:iCs/>
          <w:sz w:val="24"/>
          <w:szCs w:val="24"/>
          <w:lang w:val="en-GB"/>
        </w:rPr>
      </w:pPr>
    </w:p>
    <w:p w14:paraId="2676051E">
      <w:pPr>
        <w:rPr>
          <w:rFonts w:hint="default" w:ascii="Arial" w:hAnsi="Arial" w:cs="Arial"/>
          <w:b w:val="0"/>
          <w:bCs w:val="0"/>
          <w:i w:val="0"/>
          <w:iCs w:val="0"/>
          <w:sz w:val="24"/>
          <w:szCs w:val="24"/>
          <w:lang w:val="en-GB"/>
        </w:rPr>
      </w:pPr>
      <w:r>
        <w:rPr>
          <w:rFonts w:hint="default" w:ascii="Arial" w:hAnsi="Arial" w:cs="Arial"/>
          <w:b w:val="0"/>
          <w:bCs w:val="0"/>
          <w:i w:val="0"/>
          <w:iCs w:val="0"/>
          <w:sz w:val="24"/>
          <w:szCs w:val="24"/>
          <w:lang w:val="en-GB"/>
        </w:rPr>
        <w:t xml:space="preserve"> </w:t>
      </w:r>
    </w:p>
    <w:p w14:paraId="4EE1E15F"/>
    <w:p w14:paraId="60746464">
      <w:pPr>
        <w:rPr>
          <w:rFonts w:hint="default" w:ascii="Arial" w:hAnsi="Arial" w:cs="Arial"/>
        </w:rPr>
      </w:pPr>
      <w:r>
        <w:rPr>
          <w:rFonts w:hint="default" w:ascii="Arial" w:hAnsi="Arial" w:cs="Arial"/>
        </w:rPr>
        <w:t>PART A: ANNOTATED BIBLIOGRAPH</w:t>
      </w:r>
      <w:r>
        <w:rPr>
          <w:rFonts w:hint="default" w:ascii="Arial" w:hAnsi="Arial" w:cs="Arial"/>
          <w:lang w:val="en-GB"/>
        </w:rPr>
        <w:t>Y</w:t>
      </w:r>
      <w:r>
        <w:rPr>
          <w:rFonts w:hint="default" w:ascii="Arial" w:hAnsi="Arial" w:cs="Arial"/>
        </w:rPr>
        <w:br w:type="textWrapping"/>
      </w:r>
      <w:r>
        <w:rPr>
          <w:rFonts w:hint="default" w:ascii="Arial" w:hAnsi="Arial" w:cs="Arial"/>
        </w:rPr>
        <w:br w:type="textWrapping"/>
      </w:r>
      <w:r>
        <w:rPr>
          <w:rFonts w:hint="default" w:ascii="Arial" w:hAnsi="Arial" w:cs="Arial"/>
        </w:rPr>
        <w:t>Theory 1: Erikson’s Psychosocial Theory (Lifespan Development)</w:t>
      </w:r>
      <w:r>
        <w:rPr>
          <w:rFonts w:hint="default" w:ascii="Arial" w:hAnsi="Arial" w:cs="Arial"/>
        </w:rPr>
        <w:br w:type="textWrapping"/>
      </w:r>
      <w:r>
        <w:rPr>
          <w:rFonts w:hint="default" w:ascii="Arial" w:hAnsi="Arial" w:cs="Arial"/>
        </w:rPr>
        <w:br w:type="textWrapping"/>
      </w:r>
      <w:r>
        <w:rPr>
          <w:rFonts w:hint="default" w:ascii="Arial" w:hAnsi="Arial" w:cs="Arial"/>
        </w:rPr>
        <w:t>Source 1</w:t>
      </w:r>
      <w:r>
        <w:rPr>
          <w:rFonts w:hint="default" w:ascii="Arial" w:hAnsi="Arial" w:cs="Arial"/>
        </w:rPr>
        <w:br w:type="textWrapping"/>
      </w:r>
      <w:r>
        <w:rPr>
          <w:rFonts w:hint="default" w:ascii="Arial" w:hAnsi="Arial" w:cs="Arial"/>
          <w:b/>
          <w:bCs/>
          <w:u w:val="none"/>
        </w:rPr>
        <w:t>(b) Summary</w:t>
      </w:r>
      <w:r>
        <w:rPr>
          <w:rFonts w:hint="default" w:ascii="Arial" w:hAnsi="Arial" w:cs="Arial"/>
        </w:rPr>
        <w:br w:type="textWrapping"/>
      </w:r>
      <w:r>
        <w:rPr>
          <w:rFonts w:hint="default" w:ascii="Arial" w:hAnsi="Arial" w:cs="Arial"/>
        </w:rPr>
        <w:t>Erikson’s psychosocial theory proposes eight stages of development across the lifespan, each characterised by a central conflict. The final stage, ego integrity versus despair, occurs in older adulthood and involves reflection on one’s life. Individuals who achieve ego integrity develop a sense of fulfilment, acceptance, and wisdom, while those who experience despair may feel regret, dissatisfaction, and fear of death. This stage is particularly relevant to understanding emotional wellbeing in later life.</w:t>
      </w:r>
      <w:r>
        <w:rPr>
          <w:rFonts w:hint="default" w:ascii="Arial" w:hAnsi="Arial" w:cs="Arial"/>
        </w:rPr>
        <w:br w:type="textWrapping"/>
      </w:r>
      <w:r>
        <w:rPr>
          <w:rFonts w:hint="default" w:ascii="Arial" w:hAnsi="Arial" w:cs="Arial"/>
        </w:rPr>
        <w:br w:type="textWrapping"/>
      </w:r>
      <w:r>
        <w:rPr>
          <w:rFonts w:hint="default" w:ascii="Arial" w:hAnsi="Arial" w:cs="Arial"/>
          <w:b/>
          <w:bCs/>
        </w:rPr>
        <w:t>(c) Critical Comment</w:t>
      </w:r>
      <w:r>
        <w:rPr>
          <w:rFonts w:hint="default" w:ascii="Arial" w:hAnsi="Arial" w:cs="Arial"/>
          <w:b/>
          <w:bCs/>
        </w:rPr>
        <w:br w:type="textWrapping"/>
      </w:r>
      <w:r>
        <w:rPr>
          <w:rFonts w:hint="default" w:ascii="Arial" w:hAnsi="Arial" w:cs="Arial"/>
        </w:rPr>
        <w:t>This theory is highly applicable in residential care settings as it provides a framework for understanding the emotional needs of older adults. Care professionals can use interventions such as reminiscence therapy and life review activities to support residents in achieving a sense of integrity. However, a limitation of Erikson’s theory is its assumption of a universal and linear life progression, which may not reflect diverse cultural backgrounds or individual life experiences. Additionally, it does not fully consider the impact of structural inequalities such as poverty or chronic illness.</w:t>
      </w:r>
      <w:r>
        <w:rPr>
          <w:rFonts w:hint="default" w:ascii="Arial" w:hAnsi="Arial" w:cs="Arial"/>
        </w:rPr>
        <w:br w:type="textWrapping"/>
      </w:r>
      <w:r>
        <w:rPr>
          <w:rFonts w:hint="default" w:ascii="Arial" w:hAnsi="Arial" w:cs="Arial"/>
        </w:rPr>
        <w:br w:type="textWrapping"/>
      </w:r>
      <w:r>
        <w:rPr>
          <w:rFonts w:hint="default" w:ascii="Arial" w:hAnsi="Arial" w:cs="Arial"/>
        </w:rPr>
        <w:t>Source 2</w:t>
      </w:r>
    </w:p>
    <w:p w14:paraId="7506C008">
      <w:pPr>
        <w:rPr>
          <w:rFonts w:hint="default" w:ascii="Arial" w:hAnsi="Arial" w:cs="Arial"/>
        </w:rPr>
      </w:pPr>
      <w:r>
        <w:rPr>
          <w:rFonts w:hint="default" w:ascii="Arial" w:hAnsi="Arial" w:cs="Arial"/>
        </w:rPr>
        <w:br w:type="textWrapping"/>
      </w:r>
      <w:bookmarkStart w:id="0" w:name="_GoBack"/>
      <w:bookmarkEnd w:id="0"/>
      <w:r>
        <w:rPr>
          <w:rFonts w:hint="default" w:ascii="Arial" w:hAnsi="Arial" w:cs="Arial"/>
        </w:rPr>
        <w:br w:type="textWrapping"/>
      </w:r>
      <w:r>
        <w:rPr>
          <w:rFonts w:hint="default" w:ascii="Arial" w:hAnsi="Arial" w:cs="Arial"/>
          <w:b/>
          <w:bCs/>
        </w:rPr>
        <w:t>(b) Summary</w:t>
      </w:r>
      <w:r>
        <w:rPr>
          <w:rFonts w:hint="default" w:ascii="Arial" w:hAnsi="Arial" w:cs="Arial"/>
          <w:b/>
          <w:bCs/>
        </w:rPr>
        <w:br w:type="textWrapping"/>
      </w:r>
      <w:r>
        <w:rPr>
          <w:rFonts w:hint="default" w:ascii="Arial" w:hAnsi="Arial" w:cs="Arial"/>
        </w:rPr>
        <w:t>This study explores the effectiveness of reminiscence and life review interventions in older adults. It highlights how structured reflection can improve self-esteem, reduce depressive symptoms, and enhance overall psychological wellbeing. The authors emphasise the importance of integrating such approaches into care practices.</w:t>
      </w:r>
      <w:r>
        <w:rPr>
          <w:rFonts w:hint="default" w:ascii="Arial" w:hAnsi="Arial" w:cs="Arial"/>
        </w:rPr>
        <w:br w:type="textWrapping"/>
      </w:r>
      <w:r>
        <w:rPr>
          <w:rFonts w:hint="default" w:ascii="Arial" w:hAnsi="Arial" w:cs="Arial"/>
        </w:rPr>
        <w:br w:type="textWrapping"/>
      </w:r>
      <w:r>
        <w:rPr>
          <w:rFonts w:hint="default" w:ascii="Arial" w:hAnsi="Arial" w:cs="Arial"/>
          <w:b/>
          <w:bCs/>
        </w:rPr>
        <w:t>(c) Critical Comment</w:t>
      </w:r>
      <w:r>
        <w:rPr>
          <w:rFonts w:hint="default" w:ascii="Arial" w:hAnsi="Arial" w:cs="Arial"/>
          <w:b/>
          <w:bCs/>
        </w:rPr>
        <w:br w:type="textWrapping"/>
      </w:r>
      <w:r>
        <w:rPr>
          <w:rFonts w:hint="default" w:ascii="Arial" w:hAnsi="Arial" w:cs="Arial"/>
        </w:rPr>
        <w:t>This source strengthens Erikson’s theory by providing empirical evidence that life review interventions can support emotional wellbeing in older adults. It is particularly useful in care home settings where residents may experience loneliness or loss of identity. However, its effectiveness depends on staff training and time availability, which may be limited in practice.</w:t>
      </w:r>
      <w:r>
        <w:rPr>
          <w:rFonts w:hint="default" w:ascii="Arial" w:hAnsi="Arial" w:cs="Arial"/>
        </w:rPr>
        <w:br w:type="textWrapping"/>
      </w:r>
      <w:r>
        <w:rPr>
          <w:rFonts w:hint="default" w:ascii="Arial" w:hAnsi="Arial" w:cs="Arial"/>
        </w:rPr>
        <w:br w:type="textWrapping"/>
      </w:r>
      <w:r>
        <w:rPr>
          <w:rFonts w:hint="default" w:ascii="Arial" w:hAnsi="Arial" w:cs="Arial"/>
        </w:rPr>
        <w:t>Theory 2: Positive Psychology and Successful Ageing</w:t>
      </w:r>
      <w:r>
        <w:rPr>
          <w:rFonts w:hint="default" w:ascii="Arial" w:hAnsi="Arial" w:cs="Arial"/>
        </w:rPr>
        <w:br w:type="textWrapping"/>
      </w:r>
      <w:r>
        <w:rPr>
          <w:rFonts w:hint="default" w:ascii="Arial" w:hAnsi="Arial" w:cs="Arial"/>
        </w:rPr>
        <w:br w:type="textWrapping"/>
      </w:r>
      <w:r>
        <w:rPr>
          <w:rFonts w:hint="default" w:ascii="Arial" w:hAnsi="Arial" w:cs="Arial"/>
        </w:rPr>
        <w:t>Source 3</w:t>
      </w:r>
    </w:p>
    <w:p w14:paraId="575C8341">
      <w:pPr>
        <w:rPr>
          <w:rFonts w:hint="default" w:ascii="Arial" w:hAnsi="Arial" w:cs="Arial"/>
          <w:b w:val="0"/>
          <w:bCs w:val="0"/>
        </w:rPr>
      </w:pPr>
      <w:r>
        <w:rPr>
          <w:rFonts w:hint="default" w:ascii="Arial" w:hAnsi="Arial" w:cs="Arial"/>
          <w:b w:val="0"/>
          <w:bCs w:val="0"/>
        </w:rPr>
        <w:br w:type="textWrapping"/>
      </w:r>
      <w:r>
        <w:rPr>
          <w:rFonts w:hint="default" w:ascii="Arial" w:hAnsi="Arial" w:cs="Arial"/>
          <w:b/>
          <w:bCs/>
        </w:rPr>
        <w:t>(b) Summary</w:t>
      </w:r>
      <w:r>
        <w:rPr>
          <w:rFonts w:hint="default" w:ascii="Arial" w:hAnsi="Arial" w:cs="Arial"/>
          <w:b/>
          <w:bCs/>
        </w:rPr>
        <w:br w:type="textWrapping"/>
      </w:r>
      <w:r>
        <w:rPr>
          <w:rFonts w:hint="default" w:ascii="Arial" w:hAnsi="Arial" w:cs="Arial"/>
          <w:b w:val="0"/>
          <w:bCs w:val="0"/>
        </w:rPr>
        <w:t>Rowe and Kahn define successful ageing as a combination of low disease risk, high physical and cognitive functioning, and active engagement with life. Their model shifts the focus from decline to maintaining independence and quality of life.</w:t>
      </w:r>
      <w:r>
        <w:rPr>
          <w:rFonts w:hint="default" w:ascii="Arial" w:hAnsi="Arial" w:cs="Arial"/>
          <w:b w:val="0"/>
          <w:bCs w:val="0"/>
        </w:rPr>
        <w:br w:type="textWrapping"/>
      </w:r>
      <w:r>
        <w:rPr>
          <w:rFonts w:hint="default" w:ascii="Arial" w:hAnsi="Arial" w:cs="Arial"/>
          <w:b w:val="0"/>
          <w:bCs w:val="0"/>
        </w:rPr>
        <w:br w:type="textWrapping"/>
      </w:r>
      <w:r>
        <w:rPr>
          <w:rFonts w:hint="default" w:ascii="Arial" w:hAnsi="Arial" w:cs="Arial"/>
          <w:b/>
          <w:bCs/>
        </w:rPr>
        <w:t>(c) Critical Comment</w:t>
      </w:r>
      <w:r>
        <w:rPr>
          <w:rFonts w:hint="default" w:ascii="Arial" w:hAnsi="Arial" w:cs="Arial"/>
          <w:b/>
          <w:bCs/>
        </w:rPr>
        <w:br w:type="textWrapping"/>
      </w:r>
      <w:r>
        <w:rPr>
          <w:rFonts w:hint="default" w:ascii="Arial" w:hAnsi="Arial" w:cs="Arial"/>
          <w:b w:val="0"/>
          <w:bCs w:val="0"/>
        </w:rPr>
        <w:t xml:space="preserve">This theory promotes a strengths-based approach in health and social care, encouraging active participation and independence. However, it has been </w:t>
      </w:r>
      <w:r>
        <w:rPr>
          <w:rFonts w:hint="default" w:ascii="Arial" w:hAnsi="Arial" w:cs="Arial"/>
          <w:b w:val="0"/>
          <w:bCs w:val="0"/>
          <w:lang w:val="en-GB"/>
        </w:rPr>
        <w:t>criticized</w:t>
      </w:r>
      <w:r>
        <w:rPr>
          <w:rFonts w:hint="default" w:ascii="Arial" w:hAnsi="Arial" w:cs="Arial"/>
          <w:b w:val="0"/>
          <w:bCs w:val="0"/>
        </w:rPr>
        <w:t xml:space="preserve"> for being overly idealistic, as many older adults in care settings have chronic conditions that limit their ability to meet these criteria.</w:t>
      </w:r>
      <w:r>
        <w:rPr>
          <w:rFonts w:hint="default" w:ascii="Arial" w:hAnsi="Arial" w:cs="Arial"/>
          <w:b w:val="0"/>
          <w:bCs w:val="0"/>
        </w:rPr>
        <w:br w:type="textWrapping"/>
      </w:r>
      <w:r>
        <w:rPr>
          <w:rFonts w:hint="default" w:ascii="Arial" w:hAnsi="Arial" w:cs="Arial"/>
          <w:b w:val="0"/>
          <w:bCs w:val="0"/>
        </w:rPr>
        <w:br w:type="textWrapping"/>
      </w:r>
      <w:r>
        <w:rPr>
          <w:rFonts w:hint="default" w:ascii="Arial" w:hAnsi="Arial" w:cs="Arial"/>
          <w:b w:val="0"/>
          <w:bCs w:val="0"/>
        </w:rPr>
        <w:t>Source 4</w:t>
      </w:r>
    </w:p>
    <w:p w14:paraId="1CA7F2A3">
      <w:pPr>
        <w:rPr>
          <w:rFonts w:hint="default" w:ascii="Arial" w:hAnsi="Arial" w:cs="Arial"/>
          <w:b/>
          <w:bCs/>
        </w:rPr>
      </w:pPr>
      <w:r>
        <w:rPr>
          <w:rFonts w:hint="default" w:ascii="Arial" w:hAnsi="Arial" w:cs="Arial"/>
        </w:rPr>
        <w:br w:type="textWrapping"/>
      </w:r>
      <w:r>
        <w:rPr>
          <w:rFonts w:hint="default" w:ascii="Arial" w:hAnsi="Arial" w:cs="Arial"/>
          <w:b/>
          <w:bCs/>
        </w:rPr>
        <w:t>(b) Summary</w:t>
      </w:r>
    </w:p>
    <w:p w14:paraId="1CC06373">
      <w:pPr>
        <w:rPr>
          <w:rFonts w:hint="default" w:ascii="Arial" w:hAnsi="Arial" w:cs="Arial"/>
          <w:lang w:val="en-GB"/>
        </w:rPr>
      </w:pPr>
      <w:r>
        <w:rPr>
          <w:rFonts w:hint="default" w:ascii="Arial" w:hAnsi="Arial" w:cs="Arial"/>
          <w:b w:val="0"/>
          <w:bCs w:val="0"/>
          <w:lang w:val="en-GB"/>
        </w:rPr>
        <w:t xml:space="preserve">This article suggest that relationship between psychological well being, physical health and again  it highlight how situation such as social relationship can lead to good purpose and emotional stability contribute to longevity and overall health conditions </w:t>
      </w:r>
      <w:r>
        <w:rPr>
          <w:rFonts w:hint="default" w:ascii="Arial" w:hAnsi="Arial" w:cs="Arial"/>
          <w:b w:val="0"/>
          <w:bCs w:val="0"/>
        </w:rPr>
        <w:br w:type="textWrapping"/>
      </w:r>
      <w:r>
        <w:rPr>
          <w:rFonts w:hint="default" w:ascii="Arial" w:hAnsi="Arial" w:cs="Arial"/>
          <w:b w:val="0"/>
          <w:bCs w:val="0"/>
        </w:rPr>
        <w:br w:type="textWrapping"/>
      </w:r>
      <w:r>
        <w:rPr>
          <w:rFonts w:hint="default" w:ascii="Arial" w:hAnsi="Arial" w:cs="Arial"/>
          <w:b w:val="0"/>
          <w:bCs w:val="0"/>
        </w:rPr>
        <w:br w:type="textWrapping"/>
      </w:r>
      <w:r>
        <w:rPr>
          <w:rFonts w:hint="default" w:ascii="Arial" w:hAnsi="Arial" w:cs="Arial"/>
          <w:b/>
          <w:bCs/>
        </w:rPr>
        <w:t>(c) Critical Comment</w:t>
      </w:r>
      <w:r>
        <w:rPr>
          <w:rFonts w:hint="default" w:ascii="Arial" w:hAnsi="Arial" w:cs="Arial"/>
          <w:b/>
          <w:bCs/>
        </w:rPr>
        <w:br w:type="textWrapping"/>
      </w:r>
      <w:r>
        <w:rPr>
          <w:rFonts w:hint="default" w:ascii="Arial" w:hAnsi="Arial" w:cs="Arial"/>
        </w:rPr>
        <w:t xml:space="preserve">This source provides strong evidence supporting the importance of </w:t>
      </w:r>
      <w:r>
        <w:rPr>
          <w:rFonts w:hint="default" w:ascii="Arial" w:hAnsi="Arial" w:cs="Arial"/>
          <w:lang w:val="en-GB"/>
        </w:rPr>
        <w:t>well-being</w:t>
      </w:r>
      <w:r>
        <w:rPr>
          <w:rFonts w:hint="default" w:ascii="Arial" w:hAnsi="Arial" w:cs="Arial"/>
        </w:rPr>
        <w:t xml:space="preserve"> in later life. It reinforces the need for social interaction and emotional support in care settings. However, it does not fully address practical barriers such as staffing shortages or funding constraints.</w:t>
      </w:r>
      <w:r>
        <w:rPr>
          <w:rFonts w:hint="default" w:ascii="Arial" w:hAnsi="Arial" w:cs="Arial"/>
        </w:rPr>
        <w:br w:type="textWrapping"/>
      </w:r>
      <w:r>
        <w:rPr>
          <w:rFonts w:hint="default" w:ascii="Arial" w:hAnsi="Arial" w:cs="Arial"/>
        </w:rPr>
        <w:br w:type="textWrapping"/>
      </w:r>
      <w:r>
        <w:rPr>
          <w:rFonts w:hint="default" w:ascii="Arial" w:hAnsi="Arial" w:cs="Arial"/>
          <w:b/>
          <w:bCs/>
        </w:rPr>
        <w:t>Overall Link to Older Adult Wellbeing</w:t>
      </w:r>
      <w:r>
        <w:rPr>
          <w:rFonts w:hint="default" w:ascii="Arial" w:hAnsi="Arial" w:cs="Arial"/>
          <w:b/>
          <w:bCs/>
        </w:rPr>
        <w:br w:type="textWrapping"/>
      </w:r>
      <w:r>
        <w:rPr>
          <w:rFonts w:hint="default" w:ascii="Arial" w:hAnsi="Arial" w:cs="Arial"/>
        </w:rPr>
        <w:t>Together, Erikson’s theory and positive psychology approaches provide a comprehensive understanding of ageing. Erikson focuses on internal emotional processes, while positive psychology emphasises external engagement and wellbeing. Combining these approaches supports holistic care.</w:t>
      </w:r>
      <w:r>
        <w:rPr>
          <w:rFonts w:hint="default" w:ascii="Arial" w:hAnsi="Arial" w:cs="Arial"/>
          <w:lang w:val="en-GB"/>
        </w:rPr>
        <w:t xml:space="preserve"> While Erikon focuses on internal emotional processes, positive, psychology emphasized the need for a combined approach in care setting. Together, these theories demonstrate that well being in older adulthood is influenced by both internal psychological processes and external social factor. This highlights the important of a holistic person centred approach in health and social care practice </w:t>
      </w:r>
      <w:r>
        <w:rPr>
          <w:rFonts w:hint="default" w:ascii="Arial" w:hAnsi="Arial" w:cs="Arial"/>
        </w:rPr>
        <w:br w:type="textWrapping"/>
      </w:r>
      <w:r>
        <w:rPr>
          <w:rFonts w:hint="default" w:ascii="Arial" w:hAnsi="Arial" w:cs="Arial"/>
        </w:rPr>
        <w:br w:type="textWrapping"/>
      </w:r>
      <w:r>
        <w:rPr>
          <w:rFonts w:hint="default" w:ascii="Arial" w:hAnsi="Arial" w:cs="Arial"/>
        </w:rPr>
        <w:t xml:space="preserve"> PART B: SHORT REPORT </w:t>
      </w:r>
      <w:r>
        <w:rPr>
          <w:rFonts w:hint="default" w:ascii="Arial" w:hAnsi="Arial" w:cs="Arial"/>
        </w:rPr>
        <w:br w:type="textWrapping"/>
      </w:r>
      <w:r>
        <w:rPr>
          <w:rFonts w:hint="default" w:ascii="Arial" w:hAnsi="Arial" w:cs="Arial"/>
        </w:rPr>
        <w:br w:type="textWrapping"/>
      </w:r>
      <w:r>
        <w:rPr>
          <w:rFonts w:hint="default" w:ascii="Arial" w:hAnsi="Arial" w:cs="Arial"/>
        </w:rPr>
        <w:t xml:space="preserve">Title: Applying Erikson’s Psychosocial Theory to Improve </w:t>
      </w:r>
      <w:r>
        <w:rPr>
          <w:rFonts w:hint="default" w:ascii="Arial" w:hAnsi="Arial" w:cs="Arial"/>
          <w:lang w:val="en-GB"/>
        </w:rPr>
        <w:t>Well-being</w:t>
      </w:r>
      <w:r>
        <w:rPr>
          <w:rFonts w:hint="default" w:ascii="Arial" w:hAnsi="Arial" w:cs="Arial"/>
        </w:rPr>
        <w:t xml:space="preserve"> in Residential Care</w:t>
      </w:r>
      <w:r>
        <w:rPr>
          <w:rFonts w:hint="default" w:ascii="Arial" w:hAnsi="Arial" w:cs="Arial"/>
        </w:rPr>
        <w:br w:type="textWrapping"/>
      </w:r>
      <w:r>
        <w:rPr>
          <w:rFonts w:hint="default" w:ascii="Arial" w:hAnsi="Arial" w:cs="Arial"/>
        </w:rPr>
        <w:br w:type="textWrapping"/>
      </w:r>
      <w:r>
        <w:rPr>
          <w:rFonts w:hint="default" w:ascii="Arial" w:hAnsi="Arial" w:cs="Arial"/>
          <w:b/>
          <w:bCs/>
          <w:lang w:val="en-GB"/>
        </w:rPr>
        <w:t>Introduction:</w:t>
      </w:r>
      <w:r>
        <w:rPr>
          <w:rFonts w:hint="default" w:ascii="Arial" w:hAnsi="Arial" w:cs="Arial"/>
          <w:b/>
          <w:bCs/>
        </w:rPr>
        <w:br w:type="textWrapping"/>
      </w:r>
      <w:r>
        <w:rPr>
          <w:rFonts w:hint="default" w:ascii="Arial" w:hAnsi="Arial" w:cs="Arial"/>
        </w:rPr>
        <w:t xml:space="preserve">Psychological </w:t>
      </w:r>
      <w:r>
        <w:rPr>
          <w:rFonts w:hint="default" w:ascii="Arial" w:hAnsi="Arial" w:cs="Arial"/>
          <w:lang w:val="en-GB"/>
        </w:rPr>
        <w:t>well-being</w:t>
      </w:r>
      <w:r>
        <w:rPr>
          <w:rFonts w:hint="default" w:ascii="Arial" w:hAnsi="Arial" w:cs="Arial"/>
        </w:rPr>
        <w:t xml:space="preserve"> is essential in supporting older adults living in residential care. Many individuals experience significant life changes, including loss of independence, bereavement, and social isolation. Erikson’s psychosocial theory provides a useful framework for understanding these challenges and supporting emotional </w:t>
      </w:r>
      <w:r>
        <w:rPr>
          <w:rFonts w:hint="default" w:ascii="Arial" w:hAnsi="Arial" w:cs="Arial"/>
          <w:lang w:val="en-GB"/>
        </w:rPr>
        <w:t>well-being</w:t>
      </w:r>
      <w:r>
        <w:rPr>
          <w:rFonts w:hint="default" w:ascii="Arial" w:hAnsi="Arial" w:cs="Arial"/>
        </w:rPr>
        <w:t xml:space="preserve"> (Erikson, 1982).</w:t>
      </w:r>
      <w:r>
        <w:rPr>
          <w:rFonts w:hint="default" w:ascii="Arial" w:hAnsi="Arial" w:cs="Arial"/>
          <w:lang w:val="en-GB"/>
        </w:rPr>
        <w:t xml:space="preserve">supporting psychological well-being is essential for improving quality of life and reducing issues such as depression and social isolation in older adults  </w:t>
      </w:r>
      <w:r>
        <w:rPr>
          <w:rFonts w:hint="default" w:ascii="Arial" w:hAnsi="Arial" w:cs="Arial"/>
        </w:rPr>
        <w:br w:type="textWrapping"/>
      </w:r>
      <w:r>
        <w:rPr>
          <w:rFonts w:hint="default" w:ascii="Arial" w:hAnsi="Arial" w:cs="Arial"/>
        </w:rPr>
        <w:br w:type="textWrapping"/>
      </w:r>
      <w:r>
        <w:rPr>
          <w:rFonts w:hint="default" w:ascii="Arial" w:hAnsi="Arial" w:cs="Arial"/>
          <w:b/>
          <w:bCs/>
        </w:rPr>
        <w:t xml:space="preserve">Explanation of the </w:t>
      </w:r>
      <w:r>
        <w:rPr>
          <w:rFonts w:hint="default" w:ascii="Arial" w:hAnsi="Arial" w:cs="Arial"/>
          <w:b/>
          <w:bCs/>
          <w:lang w:val="en-GB"/>
        </w:rPr>
        <w:t>Theory:</w:t>
      </w:r>
      <w:r>
        <w:rPr>
          <w:rFonts w:hint="default" w:ascii="Arial" w:hAnsi="Arial" w:cs="Arial"/>
          <w:b/>
          <w:bCs/>
        </w:rPr>
        <w:br w:type="textWrapping"/>
      </w:r>
      <w:r>
        <w:rPr>
          <w:rFonts w:hint="default" w:ascii="Arial" w:hAnsi="Arial" w:cs="Arial"/>
        </w:rPr>
        <w:t>Erikson’s theory proposes that development continues throughout life. The final stage, ego integrity versus despair, involves reflecting on life experiences. Achieving ego integrity results in acceptance and fulfilment, while despair leads to regret and dissatisfaction (Erikson, 1982).</w:t>
      </w:r>
      <w:r>
        <w:rPr>
          <w:rFonts w:hint="default" w:ascii="Arial" w:hAnsi="Arial" w:cs="Arial"/>
        </w:rPr>
        <w:br w:type="textWrapping"/>
      </w:r>
      <w:r>
        <w:rPr>
          <w:rFonts w:hint="default" w:ascii="Arial" w:hAnsi="Arial" w:cs="Arial"/>
        </w:rPr>
        <w:br w:type="textWrapping"/>
      </w:r>
      <w:r>
        <w:rPr>
          <w:rFonts w:hint="default" w:ascii="Arial" w:hAnsi="Arial" w:cs="Arial"/>
          <w:b/>
          <w:bCs/>
        </w:rPr>
        <w:t xml:space="preserve">Application in Residential </w:t>
      </w:r>
      <w:r>
        <w:rPr>
          <w:rFonts w:hint="default" w:ascii="Arial" w:hAnsi="Arial" w:cs="Arial"/>
          <w:b/>
          <w:bCs/>
          <w:lang w:val="en-GB"/>
        </w:rPr>
        <w:t>Care:</w:t>
      </w:r>
      <w:r>
        <w:rPr>
          <w:rFonts w:hint="default" w:ascii="Arial" w:hAnsi="Arial" w:cs="Arial"/>
          <w:b/>
          <w:bCs/>
        </w:rPr>
        <w:br w:type="textWrapping"/>
      </w:r>
      <w:r>
        <w:rPr>
          <w:rFonts w:hint="default" w:ascii="Arial" w:hAnsi="Arial" w:cs="Arial"/>
        </w:rPr>
        <w:t xml:space="preserve">In care homes, this theory can be applied through reminiscence therapy, where residents are encouraged to share life experiences. This supports identity and emotional wellbeing. Research </w:t>
      </w:r>
      <w:r>
        <w:rPr>
          <w:rFonts w:hint="default" w:ascii="Arial" w:hAnsi="Arial" w:cs="Arial"/>
          <w:lang w:val="en-GB"/>
        </w:rPr>
        <w:t xml:space="preserve">shows that </w:t>
      </w:r>
      <w:r>
        <w:rPr>
          <w:rFonts w:hint="default" w:ascii="Arial" w:hAnsi="Arial" w:cs="Arial"/>
        </w:rPr>
        <w:t>such interventions improve self-esteem and reduce depression (Westerhof and Bohlmeijer, 2014). Care staff can incorporate this into daily routines, making it practical and sustainable.</w:t>
      </w:r>
      <w:r>
        <w:rPr>
          <w:rFonts w:hint="default" w:ascii="Arial" w:hAnsi="Arial" w:cs="Arial"/>
        </w:rPr>
        <w:br w:type="textWrapping"/>
      </w:r>
      <w:r>
        <w:rPr>
          <w:rFonts w:hint="default" w:ascii="Arial" w:hAnsi="Arial" w:cs="Arial"/>
        </w:rPr>
        <w:br w:type="textWrapping"/>
      </w:r>
      <w:r>
        <w:rPr>
          <w:rFonts w:hint="default" w:ascii="Arial" w:hAnsi="Arial" w:cs="Arial"/>
        </w:rPr>
        <w:br w:type="textWrapping"/>
      </w:r>
      <w:r>
        <w:rPr>
          <w:rFonts w:hint="default" w:ascii="Arial" w:hAnsi="Arial" w:cs="Arial"/>
          <w:lang w:val="en-GB"/>
        </w:rPr>
        <w:t>For example in a residential care home a weekly reminiscence group may be organized where residents are invited to share memories from their past, such as childhood experiences or significant life events. One resident who initially appeared withdrawn may begin to engage more actively,sharing stories about their career and family life</w:t>
      </w:r>
    </w:p>
    <w:p w14:paraId="754A3BA2">
      <w:pPr>
        <w:rPr>
          <w:rFonts w:hint="default" w:ascii="Arial" w:hAnsi="Arial" w:cs="Arial"/>
          <w:b/>
          <w:bCs/>
          <w:lang w:val="en-GB"/>
        </w:rPr>
      </w:pPr>
      <w:r>
        <w:rPr>
          <w:rFonts w:hint="default" w:ascii="Arial" w:hAnsi="Arial" w:cs="Arial"/>
          <w:lang w:val="en-GB"/>
        </w:rPr>
        <w:t xml:space="preserve">Over time this participation can improve mood increase social interaction and enhance self esteem this demonstrate how applying Erison theory in practice can support emotional well being and reduce feelings of isolation among older adult. this improvement occurs because sharing personal experience reinforces identity and promote social connection both of which are key components of psychologilcal well being </w:t>
      </w:r>
      <w:r>
        <w:rPr>
          <w:rFonts w:hint="default" w:ascii="Arial" w:hAnsi="Arial" w:cs="Arial"/>
        </w:rPr>
        <w:t xml:space="preserve"> (Steptoe et al., 2015).</w:t>
      </w:r>
      <w:r>
        <w:rPr>
          <w:rFonts w:hint="default" w:ascii="Arial" w:hAnsi="Arial" w:cs="Arial"/>
        </w:rPr>
        <w:br w:type="textWrapping"/>
      </w:r>
      <w:r>
        <w:rPr>
          <w:rFonts w:hint="default" w:ascii="Arial" w:hAnsi="Arial" w:cs="Arial"/>
        </w:rPr>
        <w:br w:type="textWrapping"/>
      </w:r>
      <w:r>
        <w:rPr>
          <w:rFonts w:hint="default" w:ascii="Arial" w:hAnsi="Arial" w:cs="Arial"/>
          <w:b/>
          <w:bCs/>
        </w:rPr>
        <w:t>Challenge</w:t>
      </w:r>
      <w:r>
        <w:rPr>
          <w:rFonts w:hint="default" w:ascii="Arial" w:hAnsi="Arial" w:cs="Arial"/>
          <w:b/>
          <w:bCs/>
          <w:lang w:val="en-GB"/>
        </w:rPr>
        <w:t>s</w:t>
      </w:r>
    </w:p>
    <w:p w14:paraId="29C081BA">
      <w:pPr>
        <w:rPr>
          <w:rFonts w:hint="default" w:ascii="Arial" w:hAnsi="Arial" w:cs="Arial"/>
          <w:b w:val="0"/>
          <w:bCs w:val="0"/>
          <w:lang w:val="en-GB"/>
        </w:rPr>
      </w:pPr>
      <w:r>
        <w:rPr>
          <w:rFonts w:hint="default" w:ascii="Arial" w:hAnsi="Arial" w:cs="Arial"/>
          <w:b w:val="0"/>
          <w:bCs w:val="0"/>
          <w:lang w:val="en-GB"/>
        </w:rPr>
        <w:t>One key challenges in applying Erison theory in care setting is the lack of time and resources available to staff. Care workers often have high workloads and may prioritize physical care tasks over psychological support. As a result interventions such as reminiscence therapy may not be consistently implemented.</w:t>
      </w:r>
    </w:p>
    <w:p w14:paraId="687F9DB9">
      <w:pPr>
        <w:rPr>
          <w:rFonts w:hint="default" w:ascii="Arial" w:hAnsi="Arial" w:cs="Arial"/>
          <w:b w:val="0"/>
          <w:bCs w:val="0"/>
          <w:lang w:val="en-GB"/>
        </w:rPr>
      </w:pPr>
      <w:r>
        <w:rPr>
          <w:rFonts w:hint="default" w:ascii="Arial" w:hAnsi="Arial" w:cs="Arial"/>
          <w:b w:val="0"/>
          <w:bCs w:val="0"/>
          <w:lang w:val="en-GB"/>
        </w:rPr>
        <w:t xml:space="preserve"> </w:t>
      </w:r>
    </w:p>
    <w:p w14:paraId="15C99AE7">
      <w:pPr>
        <w:rPr>
          <w:rFonts w:hint="default" w:ascii="Arial" w:hAnsi="Arial" w:cs="Arial"/>
          <w:b w:val="0"/>
          <w:bCs w:val="0"/>
          <w:lang w:val="en-GB"/>
        </w:rPr>
      </w:pPr>
      <w:r>
        <w:rPr>
          <w:rFonts w:hint="default" w:ascii="Arial" w:hAnsi="Arial" w:cs="Arial"/>
          <w:b w:val="0"/>
          <w:bCs w:val="0"/>
          <w:lang w:val="en-GB"/>
        </w:rPr>
        <w:t xml:space="preserve">Another challenges is that some residents may have cognitive impairments such as dementia which can make structured reflection more difficult. This creates a gap between theory and practice where psychological interventions are recognize as important but are not consistently delivered </w:t>
      </w:r>
    </w:p>
    <w:p w14:paraId="06EF05D9">
      <w:pPr>
        <w:rPr>
          <w:rFonts w:hint="default" w:ascii="Arial" w:hAnsi="Arial" w:cs="Arial"/>
        </w:rPr>
      </w:pPr>
      <w:r>
        <w:rPr>
          <w:rFonts w:hint="default" w:ascii="Arial" w:hAnsi="Arial" w:cs="Arial"/>
          <w:b w:val="0"/>
          <w:bCs w:val="0"/>
          <w:lang w:val="en-GB"/>
        </w:rPr>
        <w:t xml:space="preserve"> </w:t>
      </w:r>
      <w:r>
        <w:rPr>
          <w:rFonts w:hint="default" w:ascii="Arial" w:hAnsi="Arial" w:cs="Arial"/>
          <w:b/>
          <w:bCs/>
        </w:rPr>
        <w:br w:type="textWrapping"/>
      </w:r>
      <w:r>
        <w:rPr>
          <w:rFonts w:hint="default" w:ascii="Arial" w:hAnsi="Arial" w:cs="Arial"/>
          <w:b/>
          <w:bCs/>
        </w:rPr>
        <w:t>Strategy</w:t>
      </w:r>
      <w:r>
        <w:rPr>
          <w:rFonts w:hint="default" w:ascii="Arial" w:hAnsi="Arial" w:cs="Arial"/>
          <w:b/>
          <w:bCs/>
        </w:rPr>
        <w:br w:type="textWrapping"/>
      </w:r>
      <w:r>
        <w:rPr>
          <w:rFonts w:hint="default" w:ascii="Arial" w:hAnsi="Arial" w:cs="Arial"/>
          <w:b w:val="0"/>
          <w:bCs w:val="0"/>
          <w:lang w:val="en-GB"/>
        </w:rPr>
        <w:t>To overcome this care homes need go through so training to deal with patients and to integrate reflection into daily interaction rather than structured sessions. Staff training and family involvement can also improve effectiveness. Also, providing staff with basic training in communication and reminiscence techniques can improve confidence and ensure consistent delivery of psychological support.</w:t>
      </w:r>
      <w:r>
        <w:rPr>
          <w:rFonts w:hint="default" w:ascii="Arial" w:hAnsi="Arial" w:cs="Arial"/>
          <w:b w:val="0"/>
          <w:bCs w:val="0"/>
        </w:rPr>
        <w:br w:type="textWrapping"/>
      </w:r>
      <w:r>
        <w:rPr>
          <w:rFonts w:hint="default" w:ascii="Arial" w:hAnsi="Arial" w:cs="Arial"/>
        </w:rPr>
        <w:br w:type="textWrapping"/>
      </w:r>
      <w:r>
        <w:rPr>
          <w:rFonts w:hint="default" w:ascii="Arial" w:hAnsi="Arial" w:cs="Arial"/>
          <w:b/>
          <w:bCs/>
        </w:rPr>
        <w:t>Conclusio</w:t>
      </w:r>
      <w:r>
        <w:rPr>
          <w:rFonts w:hint="default" w:ascii="Arial" w:hAnsi="Arial" w:cs="Arial"/>
          <w:b/>
          <w:bCs/>
          <w:lang w:val="en-GB"/>
        </w:rPr>
        <w:t>n</w:t>
      </w:r>
      <w:r>
        <w:rPr>
          <w:rFonts w:hint="default" w:ascii="Arial" w:hAnsi="Arial" w:cs="Arial"/>
          <w:b/>
          <w:bCs/>
        </w:rPr>
        <w:br w:type="textWrapping"/>
      </w:r>
      <w:r>
        <w:rPr>
          <w:rFonts w:hint="default" w:ascii="Arial" w:hAnsi="Arial" w:cs="Arial"/>
        </w:rPr>
        <w:t xml:space="preserve">Erikson’s theory is valuable for improving </w:t>
      </w:r>
      <w:r>
        <w:rPr>
          <w:rFonts w:hint="default" w:ascii="Arial" w:hAnsi="Arial" w:cs="Arial"/>
          <w:lang w:val="en-GB"/>
        </w:rPr>
        <w:t>well-being</w:t>
      </w:r>
      <w:r>
        <w:rPr>
          <w:rFonts w:hint="default" w:ascii="Arial" w:hAnsi="Arial" w:cs="Arial"/>
        </w:rPr>
        <w:t xml:space="preserve"> in older adults. By supporting reflection and identity, care staff can provide more </w:t>
      </w:r>
      <w:r>
        <w:rPr>
          <w:rFonts w:hint="default" w:ascii="Arial" w:hAnsi="Arial" w:cs="Arial"/>
          <w:lang w:val="en-GB"/>
        </w:rPr>
        <w:t>holistic,</w:t>
      </w:r>
      <w:r>
        <w:rPr>
          <w:rFonts w:hint="default" w:ascii="Arial" w:hAnsi="Arial" w:cs="Arial"/>
        </w:rPr>
        <w:t>person-centred care.</w:t>
      </w:r>
      <w:r>
        <w:rPr>
          <w:rFonts w:hint="default" w:ascii="Arial" w:hAnsi="Arial" w:cs="Arial"/>
          <w:lang w:val="en-GB"/>
        </w:rPr>
        <w:t xml:space="preserve"> This is particularly useful in residential care setting because it enables care staff to support emotional well being through structure intervention such as reminiscence therapy however its effectiveness maybe limited in practical due to staffing constraints and varying levels of resident cognitive  </w:t>
      </w:r>
      <w:r>
        <w:rPr>
          <w:rFonts w:hint="default" w:ascii="Arial" w:hAnsi="Arial" w:cs="Arial"/>
        </w:rPr>
        <w:br w:type="textWrapping"/>
      </w:r>
      <w:r>
        <w:rPr>
          <w:rFonts w:hint="default" w:ascii="Arial" w:hAnsi="Arial" w:cs="Arial"/>
        </w:rPr>
        <w:br w:type="textWrapping"/>
      </w:r>
      <w:r>
        <w:rPr>
          <w:rFonts w:hint="default" w:ascii="Arial" w:hAnsi="Arial" w:cs="Arial"/>
          <w:b/>
          <w:bCs/>
        </w:rPr>
        <w:t>Reference List</w:t>
      </w:r>
      <w:r>
        <w:rPr>
          <w:rFonts w:hint="default" w:ascii="Arial" w:hAnsi="Arial" w:cs="Arial"/>
          <w:b/>
          <w:bCs/>
        </w:rPr>
        <w:br w:type="textWrapping"/>
      </w:r>
      <w:r>
        <w:rPr>
          <w:rFonts w:hint="default" w:ascii="Arial" w:hAnsi="Arial" w:cs="Arial"/>
        </w:rPr>
        <w:t>Erikson, E.H. (1982) The Life Cycle Completed. New York: W.W. Norton.</w:t>
      </w:r>
      <w:r>
        <w:rPr>
          <w:rFonts w:hint="default" w:ascii="Arial" w:hAnsi="Arial" w:cs="Arial"/>
        </w:rPr>
        <w:br w:type="textWrapping"/>
      </w:r>
      <w:r>
        <w:rPr>
          <w:rFonts w:hint="default" w:ascii="Arial" w:hAnsi="Arial" w:cs="Arial"/>
        </w:rPr>
        <w:t>Rowe, J.W. and Kahn, R.L. (1997) ‘Successful aging’, The Gerontologist, 37(4), pp. 433–440.</w:t>
      </w:r>
      <w:r>
        <w:rPr>
          <w:rFonts w:hint="default" w:ascii="Arial" w:hAnsi="Arial" w:cs="Arial"/>
        </w:rPr>
        <w:br w:type="textWrapping"/>
      </w:r>
      <w:r>
        <w:rPr>
          <w:rFonts w:hint="default" w:ascii="Arial" w:hAnsi="Arial" w:cs="Arial"/>
        </w:rPr>
        <w:t>Steptoe, A., Deaton, A. and Stone, A.A. (2015) ‘Subjective wellbeing, health, and ageing’, The Lancet, 385(9968), pp. 640–648.</w:t>
      </w:r>
      <w:r>
        <w:rPr>
          <w:rFonts w:hint="default" w:ascii="Arial" w:hAnsi="Arial" w:cs="Arial"/>
        </w:rPr>
        <w:br w:type="textWrapping"/>
      </w:r>
      <w:r>
        <w:rPr>
          <w:rFonts w:hint="default" w:ascii="Arial" w:hAnsi="Arial" w:cs="Arial"/>
        </w:rPr>
        <w:t>Westerhof, G.J. and Bohlmeijer, E.T. (2014) ‘Celebrating fifty years of research and applications in reminiscence and life review’, Journal of Aging Studies, 29, pp. 107–114.</w:t>
      </w:r>
      <w:r>
        <w:rPr>
          <w:rFonts w:hint="default" w:ascii="Arial" w:hAnsi="Arial" w:cs="Arial"/>
        </w:rPr>
        <w:br w:type="textWrapping"/>
      </w:r>
    </w:p>
    <w:sectPr>
      <w:pgSz w:w="12240" w:h="15840"/>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DengXian">
    <w:panose1 w:val="02010600030101010101"/>
    <w:charset w:val="86"/>
    <w:family w:val="auto"/>
    <w:pitch w:val="default"/>
    <w:sig w:usb0="A00002BF" w:usb1="38CF7CFA" w:usb2="00000016" w:usb3="00000000" w:csb0="0004000F" w:csb1="00000000"/>
  </w:font>
  <w:font w:name="Cambria">
    <w:panose1 w:val="02040503050406030204"/>
    <w:charset w:val="00"/>
    <w:family w:val="auto"/>
    <w:pitch w:val="default"/>
    <w:sig w:usb0="E00006FF" w:usb1="420024FF" w:usb2="02000000" w:usb3="00000000" w:csb0="2000019F" w:csb1="00000000"/>
  </w:font>
  <w:font w:name="MS Mincho">
    <w:panose1 w:val="02020609040205080304"/>
    <w:charset w:val="80"/>
    <w:family w:val="auto"/>
    <w:pitch w:val="default"/>
    <w:sig w:usb0="E00002FF" w:usb1="6AC7FDFB" w:usb2="08000012" w:usb3="00000000" w:csb0="4002009F" w:csb1="DFD70000"/>
  </w:font>
  <w:font w:name="MS Gothic">
    <w:panose1 w:val="020B0609070205080204"/>
    <w:charset w:val="80"/>
    <w:family w:val="auto"/>
    <w:pitch w:val="default"/>
    <w:sig w:usb0="E00002FF" w:usb1="6AC7FDFB" w:usb2="08000012" w:usb3="00000000" w:csb0="4002009F" w:csb1="DFD70000"/>
  </w:font>
  <w:font w:name="Symbol">
    <w:panose1 w:val="05050102010706020507"/>
    <w:charset w:val="02"/>
    <w:family w:val="auto"/>
    <w:pitch w:val="default"/>
    <w:sig w:usb0="00000000" w:usb1="00000000" w:usb2="00000000" w:usb3="00000000" w:csb0="80000000" w:csb1="00000000"/>
  </w:font>
  <w:font w:name="Courier">
    <w:altName w:val="Courier New"/>
    <w:panose1 w:val="02000500000000000000"/>
    <w:charset w:val="00"/>
    <w:family w:val="auto"/>
    <w:pitch w:val="default"/>
    <w:sig w:usb0="00000000"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FFF7E"/>
    <w:multiLevelType w:val="singleLevel"/>
    <w:tmpl w:val="FFFFFF7E"/>
    <w:lvl w:ilvl="0" w:tentative="0">
      <w:start w:val="1"/>
      <w:numFmt w:val="decimal"/>
      <w:pStyle w:val="31"/>
      <w:lvlText w:val="%1."/>
      <w:lvlJc w:val="left"/>
      <w:pPr>
        <w:tabs>
          <w:tab w:val="left" w:pos="1080"/>
        </w:tabs>
        <w:ind w:left="1080" w:hanging="360"/>
      </w:pPr>
    </w:lvl>
  </w:abstractNum>
  <w:abstractNum w:abstractNumId="1">
    <w:nsid w:val="FFFFFF7F"/>
    <w:multiLevelType w:val="singleLevel"/>
    <w:tmpl w:val="FFFFFF7F"/>
    <w:lvl w:ilvl="0" w:tentative="0">
      <w:start w:val="1"/>
      <w:numFmt w:val="decimal"/>
      <w:pStyle w:val="30"/>
      <w:lvlText w:val="%1."/>
      <w:lvlJc w:val="left"/>
      <w:pPr>
        <w:tabs>
          <w:tab w:val="left" w:pos="720"/>
        </w:tabs>
        <w:ind w:left="720" w:hanging="360"/>
      </w:pPr>
    </w:lvl>
  </w:abstractNum>
  <w:abstractNum w:abstractNumId="2">
    <w:nsid w:val="FFFFFF82"/>
    <w:multiLevelType w:val="singleLevel"/>
    <w:tmpl w:val="FFFFFF82"/>
    <w:lvl w:ilvl="0" w:tentative="0">
      <w:start w:val="1"/>
      <w:numFmt w:val="bullet"/>
      <w:pStyle w:val="25"/>
      <w:lvlText w:val=""/>
      <w:lvlJc w:val="left"/>
      <w:pPr>
        <w:tabs>
          <w:tab w:val="left" w:pos="1080"/>
        </w:tabs>
        <w:ind w:left="1080" w:hanging="360"/>
      </w:pPr>
      <w:rPr>
        <w:rFonts w:hint="default" w:ascii="Symbol" w:hAnsi="Symbol"/>
      </w:rPr>
    </w:lvl>
  </w:abstractNum>
  <w:abstractNum w:abstractNumId="3">
    <w:nsid w:val="FFFFFF83"/>
    <w:multiLevelType w:val="singleLevel"/>
    <w:tmpl w:val="FFFFFF83"/>
    <w:lvl w:ilvl="0" w:tentative="0">
      <w:start w:val="1"/>
      <w:numFmt w:val="bullet"/>
      <w:pStyle w:val="24"/>
      <w:lvlText w:val=""/>
      <w:lvlJc w:val="left"/>
      <w:pPr>
        <w:tabs>
          <w:tab w:val="left" w:pos="720"/>
        </w:tabs>
        <w:ind w:left="720" w:hanging="360"/>
      </w:pPr>
      <w:rPr>
        <w:rFonts w:hint="default" w:ascii="Symbol" w:hAnsi="Symbol"/>
      </w:rPr>
    </w:lvl>
  </w:abstractNum>
  <w:abstractNum w:abstractNumId="4">
    <w:nsid w:val="FFFFFF88"/>
    <w:multiLevelType w:val="singleLevel"/>
    <w:tmpl w:val="FFFFFF88"/>
    <w:lvl w:ilvl="0" w:tentative="0">
      <w:start w:val="1"/>
      <w:numFmt w:val="decimal"/>
      <w:pStyle w:val="29"/>
      <w:lvlText w:val="%1."/>
      <w:lvlJc w:val="left"/>
      <w:pPr>
        <w:tabs>
          <w:tab w:val="left" w:pos="360"/>
        </w:tabs>
        <w:ind w:left="360" w:hanging="360"/>
      </w:pPr>
    </w:lvl>
  </w:abstractNum>
  <w:abstractNum w:abstractNumId="5">
    <w:nsid w:val="FFFFFF89"/>
    <w:multiLevelType w:val="singleLevel"/>
    <w:tmpl w:val="FFFFFF89"/>
    <w:lvl w:ilvl="0" w:tentative="0">
      <w:start w:val="1"/>
      <w:numFmt w:val="bullet"/>
      <w:pStyle w:val="23"/>
      <w:lvlText w:val=""/>
      <w:lvlJc w:val="left"/>
      <w:pPr>
        <w:tabs>
          <w:tab w:val="left" w:pos="360"/>
        </w:tabs>
        <w:ind w:left="360" w:hanging="360"/>
      </w:pPr>
      <w:rPr>
        <w:rFonts w:hint="default" w:ascii="Symbol" w:hAnsi="Symbol"/>
      </w:r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view w:val="outline"/>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3C90490"/>
    <w:rsid w:val="07BB28BC"/>
    <w:rsid w:val="1F9E2BE7"/>
    <w:rsid w:val="25A04F12"/>
    <w:rsid w:val="2F5717A6"/>
    <w:rsid w:val="3C537BCF"/>
    <w:rsid w:val="421F5AFD"/>
    <w:rsid w:val="578A062C"/>
    <w:rsid w:val="74D542D9"/>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14:defaultImageDpi w14:val="300"/>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qFormat="1" w:uiPriority="99" w:semiHidden="0" w:name="macro"/>
    <w:lsdException w:uiPriority="99" w:name="toa heading"/>
    <w:lsdException w:qFormat="1" w:uiPriority="99" w:semiHidden="0" w:name="List"/>
    <w:lsdException w:qFormat="1" w:uiPriority="99" w:semiHidden="0" w:name="List Bullet"/>
    <w:lsdException w:qFormat="1" w:uiPriority="99" w:semiHidden="0" w:name="List Number"/>
    <w:lsdException w:qFormat="1" w:uiPriority="99" w:semiHidden="0" w:name="List 2"/>
    <w:lsdException w:qFormat="1" w:uiPriority="99" w:semiHidden="0" w:name="List 3"/>
    <w:lsdException w:uiPriority="99" w:name="List 4"/>
    <w:lsdException w:uiPriority="99" w:name="List 5"/>
    <w:lsdException w:qFormat="1" w:uiPriority="99" w:semiHidden="0" w:name="List Bullet 2"/>
    <w:lsdException w:qFormat="1" w:uiPriority="99" w:semiHidden="0" w:name="List Bullet 3"/>
    <w:lsdException w:uiPriority="99" w:name="List Bullet 4"/>
    <w:lsdException w:uiPriority="99" w:name="List Bullet 5"/>
    <w:lsdException w:qFormat="1" w:uiPriority="99" w:semiHidden="0" w:name="List Number 2"/>
    <w:lsdException w:qFormat="1" w:uiPriority="99" w:semiHidden="0"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qFormat="1" w:uiPriority="99" w:semiHidden="0" w:name="List Continue"/>
    <w:lsdException w:qFormat="1" w:uiPriority="99" w:semiHidden="0" w:name="List Continue 2"/>
    <w:lsdException w:qFormat="1" w:uiPriority="99" w:semiHidden="0"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iPriority="99" w:semiHidden="0" w:name="Body Text 2"/>
    <w:lsdException w:qFormat="1" w:uiPriority="99" w:semiHidden="0"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1" w:semiHidden="0" w:name="No Spacing"/>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qFormat="1" w:unhideWhenUsed="0" w:uiPriority="67" w:semiHidden="0" w:name="Medium Grid 1"/>
    <w:lsdException w:qFormat="1" w:unhideWhenUsed="0" w:uiPriority="68" w:semiHidden="0" w:name="Medium Grid 2"/>
    <w:lsdException w:qFormat="1" w:unhideWhenUsed="0" w:uiPriority="69" w:semiHidden="0" w:name="Medium Grid 3"/>
    <w:lsdException w:qFormat="1"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qFormat="1" w:unhideWhenUsed="0" w:uiPriority="66" w:semiHidden="0" w:name="Medium List 2 Accent 1"/>
    <w:lsdException w:qFormat="1" w:unhideWhenUsed="0" w:uiPriority="67" w:semiHidden="0" w:name="Medium Grid 1 Accent 1"/>
    <w:lsdException w:qFormat="1" w:unhideWhenUsed="0" w:uiPriority="68" w:semiHidden="0" w:name="Medium Grid 2 Accent 1"/>
    <w:lsdException w:qFormat="1" w:unhideWhenUsed="0" w:uiPriority="69" w:semiHidden="0" w:name="Medium Grid 3 Accent 1"/>
    <w:lsdException w:qFormat="1"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qFormat="1" w:unhideWhenUsed="0" w:uiPriority="66" w:semiHidden="0" w:name="Medium List 2 Accent 2"/>
    <w:lsdException w:qFormat="1" w:unhideWhenUsed="0" w:uiPriority="67" w:semiHidden="0" w:name="Medium Grid 1 Accent 2"/>
    <w:lsdException w:qFormat="1" w:unhideWhenUsed="0" w:uiPriority="68" w:semiHidden="0" w:name="Medium Grid 2 Accent 2"/>
    <w:lsdException w:qFormat="1" w:unhideWhenUsed="0" w:uiPriority="69" w:semiHidden="0" w:name="Medium Grid 3 Accent 2"/>
    <w:lsdException w:qFormat="1" w:unhideWhenUsed="0" w:uiPriority="70" w:semiHidden="0" w:name="Dark List Accent 2"/>
    <w:lsdException w:qFormat="1"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qFormat="1" w:unhideWhenUsed="0" w:uiPriority="68" w:semiHidden="0" w:name="Medium Grid 2 Accent 3"/>
    <w:lsdException w:qFormat="1" w:unhideWhenUsed="0" w:uiPriority="69" w:semiHidden="0" w:name="Medium Grid 3 Accent 3"/>
    <w:lsdException w:qFormat="1"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qFormat="1"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qFormat="1" w:unhideWhenUsed="0" w:uiPriority="67" w:semiHidden="0" w:name="Medium Grid 1 Accent 4"/>
    <w:lsdException w:qFormat="1" w:unhideWhenUsed="0" w:uiPriority="68" w:semiHidden="0" w:name="Medium Grid 2 Accent 4"/>
    <w:lsdException w:qFormat="1"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qFormat="1"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qFormat="1" w:unhideWhenUsed="0" w:uiPriority="65" w:semiHidden="0" w:name="Medium List 1 Accent 5"/>
    <w:lsdException w:qFormat="1" w:unhideWhenUsed="0" w:uiPriority="66" w:semiHidden="0" w:name="Medium List 2 Accent 5"/>
    <w:lsdException w:qFormat="1" w:unhideWhenUsed="0" w:uiPriority="67" w:semiHidden="0" w:name="Medium Grid 1 Accent 5"/>
    <w:lsdException w:qFormat="1" w:unhideWhenUsed="0" w:uiPriority="68" w:semiHidden="0" w:name="Medium Grid 2 Accent 5"/>
    <w:lsdException w:qFormat="1"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qFormat="1" w:unhideWhenUsed="0" w:uiPriority="67" w:semiHidden="0" w:name="Medium Grid 1 Accent 6"/>
    <w:lsdException w:qFormat="1" w:unhideWhenUsed="0" w:uiPriority="68" w:semiHidden="0" w:name="Medium Grid 2 Accent 6"/>
    <w:lsdException w:qFormat="1"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138"/>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3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3"/>
    <w:basedOn w:val="1"/>
    <w:next w:val="1"/>
    <w:link w:val="140"/>
    <w:unhideWhenUsed/>
    <w:qFormat/>
    <w:uiPriority w:val="9"/>
    <w:pPr>
      <w:keepNext/>
      <w:keepLines/>
      <w:spacing w:before="200" w:after="0"/>
      <w:outlineLvl w:val="2"/>
    </w:pPr>
    <w:rPr>
      <w:rFonts w:asciiTheme="majorHAnsi" w:hAnsiTheme="majorHAnsi" w:eastAsiaTheme="majorEastAsia" w:cstheme="majorBidi"/>
      <w:b/>
      <w:bCs/>
      <w:color w:val="4F81BD" w:themeColor="accent1"/>
      <w14:textFill>
        <w14:solidFill>
          <w14:schemeClr w14:val="accent1"/>
        </w14:solidFill>
      </w14:textFill>
    </w:rPr>
  </w:style>
  <w:style w:type="paragraph" w:styleId="5">
    <w:name w:val="heading 4"/>
    <w:basedOn w:val="1"/>
    <w:next w:val="1"/>
    <w:link w:val="15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paragraph" w:styleId="6">
    <w:name w:val="heading 5"/>
    <w:basedOn w:val="1"/>
    <w:next w:val="1"/>
    <w:link w:val="151"/>
    <w:semiHidden/>
    <w:unhideWhenUsed/>
    <w:qFormat/>
    <w:uiPriority w:val="9"/>
    <w:pPr>
      <w:keepNext/>
      <w:keepLines/>
      <w:spacing w:before="200" w:after="0"/>
      <w:outlineLvl w:val="4"/>
    </w:pPr>
    <w:rPr>
      <w:rFonts w:asciiTheme="majorHAnsi" w:hAnsiTheme="majorHAnsi" w:eastAsiaTheme="majorEastAsia" w:cstheme="majorBidi"/>
      <w:color w:val="254061" w:themeColor="accent1" w:themeShade="80"/>
    </w:rPr>
  </w:style>
  <w:style w:type="paragraph" w:styleId="7">
    <w:name w:val="heading 6"/>
    <w:basedOn w:val="1"/>
    <w:next w:val="1"/>
    <w:link w:val="152"/>
    <w:semiHidden/>
    <w:unhideWhenUsed/>
    <w:qFormat/>
    <w:uiPriority w:val="9"/>
    <w:pPr>
      <w:keepNext/>
      <w:keepLines/>
      <w:spacing w:before="200" w:after="0"/>
      <w:outlineLvl w:val="5"/>
    </w:pPr>
    <w:rPr>
      <w:rFonts w:asciiTheme="majorHAnsi" w:hAnsiTheme="majorHAnsi" w:eastAsiaTheme="majorEastAsia" w:cstheme="majorBidi"/>
      <w:i/>
      <w:iCs/>
      <w:color w:val="254061" w:themeColor="accent1" w:themeShade="80"/>
    </w:rPr>
  </w:style>
  <w:style w:type="paragraph" w:styleId="8">
    <w:name w:val="heading 7"/>
    <w:basedOn w:val="1"/>
    <w:next w:val="1"/>
    <w:link w:val="153"/>
    <w:semiHidden/>
    <w:unhideWhenUsed/>
    <w:qFormat/>
    <w:uiPriority w:val="9"/>
    <w:pPr>
      <w:keepNext/>
      <w:keepLines/>
      <w:spacing w:before="200" w:after="0"/>
      <w:outlineLvl w:val="6"/>
    </w:pPr>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154"/>
    <w:semiHidden/>
    <w:unhideWhenUsed/>
    <w:qFormat/>
    <w:uiPriority w:val="9"/>
    <w:pPr>
      <w:keepNext/>
      <w:keepLines/>
      <w:spacing w:before="200" w:after="0"/>
      <w:outlineLvl w:val="7"/>
    </w:pPr>
    <w:rPr>
      <w:rFonts w:asciiTheme="majorHAnsi" w:hAnsiTheme="majorHAnsi" w:eastAsiaTheme="majorEastAsia" w:cstheme="majorBidi"/>
      <w:color w:val="4F81BD" w:themeColor="accent1"/>
      <w:sz w:val="20"/>
      <w:szCs w:val="20"/>
      <w14:textFill>
        <w14:solidFill>
          <w14:schemeClr w14:val="accent1"/>
        </w14:solidFill>
      </w14:textFill>
    </w:rPr>
  </w:style>
  <w:style w:type="paragraph" w:styleId="10">
    <w:name w:val="heading 9"/>
    <w:basedOn w:val="1"/>
    <w:next w:val="1"/>
    <w:link w:val="155"/>
    <w:semiHidden/>
    <w:unhideWhenUsed/>
    <w:qFormat/>
    <w:uiPriority w:val="9"/>
    <w:pPr>
      <w:keepNext/>
      <w:keepLines/>
      <w:spacing w:before="200" w:after="0"/>
      <w:outlineLvl w:val="8"/>
    </w:pPr>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link w:val="144"/>
    <w:unhideWhenUsed/>
    <w:qFormat/>
    <w:uiPriority w:val="99"/>
    <w:pPr>
      <w:spacing w:after="120"/>
    </w:pPr>
  </w:style>
  <w:style w:type="paragraph" w:styleId="14">
    <w:name w:val="Body Text 2"/>
    <w:basedOn w:val="1"/>
    <w:link w:val="145"/>
    <w:unhideWhenUsed/>
    <w:qFormat/>
    <w:uiPriority w:val="99"/>
    <w:pPr>
      <w:spacing w:after="120" w:line="480" w:lineRule="auto"/>
    </w:pPr>
  </w:style>
  <w:style w:type="paragraph" w:styleId="15">
    <w:name w:val="Body Text 3"/>
    <w:basedOn w:val="1"/>
    <w:link w:val="146"/>
    <w:unhideWhenUsed/>
    <w:qFormat/>
    <w:uiPriority w:val="99"/>
    <w:pPr>
      <w:spacing w:after="120"/>
    </w:pPr>
    <w:rPr>
      <w:sz w:val="16"/>
      <w:szCs w:val="16"/>
    </w:rPr>
  </w:style>
  <w:style w:type="paragraph" w:styleId="16">
    <w:name w:val="caption"/>
    <w:basedOn w:val="1"/>
    <w:next w:val="1"/>
    <w:semiHidden/>
    <w:unhideWhenUsed/>
    <w:qFormat/>
    <w:uiPriority w:val="35"/>
    <w:pPr>
      <w:spacing w:line="240" w:lineRule="auto"/>
    </w:pPr>
    <w:rPr>
      <w:b/>
      <w:bCs/>
      <w:color w:val="4F81BD" w:themeColor="accent1"/>
      <w:sz w:val="18"/>
      <w:szCs w:val="18"/>
      <w14:textFill>
        <w14:solidFill>
          <w14:schemeClr w14:val="accent1"/>
        </w14:solidFill>
      </w14:textFill>
    </w:rPr>
  </w:style>
  <w:style w:type="character" w:styleId="17">
    <w:name w:val="Emphasis"/>
    <w:basedOn w:val="11"/>
    <w:qFormat/>
    <w:uiPriority w:val="20"/>
    <w:rPr>
      <w:i/>
      <w:iCs/>
    </w:rPr>
  </w:style>
  <w:style w:type="paragraph" w:styleId="18">
    <w:name w:val="footer"/>
    <w:basedOn w:val="1"/>
    <w:link w:val="136"/>
    <w:unhideWhenUsed/>
    <w:qFormat/>
    <w:uiPriority w:val="99"/>
    <w:pPr>
      <w:tabs>
        <w:tab w:val="center" w:pos="4680"/>
        <w:tab w:val="right" w:pos="9360"/>
      </w:tabs>
      <w:spacing w:after="0" w:line="240" w:lineRule="auto"/>
    </w:pPr>
  </w:style>
  <w:style w:type="paragraph" w:styleId="19">
    <w:name w:val="header"/>
    <w:basedOn w:val="1"/>
    <w:link w:val="135"/>
    <w:unhideWhenUsed/>
    <w:qFormat/>
    <w:uiPriority w:val="99"/>
    <w:pPr>
      <w:tabs>
        <w:tab w:val="center" w:pos="4680"/>
        <w:tab w:val="right" w:pos="9360"/>
      </w:tabs>
      <w:spacing w:after="0" w:line="240" w:lineRule="auto"/>
    </w:pPr>
  </w:style>
  <w:style w:type="paragraph" w:styleId="20">
    <w:name w:val="List"/>
    <w:basedOn w:val="1"/>
    <w:unhideWhenUsed/>
    <w:qFormat/>
    <w:uiPriority w:val="99"/>
    <w:pPr>
      <w:ind w:left="360" w:hanging="360"/>
      <w:contextualSpacing/>
    </w:pPr>
  </w:style>
  <w:style w:type="paragraph" w:styleId="21">
    <w:name w:val="List 2"/>
    <w:basedOn w:val="1"/>
    <w:unhideWhenUsed/>
    <w:qFormat/>
    <w:uiPriority w:val="99"/>
    <w:pPr>
      <w:ind w:left="720" w:hanging="360"/>
      <w:contextualSpacing/>
    </w:pPr>
  </w:style>
  <w:style w:type="paragraph" w:styleId="22">
    <w:name w:val="List 3"/>
    <w:basedOn w:val="1"/>
    <w:unhideWhenUsed/>
    <w:qFormat/>
    <w:uiPriority w:val="99"/>
    <w:pPr>
      <w:ind w:left="1080" w:hanging="360"/>
      <w:contextualSpacing/>
    </w:pPr>
  </w:style>
  <w:style w:type="paragraph" w:styleId="23">
    <w:name w:val="List Bullet"/>
    <w:basedOn w:val="1"/>
    <w:unhideWhenUsed/>
    <w:qFormat/>
    <w:uiPriority w:val="99"/>
    <w:pPr>
      <w:numPr>
        <w:ilvl w:val="0"/>
        <w:numId w:val="1"/>
      </w:numPr>
      <w:contextualSpacing/>
    </w:pPr>
  </w:style>
  <w:style w:type="paragraph" w:styleId="24">
    <w:name w:val="List Bullet 2"/>
    <w:basedOn w:val="1"/>
    <w:unhideWhenUsed/>
    <w:qFormat/>
    <w:uiPriority w:val="99"/>
    <w:pPr>
      <w:numPr>
        <w:ilvl w:val="0"/>
        <w:numId w:val="2"/>
      </w:numPr>
      <w:contextualSpacing/>
    </w:pPr>
  </w:style>
  <w:style w:type="paragraph" w:styleId="25">
    <w:name w:val="List Bullet 3"/>
    <w:basedOn w:val="1"/>
    <w:unhideWhenUsed/>
    <w:qFormat/>
    <w:uiPriority w:val="99"/>
    <w:pPr>
      <w:numPr>
        <w:ilvl w:val="0"/>
        <w:numId w:val="3"/>
      </w:numPr>
      <w:contextualSpacing/>
    </w:pPr>
  </w:style>
  <w:style w:type="paragraph" w:styleId="26">
    <w:name w:val="List Continue"/>
    <w:basedOn w:val="1"/>
    <w:unhideWhenUsed/>
    <w:qFormat/>
    <w:uiPriority w:val="99"/>
    <w:pPr>
      <w:spacing w:after="120"/>
      <w:ind w:left="360"/>
      <w:contextualSpacing/>
    </w:pPr>
  </w:style>
  <w:style w:type="paragraph" w:styleId="27">
    <w:name w:val="List Continue 2"/>
    <w:basedOn w:val="1"/>
    <w:unhideWhenUsed/>
    <w:qFormat/>
    <w:uiPriority w:val="99"/>
    <w:pPr>
      <w:spacing w:after="120"/>
      <w:ind w:left="720"/>
      <w:contextualSpacing/>
    </w:pPr>
  </w:style>
  <w:style w:type="paragraph" w:styleId="28">
    <w:name w:val="List Continue 3"/>
    <w:basedOn w:val="1"/>
    <w:unhideWhenUsed/>
    <w:qFormat/>
    <w:uiPriority w:val="99"/>
    <w:pPr>
      <w:spacing w:after="120"/>
      <w:ind w:left="1080"/>
      <w:contextualSpacing/>
    </w:pPr>
  </w:style>
  <w:style w:type="paragraph" w:styleId="29">
    <w:name w:val="List Number"/>
    <w:basedOn w:val="1"/>
    <w:unhideWhenUsed/>
    <w:qFormat/>
    <w:uiPriority w:val="99"/>
    <w:pPr>
      <w:numPr>
        <w:ilvl w:val="0"/>
        <w:numId w:val="4"/>
      </w:numPr>
      <w:contextualSpacing/>
    </w:pPr>
  </w:style>
  <w:style w:type="paragraph" w:styleId="30">
    <w:name w:val="List Number 2"/>
    <w:basedOn w:val="1"/>
    <w:unhideWhenUsed/>
    <w:qFormat/>
    <w:uiPriority w:val="99"/>
    <w:pPr>
      <w:numPr>
        <w:ilvl w:val="0"/>
        <w:numId w:val="5"/>
      </w:numPr>
      <w:contextualSpacing/>
    </w:pPr>
  </w:style>
  <w:style w:type="paragraph" w:styleId="31">
    <w:name w:val="List Number 3"/>
    <w:basedOn w:val="1"/>
    <w:unhideWhenUsed/>
    <w:qFormat/>
    <w:uiPriority w:val="99"/>
    <w:pPr>
      <w:numPr>
        <w:ilvl w:val="0"/>
        <w:numId w:val="6"/>
      </w:numPr>
      <w:contextualSpacing/>
    </w:pPr>
  </w:style>
  <w:style w:type="paragraph" w:styleId="32">
    <w:name w:val="macro"/>
    <w:link w:val="147"/>
    <w:unhideWhenUsed/>
    <w:qFormat/>
    <w:uiPriority w:val="99"/>
    <w:pPr>
      <w:tabs>
        <w:tab w:val="left" w:pos="576"/>
        <w:tab w:val="left" w:pos="1152"/>
        <w:tab w:val="left" w:pos="1728"/>
        <w:tab w:val="left" w:pos="2304"/>
        <w:tab w:val="left" w:pos="2880"/>
        <w:tab w:val="left" w:pos="3456"/>
        <w:tab w:val="left" w:pos="4032"/>
      </w:tabs>
      <w:spacing w:after="200" w:line="276" w:lineRule="auto"/>
    </w:pPr>
    <w:rPr>
      <w:rFonts w:ascii="Courier" w:hAnsi="Courier" w:eastAsiaTheme="minorEastAsia" w:cstheme="minorBidi"/>
      <w:sz w:val="20"/>
      <w:szCs w:val="20"/>
      <w:lang w:val="en-US" w:eastAsia="en-US" w:bidi="ar-SA"/>
    </w:rPr>
  </w:style>
  <w:style w:type="character" w:styleId="33">
    <w:name w:val="Strong"/>
    <w:basedOn w:val="11"/>
    <w:qFormat/>
    <w:uiPriority w:val="22"/>
    <w:rPr>
      <w:b/>
      <w:bCs/>
    </w:rPr>
  </w:style>
  <w:style w:type="paragraph" w:styleId="34">
    <w:name w:val="Subtitle"/>
    <w:basedOn w:val="1"/>
    <w:next w:val="1"/>
    <w:link w:val="142"/>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table" w:styleId="35">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36">
    <w:name w:val="Title"/>
    <w:basedOn w:val="1"/>
    <w:next w:val="1"/>
    <w:link w:val="141"/>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table" w:styleId="37">
    <w:name w:val="Light Shading"/>
    <w:basedOn w:val="12"/>
    <w:qFormat/>
    <w:uiPriority w:val="60"/>
    <w:pPr>
      <w:spacing w:after="0" w:line="240" w:lineRule="auto"/>
    </w:pPr>
    <w:rPr>
      <w:color w:val="000000" w:themeColor="text1" w:themeShade="BF"/>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left w:val="nil"/>
          <w:right w:val="nil"/>
          <w:insideH w:val="nil"/>
          <w:insideV w:val="nil"/>
        </w:tcBorders>
        <w:shd w:val="clear" w:color="auto" w:fill="BFBFBF" w:themeFill="text1" w:themeFillTint="3F"/>
      </w:tcPr>
    </w:tblStylePr>
  </w:style>
  <w:style w:type="table" w:styleId="38">
    <w:name w:val="Light Shading Accent 1"/>
    <w:basedOn w:val="12"/>
    <w:qFormat/>
    <w:uiPriority w:val="60"/>
    <w:pPr>
      <w:spacing w:after="0" w:line="240" w:lineRule="auto"/>
    </w:pPr>
    <w:rPr>
      <w:color w:val="376092" w:themeColor="accent1" w:themeShade="BF"/>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39">
    <w:name w:val="Light Shading Accent 2"/>
    <w:basedOn w:val="12"/>
    <w:qFormat/>
    <w:uiPriority w:val="60"/>
    <w:pPr>
      <w:spacing w:after="0" w:line="240" w:lineRule="auto"/>
    </w:pPr>
    <w:rPr>
      <w:color w:val="953735" w:themeColor="accent2" w:themeShade="BF"/>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left w:val="nil"/>
          <w:right w:val="nil"/>
          <w:insideH w:val="nil"/>
          <w:insideV w:val="nil"/>
        </w:tcBorders>
        <w:shd w:val="clear" w:color="auto" w:fill="EFD3D3" w:themeFill="accent2" w:themeFillTint="3F"/>
      </w:tcPr>
    </w:tblStylePr>
  </w:style>
  <w:style w:type="table" w:styleId="40">
    <w:name w:val="Light Shading Accent 3"/>
    <w:basedOn w:val="12"/>
    <w:qFormat/>
    <w:uiPriority w:val="60"/>
    <w:pPr>
      <w:spacing w:after="0" w:line="240" w:lineRule="auto"/>
    </w:pPr>
    <w:rPr>
      <w:color w:val="77933C" w:themeColor="accent3" w:themeShade="BF"/>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1">
    <w:name w:val="Light Shading Accent 4"/>
    <w:basedOn w:val="12"/>
    <w:qFormat/>
    <w:uiPriority w:val="60"/>
    <w:pPr>
      <w:spacing w:after="0" w:line="240" w:lineRule="auto"/>
    </w:pPr>
    <w:rPr>
      <w:color w:val="604A7B" w:themeColor="accent4" w:themeShade="BF"/>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42">
    <w:name w:val="Light Shading Accent 5"/>
    <w:basedOn w:val="12"/>
    <w:qFormat/>
    <w:uiPriority w:val="60"/>
    <w:pPr>
      <w:spacing w:after="0" w:line="240" w:lineRule="auto"/>
    </w:pPr>
    <w:rPr>
      <w:color w:val="31859C" w:themeColor="accent5" w:themeShade="BF"/>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left w:val="nil"/>
          <w:right w:val="nil"/>
          <w:insideH w:val="nil"/>
          <w:insideV w:val="nil"/>
        </w:tcBorders>
        <w:shd w:val="clear" w:color="auto" w:fill="D2EAF0" w:themeFill="accent5" w:themeFillTint="3F"/>
      </w:tcPr>
    </w:tblStylePr>
  </w:style>
  <w:style w:type="table" w:styleId="43">
    <w:name w:val="Light Shading Accent 6"/>
    <w:basedOn w:val="12"/>
    <w:qFormat/>
    <w:uiPriority w:val="60"/>
    <w:pPr>
      <w:spacing w:after="0" w:line="240" w:lineRule="auto"/>
    </w:pPr>
    <w:rPr>
      <w:color w:val="E46C0A" w:themeColor="accent6" w:themeShade="BF"/>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left w:val="nil"/>
          <w:right w:val="nil"/>
          <w:insideH w:val="nil"/>
          <w:insideV w:val="nil"/>
        </w:tcBorders>
        <w:shd w:val="clear" w:color="auto" w:fill="FDE5D1" w:themeFill="accent6" w:themeFillTint="3F"/>
      </w:tcPr>
    </w:tblStylePr>
  </w:style>
  <w:style w:type="table" w:styleId="44">
    <w:name w:val="Light List"/>
    <w:basedOn w:val="12"/>
    <w:qFormat/>
    <w:uiPriority w:val="61"/>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45">
    <w:name w:val="Light List Accent 1"/>
    <w:basedOn w:val="12"/>
    <w:qFormat/>
    <w:uiPriority w:val="61"/>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46">
    <w:name w:val="Light List Accent 2"/>
    <w:basedOn w:val="12"/>
    <w:qFormat/>
    <w:uiPriority w:val="61"/>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47">
    <w:name w:val="Light List Accent 3"/>
    <w:basedOn w:val="12"/>
    <w:qFormat/>
    <w:uiPriority w:val="61"/>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48">
    <w:name w:val="Light List Accent 4"/>
    <w:basedOn w:val="12"/>
    <w:qFormat/>
    <w:uiPriority w:val="61"/>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49">
    <w:name w:val="Light List Accent 5"/>
    <w:basedOn w:val="12"/>
    <w:qFormat/>
    <w:uiPriority w:val="61"/>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50">
    <w:name w:val="Light List Accent 6"/>
    <w:basedOn w:val="12"/>
    <w:qFormat/>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51">
    <w:name w:val="Light Grid"/>
    <w:basedOn w:val="12"/>
    <w:qFormat/>
    <w:uiPriority w:val="62"/>
    <w:pPr>
      <w:spacing w:after="0" w:line="240" w:lineRule="auto"/>
    </w:p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BFBFBF"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shd w:val="clear" w:color="auto" w:fill="BFBFBF"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sz="8" w:space="0"/>
        </w:tcBorders>
      </w:tcPr>
    </w:tblStylePr>
  </w:style>
  <w:style w:type="table" w:styleId="52">
    <w:name w:val="Light Grid Accent 1"/>
    <w:basedOn w:val="12"/>
    <w:qFormat/>
    <w:uiPriority w:val="62"/>
    <w:pPr>
      <w:spacing w:after="0" w:line="240" w:lineRule="auto"/>
    </w:p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sz="8" w:space="0"/>
        </w:tcBorders>
      </w:tcPr>
    </w:tblStylePr>
  </w:style>
  <w:style w:type="table" w:styleId="53">
    <w:name w:val="Light Grid Accent 2"/>
    <w:basedOn w:val="12"/>
    <w:qFormat/>
    <w:uiPriority w:val="62"/>
    <w:pPr>
      <w:spacing w:after="0" w:line="240" w:lineRule="auto"/>
    </w:p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3"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shd w:val="clear" w:color="auto" w:fill="EFD3D3"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sz="8" w:space="0"/>
        </w:tcBorders>
      </w:tcPr>
    </w:tblStylePr>
  </w:style>
  <w:style w:type="table" w:styleId="54">
    <w:name w:val="Light Grid Accent 3"/>
    <w:basedOn w:val="12"/>
    <w:qFormat/>
    <w:uiPriority w:val="62"/>
    <w:pPr>
      <w:spacing w:after="0" w:line="240" w:lineRule="auto"/>
    </w:p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sz="8" w:space="0"/>
        </w:tcBorders>
      </w:tcPr>
    </w:tblStylePr>
  </w:style>
  <w:style w:type="table" w:styleId="55">
    <w:name w:val="Light Grid Accent 4"/>
    <w:basedOn w:val="12"/>
    <w:qFormat/>
    <w:uiPriority w:val="62"/>
    <w:pPr>
      <w:spacing w:after="0" w:line="240" w:lineRule="auto"/>
    </w:p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sz="8" w:space="0"/>
        </w:tcBorders>
      </w:tcPr>
    </w:tblStylePr>
  </w:style>
  <w:style w:type="table" w:styleId="56">
    <w:name w:val="Light Grid Accent 5"/>
    <w:basedOn w:val="12"/>
    <w:qFormat/>
    <w:uiPriority w:val="62"/>
    <w:pPr>
      <w:spacing w:after="0" w:line="240" w:lineRule="auto"/>
    </w:p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0"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shd w:val="clear" w:color="auto" w:fill="D2EAF0"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sz="8" w:space="0"/>
        </w:tcBorders>
      </w:tcPr>
    </w:tblStylePr>
  </w:style>
  <w:style w:type="table" w:styleId="57">
    <w:name w:val="Light Grid Accent 6"/>
    <w:basedOn w:val="12"/>
    <w:qFormat/>
    <w:uiPriority w:val="62"/>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5D1"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shd w:val="clear" w:color="auto" w:fill="FDE5D1"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sz="8" w:space="0"/>
        </w:tcBorders>
      </w:tcPr>
    </w:tblStylePr>
  </w:style>
  <w:style w:type="table" w:styleId="58">
    <w:name w:val="Medium Shading 1"/>
    <w:basedOn w:val="12"/>
    <w:qFormat/>
    <w:uiPriority w:val="63"/>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3F3F3F" w:themeColor="text1" w:themeTint="BF" w:sz="6" w:space="0"/>
          <w:left w:val="single" w:color="3F3F3F" w:themeColor="text1" w:themeTint="BF" w:sz="8" w:space="0"/>
          <w:bottom w:val="single" w:color="3F3F3F" w:themeColor="text1" w:themeTint="BF" w:sz="8" w:space="0"/>
          <w:right w:val="single" w:color="3F3F3F"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BFBFBF" w:themeFill="text1" w:themeFillTint="3F"/>
      </w:tcPr>
    </w:tblStylePr>
    <w:tblStylePr w:type="band1Horz">
      <w:tblPr/>
      <w:tcPr>
        <w:tcBorders>
          <w:insideH w:val="nil"/>
          <w:insideV w:val="nil"/>
        </w:tcBorders>
        <w:shd w:val="clear" w:color="auto" w:fill="BFBFBF" w:themeFill="text1" w:themeFillTint="3F"/>
      </w:tcPr>
    </w:tblStylePr>
    <w:tblStylePr w:type="band2Horz">
      <w:tblPr/>
      <w:tcPr>
        <w:tcBorders>
          <w:insideH w:val="nil"/>
          <w:insideV w:val="nil"/>
        </w:tcBorders>
      </w:tcPr>
    </w:tblStylePr>
  </w:style>
  <w:style w:type="table" w:styleId="59">
    <w:name w:val="Medium Shading 1 Accent 1"/>
    <w:basedOn w:val="12"/>
    <w:qFormat/>
    <w:uiPriority w:val="63"/>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60">
    <w:name w:val="Medium Shading 1 Accent 2"/>
    <w:basedOn w:val="12"/>
    <w:qFormat/>
    <w:uiPriority w:val="63"/>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3" w:themeFill="accent2" w:themeFillTint="3F"/>
      </w:tcPr>
    </w:tblStylePr>
    <w:tblStylePr w:type="band1Horz">
      <w:tblPr/>
      <w:tcPr>
        <w:tcBorders>
          <w:insideH w:val="nil"/>
          <w:insideV w:val="nil"/>
        </w:tcBorders>
        <w:shd w:val="clear" w:color="auto" w:fill="EFD3D3" w:themeFill="accent2" w:themeFillTint="3F"/>
      </w:tcPr>
    </w:tblStylePr>
    <w:tblStylePr w:type="band2Horz">
      <w:tblPr/>
      <w:tcPr>
        <w:tcBorders>
          <w:insideH w:val="nil"/>
          <w:insideV w:val="nil"/>
        </w:tcBorders>
      </w:tcPr>
    </w:tblStylePr>
  </w:style>
  <w:style w:type="table" w:styleId="61">
    <w:name w:val="Medium Shading 1 Accent 3"/>
    <w:basedOn w:val="12"/>
    <w:qFormat/>
    <w:uiPriority w:val="63"/>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4CC82" w:themeColor="accent3" w:themeTint="BF" w:sz="6" w:space="0"/>
          <w:left w:val="single" w:color="B4CC82" w:themeColor="accent3" w:themeTint="BF" w:sz="8" w:space="0"/>
          <w:bottom w:val="single" w:color="B4CC82" w:themeColor="accent3" w:themeTint="BF" w:sz="8" w:space="0"/>
          <w:right w:val="single" w:color="B4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62">
    <w:name w:val="Medium Shading 1 Accent 4"/>
    <w:basedOn w:val="12"/>
    <w:qFormat/>
    <w:uiPriority w:val="63"/>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63">
    <w:name w:val="Medium Shading 1 Accent 5"/>
    <w:basedOn w:val="12"/>
    <w:qFormat/>
    <w:uiPriority w:val="63"/>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0" w:themeFill="accent5" w:themeFillTint="3F"/>
      </w:tcPr>
    </w:tblStylePr>
    <w:tblStylePr w:type="band1Horz">
      <w:tblPr/>
      <w:tcPr>
        <w:tcBorders>
          <w:insideH w:val="nil"/>
          <w:insideV w:val="nil"/>
        </w:tcBorders>
        <w:shd w:val="clear" w:color="auto" w:fill="D2EAF0" w:themeFill="accent5" w:themeFillTint="3F"/>
      </w:tcPr>
    </w:tblStylePr>
    <w:tblStylePr w:type="band2Horz">
      <w:tblPr/>
      <w:tcPr>
        <w:tcBorders>
          <w:insideH w:val="nil"/>
          <w:insideV w:val="nil"/>
        </w:tcBorders>
      </w:tcPr>
    </w:tblStylePr>
  </w:style>
  <w:style w:type="table" w:styleId="64">
    <w:name w:val="Medium Shading 1 Accent 6"/>
    <w:basedOn w:val="12"/>
    <w:qFormat/>
    <w:uiPriority w:val="63"/>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5D1" w:themeFill="accent6" w:themeFillTint="3F"/>
      </w:tcPr>
    </w:tblStylePr>
    <w:tblStylePr w:type="band1Horz">
      <w:tblPr/>
      <w:tcPr>
        <w:tcBorders>
          <w:insideH w:val="nil"/>
          <w:insideV w:val="nil"/>
        </w:tcBorders>
        <w:shd w:val="clear" w:color="auto" w:fill="FDE5D1" w:themeFill="accent6" w:themeFillTint="3F"/>
      </w:tcPr>
    </w:tblStylePr>
    <w:tblStylePr w:type="band2Horz">
      <w:tblPr/>
      <w:tcPr>
        <w:tcBorders>
          <w:insideH w:val="nil"/>
          <w:insideV w:val="nil"/>
        </w:tcBorders>
      </w:tcPr>
    </w:tblStylePr>
  </w:style>
  <w:style w:type="table" w:styleId="65">
    <w:name w:val="Medium Shading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6">
    <w:name w:val="Medium Shading 2 Accent 1"/>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7">
    <w:name w:val="Medium Shading 2 Accent 2"/>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8">
    <w:name w:val="Medium Shading 2 Accent 3"/>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69">
    <w:name w:val="Medium Shading 2 Accent 4"/>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0">
    <w:name w:val="Medium Shading 2 Accent 5"/>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1">
    <w:name w:val="Medium Shading 2 Accent 6"/>
    <w:basedOn w:val="12"/>
    <w:qFormat/>
    <w:uiPriority w:val="64"/>
    <w:pPr>
      <w:spacing w:after="0" w:line="240" w:lineRule="auto"/>
    </w:pPr>
    <w:tblPr>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14:textFill>
          <w14:solidFill>
            <w14:schemeClr w14:val="bg1"/>
          </w14:solidFill>
        </w14:textFill>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14:textFill>
          <w14:solidFill>
            <w14:schemeClr w14:val="bg1"/>
          </w14:solidFill>
        </w14:textFill>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7D7D7" w:themeFill="background1" w:themeFillShade="D8"/>
      </w:tcPr>
    </w:tblStylePr>
    <w:tblStylePr w:type="band1Horz">
      <w:tblPr/>
      <w:tcPr>
        <w:shd w:val="clear" w:color="auto" w:fill="D7D7D7"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14:textFill>
          <w14:solidFill>
            <w14:schemeClr w14:val="bg1"/>
          </w14:solidFill>
        </w14:textFill>
      </w:rPr>
      <w:tblPr/>
      <w:tcPr>
        <w:tcBorders>
          <w:top w:val="single" w:color="auto" w:sz="18" w:space="0"/>
          <w:left w:val="nil"/>
          <w:bottom w:val="single" w:color="auto" w:sz="18" w:space="0"/>
          <w:right w:val="nil"/>
          <w:insideH w:val="nil"/>
          <w:insideV w:val="nil"/>
        </w:tcBorders>
      </w:tcPr>
    </w:tblStylePr>
  </w:style>
  <w:style w:type="table" w:styleId="72">
    <w:name w:val="Medium List 1"/>
    <w:basedOn w:val="12"/>
    <w:qFormat/>
    <w:uiPriority w:val="65"/>
    <w:pPr>
      <w:spacing w:after="0" w:line="240" w:lineRule="auto"/>
    </w:pPr>
    <w:rPr>
      <w:color w:val="000000" w:themeColor="text1"/>
      <w14:textFill>
        <w14:solidFill>
          <w14:schemeClr w14:val="tx1"/>
        </w14:solidFill>
      </w14:textFill>
    </w:rPr>
    <w:tblPr>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14:textFill>
          <w14:solidFill>
            <w14:schemeClr w14:val="tx2"/>
          </w14:solidFill>
        </w14:textFill>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BFBFBF" w:themeFill="text1" w:themeFillTint="3F"/>
      </w:tcPr>
    </w:tblStylePr>
    <w:tblStylePr w:type="band1Horz">
      <w:tblPr/>
      <w:tcPr>
        <w:shd w:val="clear" w:color="auto" w:fill="BFBFBF" w:themeFill="text1" w:themeFillTint="3F"/>
      </w:tcPr>
    </w:tblStylePr>
  </w:style>
  <w:style w:type="table" w:styleId="73">
    <w:name w:val="Medium List 1 Accent 1"/>
    <w:basedOn w:val="12"/>
    <w:qFormat/>
    <w:uiPriority w:val="65"/>
    <w:pPr>
      <w:spacing w:after="0" w:line="240" w:lineRule="auto"/>
    </w:pPr>
    <w:rPr>
      <w:color w:val="000000" w:themeColor="text1"/>
      <w14:textFill>
        <w14:solidFill>
          <w14:schemeClr w14:val="tx1"/>
        </w14:solidFill>
      </w14:textFill>
    </w:rPr>
    <w:tblPr>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14:textFill>
          <w14:solidFill>
            <w14:schemeClr w14:val="tx2"/>
          </w14:solidFill>
        </w14:textFill>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74">
    <w:name w:val="Medium List 1 Accent 2"/>
    <w:basedOn w:val="12"/>
    <w:qFormat/>
    <w:uiPriority w:val="65"/>
    <w:pPr>
      <w:spacing w:after="0" w:line="240" w:lineRule="auto"/>
    </w:pPr>
    <w:rPr>
      <w:color w:val="000000" w:themeColor="text1"/>
      <w14:textFill>
        <w14:solidFill>
          <w14:schemeClr w14:val="tx1"/>
        </w14:solidFill>
      </w14:textFill>
    </w:rPr>
    <w:tblPr>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14:textFill>
          <w14:solidFill>
            <w14:schemeClr w14:val="tx2"/>
          </w14:solidFill>
        </w14:textFill>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3" w:themeFill="accent2" w:themeFillTint="3F"/>
      </w:tcPr>
    </w:tblStylePr>
    <w:tblStylePr w:type="band1Horz">
      <w:tblPr/>
      <w:tcPr>
        <w:shd w:val="clear" w:color="auto" w:fill="EFD3D3" w:themeFill="accent2" w:themeFillTint="3F"/>
      </w:tcPr>
    </w:tblStylePr>
  </w:style>
  <w:style w:type="table" w:styleId="75">
    <w:name w:val="Medium List 1 Accent 3"/>
    <w:basedOn w:val="12"/>
    <w:qFormat/>
    <w:uiPriority w:val="65"/>
    <w:pPr>
      <w:spacing w:after="0" w:line="240" w:lineRule="auto"/>
    </w:pPr>
    <w:rPr>
      <w:color w:val="000000" w:themeColor="text1"/>
      <w14:textFill>
        <w14:solidFill>
          <w14:schemeClr w14:val="tx1"/>
        </w14:solidFill>
      </w14:textFill>
    </w:rPr>
    <w:tblPr>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14:textFill>
          <w14:solidFill>
            <w14:schemeClr w14:val="tx2"/>
          </w14:solidFill>
        </w14:textFill>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76">
    <w:name w:val="Medium List 1 Accent 4"/>
    <w:basedOn w:val="12"/>
    <w:qFormat/>
    <w:uiPriority w:val="65"/>
    <w:pPr>
      <w:spacing w:after="0" w:line="240" w:lineRule="auto"/>
    </w:pPr>
    <w:rPr>
      <w:color w:val="000000" w:themeColor="text1"/>
      <w14:textFill>
        <w14:solidFill>
          <w14:schemeClr w14:val="tx1"/>
        </w14:solidFill>
      </w14:textFill>
    </w:rPr>
    <w:tblPr>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14:textFill>
          <w14:solidFill>
            <w14:schemeClr w14:val="tx2"/>
          </w14:solidFill>
        </w14:textFill>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77">
    <w:name w:val="Medium List 1 Accent 5"/>
    <w:basedOn w:val="12"/>
    <w:qFormat/>
    <w:uiPriority w:val="65"/>
    <w:pPr>
      <w:spacing w:after="0" w:line="240" w:lineRule="auto"/>
    </w:pPr>
    <w:rPr>
      <w:color w:val="000000" w:themeColor="text1"/>
      <w14:textFill>
        <w14:solidFill>
          <w14:schemeClr w14:val="tx1"/>
        </w14:solidFill>
      </w14:textFill>
    </w:rPr>
    <w:tblPr>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14:textFill>
          <w14:solidFill>
            <w14:schemeClr w14:val="tx2"/>
          </w14:solidFill>
        </w14:textFill>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0" w:themeFill="accent5" w:themeFillTint="3F"/>
      </w:tcPr>
    </w:tblStylePr>
    <w:tblStylePr w:type="band1Horz">
      <w:tblPr/>
      <w:tcPr>
        <w:shd w:val="clear" w:color="auto" w:fill="D2EAF0" w:themeFill="accent5" w:themeFillTint="3F"/>
      </w:tcPr>
    </w:tblStylePr>
  </w:style>
  <w:style w:type="table" w:styleId="78">
    <w:name w:val="Medium List 1 Accent 6"/>
    <w:basedOn w:val="12"/>
    <w:qFormat/>
    <w:uiPriority w:val="65"/>
    <w:pPr>
      <w:spacing w:after="0" w:line="240" w:lineRule="auto"/>
    </w:pPr>
    <w:rPr>
      <w:color w:val="000000" w:themeColor="text1"/>
      <w14:textFill>
        <w14:solidFill>
          <w14:schemeClr w14:val="tx1"/>
        </w14:solidFill>
      </w14:textFill>
    </w:rPr>
    <w:tblPr>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14:textFill>
          <w14:solidFill>
            <w14:schemeClr w14:val="tx2"/>
          </w14:solidFill>
        </w14:textFill>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5D1" w:themeFill="accent6" w:themeFillTint="3F"/>
      </w:tcPr>
    </w:tblStylePr>
    <w:tblStylePr w:type="band1Horz">
      <w:tblPr/>
      <w:tcPr>
        <w:shd w:val="clear" w:color="auto" w:fill="FDE5D1" w:themeFill="accent6" w:themeFillTint="3F"/>
      </w:tcPr>
    </w:tblStylePr>
  </w:style>
  <w:style w:type="table" w:styleId="79">
    <w:name w:val="Medium Lis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FBFBF" w:themeFill="text1" w:themeFillTint="3F"/>
      </w:tcPr>
    </w:tblStylePr>
    <w:tblStylePr w:type="band1Horz">
      <w:tblPr/>
      <w:tcPr>
        <w:tcBorders>
          <w:top w:val="nil"/>
          <w:bottom w:val="nil"/>
          <w:insideH w:val="nil"/>
          <w:insideV w:val="nil"/>
        </w:tcBorders>
        <w:shd w:val="clear" w:color="auto" w:fill="BFBFBF"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80">
    <w:name w:val="Medium List 2 Accent 1"/>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81">
    <w:name w:val="Medium List 2 Accent 2"/>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3" w:themeFill="accent2" w:themeFillTint="3F"/>
      </w:tcPr>
    </w:tblStylePr>
    <w:tblStylePr w:type="band1Horz">
      <w:tblPr/>
      <w:tcPr>
        <w:tcBorders>
          <w:top w:val="nil"/>
          <w:bottom w:val="nil"/>
          <w:insideH w:val="nil"/>
          <w:insideV w:val="nil"/>
        </w:tcBorders>
        <w:shd w:val="clear" w:color="auto" w:fill="EFD3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82">
    <w:name w:val="Medium List 2 Accent 3"/>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83">
    <w:name w:val="Medium List 2 Accent 4"/>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84">
    <w:name w:val="Medium List 2 Accent 5"/>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0" w:themeFill="accent5" w:themeFillTint="3F"/>
      </w:tcPr>
    </w:tblStylePr>
    <w:tblStylePr w:type="band1Horz">
      <w:tblPr/>
      <w:tcPr>
        <w:tcBorders>
          <w:top w:val="nil"/>
          <w:bottom w:val="nil"/>
          <w:insideH w:val="nil"/>
          <w:insideV w:val="nil"/>
        </w:tcBorders>
        <w:shd w:val="clear" w:color="auto" w:fill="D2EAF0"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85">
    <w:name w:val="Medium List 2 Accent 6"/>
    <w:basedOn w:val="12"/>
    <w:qFormat/>
    <w:uiPriority w:val="66"/>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5D1" w:themeFill="accent6" w:themeFillTint="3F"/>
      </w:tcPr>
    </w:tblStylePr>
    <w:tblStylePr w:type="band1Horz">
      <w:tblPr/>
      <w:tcPr>
        <w:tcBorders>
          <w:top w:val="nil"/>
          <w:bottom w:val="nil"/>
          <w:insideH w:val="nil"/>
          <w:insideV w:val="nil"/>
        </w:tcBorders>
        <w:shd w:val="clear" w:color="auto" w:fill="FDE5D1"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86">
    <w:name w:val="Medium Grid 1"/>
    <w:basedOn w:val="12"/>
    <w:qFormat/>
    <w:uiPriority w:val="67"/>
    <w:pPr>
      <w:spacing w:after="0" w:line="240" w:lineRule="auto"/>
    </w:pPr>
    <w:tblPr>
      <w:tblBorders>
        <w:top w:val="single" w:color="3F3F3F" w:themeColor="text1" w:themeTint="BF" w:sz="8" w:space="0"/>
        <w:left w:val="single" w:color="3F3F3F" w:themeColor="text1" w:themeTint="BF" w:sz="8" w:space="0"/>
        <w:bottom w:val="single" w:color="3F3F3F" w:themeColor="text1" w:themeTint="BF" w:sz="8" w:space="0"/>
        <w:right w:val="single" w:color="3F3F3F" w:themeColor="text1" w:themeTint="BF" w:sz="8" w:space="0"/>
        <w:insideH w:val="single" w:color="3F3F3F" w:themeColor="text1" w:themeTint="BF" w:sz="8" w:space="0"/>
        <w:insideV w:val="single" w:color="3F3F3F" w:themeColor="text1" w:themeTint="BF" w:sz="8" w:space="0"/>
      </w:tblBorders>
      <w:tblCellMar>
        <w:top w:w="0" w:type="dxa"/>
        <w:left w:w="108" w:type="dxa"/>
        <w:bottom w:w="0" w:type="dxa"/>
        <w:right w:w="108" w:type="dxa"/>
      </w:tblCellMar>
    </w:tblPr>
    <w:tcPr>
      <w:shd w:val="clear" w:color="auto" w:fill="BFBFBF" w:themeFill="text1" w:themeFillTint="3F"/>
    </w:tcPr>
    <w:tblStylePr w:type="firstRow">
      <w:rPr>
        <w:b/>
        <w:bCs/>
      </w:rPr>
    </w:tblStylePr>
    <w:tblStylePr w:type="lastRow">
      <w:rPr>
        <w:b/>
        <w:bCs/>
      </w:rPr>
      <w:tblPr/>
      <w:tcPr>
        <w:tcBorders>
          <w:top w:val="single" w:color="3F3F3F" w:themeColor="text1" w:themeTint="BF" w:sz="18" w:space="0"/>
        </w:tcBorders>
      </w:tcPr>
    </w:tblStylePr>
    <w:tblStylePr w:type="firstCol">
      <w:rPr>
        <w:b/>
        <w:bCs/>
      </w:rPr>
    </w:tblStylePr>
    <w:tblStylePr w:type="lastCol">
      <w:rPr>
        <w:b/>
        <w:bCs/>
      </w:r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87">
    <w:name w:val="Medium Grid 1 Accent 1"/>
    <w:basedOn w:val="12"/>
    <w:qFormat/>
    <w:uiPriority w:val="67"/>
    <w:pPr>
      <w:spacing w:after="0" w:line="240" w:lineRule="auto"/>
    </w:pPr>
    <w:tblPr>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88">
    <w:name w:val="Medium Grid 1 Accent 2"/>
    <w:basedOn w:val="12"/>
    <w:qFormat/>
    <w:uiPriority w:val="67"/>
    <w:pPr>
      <w:spacing w:after="0" w:line="240" w:lineRule="auto"/>
    </w:pPr>
    <w:tblPr>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3"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89">
    <w:name w:val="Medium Grid 1 Accent 3"/>
    <w:basedOn w:val="12"/>
    <w:qFormat/>
    <w:uiPriority w:val="67"/>
    <w:pPr>
      <w:spacing w:after="0" w:line="240" w:lineRule="auto"/>
    </w:pPr>
    <w:tblPr>
      <w:tblBorders>
        <w:top w:val="single" w:color="B4CC82" w:themeColor="accent3" w:themeTint="BF" w:sz="8" w:space="0"/>
        <w:left w:val="single" w:color="B4CC82" w:themeColor="accent3" w:themeTint="BF" w:sz="8" w:space="0"/>
        <w:bottom w:val="single" w:color="B4CC82" w:themeColor="accent3" w:themeTint="BF" w:sz="8" w:space="0"/>
        <w:right w:val="single" w:color="B4CC82" w:themeColor="accent3" w:themeTint="BF" w:sz="8" w:space="0"/>
        <w:insideH w:val="single" w:color="B4CC82" w:themeColor="accent3" w:themeTint="BF" w:sz="8" w:space="0"/>
        <w:insideV w:val="single" w:color="B4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4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90">
    <w:name w:val="Medium Grid 1 Accent 4"/>
    <w:basedOn w:val="12"/>
    <w:qFormat/>
    <w:uiPriority w:val="67"/>
    <w:pPr>
      <w:spacing w:after="0" w:line="240" w:lineRule="auto"/>
    </w:pPr>
    <w:tblPr>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91">
    <w:name w:val="Medium Grid 1 Accent 5"/>
    <w:basedOn w:val="12"/>
    <w:qFormat/>
    <w:uiPriority w:val="67"/>
    <w:pPr>
      <w:spacing w:after="0" w:line="240" w:lineRule="auto"/>
    </w:pPr>
    <w:tblPr>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0"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92">
    <w:name w:val="Medium Grid 1 Accent 6"/>
    <w:basedOn w:val="12"/>
    <w:qFormat/>
    <w:uiPriority w:val="67"/>
    <w:pPr>
      <w:spacing w:after="0" w:line="240" w:lineRule="auto"/>
    </w:pPr>
    <w:tblPr>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5D1"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93">
    <w:name w:val="Medium Grid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BFBFBF" w:themeFill="text1" w:themeFillTint="3F"/>
    </w:tcPr>
    <w:tblStylePr w:type="firstRow">
      <w:rPr>
        <w:b/>
        <w:bCs/>
        <w:color w:val="000000" w:themeColor="text1"/>
        <w14:textFill>
          <w14:solidFill>
            <w14:schemeClr w14:val="tx1"/>
          </w14:solidFill>
        </w14:textFill>
      </w:rPr>
      <w:tblPr/>
      <w:tcPr>
        <w:shd w:val="clear" w:color="auto" w:fill="E5E5E5" w:themeFill="tex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7F7F7F" w:themeFill="text1" w:themeFillTint="7F"/>
      </w:tcPr>
    </w:tblStylePr>
    <w:tblStylePr w:type="band1Horz">
      <w:tblPr/>
      <w:tcPr>
        <w:tcBorders>
          <w:insideH w:val="single" w:sz="6" w:space="0"/>
          <w:insideV w:val="single" w:sz="6" w:space="0"/>
        </w:tcBorders>
        <w:shd w:val="clear" w:color="auto" w:fill="7F7F7F" w:themeFill="text1" w:themeFillTint="7F"/>
      </w:tcPr>
    </w:tblStylePr>
    <w:tblStylePr w:type="nwCell">
      <w:tblPr/>
      <w:tcPr>
        <w:shd w:val="clear" w:color="auto" w:fill="FFFFFF" w:themeFill="background1"/>
      </w:tcPr>
    </w:tblStylePr>
  </w:style>
  <w:style w:type="table" w:styleId="94">
    <w:name w:val="Medium Grid 2 Accent 1"/>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14:textFill>
          <w14:solidFill>
            <w14:schemeClr w14:val="tx1"/>
          </w14:solidFill>
        </w14:textFill>
      </w:rPr>
      <w:tblPr/>
      <w:tcPr>
        <w:shd w:val="clear" w:color="auto" w:fill="EDF2F8" w:themeFill="accent1"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C0DE" w:themeFill="accent1" w:themeFillTint="7F"/>
      </w:tcPr>
    </w:tblStylePr>
    <w:tblStylePr w:type="band1Horz">
      <w:tblPr/>
      <w:tcPr>
        <w:tcBorders>
          <w:insideH w:val="single" w:sz="6" w:space="0"/>
          <w:insideV w:val="single" w:sz="6" w:space="0"/>
        </w:tcBorders>
        <w:shd w:val="clear" w:color="auto" w:fill="A7C0DE" w:themeFill="accent1" w:themeFillTint="7F"/>
      </w:tcPr>
    </w:tblStylePr>
    <w:tblStylePr w:type="nwCell">
      <w:tblPr/>
      <w:tcPr>
        <w:shd w:val="clear" w:color="auto" w:fill="FFFFFF" w:themeFill="background1"/>
      </w:tcPr>
    </w:tblStylePr>
  </w:style>
  <w:style w:type="table" w:styleId="95">
    <w:name w:val="Medium Grid 2 Accent 2"/>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3" w:themeFill="accent2" w:themeFillTint="3F"/>
    </w:tcPr>
    <w:tblStylePr w:type="firstRow">
      <w:rPr>
        <w:b/>
        <w:bCs/>
        <w:color w:val="000000" w:themeColor="text1"/>
        <w14:textFill>
          <w14:solidFill>
            <w14:schemeClr w14:val="tx1"/>
          </w14:solidFill>
        </w14:textFill>
      </w:rPr>
      <w:tblPr/>
      <w:tcPr>
        <w:shd w:val="clear" w:color="auto" w:fill="F8EDED" w:themeFill="accent2"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insideV w:val="single" w:sz="6" w:space="0"/>
        </w:tcBorders>
        <w:shd w:val="clear" w:color="auto" w:fill="DFA7A6" w:themeFill="accent2" w:themeFillTint="7F"/>
      </w:tcPr>
    </w:tblStylePr>
    <w:tblStylePr w:type="nwCell">
      <w:tblPr/>
      <w:tcPr>
        <w:shd w:val="clear" w:color="auto" w:fill="FFFFFF" w:themeFill="background1"/>
      </w:tcPr>
    </w:tblStylePr>
  </w:style>
  <w:style w:type="table" w:styleId="96">
    <w:name w:val="Medium Grid 2 Accent 3"/>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14:textFill>
          <w14:solidFill>
            <w14:schemeClr w14:val="tx1"/>
          </w14:solidFill>
        </w14:textFill>
      </w:rPr>
      <w:tblPr/>
      <w:tcPr>
        <w:shd w:val="clear" w:color="auto" w:fill="F5F8EE" w:themeFill="accent3"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insideV w:val="single" w:sz="6" w:space="0"/>
        </w:tcBorders>
        <w:shd w:val="clear" w:color="auto" w:fill="CDDDAC" w:themeFill="accent3" w:themeFillTint="7F"/>
      </w:tcPr>
    </w:tblStylePr>
    <w:tblStylePr w:type="nwCell">
      <w:tblPr/>
      <w:tcPr>
        <w:shd w:val="clear" w:color="auto" w:fill="FFFFFF" w:themeFill="background1"/>
      </w:tcPr>
    </w:tblStylePr>
  </w:style>
  <w:style w:type="table" w:styleId="97">
    <w:name w:val="Medium Grid 2 Accent 4"/>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14:textFill>
          <w14:solidFill>
            <w14:schemeClr w14:val="tx1"/>
          </w14:solidFill>
        </w14:textFill>
      </w:rPr>
      <w:tblPr/>
      <w:tcPr>
        <w:shd w:val="clear" w:color="auto" w:fill="F2EFF5" w:themeFill="accent4"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insideV w:val="single" w:sz="6" w:space="0"/>
        </w:tcBorders>
        <w:shd w:val="clear" w:color="auto" w:fill="BFB1D0" w:themeFill="accent4" w:themeFillTint="7F"/>
      </w:tcPr>
    </w:tblStylePr>
    <w:tblStylePr w:type="nwCell">
      <w:tblPr/>
      <w:tcPr>
        <w:shd w:val="clear" w:color="auto" w:fill="FFFFFF" w:themeFill="background1"/>
      </w:tcPr>
    </w:tblStylePr>
  </w:style>
  <w:style w:type="table" w:styleId="98">
    <w:name w:val="Medium Grid 2 Accent 5"/>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0" w:themeFill="accent5" w:themeFillTint="3F"/>
    </w:tcPr>
    <w:tblStylePr w:type="firstRow">
      <w:rPr>
        <w:b/>
        <w:bCs/>
        <w:color w:val="000000" w:themeColor="text1"/>
        <w14:textFill>
          <w14:solidFill>
            <w14:schemeClr w14:val="tx1"/>
          </w14:solidFill>
        </w14:textFill>
      </w:rPr>
      <w:tblPr/>
      <w:tcPr>
        <w:shd w:val="clear" w:color="auto" w:fill="EDF6F9" w:themeFill="accent5"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insideV w:val="single" w:sz="6" w:space="0"/>
        </w:tcBorders>
        <w:shd w:val="clear" w:color="auto" w:fill="A5D5E2" w:themeFill="accent5" w:themeFillTint="7F"/>
      </w:tcPr>
    </w:tblStylePr>
    <w:tblStylePr w:type="nwCell">
      <w:tblPr/>
      <w:tcPr>
        <w:shd w:val="clear" w:color="auto" w:fill="FFFFFF" w:themeFill="background1"/>
      </w:tcPr>
    </w:tblStylePr>
  </w:style>
  <w:style w:type="table" w:styleId="99">
    <w:name w:val="Medium Grid 2 Accent 6"/>
    <w:basedOn w:val="12"/>
    <w:qFormat/>
    <w:uiPriority w:val="68"/>
    <w:pPr>
      <w:spacing w:after="0" w:line="240" w:lineRule="auto"/>
    </w:pPr>
    <w:rPr>
      <w:rFonts w:asciiTheme="majorHAnsi" w:hAnsiTheme="majorHAnsi" w:eastAsiaTheme="majorEastAsia" w:cstheme="majorBidi"/>
      <w:color w:val="000000" w:themeColor="text1"/>
      <w14:textFill>
        <w14:solidFill>
          <w14:schemeClr w14:val="tx1"/>
        </w14:solidFill>
      </w14:textFill>
    </w:rPr>
    <w:tblPr>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5D1" w:themeFill="accent6" w:themeFillTint="3F"/>
    </w:tcPr>
    <w:tblStylePr w:type="firstRow">
      <w:rPr>
        <w:b/>
        <w:bCs/>
        <w:color w:val="000000" w:themeColor="text1"/>
        <w14:textFill>
          <w14:solidFill>
            <w14:schemeClr w14:val="tx1"/>
          </w14:solidFill>
        </w14:textFill>
      </w:rPr>
      <w:tblPr/>
      <w:tcPr>
        <w:shd w:val="clear" w:color="auto" w:fill="FEF4EC" w:themeFill="accent6" w:themeFillTint="19"/>
      </w:tcPr>
    </w:tblStylePr>
    <w:tblStylePr w:type="lastRow">
      <w:rPr>
        <w:b/>
        <w:bCs/>
        <w:color w:val="000000" w:themeColor="text1"/>
        <w14:textFill>
          <w14:solidFill>
            <w14:schemeClr w14:val="tx1"/>
          </w14:solidFill>
        </w14:textFill>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14:textFill>
          <w14:solidFill>
            <w14:schemeClr w14:val="tx1"/>
          </w14:solidFill>
        </w14:textFill>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14:textFill>
          <w14:solidFill>
            <w14:schemeClr w14:val="tx1"/>
          </w14:solidFill>
        </w14:textFill>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insideV w:val="single" w:sz="6" w:space="0"/>
        </w:tcBorders>
        <w:shd w:val="clear" w:color="auto" w:fill="FBCAA2" w:themeFill="accent6" w:themeFillTint="7F"/>
      </w:tcPr>
    </w:tblStylePr>
    <w:tblStylePr w:type="nwCell">
      <w:tblPr/>
      <w:tcPr>
        <w:shd w:val="clear" w:color="auto" w:fill="FFFFFF" w:themeFill="background1"/>
      </w:tcPr>
    </w:tblStylePr>
  </w:style>
  <w:style w:type="table" w:styleId="100">
    <w:name w:val="Medium Grid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BFBFBF" w:themeFill="tex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000000" w:themeFill="tex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000000" w:themeFill="tex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F7F7F"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7F7F7F" w:themeFill="text1" w:themeFillTint="7F"/>
      </w:tcPr>
    </w:tblStylePr>
  </w:style>
  <w:style w:type="table" w:styleId="101">
    <w:name w:val="Medium Grid 3 Accent 1"/>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F81BD" w:themeFill="accent1"/>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F81BD" w:themeFill="accent1"/>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C0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7C0DE" w:themeFill="accent1" w:themeFillTint="7F"/>
      </w:tcPr>
    </w:tblStylePr>
  </w:style>
  <w:style w:type="table" w:styleId="102">
    <w:name w:val="Medium Grid 3 Accent 2"/>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3" w:themeFill="accent2"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C0504D" w:themeFill="accent2"/>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C0504D" w:themeFill="accent2"/>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DFA7A6" w:themeFill="accent2" w:themeFillTint="7F"/>
      </w:tcPr>
    </w:tblStylePr>
  </w:style>
  <w:style w:type="table" w:styleId="103">
    <w:name w:val="Medium Grid 3 Accent 3"/>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9BBB59" w:themeFill="accent3"/>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9BBB59" w:themeFill="accent3"/>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CDDDAC" w:themeFill="accent3" w:themeFillTint="7F"/>
      </w:tcPr>
    </w:tblStylePr>
  </w:style>
  <w:style w:type="table" w:styleId="104">
    <w:name w:val="Medium Grid 3 Accent 4"/>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8064A2" w:themeFill="accent4"/>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8064A2" w:themeFill="accent4"/>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BFB1D0" w:themeFill="accent4" w:themeFillTint="7F"/>
      </w:tcPr>
    </w:tblStylePr>
  </w:style>
  <w:style w:type="table" w:styleId="105">
    <w:name w:val="Medium Grid 3 Accent 5"/>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0" w:themeFill="accent5"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4BACC6" w:themeFill="accent5"/>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4BACC6" w:themeFill="accent5"/>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A5D5E2" w:themeFill="accent5" w:themeFillTint="7F"/>
      </w:tcPr>
    </w:tblStylePr>
  </w:style>
  <w:style w:type="table" w:styleId="106">
    <w:name w:val="Medium Grid 3 Accent 6"/>
    <w:basedOn w:val="12"/>
    <w:qFormat/>
    <w:uiPriority w:val="69"/>
    <w:pPr>
      <w:spacing w:after="0" w:line="240" w:lineRule="auto"/>
    </w:pPr>
    <w:tblPr>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5D1" w:themeFill="accent6" w:themeFillTint="3F"/>
    </w:tcPr>
    <w:tblStylePr w:type="firstRow">
      <w:rPr>
        <w:b/>
        <w:bCs/>
        <w:i w:val="0"/>
        <w:iCs w:val="0"/>
        <w:color w:val="FFFFFF" w:themeColor="background1"/>
        <w14:textFill>
          <w14:solidFill>
            <w14:schemeClr w14:val="bg1"/>
          </w14:solidFill>
        </w14:textFill>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sz="8" w:space="0"/>
        </w:tcBorders>
        <w:shd w:val="clear" w:color="auto" w:fill="F79646" w:themeFill="accent6"/>
      </w:tcPr>
    </w:tblStylePr>
    <w:tblStylePr w:type="lastRow">
      <w:rPr>
        <w:b/>
        <w:bCs/>
        <w:i w:val="0"/>
        <w:iCs w:val="0"/>
        <w:color w:val="FFFFFF" w:themeColor="background1"/>
        <w14:textFill>
          <w14:solidFill>
            <w14:schemeClr w14:val="bg1"/>
          </w14:solidFill>
        </w14:textFill>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sz="8" w:space="0"/>
        </w:tcBorders>
        <w:shd w:val="clear" w:color="auto" w:fill="F79646" w:themeFill="accent6"/>
      </w:tcPr>
    </w:tblStylePr>
    <w:tblStylePr w:type="firstCol">
      <w:rPr>
        <w:b/>
        <w:bCs/>
        <w:i w:val="0"/>
        <w:iCs w:val="0"/>
        <w:color w:val="FFFFFF" w:themeColor="background1"/>
        <w14:textFill>
          <w14:solidFill>
            <w14:schemeClr w14:val="bg1"/>
          </w14:solidFill>
        </w14:textFill>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14:textFill>
          <w14:solidFill>
            <w14:schemeClr w14:val="bg1"/>
          </w14:solidFill>
        </w14:textFill>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sz="8" w:space="0"/>
          <w:insideV w:val="single" w:sz="8" w:space="0"/>
        </w:tcBorders>
        <w:shd w:val="clear" w:color="auto" w:fill="FBCAA2" w:themeFill="accent6" w:themeFillTint="7F"/>
      </w:tcPr>
    </w:tblStylePr>
  </w:style>
  <w:style w:type="table" w:styleId="107">
    <w:name w:val="Dark List"/>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08">
    <w:name w:val="Dark List Accent 1"/>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60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6091" w:themeFill="accent1" w:themeFillShade="BF"/>
      </w:tcPr>
    </w:tblStylePr>
    <w:tblStylePr w:type="band1Vert">
      <w:tblPr/>
      <w:tcPr>
        <w:tcBorders>
          <w:top w:val="nil"/>
          <w:left w:val="nil"/>
          <w:bottom w:val="nil"/>
          <w:right w:val="nil"/>
          <w:insideH w:val="nil"/>
          <w:insideV w:val="nil"/>
        </w:tcBorders>
        <w:shd w:val="clear" w:color="auto" w:fill="366091" w:themeFill="accent1" w:themeFillShade="BF"/>
      </w:tcPr>
    </w:tblStylePr>
    <w:tblStylePr w:type="band1Horz">
      <w:tblPr/>
      <w:tcPr>
        <w:tcBorders>
          <w:top w:val="nil"/>
          <w:left w:val="nil"/>
          <w:bottom w:val="nil"/>
          <w:right w:val="nil"/>
          <w:insideH w:val="nil"/>
          <w:insideV w:val="nil"/>
        </w:tcBorders>
        <w:shd w:val="clear" w:color="auto" w:fill="366091" w:themeFill="accent1" w:themeFillShade="BF"/>
      </w:tcPr>
    </w:tblStylePr>
  </w:style>
  <w:style w:type="table" w:styleId="109">
    <w:name w:val="Dark List Accent 2"/>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7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734" w:themeFill="accent2" w:themeFillShade="BF"/>
      </w:tcPr>
    </w:tblStylePr>
    <w:tblStylePr w:type="band1Vert">
      <w:tblPr/>
      <w:tcPr>
        <w:tcBorders>
          <w:top w:val="nil"/>
          <w:left w:val="nil"/>
          <w:bottom w:val="nil"/>
          <w:right w:val="nil"/>
          <w:insideH w:val="nil"/>
          <w:insideV w:val="nil"/>
        </w:tcBorders>
        <w:shd w:val="clear" w:color="auto" w:fill="943734" w:themeFill="accent2" w:themeFillShade="BF"/>
      </w:tcPr>
    </w:tblStylePr>
    <w:tblStylePr w:type="band1Horz">
      <w:tblPr/>
      <w:tcPr>
        <w:tcBorders>
          <w:top w:val="nil"/>
          <w:left w:val="nil"/>
          <w:bottom w:val="nil"/>
          <w:right w:val="nil"/>
          <w:insideH w:val="nil"/>
          <w:insideV w:val="nil"/>
        </w:tcBorders>
        <w:shd w:val="clear" w:color="auto" w:fill="943734" w:themeFill="accent2" w:themeFillShade="BF"/>
      </w:tcPr>
    </w:tblStylePr>
  </w:style>
  <w:style w:type="table" w:styleId="110">
    <w:name w:val="Dark List Accent 3"/>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7"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111">
    <w:name w:val="Dark List Accent 4"/>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0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112">
    <w:name w:val="Dark List Accent 5"/>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113">
    <w:name w:val="Dark List Accent 6"/>
    <w:basedOn w:val="12"/>
    <w:qFormat/>
    <w:uiPriority w:val="70"/>
    <w:pPr>
      <w:spacing w:after="0" w:line="240" w:lineRule="auto"/>
    </w:pPr>
    <w:rPr>
      <w:color w:val="FFFFFF" w:themeColor="background1"/>
      <w14:textFill>
        <w14:solidFill>
          <w14:schemeClr w14:val="bg1"/>
        </w14:solidFill>
      </w14:textFill>
    </w:rPr>
    <w:tblPr>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9" w:themeFill="accent6" w:themeFillShade="BF"/>
      </w:tcPr>
    </w:tblStylePr>
    <w:tblStylePr w:type="band1Vert">
      <w:tblPr/>
      <w:tcPr>
        <w:tcBorders>
          <w:top w:val="nil"/>
          <w:left w:val="nil"/>
          <w:bottom w:val="nil"/>
          <w:right w:val="nil"/>
          <w:insideH w:val="nil"/>
          <w:insideV w:val="nil"/>
        </w:tcBorders>
        <w:shd w:val="clear" w:color="auto" w:fill="E36C09" w:themeFill="accent6" w:themeFillShade="BF"/>
      </w:tcPr>
    </w:tblStylePr>
    <w:tblStylePr w:type="band1Horz">
      <w:tblPr/>
      <w:tcPr>
        <w:tcBorders>
          <w:top w:val="nil"/>
          <w:left w:val="nil"/>
          <w:bottom w:val="nil"/>
          <w:right w:val="nil"/>
          <w:insideH w:val="nil"/>
          <w:insideV w:val="nil"/>
        </w:tcBorders>
        <w:shd w:val="clear" w:color="auto" w:fill="E36C09" w:themeFill="accent6" w:themeFillShade="BF"/>
      </w:tcPr>
    </w:tblStylePr>
  </w:style>
  <w:style w:type="table" w:styleId="114">
    <w:name w:val="Colorful Shading"/>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E5E5"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000000" w:themeFill="tex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000000" w:themeFill="tex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7F7F7F" w:themeFill="tex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5">
    <w:name w:val="Colorful Shading Accent 1"/>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B4D74" w:themeFill="accent1"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B4D74" w:themeFill="accent1"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B4D74" w:themeFill="accent1" w:themeFillShade="99"/>
      </w:tcPr>
    </w:tblStylePr>
    <w:tblStylePr w:type="band1Vert">
      <w:tblPr/>
      <w:tcPr>
        <w:shd w:val="clear" w:color="auto" w:fill="B8CCE4" w:themeFill="accent1" w:themeFillTint="66"/>
      </w:tcPr>
    </w:tblStylePr>
    <w:tblStylePr w:type="band1Horz">
      <w:tblPr/>
      <w:tcPr>
        <w:shd w:val="clear" w:color="auto" w:fill="A7C0DE" w:themeFill="accent1"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6">
    <w:name w:val="Colorful Shading Accent 2"/>
    <w:basedOn w:val="12"/>
    <w:qFormat/>
    <w:uiPriority w:val="71"/>
    <w:pPr>
      <w:spacing w:after="0" w:line="240" w:lineRule="auto"/>
    </w:pPr>
    <w:rPr>
      <w:color w:val="000000" w:themeColor="text1"/>
      <w14:textFill>
        <w14:solidFill>
          <w14:schemeClr w14:val="tx1"/>
        </w14:solidFill>
      </w14:textFill>
    </w:rPr>
    <w:tblPr>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772C2A" w:themeFill="accent2"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772C2A" w:themeFill="accent2"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7">
    <w:name w:val="Colorful Shading Accent 3"/>
    <w:basedOn w:val="12"/>
    <w:qFormat/>
    <w:uiPriority w:val="71"/>
    <w:pPr>
      <w:spacing w:after="0" w:line="240" w:lineRule="auto"/>
    </w:pPr>
    <w:rPr>
      <w:color w:val="000000" w:themeColor="text1"/>
      <w14:textFill>
        <w14:solidFill>
          <w14:schemeClr w14:val="tx1"/>
        </w14:solidFill>
      </w14:textFill>
    </w:rPr>
    <w:tblPr>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5E7530" w:themeFill="accent3"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5E7530" w:themeFill="accent3"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118">
    <w:name w:val="Colorful Shading Accent 4"/>
    <w:basedOn w:val="12"/>
    <w:qFormat/>
    <w:uiPriority w:val="71"/>
    <w:pPr>
      <w:spacing w:after="0" w:line="240" w:lineRule="auto"/>
    </w:pPr>
    <w:rPr>
      <w:color w:val="000000" w:themeColor="text1"/>
      <w14:textFill>
        <w14:solidFill>
          <w14:schemeClr w14:val="tx1"/>
        </w14:solidFill>
      </w14:textFill>
    </w:rPr>
    <w:tblPr>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5"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4C3A62" w:themeFill="accent4"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4C3A62" w:themeFill="accent4"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4C3A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19">
    <w:name w:val="Colorful Shading Accent 5"/>
    <w:basedOn w:val="12"/>
    <w:qFormat/>
    <w:uiPriority w:val="71"/>
    <w:pPr>
      <w:spacing w:after="0" w:line="240" w:lineRule="auto"/>
    </w:pPr>
    <w:rPr>
      <w:color w:val="000000" w:themeColor="text1"/>
      <w14:textFill>
        <w14:solidFill>
          <w14:schemeClr w14:val="tx1"/>
        </w14:solidFill>
      </w14:textFill>
    </w:rPr>
    <w:tblPr>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276A7C" w:themeFill="accent5"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276A7C" w:themeFill="accent5"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0">
    <w:name w:val="Colorful Shading Accent 6"/>
    <w:basedOn w:val="12"/>
    <w:qFormat/>
    <w:uiPriority w:val="71"/>
    <w:pPr>
      <w:spacing w:after="0" w:line="240" w:lineRule="auto"/>
    </w:pPr>
    <w:rPr>
      <w:color w:val="000000" w:themeColor="text1"/>
      <w14:textFill>
        <w14:solidFill>
          <w14:schemeClr w14:val="tx1"/>
        </w14:solidFill>
      </w14:textFill>
    </w:rPr>
    <w:tblPr>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14:textFill>
          <w14:solidFill>
            <w14:schemeClr w14:val="bg1"/>
          </w14:solidFill>
        </w14:textFill>
      </w:rPr>
      <w:tblPr/>
      <w:tcPr>
        <w:tcBorders>
          <w:top w:val="single" w:color="FFFFFF" w:themeColor="background1" w:sz="6" w:space="0"/>
        </w:tcBorders>
        <w:shd w:val="clear" w:color="auto" w:fill="B65607" w:themeFill="accent6" w:themeFillShade="99"/>
      </w:tcPr>
    </w:tblStylePr>
    <w:tblStylePr w:type="firstCol">
      <w:rPr>
        <w:color w:val="FFFFFF" w:themeColor="background1"/>
        <w14:textFill>
          <w14:solidFill>
            <w14:schemeClr w14:val="bg1"/>
          </w14:solidFill>
        </w14:textFill>
      </w:rPr>
      <w:tblPr/>
      <w:tcPr>
        <w:tcBorders>
          <w:top w:val="nil"/>
          <w:left w:val="nil"/>
          <w:bottom w:val="nil"/>
          <w:right w:val="nil"/>
          <w:insideH w:val="single" w:sz="4" w:space="0"/>
          <w:insideV w:val="nil"/>
        </w:tcBorders>
        <w:shd w:val="clear" w:color="auto" w:fill="B65607" w:themeFill="accent6" w:themeFillShade="99"/>
      </w:tcPr>
    </w:tblStylePr>
    <w:tblStylePr w:type="lastCol">
      <w:rPr>
        <w:color w:val="FFFFFF" w:themeColor="background1"/>
        <w14:textFill>
          <w14:solidFill>
            <w14:schemeClr w14:val="bg1"/>
          </w14:solidFill>
        </w14:textFill>
      </w:rPr>
      <w:tblPr/>
      <w:tcPr>
        <w:tcBorders>
          <w:top w:val="nil"/>
          <w:left w:val="nil"/>
          <w:bottom w:val="nil"/>
          <w:right w:val="nil"/>
          <w:insideH w:val="nil"/>
          <w:insideV w:val="nil"/>
        </w:tcBorders>
        <w:shd w:val="clear" w:color="auto" w:fill="B65607"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14:textFill>
          <w14:solidFill>
            <w14:schemeClr w14:val="tx1"/>
          </w14:solidFill>
        </w14:textFill>
      </w:rPr>
    </w:tblStylePr>
    <w:tblStylePr w:type="nwCell">
      <w:rPr>
        <w:color w:val="000000" w:themeColor="text1"/>
        <w14:textFill>
          <w14:solidFill>
            <w14:schemeClr w14:val="tx1"/>
          </w14:solidFill>
        </w14:textFill>
      </w:rPr>
    </w:tblStylePr>
  </w:style>
  <w:style w:type="table" w:styleId="121">
    <w:name w:val="Colorful List"/>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5E5E5" w:themeFill="tex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FBFBF" w:themeFill="text1" w:themeFillTint="3F"/>
      </w:tcPr>
    </w:tblStylePr>
    <w:tblStylePr w:type="band1Horz">
      <w:tblPr/>
      <w:tcPr>
        <w:shd w:val="clear" w:color="auto" w:fill="CCCCCC" w:themeFill="text1" w:themeFillTint="33"/>
      </w:tcPr>
    </w:tblStylePr>
  </w:style>
  <w:style w:type="table" w:styleId="122">
    <w:name w:val="Colorful List Accent 1"/>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123">
    <w:name w:val="Colorful List Accent 2"/>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9E3A38" w:themeFill="accent2" w:themeFillShade="CC"/>
      </w:tcPr>
    </w:tblStylePr>
    <w:tblStylePr w:type="lastRow">
      <w:rPr>
        <w:b/>
        <w:bCs/>
        <w:color w:val="9F3B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3" w:themeFill="accent2" w:themeFillTint="3F"/>
      </w:tcPr>
    </w:tblStylePr>
    <w:tblStylePr w:type="band1Horz">
      <w:tblPr/>
      <w:tcPr>
        <w:shd w:val="clear" w:color="auto" w:fill="F2DBDB" w:themeFill="accent2" w:themeFillTint="33"/>
      </w:tcPr>
    </w:tblStylePr>
  </w:style>
  <w:style w:type="table" w:styleId="124">
    <w:name w:val="Colorful List Accent 3"/>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664E82" w:themeFill="accent4" w:themeFillShade="CC"/>
      </w:tcPr>
    </w:tblStylePr>
    <w:tblStylePr w:type="lastRow">
      <w:rPr>
        <w:b/>
        <w:bCs/>
        <w:color w:val="664F83"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125">
    <w:name w:val="Colorful List Accent 4"/>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2EFF5" w:themeFill="accent4"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7E9C40" w:themeFill="accent3" w:themeFillShade="CC"/>
      </w:tcPr>
    </w:tblStylePr>
    <w:tblStylePr w:type="lastRow">
      <w:rPr>
        <w:b/>
        <w:bCs/>
        <w:color w:val="7E9D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126">
    <w:name w:val="Colorful List Accent 5"/>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F3730A" w:themeFill="accent6" w:themeFillShade="CC"/>
      </w:tcPr>
    </w:tblStylePr>
    <w:tblStylePr w:type="lastRow">
      <w:rPr>
        <w:b/>
        <w:bCs/>
        <w:color w:val="F3740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0" w:themeFill="accent5" w:themeFillTint="3F"/>
      </w:tcPr>
    </w:tblStylePr>
    <w:tblStylePr w:type="band1Horz">
      <w:tblPr/>
      <w:tcPr>
        <w:shd w:val="clear" w:color="auto" w:fill="DAEEF3" w:themeFill="accent5" w:themeFillTint="33"/>
      </w:tcPr>
    </w:tblStylePr>
  </w:style>
  <w:style w:type="table" w:styleId="127">
    <w:name w:val="Colorful List Accent 6"/>
    <w:basedOn w:val="12"/>
    <w:qFormat/>
    <w:uiPriority w:val="72"/>
    <w:pPr>
      <w:spacing w:after="0" w:line="240" w:lineRule="auto"/>
    </w:pPr>
    <w:rPr>
      <w:color w:val="000000" w:themeColor="text1"/>
      <w14:textFill>
        <w14:solidFill>
          <w14:schemeClr w14:val="tx1"/>
        </w14:solidFill>
      </w14:textFill>
    </w:rPr>
    <w:tblPr>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14:textFill>
          <w14:solidFill>
            <w14:schemeClr w14:val="bg1"/>
          </w14:solidFill>
        </w14:textFill>
      </w:rPr>
      <w:tblPr/>
      <w:tcPr>
        <w:tcBorders>
          <w:bottom w:val="single" w:color="FFFFFF" w:themeColor="background1" w:sz="12" w:space="0"/>
        </w:tcBorders>
        <w:shd w:val="clear" w:color="auto" w:fill="348DA5" w:themeFill="accent5" w:themeFillShade="CC"/>
      </w:tcPr>
    </w:tblStylePr>
    <w:tblStylePr w:type="lastRow">
      <w:rPr>
        <w:b/>
        <w:bCs/>
        <w:color w:val="358EA6"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5D1" w:themeFill="accent6" w:themeFillTint="3F"/>
      </w:tcPr>
    </w:tblStylePr>
    <w:tblStylePr w:type="band1Horz">
      <w:tblPr/>
      <w:tcPr>
        <w:shd w:val="clear" w:color="auto" w:fill="FDE9D9" w:themeFill="accent6" w:themeFillTint="33"/>
      </w:tcPr>
    </w:tblStylePr>
  </w:style>
  <w:style w:type="table" w:styleId="128">
    <w:name w:val="Colorful Grid"/>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14:textFill>
          <w14:solidFill>
            <w14:schemeClr w14:val="tx1"/>
          </w14:solidFill>
        </w14:textFill>
      </w:rPr>
      <w:tblPr/>
      <w:tcPr>
        <w:shd w:val="clear" w:color="auto" w:fill="999999" w:themeFill="text1" w:themeFillTint="66"/>
      </w:tcPr>
    </w:tblStylePr>
    <w:tblStylePr w:type="firstCol">
      <w:rPr>
        <w:color w:val="FFFFFF" w:themeColor="background1"/>
        <w14:textFill>
          <w14:solidFill>
            <w14:schemeClr w14:val="bg1"/>
          </w14:solidFill>
        </w14:textFill>
      </w:rPr>
      <w:tblPr/>
      <w:tcPr>
        <w:shd w:val="clear" w:color="auto" w:fill="000000" w:themeFill="text1" w:themeFillShade="BF"/>
      </w:tcPr>
    </w:tblStylePr>
    <w:tblStylePr w:type="lastCol">
      <w:rPr>
        <w:color w:val="FFFFFF" w:themeColor="background1"/>
        <w14:textFill>
          <w14:solidFill>
            <w14:schemeClr w14:val="bg1"/>
          </w14:solidFill>
        </w14:textFill>
      </w:rPr>
      <w:tblPr/>
      <w:tcPr>
        <w:shd w:val="clear" w:color="auto" w:fill="000000" w:themeFill="text1" w:themeFillShade="BF"/>
      </w:tcPr>
    </w:tblStylePr>
    <w:tblStylePr w:type="band1Vert">
      <w:tblPr/>
      <w:tcPr>
        <w:shd w:val="clear" w:color="auto" w:fill="7F7F7F" w:themeFill="text1" w:themeFillTint="7F"/>
      </w:tcPr>
    </w:tblStylePr>
    <w:tblStylePr w:type="band1Horz">
      <w:tblPr/>
      <w:tcPr>
        <w:shd w:val="clear" w:color="auto" w:fill="7F7F7F" w:themeFill="text1" w:themeFillTint="7F"/>
      </w:tcPr>
    </w:tblStylePr>
  </w:style>
  <w:style w:type="table" w:styleId="129">
    <w:name w:val="Colorful Grid Accent 1"/>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14:textFill>
          <w14:solidFill>
            <w14:schemeClr w14:val="tx1"/>
          </w14:solidFill>
        </w14:textFill>
      </w:rPr>
      <w:tblPr/>
      <w:tcPr>
        <w:shd w:val="clear" w:color="auto" w:fill="B8CCE4" w:themeFill="accent1" w:themeFillTint="66"/>
      </w:tcPr>
    </w:tblStylePr>
    <w:tblStylePr w:type="firstCol">
      <w:rPr>
        <w:color w:val="FFFFFF" w:themeColor="background1"/>
        <w14:textFill>
          <w14:solidFill>
            <w14:schemeClr w14:val="bg1"/>
          </w14:solidFill>
        </w14:textFill>
      </w:rPr>
      <w:tblPr/>
      <w:tcPr>
        <w:shd w:val="clear" w:color="auto" w:fill="366091" w:themeFill="accent1" w:themeFillShade="BF"/>
      </w:tcPr>
    </w:tblStylePr>
    <w:tblStylePr w:type="lastCol">
      <w:rPr>
        <w:color w:val="FFFFFF" w:themeColor="background1"/>
        <w14:textFill>
          <w14:solidFill>
            <w14:schemeClr w14:val="bg1"/>
          </w14:solidFill>
        </w14:textFill>
      </w:rPr>
      <w:tblPr/>
      <w:tcPr>
        <w:shd w:val="clear" w:color="auto" w:fill="366091" w:themeFill="accent1" w:themeFillShade="BF"/>
      </w:tcPr>
    </w:tblStylePr>
    <w:tblStylePr w:type="band1Vert">
      <w:tblPr/>
      <w:tcPr>
        <w:shd w:val="clear" w:color="auto" w:fill="A7C0DE" w:themeFill="accent1" w:themeFillTint="7F"/>
      </w:tcPr>
    </w:tblStylePr>
    <w:tblStylePr w:type="band1Horz">
      <w:tblPr/>
      <w:tcPr>
        <w:shd w:val="clear" w:color="auto" w:fill="A7C0DE" w:themeFill="accent1" w:themeFillTint="7F"/>
      </w:tcPr>
    </w:tblStylePr>
  </w:style>
  <w:style w:type="table" w:styleId="130">
    <w:name w:val="Colorful Grid Accent 2"/>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14:textFill>
          <w14:solidFill>
            <w14:schemeClr w14:val="tx1"/>
          </w14:solidFill>
        </w14:textFill>
      </w:rPr>
      <w:tblPr/>
      <w:tcPr>
        <w:shd w:val="clear" w:color="auto" w:fill="E5B8B7" w:themeFill="accent2" w:themeFillTint="66"/>
      </w:tcPr>
    </w:tblStylePr>
    <w:tblStylePr w:type="firstCol">
      <w:rPr>
        <w:color w:val="FFFFFF" w:themeColor="background1"/>
        <w14:textFill>
          <w14:solidFill>
            <w14:schemeClr w14:val="bg1"/>
          </w14:solidFill>
        </w14:textFill>
      </w:rPr>
      <w:tblPr/>
      <w:tcPr>
        <w:shd w:val="clear" w:color="auto" w:fill="943734" w:themeFill="accent2" w:themeFillShade="BF"/>
      </w:tcPr>
    </w:tblStylePr>
    <w:tblStylePr w:type="lastCol">
      <w:rPr>
        <w:color w:val="FFFFFF" w:themeColor="background1"/>
        <w14:textFill>
          <w14:solidFill>
            <w14:schemeClr w14:val="bg1"/>
          </w14:solidFill>
        </w14:textFill>
      </w:rPr>
      <w:tblPr/>
      <w:tcPr>
        <w:shd w:val="clear" w:color="auto" w:fill="9437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Colorful Grid Accent 3"/>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14:textFill>
          <w14:solidFill>
            <w14:schemeClr w14:val="tx1"/>
          </w14:solidFill>
        </w14:textFill>
      </w:rPr>
      <w:tblPr/>
      <w:tcPr>
        <w:shd w:val="clear" w:color="auto" w:fill="D6E3BC" w:themeFill="accent3" w:themeFillTint="66"/>
      </w:tcPr>
    </w:tblStylePr>
    <w:tblStylePr w:type="firstCol">
      <w:rPr>
        <w:color w:val="FFFFFF" w:themeColor="background1"/>
        <w14:textFill>
          <w14:solidFill>
            <w14:schemeClr w14:val="bg1"/>
          </w14:solidFill>
        </w14:textFill>
      </w:rPr>
      <w:tblPr/>
      <w:tcPr>
        <w:shd w:val="clear" w:color="auto" w:fill="76923C" w:themeFill="accent3" w:themeFillShade="BF"/>
      </w:tcPr>
    </w:tblStylePr>
    <w:tblStylePr w:type="lastCol">
      <w:rPr>
        <w:color w:val="FFFFFF" w:themeColor="background1"/>
        <w14:textFill>
          <w14:solidFill>
            <w14:schemeClr w14:val="bg1"/>
          </w14:solidFill>
        </w14:textFill>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32">
    <w:name w:val="Colorful Grid Accent 4"/>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14:textFill>
          <w14:solidFill>
            <w14:schemeClr w14:val="tx1"/>
          </w14:solidFill>
        </w14:textFill>
      </w:rPr>
      <w:tblPr/>
      <w:tcPr>
        <w:shd w:val="clear" w:color="auto" w:fill="CCC0D9" w:themeFill="accent4" w:themeFillTint="66"/>
      </w:tcPr>
    </w:tblStylePr>
    <w:tblStylePr w:type="firstCol">
      <w:rPr>
        <w:color w:val="FFFFFF" w:themeColor="background1"/>
        <w14:textFill>
          <w14:solidFill>
            <w14:schemeClr w14:val="bg1"/>
          </w14:solidFill>
        </w14:textFill>
      </w:rPr>
      <w:tblPr/>
      <w:tcPr>
        <w:shd w:val="clear" w:color="auto" w:fill="5F497A" w:themeFill="accent4" w:themeFillShade="BF"/>
      </w:tcPr>
    </w:tblStylePr>
    <w:tblStylePr w:type="lastCol">
      <w:rPr>
        <w:color w:val="FFFFFF" w:themeColor="background1"/>
        <w14:textFill>
          <w14:solidFill>
            <w14:schemeClr w14:val="bg1"/>
          </w14:solidFill>
        </w14:textFill>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33">
    <w:name w:val="Colorful Grid Accent 5"/>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14:textFill>
          <w14:solidFill>
            <w14:schemeClr w14:val="tx1"/>
          </w14:solidFill>
        </w14:textFill>
      </w:rPr>
      <w:tblPr/>
      <w:tcPr>
        <w:shd w:val="clear" w:color="auto" w:fill="B6DDE8" w:themeFill="accent5" w:themeFillTint="66"/>
      </w:tcPr>
    </w:tblStylePr>
    <w:tblStylePr w:type="firstCol">
      <w:rPr>
        <w:color w:val="FFFFFF" w:themeColor="background1"/>
        <w14:textFill>
          <w14:solidFill>
            <w14:schemeClr w14:val="bg1"/>
          </w14:solidFill>
        </w14:textFill>
      </w:rPr>
      <w:tblPr/>
      <w:tcPr>
        <w:shd w:val="clear" w:color="auto" w:fill="31849B" w:themeFill="accent5" w:themeFillShade="BF"/>
      </w:tcPr>
    </w:tblStylePr>
    <w:tblStylePr w:type="lastCol">
      <w:rPr>
        <w:color w:val="FFFFFF" w:themeColor="background1"/>
        <w14:textFill>
          <w14:solidFill>
            <w14:schemeClr w14:val="bg1"/>
          </w14:solidFill>
        </w14:textFill>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34">
    <w:name w:val="Colorful Grid Accent 6"/>
    <w:basedOn w:val="12"/>
    <w:qFormat/>
    <w:uiPriority w:val="73"/>
    <w:pPr>
      <w:spacing w:after="0" w:line="240" w:lineRule="auto"/>
    </w:pPr>
    <w:rPr>
      <w:color w:val="000000" w:themeColor="text1"/>
      <w14:textFill>
        <w14:solidFill>
          <w14:schemeClr w14:val="tx1"/>
        </w14:solidFill>
      </w14:textFill>
    </w:rPr>
    <w:tblPr>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14:textFill>
          <w14:solidFill>
            <w14:schemeClr w14:val="tx1"/>
          </w14:solidFill>
        </w14:textFill>
      </w:rPr>
      <w:tblPr/>
      <w:tcPr>
        <w:shd w:val="clear" w:color="auto" w:fill="FBD4B4" w:themeFill="accent6" w:themeFillTint="66"/>
      </w:tcPr>
    </w:tblStylePr>
    <w:tblStylePr w:type="firstCol">
      <w:rPr>
        <w:color w:val="FFFFFF" w:themeColor="background1"/>
        <w14:textFill>
          <w14:solidFill>
            <w14:schemeClr w14:val="bg1"/>
          </w14:solidFill>
        </w14:textFill>
      </w:rPr>
      <w:tblPr/>
      <w:tcPr>
        <w:shd w:val="clear" w:color="auto" w:fill="E36C09" w:themeFill="accent6" w:themeFillShade="BF"/>
      </w:tcPr>
    </w:tblStylePr>
    <w:tblStylePr w:type="lastCol">
      <w:rPr>
        <w:color w:val="FFFFFF" w:themeColor="background1"/>
        <w14:textFill>
          <w14:solidFill>
            <w14:schemeClr w14:val="bg1"/>
          </w14:solidFill>
        </w14:textFill>
      </w:rPr>
      <w:tblPr/>
      <w:tcPr>
        <w:shd w:val="clear" w:color="auto" w:fill="E36C09"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135">
    <w:name w:val="Header Char"/>
    <w:basedOn w:val="11"/>
    <w:link w:val="19"/>
    <w:qFormat/>
    <w:uiPriority w:val="99"/>
  </w:style>
  <w:style w:type="character" w:customStyle="1" w:styleId="136">
    <w:name w:val="Footer Char"/>
    <w:basedOn w:val="11"/>
    <w:link w:val="18"/>
    <w:qFormat/>
    <w:uiPriority w:val="99"/>
  </w:style>
  <w:style w:type="paragraph" w:styleId="137">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8">
    <w:name w:val="Heading 1 Char"/>
    <w:basedOn w:val="11"/>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39">
    <w:name w:val="Heading 2 Char"/>
    <w:basedOn w:val="11"/>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140">
    <w:name w:val="Heading 3 Char"/>
    <w:basedOn w:val="11"/>
    <w:link w:val="4"/>
    <w:qFormat/>
    <w:uiPriority w:val="9"/>
    <w:rPr>
      <w:rFonts w:asciiTheme="majorHAnsi" w:hAnsiTheme="majorHAnsi" w:eastAsiaTheme="majorEastAsia" w:cstheme="majorBidi"/>
      <w:b/>
      <w:bCs/>
      <w:color w:val="4F81BD" w:themeColor="accent1"/>
      <w14:textFill>
        <w14:solidFill>
          <w14:schemeClr w14:val="accent1"/>
        </w14:solidFill>
      </w14:textFill>
    </w:rPr>
  </w:style>
  <w:style w:type="character" w:customStyle="1" w:styleId="141">
    <w:name w:val="Title Char"/>
    <w:basedOn w:val="11"/>
    <w:link w:val="36"/>
    <w:qFormat/>
    <w:uiPriority w:val="10"/>
    <w:rPr>
      <w:rFonts w:asciiTheme="majorHAnsi" w:hAnsiTheme="majorHAnsi" w:eastAsiaTheme="majorEastAsia" w:cstheme="majorBidi"/>
      <w:color w:val="17375E" w:themeColor="text2" w:themeShade="BF"/>
      <w:spacing w:val="5"/>
      <w:kern w:val="28"/>
      <w:sz w:val="52"/>
      <w:szCs w:val="52"/>
    </w:rPr>
  </w:style>
  <w:style w:type="character" w:customStyle="1" w:styleId="142">
    <w:name w:val="Subtitle Char"/>
    <w:basedOn w:val="11"/>
    <w:link w:val="34"/>
    <w:qFormat/>
    <w:uiPriority w:val="11"/>
    <w:rPr>
      <w:rFonts w:asciiTheme="majorHAnsi" w:hAnsiTheme="majorHAnsi" w:eastAsiaTheme="majorEastAsia" w:cstheme="majorBidi"/>
      <w:i/>
      <w:iCs/>
      <w:color w:val="4F81BD" w:themeColor="accent1"/>
      <w:spacing w:val="15"/>
      <w:sz w:val="24"/>
      <w:szCs w:val="24"/>
      <w14:textFill>
        <w14:solidFill>
          <w14:schemeClr w14:val="accent1"/>
        </w14:solidFill>
      </w14:textFill>
    </w:rPr>
  </w:style>
  <w:style w:type="paragraph" w:styleId="143">
    <w:name w:val="List Paragraph"/>
    <w:basedOn w:val="1"/>
    <w:qFormat/>
    <w:uiPriority w:val="34"/>
    <w:pPr>
      <w:ind w:left="720"/>
      <w:contextualSpacing/>
    </w:pPr>
  </w:style>
  <w:style w:type="character" w:customStyle="1" w:styleId="144">
    <w:name w:val="Body Text Char"/>
    <w:basedOn w:val="11"/>
    <w:link w:val="13"/>
    <w:qFormat/>
    <w:uiPriority w:val="99"/>
  </w:style>
  <w:style w:type="character" w:customStyle="1" w:styleId="145">
    <w:name w:val="Body Text 2 Char"/>
    <w:basedOn w:val="11"/>
    <w:link w:val="14"/>
    <w:qFormat/>
    <w:uiPriority w:val="99"/>
  </w:style>
  <w:style w:type="character" w:customStyle="1" w:styleId="146">
    <w:name w:val="Body Text 3 Char"/>
    <w:basedOn w:val="11"/>
    <w:link w:val="15"/>
    <w:qFormat/>
    <w:uiPriority w:val="99"/>
    <w:rPr>
      <w:sz w:val="16"/>
      <w:szCs w:val="16"/>
    </w:rPr>
  </w:style>
  <w:style w:type="character" w:customStyle="1" w:styleId="147">
    <w:name w:val="Macro Text Char"/>
    <w:basedOn w:val="11"/>
    <w:link w:val="32"/>
    <w:qFormat/>
    <w:uiPriority w:val="99"/>
    <w:rPr>
      <w:rFonts w:ascii="Courier" w:hAnsi="Courier"/>
      <w:sz w:val="20"/>
      <w:szCs w:val="20"/>
    </w:rPr>
  </w:style>
  <w:style w:type="paragraph" w:styleId="148">
    <w:name w:val="Quote"/>
    <w:basedOn w:val="1"/>
    <w:next w:val="1"/>
    <w:link w:val="149"/>
    <w:qFormat/>
    <w:uiPriority w:val="29"/>
    <w:rPr>
      <w:i/>
      <w:iCs/>
      <w:color w:val="000000" w:themeColor="text1"/>
      <w14:textFill>
        <w14:solidFill>
          <w14:schemeClr w14:val="tx1"/>
        </w14:solidFill>
      </w14:textFill>
    </w:rPr>
  </w:style>
  <w:style w:type="character" w:customStyle="1" w:styleId="149">
    <w:name w:val="Quote Char"/>
    <w:basedOn w:val="11"/>
    <w:link w:val="148"/>
    <w:qFormat/>
    <w:uiPriority w:val="29"/>
    <w:rPr>
      <w:i/>
      <w:iCs/>
      <w:color w:val="000000" w:themeColor="text1"/>
      <w14:textFill>
        <w14:solidFill>
          <w14:schemeClr w14:val="tx1"/>
        </w14:solidFill>
      </w14:textFill>
    </w:rPr>
  </w:style>
  <w:style w:type="character" w:customStyle="1" w:styleId="150">
    <w:name w:val="Heading 4 Char"/>
    <w:basedOn w:val="11"/>
    <w:link w:val="5"/>
    <w:semiHidden/>
    <w:qFormat/>
    <w:uiPriority w:val="9"/>
    <w:rPr>
      <w:rFonts w:asciiTheme="majorHAnsi" w:hAnsiTheme="majorHAnsi" w:eastAsiaTheme="majorEastAsia" w:cstheme="majorBidi"/>
      <w:b/>
      <w:bCs/>
      <w:i/>
      <w:iCs/>
      <w:color w:val="4F81BD" w:themeColor="accent1"/>
      <w14:textFill>
        <w14:solidFill>
          <w14:schemeClr w14:val="accent1"/>
        </w14:solidFill>
      </w14:textFill>
    </w:rPr>
  </w:style>
  <w:style w:type="character" w:customStyle="1" w:styleId="151">
    <w:name w:val="Heading 5 Char"/>
    <w:basedOn w:val="11"/>
    <w:link w:val="6"/>
    <w:semiHidden/>
    <w:qFormat/>
    <w:uiPriority w:val="9"/>
    <w:rPr>
      <w:rFonts w:asciiTheme="majorHAnsi" w:hAnsiTheme="majorHAnsi" w:eastAsiaTheme="majorEastAsia" w:cstheme="majorBidi"/>
      <w:color w:val="254061" w:themeColor="accent1" w:themeShade="80"/>
    </w:rPr>
  </w:style>
  <w:style w:type="character" w:customStyle="1" w:styleId="152">
    <w:name w:val="Heading 6 Char"/>
    <w:basedOn w:val="11"/>
    <w:link w:val="7"/>
    <w:semiHidden/>
    <w:qFormat/>
    <w:uiPriority w:val="9"/>
    <w:rPr>
      <w:rFonts w:asciiTheme="majorHAnsi" w:hAnsiTheme="majorHAnsi" w:eastAsiaTheme="majorEastAsia" w:cstheme="majorBidi"/>
      <w:i/>
      <w:iCs/>
      <w:color w:val="254061" w:themeColor="accent1" w:themeShade="80"/>
    </w:rPr>
  </w:style>
  <w:style w:type="character" w:customStyle="1" w:styleId="153">
    <w:name w:val="Heading 7 Char"/>
    <w:basedOn w:val="11"/>
    <w:link w:val="8"/>
    <w:semiHidden/>
    <w:qFormat/>
    <w:uiPriority w:val="9"/>
    <w:rPr>
      <w:rFonts w:asciiTheme="majorHAnsi" w:hAnsiTheme="majorHAnsi" w:eastAsiaTheme="majorEastAsia" w:cstheme="majorBidi"/>
      <w:i/>
      <w:iCs/>
      <w:color w:val="404040" w:themeColor="text1" w:themeTint="BF"/>
      <w14:textFill>
        <w14:solidFill>
          <w14:schemeClr w14:val="tx1">
            <w14:lumMod w14:val="75000"/>
            <w14:lumOff w14:val="25000"/>
          </w14:schemeClr>
        </w14:solidFill>
      </w14:textFill>
    </w:rPr>
  </w:style>
  <w:style w:type="character" w:customStyle="1" w:styleId="154">
    <w:name w:val="Heading 8 Char"/>
    <w:basedOn w:val="11"/>
    <w:link w:val="9"/>
    <w:semiHidden/>
    <w:qFormat/>
    <w:uiPriority w:val="9"/>
    <w:rPr>
      <w:rFonts w:asciiTheme="majorHAnsi" w:hAnsiTheme="majorHAnsi" w:eastAsiaTheme="majorEastAsia" w:cstheme="majorBidi"/>
      <w:color w:val="4F81BD" w:themeColor="accent1"/>
      <w:sz w:val="20"/>
      <w:szCs w:val="20"/>
      <w14:textFill>
        <w14:solidFill>
          <w14:schemeClr w14:val="accent1"/>
        </w14:solidFill>
      </w14:textFill>
    </w:rPr>
  </w:style>
  <w:style w:type="character" w:customStyle="1" w:styleId="155">
    <w:name w:val="Heading 9 Char"/>
    <w:basedOn w:val="11"/>
    <w:link w:val="10"/>
    <w:semiHidden/>
    <w:qFormat/>
    <w:uiPriority w:val="9"/>
    <w:rPr>
      <w:rFonts w:asciiTheme="majorHAnsi" w:hAnsiTheme="majorHAnsi"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paragraph" w:styleId="156">
    <w:name w:val="Intense Quote"/>
    <w:basedOn w:val="1"/>
    <w:next w:val="1"/>
    <w:link w:val="157"/>
    <w:qFormat/>
    <w:uiPriority w:val="30"/>
    <w:pPr>
      <w:pBdr>
        <w:bottom w:val="single" w:color="4F81BD" w:themeColor="accent1" w:sz="4" w:space="4"/>
      </w:pBdr>
      <w:spacing w:before="200" w:after="280"/>
      <w:ind w:left="936" w:right="936"/>
    </w:pPr>
    <w:rPr>
      <w:b/>
      <w:bCs/>
      <w:i/>
      <w:iCs/>
      <w:color w:val="4F81BD" w:themeColor="accent1"/>
      <w14:textFill>
        <w14:solidFill>
          <w14:schemeClr w14:val="accent1"/>
        </w14:solidFill>
      </w14:textFill>
    </w:rPr>
  </w:style>
  <w:style w:type="character" w:customStyle="1" w:styleId="157">
    <w:name w:val="Intense Quote Char"/>
    <w:basedOn w:val="11"/>
    <w:link w:val="156"/>
    <w:qFormat/>
    <w:uiPriority w:val="30"/>
    <w:rPr>
      <w:b/>
      <w:bCs/>
      <w:i/>
      <w:iCs/>
      <w:color w:val="4F81BD" w:themeColor="accent1"/>
      <w14:textFill>
        <w14:solidFill>
          <w14:schemeClr w14:val="accent1"/>
        </w14:solidFill>
      </w14:textFill>
    </w:rPr>
  </w:style>
  <w:style w:type="character" w:customStyle="1" w:styleId="158">
    <w:name w:val="Subtle Emphasis"/>
    <w:basedOn w:val="11"/>
    <w:qFormat/>
    <w:uiPriority w:val="19"/>
    <w:rPr>
      <w:i/>
      <w:iCs/>
      <w:color w:val="808080" w:themeColor="text1" w:themeTint="80"/>
      <w14:textFill>
        <w14:solidFill>
          <w14:schemeClr w14:val="tx1">
            <w14:lumMod w14:val="50000"/>
            <w14:lumOff w14:val="50000"/>
          </w14:schemeClr>
        </w14:solidFill>
      </w14:textFill>
    </w:rPr>
  </w:style>
  <w:style w:type="character" w:customStyle="1" w:styleId="159">
    <w:name w:val="Intense Emphasis"/>
    <w:basedOn w:val="11"/>
    <w:qFormat/>
    <w:uiPriority w:val="21"/>
    <w:rPr>
      <w:b/>
      <w:bCs/>
      <w:i/>
      <w:iCs/>
      <w:color w:val="4F81BD" w:themeColor="accent1"/>
      <w14:textFill>
        <w14:solidFill>
          <w14:schemeClr w14:val="accent1"/>
        </w14:solidFill>
      </w14:textFill>
    </w:rPr>
  </w:style>
  <w:style w:type="character" w:customStyle="1" w:styleId="160">
    <w:name w:val="Subtle Reference"/>
    <w:basedOn w:val="11"/>
    <w:qFormat/>
    <w:uiPriority w:val="31"/>
    <w:rPr>
      <w:smallCaps/>
      <w:color w:val="C0504D" w:themeColor="accent2"/>
      <w:u w:val="single"/>
      <w14:textFill>
        <w14:solidFill>
          <w14:schemeClr w14:val="accent2"/>
        </w14:solidFill>
      </w14:textFill>
    </w:rPr>
  </w:style>
  <w:style w:type="character" w:customStyle="1" w:styleId="161">
    <w:name w:val="Intense Reference"/>
    <w:basedOn w:val="11"/>
    <w:qFormat/>
    <w:uiPriority w:val="32"/>
    <w:rPr>
      <w:b/>
      <w:bCs/>
      <w:smallCaps/>
      <w:color w:val="C0504D" w:themeColor="accent2"/>
      <w:spacing w:val="5"/>
      <w:u w:val="single"/>
      <w14:textFill>
        <w14:solidFill>
          <w14:schemeClr w14:val="accent2"/>
        </w14:solidFill>
      </w14:textFill>
    </w:rPr>
  </w:style>
  <w:style w:type="character" w:customStyle="1" w:styleId="162">
    <w:name w:val="Book Title"/>
    <w:basedOn w:val="11"/>
    <w:qFormat/>
    <w:uiPriority w:val="33"/>
    <w:rPr>
      <w:b/>
      <w:bCs/>
      <w:smallCaps/>
      <w:spacing w:val="5"/>
    </w:rPr>
  </w:style>
  <w:style w:type="paragraph" w:customStyle="1" w:styleId="163">
    <w:name w:val="TOC Heading"/>
    <w:basedOn w:val="2"/>
    <w:next w:val="1"/>
    <w:semiHidden/>
    <w:unhideWhenUsed/>
    <w:qFormat/>
    <w:uiPriority w:val="39"/>
    <w:pPr>
      <w:outlineLvl w:val="9"/>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datastoreItem>
</file>

<file path=docProps/app.xml><?xml version="1.0" encoding="utf-8"?>
<Properties xmlns="http://schemas.openxmlformats.org/officeDocument/2006/extended-properties" xmlns:vt="http://schemas.openxmlformats.org/officeDocument/2006/docPropsVTypes">
  <Template>Normal.dotm</Template>
  <Pages>3</Pages>
  <Words>0</Words>
  <Characters>0</Characters>
  <Lines>0</Lines>
  <Paragraphs>0</Paragraphs>
  <TotalTime>155</TotalTime>
  <ScaleCrop>false</ScaleCrop>
  <LinksUpToDate>false</LinksUpToDate>
  <CharactersWithSpaces>0</CharactersWithSpaces>
  <Application>WPS Office_12.2.0.23202_F1E327BC-269C-435d-A152-05C5408002CA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python-docx</dc:creator>
  <dc:description>generated by python-docx</dc:description>
  <cp:lastModifiedBy>Abu Kamara</cp:lastModifiedBy>
  <dcterms:modified xsi:type="dcterms:W3CDTF">2026-04-21T03:00:48Z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2057-12.2.0.23202</vt:lpwstr>
  </property>
  <property fmtid="{D5CDD505-2E9C-101B-9397-08002B2CF9AE}" pid="3" name="ICV">
    <vt:lpwstr>8E0E585E7FEA4EB8BBD2183BA69584BA_13</vt:lpwstr>
  </property>
</Properties>
</file>