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Material Exhibit: Archaeology Trowel, Material Engagement and the Senses.</w:t>
      </w:r>
    </w:p>
    <w:p w:rsidR="00000000" w:rsidDel="00000000" w:rsidP="00000000" w:rsidRDefault="00000000" w:rsidRPr="00000000" w14:paraId="00000002">
      <w:pPr>
        <w:rPr/>
      </w:pPr>
      <w:r w:rsidDel="00000000" w:rsidR="00000000" w:rsidRPr="00000000">
        <w:rPr>
          <w:rtl w:val="0"/>
        </w:rPr>
        <w:t xml:space="preserve">Presentation Transcript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numPr>
          <w:ilvl w:val="0"/>
          <w:numId w:val="1"/>
        </w:numPr>
        <w:ind w:left="720" w:hanging="360"/>
        <w:rPr>
          <w:u w:val="none"/>
        </w:rPr>
      </w:pPr>
      <w:r w:rsidDel="00000000" w:rsidR="00000000" w:rsidRPr="00000000">
        <w:rPr>
          <w:b w:val="1"/>
          <w:rtl w:val="0"/>
        </w:rPr>
        <w:t xml:space="preserve">Introduction </w:t>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For this presentation, I have chosen to exhibit an object important to me personally, academically and practically: my Spear and Jackson Tyzack 4” Archaeology Trowel, the industry standard in British archaeology. Whilst this is the focus, other tools in the arsenal of the archaeologist will be discussed also: mattocks: shovels: spades etc. </w:t>
      </w:r>
    </w:p>
    <w:p w:rsidR="00000000" w:rsidDel="00000000" w:rsidP="00000000" w:rsidRDefault="00000000" w:rsidRPr="00000000" w14:paraId="00000007">
      <w:pPr>
        <w:rPr/>
      </w:pPr>
      <w:r w:rsidDel="00000000" w:rsidR="00000000" w:rsidRPr="00000000">
        <w:rPr>
          <w:rtl w:val="0"/>
        </w:rPr>
        <w:tab/>
        <w:t xml:space="preserve">Through this exhibition two theoretical frameworks will be employed. Firstly, Lambros Malafouris’ (2004, 2008a, 2013) </w:t>
      </w:r>
      <w:r w:rsidDel="00000000" w:rsidR="00000000" w:rsidRPr="00000000">
        <w:rPr>
          <w:i w:val="1"/>
          <w:rtl w:val="0"/>
        </w:rPr>
        <w:t xml:space="preserve">Material Engagement Theory</w:t>
      </w:r>
      <w:r w:rsidDel="00000000" w:rsidR="00000000" w:rsidRPr="00000000">
        <w:rPr>
          <w:rtl w:val="0"/>
        </w:rPr>
        <w:t xml:space="preserve">, stemming from ideas put forth by Maurice Merleau-Ponty (2005) and employed further in the field of archaeology by Louise Steel (2018). Secondly, general theoretical frameworks discussing sensory and phenomenological archaeology will be applied, focusing specifically on the work of Chris Tilley (2020).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ind w:left="0" w:firstLine="720"/>
        <w:rPr>
          <w:b w:val="1"/>
        </w:rPr>
      </w:pPr>
      <w:r w:rsidDel="00000000" w:rsidR="00000000" w:rsidRPr="00000000">
        <w:rPr>
          <w:b w:val="1"/>
          <w:rtl w:val="0"/>
        </w:rPr>
        <w:t xml:space="preserve">2.1. </w:t>
      </w:r>
      <w:r w:rsidDel="00000000" w:rsidR="00000000" w:rsidRPr="00000000">
        <w:rPr>
          <w:b w:val="1"/>
          <w:i w:val="1"/>
          <w:rtl w:val="0"/>
        </w:rPr>
        <w:t xml:space="preserve">Extended Self, </w:t>
      </w:r>
      <w:r w:rsidDel="00000000" w:rsidR="00000000" w:rsidRPr="00000000">
        <w:rPr>
          <w:b w:val="1"/>
          <w:rtl w:val="0"/>
        </w:rPr>
        <w:t xml:space="preserve">the blind man and the stick</w:t>
      </w:r>
    </w:p>
    <w:p w:rsidR="00000000" w:rsidDel="00000000" w:rsidP="00000000" w:rsidRDefault="00000000" w:rsidRPr="00000000" w14:paraId="0000000A">
      <w:pPr>
        <w:ind w:left="0" w:firstLine="720"/>
        <w:rPr>
          <w:b w:val="1"/>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This begins with a classic phenomenological question. Merleau-Ponty (2005, p. 176) asks the reader to think of a blind man who uses a stick to perceive the world around him. The stick is so integral to his perception of the world that “is no longer an object perceived by the blind man, but an instrument </w:t>
      </w:r>
      <w:r w:rsidDel="00000000" w:rsidR="00000000" w:rsidRPr="00000000">
        <w:rPr>
          <w:i w:val="1"/>
          <w:rtl w:val="0"/>
        </w:rPr>
        <w:t xml:space="preserve">with </w:t>
      </w:r>
      <w:r w:rsidDel="00000000" w:rsidR="00000000" w:rsidRPr="00000000">
        <w:rPr>
          <w:rtl w:val="0"/>
        </w:rPr>
        <w:t xml:space="preserve">which he perceives” (ibid.). This is an example of a framework for thinking of the </w:t>
      </w:r>
      <w:r w:rsidDel="00000000" w:rsidR="00000000" w:rsidRPr="00000000">
        <w:rPr>
          <w:i w:val="1"/>
          <w:rtl w:val="0"/>
        </w:rPr>
        <w:t xml:space="preserve">extended self</w:t>
      </w:r>
      <w:r w:rsidDel="00000000" w:rsidR="00000000" w:rsidRPr="00000000">
        <w:rPr>
          <w:rtl w:val="0"/>
        </w:rPr>
        <w:t xml:space="preserve">, whereby agency is constantly enacted in-between brains, bodies and things (Malafouris, 2008a, p. 1997). Here Malafouris questions the traditional thinking of the self being </w:t>
      </w:r>
      <w:r w:rsidDel="00000000" w:rsidR="00000000" w:rsidRPr="00000000">
        <w:rPr>
          <w:i w:val="1"/>
          <w:rtl w:val="0"/>
        </w:rPr>
        <w:t xml:space="preserve">embodied </w:t>
      </w:r>
      <w:r w:rsidDel="00000000" w:rsidR="00000000" w:rsidRPr="00000000">
        <w:rPr>
          <w:rtl w:val="0"/>
        </w:rPr>
        <w:t xml:space="preserve">by objects, and argues for a reversal whereby the self is enacted through the act of </w:t>
      </w:r>
      <w:r w:rsidDel="00000000" w:rsidR="00000000" w:rsidRPr="00000000">
        <w:rPr>
          <w:i w:val="1"/>
          <w:rtl w:val="0"/>
        </w:rPr>
        <w:t xml:space="preserve">embodying </w:t>
      </w:r>
      <w:r w:rsidDel="00000000" w:rsidR="00000000" w:rsidRPr="00000000">
        <w:rPr>
          <w:rtl w:val="0"/>
        </w:rPr>
        <w:t xml:space="preserve">(ibid.). He states that this is </w:t>
      </w:r>
      <w:r w:rsidDel="00000000" w:rsidR="00000000" w:rsidRPr="00000000">
        <w:rPr>
          <w:i w:val="1"/>
          <w:rtl w:val="0"/>
        </w:rPr>
        <w:t xml:space="preserve">tectonoetic awareness</w:t>
      </w:r>
      <w:r w:rsidDel="00000000" w:rsidR="00000000" w:rsidRPr="00000000">
        <w:rPr>
          <w:rtl w:val="0"/>
        </w:rPr>
        <w:t xml:space="preserve">, whereby “a self or a person cannot emerge aside from a process of material engagement” (ibid., p. 1998). Essentially, the blind man doesn’t simply use the stick as a helpful tool, but instead it is integral to his </w:t>
      </w:r>
      <w:r w:rsidDel="00000000" w:rsidR="00000000" w:rsidRPr="00000000">
        <w:rPr>
          <w:i w:val="1"/>
          <w:rtl w:val="0"/>
        </w:rPr>
        <w:t xml:space="preserve">self. </w:t>
      </w:r>
      <w:r w:rsidDel="00000000" w:rsidR="00000000" w:rsidRPr="00000000">
        <w:rPr>
          <w:rtl w:val="0"/>
        </w:rPr>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ind w:left="0" w:firstLine="0"/>
        <w:rPr>
          <w:b w:val="1"/>
        </w:rPr>
      </w:pPr>
      <w:r w:rsidDel="00000000" w:rsidR="00000000" w:rsidRPr="00000000">
        <w:rPr>
          <w:rtl w:val="0"/>
        </w:rPr>
        <w:tab/>
      </w:r>
      <w:r w:rsidDel="00000000" w:rsidR="00000000" w:rsidRPr="00000000">
        <w:rPr>
          <w:b w:val="1"/>
          <w:rtl w:val="0"/>
        </w:rPr>
        <w:t xml:space="preserve">2.2. Between Brains, Bodies and Things </w:t>
      </w:r>
    </w:p>
    <w:p w:rsidR="00000000" w:rsidDel="00000000" w:rsidP="00000000" w:rsidRDefault="00000000" w:rsidRPr="00000000" w14:paraId="0000000E">
      <w:pPr>
        <w:ind w:left="0" w:firstLine="0"/>
        <w:rPr>
          <w:b w:val="1"/>
        </w:rPr>
      </w:pP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t xml:space="preserve">Malafouris (2008a, p. 1997) discusses the capability of tools as extensions of agency and as being able to distinctly dissociate the distinction between near and far space, enabling the far to seem nearer and vice versa. He discusses how “objects and tools attached to the body can be seen or treated as parts of the body” (ibid., p. 1998). He writes of the capacity of people to </w:t>
      </w:r>
      <w:r w:rsidDel="00000000" w:rsidR="00000000" w:rsidRPr="00000000">
        <w:rPr>
          <w:i w:val="1"/>
          <w:rtl w:val="0"/>
        </w:rPr>
        <w:t xml:space="preserve">self-objectify </w:t>
      </w:r>
      <w:r w:rsidDel="00000000" w:rsidR="00000000" w:rsidRPr="00000000">
        <w:rPr>
          <w:rtl w:val="0"/>
        </w:rPr>
        <w:t xml:space="preserve">themselves, and how Mycenaean warriors considered the tip of their sword to be the centre of their consciousness, with their sword being so integral to their identity as warriors (ibid., p. 1999; Malafouris, 2008b, pp. 8-11). </w:t>
      </w:r>
    </w:p>
    <w:p w:rsidR="00000000" w:rsidDel="00000000" w:rsidP="00000000" w:rsidRDefault="00000000" w:rsidRPr="00000000" w14:paraId="00000010">
      <w:pPr>
        <w:ind w:left="0" w:firstLine="0"/>
        <w:rPr/>
      </w:pPr>
      <w:r w:rsidDel="00000000" w:rsidR="00000000" w:rsidRPr="00000000">
        <w:rPr>
          <w:rtl w:val="0"/>
        </w:rPr>
        <w:tab/>
        <w:t xml:space="preserve">This can be quite easily applied to my trowel; the trowel greatly extends my agency, giving me the capability to participate in excavation and I can see how after hours of trowelling it becomes almost an extension of my body. Whilst I don’t perceive the tip of my trowel as the centre of my consciousness, I can definitely empathise with Mycenaean semantics of identity being held in objects, with the trowel being quite integral to my identity as an archaeologist. </w:t>
      </w:r>
    </w:p>
    <w:p w:rsidR="00000000" w:rsidDel="00000000" w:rsidP="00000000" w:rsidRDefault="00000000" w:rsidRPr="00000000" w14:paraId="00000011">
      <w:pPr>
        <w:ind w:left="0" w:firstLine="0"/>
        <w:rPr/>
      </w:pP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rPr>
          <w:rtl w:val="0"/>
        </w:rPr>
        <w:tab/>
      </w:r>
    </w:p>
    <w:p w:rsidR="00000000" w:rsidDel="00000000" w:rsidP="00000000" w:rsidRDefault="00000000" w:rsidRPr="00000000" w14:paraId="00000013">
      <w:pPr>
        <w:ind w:left="0" w:firstLine="0"/>
        <w:rPr>
          <w:b w:val="1"/>
        </w:rPr>
      </w:pPr>
      <w:r w:rsidDel="00000000" w:rsidR="00000000" w:rsidRPr="00000000">
        <w:rPr>
          <w:rtl w:val="0"/>
        </w:rPr>
      </w:r>
    </w:p>
    <w:p w:rsidR="00000000" w:rsidDel="00000000" w:rsidP="00000000" w:rsidRDefault="00000000" w:rsidRPr="00000000" w14:paraId="00000014">
      <w:pPr>
        <w:ind w:left="0" w:firstLine="720"/>
        <w:rPr>
          <w:b w:val="1"/>
        </w:rPr>
      </w:pPr>
      <w:r w:rsidDel="00000000" w:rsidR="00000000" w:rsidRPr="00000000">
        <w:rPr>
          <w:b w:val="1"/>
          <w:rtl w:val="0"/>
        </w:rPr>
        <w:t xml:space="preserve">2.3. Steel: human-object entanglements and </w:t>
      </w:r>
      <w:r w:rsidDel="00000000" w:rsidR="00000000" w:rsidRPr="00000000">
        <w:rPr>
          <w:b w:val="1"/>
          <w:i w:val="1"/>
          <w:rtl w:val="0"/>
        </w:rPr>
        <w:t xml:space="preserve">affordances </w:t>
      </w:r>
      <w:r w:rsidDel="00000000" w:rsidR="00000000" w:rsidRPr="00000000">
        <w:rPr>
          <w:rtl w:val="0"/>
        </w:rPr>
      </w:r>
    </w:p>
    <w:p w:rsidR="00000000" w:rsidDel="00000000" w:rsidP="00000000" w:rsidRDefault="00000000" w:rsidRPr="00000000" w14:paraId="00000015">
      <w:pPr>
        <w:ind w:left="0" w:firstLine="0"/>
        <w:rPr>
          <w:b w:val="1"/>
        </w:rPr>
      </w:pPr>
      <w:r w:rsidDel="00000000" w:rsidR="00000000" w:rsidRPr="00000000">
        <w:rPr>
          <w:rtl w:val="0"/>
        </w:rPr>
      </w:r>
    </w:p>
    <w:p w:rsidR="00000000" w:rsidDel="00000000" w:rsidP="00000000" w:rsidRDefault="00000000" w:rsidRPr="00000000" w14:paraId="00000016">
      <w:pPr>
        <w:ind w:left="0" w:firstLine="0"/>
        <w:rPr/>
      </w:pPr>
      <w:r w:rsidDel="00000000" w:rsidR="00000000" w:rsidRPr="00000000">
        <w:rPr>
          <w:rtl w:val="0"/>
        </w:rPr>
        <w:t xml:space="preserve">Louise Steel (2018, pp. 201-203) discusses Red Lustrous Wheelmade (RLW) arm-vessels from Cyprus, central Anatolia and Cilicia; she discusses them as being part of human-object entanglements, becoming a part of people’s bodily and cognitive experience of the world. Steel also discusses the idea of </w:t>
      </w:r>
      <w:r w:rsidDel="00000000" w:rsidR="00000000" w:rsidRPr="00000000">
        <w:rPr>
          <w:i w:val="1"/>
          <w:rtl w:val="0"/>
        </w:rPr>
        <w:t xml:space="preserve">affordances, </w:t>
      </w:r>
      <w:r w:rsidDel="00000000" w:rsidR="00000000" w:rsidRPr="00000000">
        <w:rPr>
          <w:rtl w:val="0"/>
        </w:rPr>
        <w:t xml:space="preserve">whereby the material qualities and specific attributes are intrinsic to certain objects according to factors such as material, form and size (ibid.; Gibson, 2015, pp. 119-135). For example, the </w:t>
      </w:r>
      <w:r w:rsidDel="00000000" w:rsidR="00000000" w:rsidRPr="00000000">
        <w:rPr>
          <w:i w:val="1"/>
          <w:rtl w:val="0"/>
        </w:rPr>
        <w:t xml:space="preserve">affordances </w:t>
      </w:r>
      <w:r w:rsidDel="00000000" w:rsidR="00000000" w:rsidRPr="00000000">
        <w:rPr>
          <w:rtl w:val="0"/>
        </w:rPr>
        <w:t xml:space="preserve">of the trowel, particularly its form and its materials, allow me to successfully participate in excavation without any worry of it easily breaking. The trowel also shapes my bodily and cognitive experience of the world, allowing me to socially and hopefully professionally become an archaeologist and shape how I am perceived and how I perceive.</w:t>
      </w:r>
    </w:p>
    <w:p w:rsidR="00000000" w:rsidDel="00000000" w:rsidP="00000000" w:rsidRDefault="00000000" w:rsidRPr="00000000" w14:paraId="00000017">
      <w:pPr>
        <w:ind w:left="0" w:firstLine="0"/>
        <w:rPr/>
      </w:pPr>
      <w:r w:rsidDel="00000000" w:rsidR="00000000" w:rsidRPr="00000000">
        <w:rPr>
          <w:rtl w:val="0"/>
        </w:rPr>
      </w:r>
    </w:p>
    <w:p w:rsidR="00000000" w:rsidDel="00000000" w:rsidP="00000000" w:rsidRDefault="00000000" w:rsidRPr="00000000" w14:paraId="00000018">
      <w:pPr>
        <w:ind w:left="0" w:firstLine="0"/>
        <w:rPr>
          <w:b w:val="1"/>
        </w:rPr>
      </w:pPr>
      <w:r w:rsidDel="00000000" w:rsidR="00000000" w:rsidRPr="00000000">
        <w:rPr>
          <w:rtl w:val="0"/>
        </w:rPr>
        <w:tab/>
      </w:r>
      <w:r w:rsidDel="00000000" w:rsidR="00000000" w:rsidRPr="00000000">
        <w:rPr>
          <w:b w:val="1"/>
          <w:rtl w:val="0"/>
        </w:rPr>
        <w:t xml:space="preserve">2.4. Material Engagement Theory</w:t>
      </w: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r>
    </w:p>
    <w:p w:rsidR="00000000" w:rsidDel="00000000" w:rsidP="00000000" w:rsidRDefault="00000000" w:rsidRPr="00000000" w14:paraId="0000001A">
      <w:pPr>
        <w:ind w:left="0" w:firstLine="0"/>
        <w:rPr/>
      </w:pPr>
      <w:r w:rsidDel="00000000" w:rsidR="00000000" w:rsidRPr="00000000">
        <w:rPr>
          <w:rtl w:val="0"/>
        </w:rPr>
        <w:t xml:space="preserve">This thinking culminated in the formalisation of </w:t>
      </w:r>
      <w:r w:rsidDel="00000000" w:rsidR="00000000" w:rsidRPr="00000000">
        <w:rPr>
          <w:i w:val="1"/>
          <w:rtl w:val="0"/>
        </w:rPr>
        <w:t xml:space="preserve">Material Engagement Theory</w:t>
      </w:r>
      <w:r w:rsidDel="00000000" w:rsidR="00000000" w:rsidRPr="00000000">
        <w:rPr>
          <w:rtl w:val="0"/>
        </w:rPr>
        <w:t xml:space="preserve"> by Lambros Malafouris (2004, p. 58), culminating in the book </w:t>
      </w:r>
      <w:r w:rsidDel="00000000" w:rsidR="00000000" w:rsidRPr="00000000">
        <w:rPr>
          <w:i w:val="1"/>
          <w:rtl w:val="0"/>
        </w:rPr>
        <w:t xml:space="preserve">How Things Shape the Mind: A Theory of Material Engagement </w:t>
      </w:r>
      <w:r w:rsidDel="00000000" w:rsidR="00000000" w:rsidRPr="00000000">
        <w:rPr>
          <w:rtl w:val="0"/>
        </w:rPr>
        <w:t xml:space="preserve">(Malafouris, 2013). He states that “material culture is consubstantial (of the same substance) with mind”, and that the material world is not external stimuli that “sets an [...] internal cognitive mechanism into motion” (ibid.) but is a “continuous part of the machinery itself” (Malafouris, 2004, p. 58). He explicitly discusses this in relation to an archaeologist, stating that the trowel is a “boundary artefact” that actively participates in an archaeologist’s cognition (ibid., p. 59).</w:t>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ind w:left="0" w:firstLine="720"/>
        <w:rPr>
          <w:b w:val="1"/>
        </w:rPr>
      </w:pPr>
      <w:r w:rsidDel="00000000" w:rsidR="00000000" w:rsidRPr="00000000">
        <w:rPr>
          <w:b w:val="1"/>
          <w:rtl w:val="0"/>
        </w:rPr>
        <w:t xml:space="preserve">3.1. Sensory archaeology </w:t>
      </w:r>
    </w:p>
    <w:p w:rsidR="00000000" w:rsidDel="00000000" w:rsidP="00000000" w:rsidRDefault="00000000" w:rsidRPr="00000000" w14:paraId="0000001D">
      <w:pPr>
        <w:ind w:left="0" w:firstLine="720"/>
        <w:rPr/>
      </w:pPr>
      <w:r w:rsidDel="00000000" w:rsidR="00000000" w:rsidRPr="00000000">
        <w:rPr>
          <w:rtl w:val="0"/>
        </w:rPr>
      </w:r>
    </w:p>
    <w:p w:rsidR="00000000" w:rsidDel="00000000" w:rsidP="00000000" w:rsidRDefault="00000000" w:rsidRPr="00000000" w14:paraId="0000001E">
      <w:pPr>
        <w:ind w:left="0" w:firstLine="0"/>
        <w:rPr/>
      </w:pPr>
      <w:r w:rsidDel="00000000" w:rsidR="00000000" w:rsidRPr="00000000">
        <w:rPr>
          <w:rtl w:val="0"/>
        </w:rPr>
        <w:t xml:space="preserve">Sensory archaeology is an emergent field of study that aims to apply concepts and theories of sensoriality as tools of analysis towards archaeological research (Skeates and Day, 2020). Notably, authors question assumptions of sensorial perceptions of past societies, aims to apply sensoriality and ethnography towards the act of research and has wide implications in heritage, specifically how museums choose to represent objects and challenge historical tendencies to “deny all but the sense of sight” (ibid., p. 14). </w:t>
      </w:r>
    </w:p>
    <w:p w:rsidR="00000000" w:rsidDel="00000000" w:rsidP="00000000" w:rsidRDefault="00000000" w:rsidRPr="00000000" w14:paraId="0000001F">
      <w:pPr>
        <w:ind w:left="0" w:firstLine="0"/>
        <w:rPr/>
      </w:pPr>
      <w:r w:rsidDel="00000000" w:rsidR="00000000" w:rsidRPr="00000000">
        <w:rPr>
          <w:rtl w:val="0"/>
        </w:rPr>
      </w:r>
    </w:p>
    <w:p w:rsidR="00000000" w:rsidDel="00000000" w:rsidP="00000000" w:rsidRDefault="00000000" w:rsidRPr="00000000" w14:paraId="00000020">
      <w:pPr>
        <w:ind w:left="0" w:firstLine="0"/>
        <w:rPr>
          <w:b w:val="1"/>
        </w:rPr>
      </w:pPr>
      <w:r w:rsidDel="00000000" w:rsidR="00000000" w:rsidRPr="00000000">
        <w:rPr>
          <w:rtl w:val="0"/>
        </w:rPr>
        <w:t xml:space="preserve"> </w:t>
        <w:tab/>
      </w:r>
      <w:r w:rsidDel="00000000" w:rsidR="00000000" w:rsidRPr="00000000">
        <w:rPr>
          <w:b w:val="1"/>
          <w:rtl w:val="0"/>
        </w:rPr>
        <w:t xml:space="preserve">3.2. Chris Tilley and the phenomenology of excavation </w:t>
      </w:r>
    </w:p>
    <w:p w:rsidR="00000000" w:rsidDel="00000000" w:rsidP="00000000" w:rsidRDefault="00000000" w:rsidRPr="00000000" w14:paraId="00000021">
      <w:pPr>
        <w:ind w:left="0" w:firstLine="0"/>
        <w:rPr/>
      </w:pPr>
      <w:r w:rsidDel="00000000" w:rsidR="00000000" w:rsidRPr="00000000">
        <w:rPr>
          <w:rtl w:val="0"/>
        </w:rPr>
      </w:r>
    </w:p>
    <w:p w:rsidR="00000000" w:rsidDel="00000000" w:rsidP="00000000" w:rsidRDefault="00000000" w:rsidRPr="00000000" w14:paraId="00000022">
      <w:pPr>
        <w:ind w:left="0" w:firstLine="0"/>
        <w:rPr/>
      </w:pPr>
      <w:r w:rsidDel="00000000" w:rsidR="00000000" w:rsidRPr="00000000">
        <w:rPr>
          <w:rtl w:val="0"/>
        </w:rPr>
        <w:t xml:space="preserve">Chris Tilley discussed</w:t>
        <w:tab/>
        <w:t xml:space="preserve">archaeological fieldwork as “theatre, performance and community”. His interest lay in the act of excavation, stating that it aims to make sense of the past from an inescapable present day context, mediated through the use of tools (ibid., pp. 78-79). He explicitly calls for an “ethnography of excavation”, an analysis and recording of the sensory experience of the excavation; including but not limited to sound, sight, odour, tactility (ibid., pp. 80-88). He believes that this is important towards a view of the archaeologist as storyteller, an interpreter of the past, and to not shy away from the subjective experience (ibid., p. 89).</w:t>
      </w:r>
    </w:p>
    <w:p w:rsidR="00000000" w:rsidDel="00000000" w:rsidP="00000000" w:rsidRDefault="00000000" w:rsidRPr="00000000" w14:paraId="00000023">
      <w:pPr>
        <w:ind w:left="0" w:firstLine="0"/>
        <w:rPr/>
      </w:pPr>
      <w:r w:rsidDel="00000000" w:rsidR="00000000" w:rsidRPr="00000000">
        <w:rPr>
          <w:rtl w:val="0"/>
        </w:rPr>
      </w:r>
    </w:p>
    <w:p w:rsidR="00000000" w:rsidDel="00000000" w:rsidP="00000000" w:rsidRDefault="00000000" w:rsidRPr="00000000" w14:paraId="00000024">
      <w:pPr>
        <w:ind w:left="0" w:firstLine="0"/>
        <w:rPr/>
      </w:pPr>
      <w:r w:rsidDel="00000000" w:rsidR="00000000" w:rsidRPr="00000000">
        <w:rPr>
          <w:rtl w:val="0"/>
        </w:rPr>
        <w:tab/>
      </w:r>
    </w:p>
    <w:p w:rsidR="00000000" w:rsidDel="00000000" w:rsidP="00000000" w:rsidRDefault="00000000" w:rsidRPr="00000000" w14:paraId="00000025">
      <w:pPr>
        <w:ind w:left="0" w:firstLine="0"/>
        <w:rPr>
          <w:b w:val="1"/>
        </w:rPr>
      </w:pPr>
      <w:r w:rsidDel="00000000" w:rsidR="00000000" w:rsidRPr="00000000">
        <w:rPr>
          <w:rtl w:val="0"/>
        </w:rPr>
      </w:r>
    </w:p>
    <w:p w:rsidR="00000000" w:rsidDel="00000000" w:rsidP="00000000" w:rsidRDefault="00000000" w:rsidRPr="00000000" w14:paraId="00000026">
      <w:pPr>
        <w:ind w:left="0" w:firstLine="0"/>
        <w:rPr>
          <w:b w:val="1"/>
        </w:rPr>
      </w:pPr>
      <w:r w:rsidDel="00000000" w:rsidR="00000000" w:rsidRPr="00000000">
        <w:rPr>
          <w:rtl w:val="0"/>
        </w:rPr>
      </w:r>
    </w:p>
    <w:p w:rsidR="00000000" w:rsidDel="00000000" w:rsidP="00000000" w:rsidRDefault="00000000" w:rsidRPr="00000000" w14:paraId="00000027">
      <w:pPr>
        <w:ind w:left="0" w:firstLine="0"/>
        <w:rPr>
          <w:b w:val="1"/>
        </w:rPr>
      </w:pPr>
      <w:r w:rsidDel="00000000" w:rsidR="00000000" w:rsidRPr="00000000">
        <w:rPr>
          <w:rtl w:val="0"/>
        </w:rPr>
      </w:r>
    </w:p>
    <w:p w:rsidR="00000000" w:rsidDel="00000000" w:rsidP="00000000" w:rsidRDefault="00000000" w:rsidRPr="00000000" w14:paraId="00000028">
      <w:pPr>
        <w:ind w:left="0" w:firstLine="720"/>
        <w:rPr>
          <w:b w:val="1"/>
        </w:rPr>
      </w:pPr>
      <w:r w:rsidDel="00000000" w:rsidR="00000000" w:rsidRPr="00000000">
        <w:rPr>
          <w:b w:val="1"/>
          <w:rtl w:val="0"/>
        </w:rPr>
        <w:t xml:space="preserve">3.3. Real world applications </w:t>
      </w:r>
    </w:p>
    <w:p w:rsidR="00000000" w:rsidDel="00000000" w:rsidP="00000000" w:rsidRDefault="00000000" w:rsidRPr="00000000" w14:paraId="00000029">
      <w:pPr>
        <w:ind w:left="0" w:firstLine="0"/>
        <w:rPr>
          <w:b w:val="1"/>
        </w:rPr>
      </w:pPr>
      <w:r w:rsidDel="00000000" w:rsidR="00000000" w:rsidRPr="00000000">
        <w:rPr>
          <w:rtl w:val="0"/>
        </w:rPr>
      </w:r>
    </w:p>
    <w:p w:rsidR="00000000" w:rsidDel="00000000" w:rsidP="00000000" w:rsidRDefault="00000000" w:rsidRPr="00000000" w14:paraId="0000002A">
      <w:pPr>
        <w:ind w:left="0" w:firstLine="0"/>
        <w:rPr/>
      </w:pPr>
      <w:r w:rsidDel="00000000" w:rsidR="00000000" w:rsidRPr="00000000">
        <w:rPr>
          <w:rtl w:val="0"/>
        </w:rPr>
        <w:t xml:space="preserve">Here I have a small selection of photographs I have personally taken from fieldwork I have conducted. Tilley (2020, p. 81) discusses discomfort as being integral to phenomenology of excavation, and all of these were notably uncomfortable: wet: hot: muddy: strenuous mattocking.</w:t>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ind w:left="0" w:firstLine="0"/>
        <w:rPr>
          <w:b w:val="1"/>
        </w:rPr>
      </w:pPr>
      <w:r w:rsidDel="00000000" w:rsidR="00000000" w:rsidRPr="00000000">
        <w:rPr>
          <w:rtl w:val="0"/>
        </w:rPr>
        <w:tab/>
      </w:r>
      <w:r w:rsidDel="00000000" w:rsidR="00000000" w:rsidRPr="00000000">
        <w:rPr>
          <w:b w:val="1"/>
          <w:rtl w:val="0"/>
        </w:rPr>
        <w:t xml:space="preserve">4. Synthesis and conclusion </w:t>
      </w:r>
    </w:p>
    <w:p w:rsidR="00000000" w:rsidDel="00000000" w:rsidP="00000000" w:rsidRDefault="00000000" w:rsidRPr="00000000" w14:paraId="0000002D">
      <w:pPr>
        <w:ind w:left="0" w:firstLine="0"/>
        <w:rPr>
          <w:b w:val="1"/>
        </w:rPr>
      </w:pPr>
      <w:r w:rsidDel="00000000" w:rsidR="00000000" w:rsidRPr="00000000">
        <w:rPr>
          <w:rtl w:val="0"/>
        </w:rPr>
      </w:r>
    </w:p>
    <w:p w:rsidR="00000000" w:rsidDel="00000000" w:rsidP="00000000" w:rsidRDefault="00000000" w:rsidRPr="00000000" w14:paraId="0000002E">
      <w:pPr>
        <w:ind w:left="0" w:firstLine="0"/>
        <w:rPr/>
      </w:pPr>
      <w:r w:rsidDel="00000000" w:rsidR="00000000" w:rsidRPr="00000000">
        <w:rPr>
          <w:rtl w:val="0"/>
        </w:rPr>
        <w:t xml:space="preserve">To conclude, the trowel can be viewed as being a symbolic, embodying tool to make me an archaeologist, interacting with the past and extending my agency. Through the theoretical frameworks of Material Engagement Theory and sensory/phenomenological archaeology, excavation can be seen as a holistically sensory practice that is mediated through the use of tools, most notably my trowel. </w:t>
      </w:r>
    </w:p>
    <w:p w:rsidR="00000000" w:rsidDel="00000000" w:rsidP="00000000" w:rsidRDefault="00000000" w:rsidRPr="00000000" w14:paraId="0000002F">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b w:val="1"/>
          <w:rtl w:val="0"/>
        </w:rPr>
        <w:t xml:space="preserve">Bibliography </w:t>
      </w:r>
      <w:r w:rsidDel="00000000" w:rsidR="00000000" w:rsidRPr="00000000">
        <w:rPr>
          <w:rtl w:val="0"/>
        </w:rPr>
      </w:r>
    </w:p>
    <w:p w:rsidR="00000000" w:rsidDel="00000000" w:rsidP="00000000" w:rsidRDefault="00000000" w:rsidRPr="00000000" w14:paraId="00000031">
      <w:pPr>
        <w:ind w:left="0" w:firstLine="0"/>
        <w:rPr/>
      </w:pPr>
      <w:r w:rsidDel="00000000" w:rsidR="00000000" w:rsidRPr="00000000">
        <w:rPr>
          <w:rtl w:val="0"/>
        </w:rPr>
      </w:r>
    </w:p>
    <w:p w:rsidR="00000000" w:rsidDel="00000000" w:rsidP="00000000" w:rsidRDefault="00000000" w:rsidRPr="00000000" w14:paraId="00000032">
      <w:pPr>
        <w:ind w:left="0" w:firstLine="0"/>
        <w:rPr/>
      </w:pPr>
      <w:r w:rsidDel="00000000" w:rsidR="00000000" w:rsidRPr="00000000">
        <w:rPr>
          <w:rtl w:val="0"/>
        </w:rPr>
        <w:t xml:space="preserve">Gibson, J.J. (2015) The Ecological Approach to Visual Perception. Hove: Psychology Press.</w:t>
      </w:r>
    </w:p>
    <w:p w:rsidR="00000000" w:rsidDel="00000000" w:rsidP="00000000" w:rsidRDefault="00000000" w:rsidRPr="00000000" w14:paraId="00000033">
      <w:pPr>
        <w:ind w:left="0" w:firstLine="0"/>
        <w:rPr/>
      </w:pPr>
      <w:r w:rsidDel="00000000" w:rsidR="00000000" w:rsidRPr="00000000">
        <w:rPr>
          <w:rtl w:val="0"/>
        </w:rPr>
      </w:r>
    </w:p>
    <w:p w:rsidR="00000000" w:rsidDel="00000000" w:rsidP="00000000" w:rsidRDefault="00000000" w:rsidRPr="00000000" w14:paraId="00000034">
      <w:pPr>
        <w:ind w:left="0" w:firstLine="0"/>
        <w:rPr/>
      </w:pPr>
      <w:r w:rsidDel="00000000" w:rsidR="00000000" w:rsidRPr="00000000">
        <w:rPr>
          <w:rtl w:val="0"/>
        </w:rPr>
        <w:t xml:space="preserve">Merleau-Ponty, M. (2005) Phenomenology of Perception. London: Routledge Classics.</w:t>
      </w:r>
    </w:p>
    <w:p w:rsidR="00000000" w:rsidDel="00000000" w:rsidP="00000000" w:rsidRDefault="00000000" w:rsidRPr="00000000" w14:paraId="00000035">
      <w:pPr>
        <w:ind w:left="0" w:firstLine="0"/>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t xml:space="preserve">Malafouris, L. (2004) ‘The cognitive basis of material engagement: where brain, body and culture conflate.’ in DeMarrais, E., Gosden, C., and Renfrew, C. (eds.) Rethinking Materiality: Engagement of Mind with Material World. Cambridge: McDonald Institute for Archaeological Research.</w:t>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ind w:left="0" w:firstLine="0"/>
        <w:rPr/>
      </w:pPr>
      <w:r w:rsidDel="00000000" w:rsidR="00000000" w:rsidRPr="00000000">
        <w:rPr>
          <w:rtl w:val="0"/>
        </w:rPr>
        <w:t xml:space="preserve">Malafouris, L. (2008a) ‘Between Brains, Bodies and Things: Tectonoetic Awareness and the Extended Self’, Philosophical Transactions: Biological Sciences, 363(1499), pp. 1993-2002.</w:t>
      </w:r>
    </w:p>
    <w:p w:rsidR="00000000" w:rsidDel="00000000" w:rsidP="00000000" w:rsidRDefault="00000000" w:rsidRPr="00000000" w14:paraId="00000039">
      <w:pPr>
        <w:ind w:left="0" w:firstLine="0"/>
        <w:rPr/>
      </w:pPr>
      <w:r w:rsidDel="00000000" w:rsidR="00000000" w:rsidRPr="00000000">
        <w:rPr>
          <w:rtl w:val="0"/>
        </w:rPr>
      </w:r>
    </w:p>
    <w:p w:rsidR="00000000" w:rsidDel="00000000" w:rsidP="00000000" w:rsidRDefault="00000000" w:rsidRPr="00000000" w14:paraId="0000003A">
      <w:pPr>
        <w:ind w:left="0" w:firstLine="0"/>
        <w:rPr/>
      </w:pPr>
      <w:r w:rsidDel="00000000" w:rsidR="00000000" w:rsidRPr="00000000">
        <w:rPr>
          <w:rtl w:val="0"/>
        </w:rPr>
        <w:t xml:space="preserve">Malafouris, L. (2008b) ‘Is it ‘me’ or is ‘mine’? The Mycenaean sword as a body-part’ in Robb, J. and Boric, D., (eds.) Past Bodies. Oxford: Oxbow Books</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0" w:firstLine="0"/>
        <w:rPr/>
      </w:pPr>
      <w:r w:rsidDel="00000000" w:rsidR="00000000" w:rsidRPr="00000000">
        <w:rPr>
          <w:rtl w:val="0"/>
        </w:rPr>
        <w:t xml:space="preserve">Malafouris, L. (2013) How Things Shape the Mind: A Theory of Material Engagement. London: The MIT Press</w:t>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t xml:space="preserve">Skeates, R. and Day, J. (2020) ‘Sensory archaeology: Key concepts and debates’ in Skeates, R. and Day, J. (eds.) The Routledge Handbook of Sensory Archaeology. London: Routledge.</w:t>
      </w:r>
    </w:p>
    <w:p w:rsidR="00000000" w:rsidDel="00000000" w:rsidP="00000000" w:rsidRDefault="00000000" w:rsidRPr="00000000" w14:paraId="0000003F">
      <w:pPr>
        <w:ind w:left="0" w:firstLine="0"/>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t xml:space="preserve">Steel, L. (2018) ‘Another look at Red Lustrous arm-vessels’ in Crewe, L., Hulin, L., and Webb, J. (eds.) Structures of Inequality on Bronze Age Cyprus. Studies in honour of Alison K. South. Uppsala: Astrom Editions</w: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Tilley, C. (2020) ‘How does it feel? Phenomenology, excavation and sensory experience’ in Skeates, R. and Day, J. (eds.) The Routledge Handbook of Sensory Archaeology. London: Routledge.</w:t>
      </w:r>
    </w:p>
    <w:p w:rsidR="00000000" w:rsidDel="00000000" w:rsidP="00000000" w:rsidRDefault="00000000" w:rsidRPr="00000000" w14:paraId="00000043">
      <w:pPr>
        <w:ind w:left="0" w:firstLine="0"/>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