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5B8AE1" w14:textId="77777777" w:rsidR="00EC0EA6" w:rsidRPr="00745DE5" w:rsidRDefault="00EC0EA6" w:rsidP="00EC0EA6">
      <w:pP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security and Compliance Assessment</w:t>
      </w:r>
    </w:p>
    <w:p w14:paraId="6AEBD6A4" w14:textId="77777777" w:rsidR="00EC0EA6" w:rsidRPr="00745DE5" w:rsidRDefault="00EC0EA6" w:rsidP="00EC0EA6">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1:</w:t>
      </w:r>
    </w:p>
    <w:p w14:paraId="749649FC" w14:textId="77777777" w:rsidR="00EC0EA6" w:rsidRPr="00745DE5" w:rsidRDefault="00EC0EA6" w:rsidP="00EC0EA6">
      <w:pPr>
        <w:pStyle w:val="NoSpacing"/>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Governance of AI and Machine Learning Systems:</w:t>
      </w:r>
    </w:p>
    <w:p w14:paraId="44A144DA" w14:textId="77777777" w:rsidR="00EC0EA6" w:rsidRPr="00745DE5" w:rsidRDefault="00EC0EA6" w:rsidP="00EC0EA6">
      <w:pPr>
        <w:pStyle w:val="NoSpacing"/>
        <w:spacing w:before="12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45DE5">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Risk, Ethics and Compliance for AI Data and models</w:t>
      </w:r>
    </w:p>
    <w:p w14:paraId="79DB4638" w14:textId="77777777" w:rsidR="00EC0EA6" w:rsidRPr="00745DE5" w:rsidRDefault="00EC0EA6" w:rsidP="00EC0EA6">
      <w:pPr>
        <w:pStyle w:val="NoSpacing"/>
        <w:spacing w:before="120"/>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21C92D" w14:textId="77777777" w:rsidR="00EC0EA6" w:rsidRPr="000A1908" w:rsidRDefault="00EC0EA6" w:rsidP="00EC0EA6">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ACCA5034</w:t>
      </w:r>
    </w:p>
    <w:p w14:paraId="672FC6D8" w14:textId="77777777" w:rsidR="00EC0EA6" w:rsidRPr="000A1908" w:rsidRDefault="00EC0EA6" w:rsidP="00EC0EA6">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26 JULY 2026</w:t>
      </w:r>
    </w:p>
    <w:p w14:paraId="2EEC4448" w14:textId="77777777" w:rsidR="00EC0EA6" w:rsidRPr="000A1908" w:rsidRDefault="00EC0EA6" w:rsidP="00EC0EA6">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Waheeb Salem, ID 2407868</w:t>
      </w:r>
    </w:p>
    <w:p w14:paraId="390442A4" w14:textId="77777777" w:rsidR="00EC0EA6" w:rsidRPr="000A1908" w:rsidRDefault="00EC0EA6" w:rsidP="00EC0EA6">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DR Mohamed ben Farah</w:t>
      </w:r>
    </w:p>
    <w:p w14:paraId="737D682A" w14:textId="77777777" w:rsidR="00EC0EA6" w:rsidRPr="000A1908" w:rsidRDefault="00EC0EA6" w:rsidP="00EC0EA6">
      <w:pPr>
        <w:pStyle w:val="NoSpacing"/>
        <w:spacing w:before="120"/>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A1908">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BIRMINGHAM</w:t>
      </w:r>
    </w:p>
    <w:p w14:paraId="2D120440" w14:textId="77777777" w:rsidR="00EC0EA6" w:rsidRDefault="00EC0EA6" w:rsidP="00EC0EA6"/>
    <w:p w14:paraId="2739E1CB" w14:textId="77777777" w:rsidR="00EC0EA6" w:rsidRDefault="00EC0EA6" w:rsidP="00EC0EA6"/>
    <w:p w14:paraId="7297FAB7" w14:textId="77777777" w:rsidR="00EC0EA6" w:rsidRDefault="00EC0EA6" w:rsidP="00EC0EA6"/>
    <w:p w14:paraId="4B7A33BE" w14:textId="77777777" w:rsidR="00EC0EA6" w:rsidRDefault="00EC0EA6" w:rsidP="00EC0EA6"/>
    <w:p w14:paraId="2A1FE434" w14:textId="77777777" w:rsidR="00EC0EA6" w:rsidRDefault="00EC0EA6" w:rsidP="00EC0EA6"/>
    <w:p w14:paraId="2482731D" w14:textId="77777777" w:rsidR="00EC0EA6" w:rsidRDefault="00EC0EA6" w:rsidP="00EC0EA6"/>
    <w:p w14:paraId="3B86D94E" w14:textId="77777777" w:rsidR="00EC0EA6" w:rsidRDefault="00EC0EA6" w:rsidP="00EC0EA6"/>
    <w:p w14:paraId="3F4B60E6" w14:textId="77777777" w:rsidR="00EC0EA6" w:rsidRDefault="00EC0EA6" w:rsidP="00EC0EA6"/>
    <w:p w14:paraId="49D1300B" w14:textId="77777777" w:rsidR="00EC0EA6" w:rsidRDefault="00EC0EA6" w:rsidP="00EC0EA6"/>
    <w:p w14:paraId="792D03B0" w14:textId="77777777" w:rsidR="00EC0EA6" w:rsidRDefault="00EC0EA6" w:rsidP="00EC0EA6"/>
    <w:p w14:paraId="4EF37424" w14:textId="77777777" w:rsidR="00EC0EA6" w:rsidRDefault="00EC0EA6" w:rsidP="00EC0EA6"/>
    <w:p w14:paraId="6CBB76FF" w14:textId="77777777" w:rsidR="00EC0EA6" w:rsidRDefault="00EC0EA6" w:rsidP="00EC0EA6"/>
    <w:p w14:paraId="6ED10062" w14:textId="77777777" w:rsidR="00EC0EA6" w:rsidRDefault="00EC0EA6" w:rsidP="00EC0EA6"/>
    <w:p w14:paraId="6308913B" w14:textId="77777777" w:rsidR="00EC0EA6" w:rsidRDefault="00EC0EA6" w:rsidP="00EC0EA6"/>
    <w:p w14:paraId="5AB87859" w14:textId="77777777" w:rsidR="00EC0EA6" w:rsidRDefault="00EC0EA6" w:rsidP="00EC0EA6"/>
    <w:p w14:paraId="71EDC818" w14:textId="77777777" w:rsidR="00EC0EA6" w:rsidRDefault="00EC0EA6" w:rsidP="00EC0EA6"/>
    <w:p w14:paraId="4A2231C9" w14:textId="77777777" w:rsidR="00EC0EA6" w:rsidRDefault="00EC0EA6" w:rsidP="00EC0EA6"/>
    <w:p w14:paraId="1CDCC99C" w14:textId="77777777" w:rsidR="00EC0EA6" w:rsidRDefault="00EC0EA6" w:rsidP="00EC0EA6"/>
    <w:p w14:paraId="5D2F1420" w14:textId="77777777" w:rsidR="00EC0EA6" w:rsidRDefault="00EC0EA6" w:rsidP="00EC0EA6">
      <w:pPr>
        <w:pStyle w:val="TOCHeading"/>
      </w:pPr>
    </w:p>
    <w:p w14:paraId="72240123" w14:textId="77777777" w:rsidR="00EC0EA6" w:rsidRDefault="00EC0EA6" w:rsidP="00EC0EA6"/>
    <w:p w14:paraId="6A4CA308" w14:textId="77777777" w:rsidR="00EC0EA6" w:rsidRDefault="00EC0EA6" w:rsidP="00EC0EA6">
      <w:pPr>
        <w:pStyle w:val="Heading2"/>
      </w:pPr>
      <w:bookmarkStart w:id="0" w:name="_Toc234619661"/>
      <w:r>
        <w:lastRenderedPageBreak/>
        <w:t>Abstract</w:t>
      </w:r>
      <w:bookmarkEnd w:id="0"/>
    </w:p>
    <w:p w14:paraId="19176BE9" w14:textId="77777777" w:rsidR="00EC0EA6" w:rsidRDefault="00EC0EA6" w:rsidP="00EC0EA6"/>
    <w:p w14:paraId="329382BE" w14:textId="77777777" w:rsidR="00EC0EA6" w:rsidRDefault="00EC0EA6" w:rsidP="00EC0EA6">
      <w:pPr>
        <w:spacing w:line="360" w:lineRule="auto"/>
      </w:pPr>
      <w:r>
        <w:t>Artificial intelligence (AI) and machine learning (ML) systems are increasingly embedded in business operations, government decision-making, and public service delivery. As these technologies become more powerful and pervasive, the need for robust governance frameworks has become pressing. This paper examines the key challenges in governing AI and ML systems, focusing on three related areas: risk management, ethical principles, and regulatory compliance.</w:t>
      </w:r>
    </w:p>
    <w:p w14:paraId="600B763C" w14:textId="77777777" w:rsidR="00EC0EA6" w:rsidRDefault="00EC0EA6" w:rsidP="00EC0EA6">
      <w:pPr>
        <w:spacing w:line="360" w:lineRule="auto"/>
      </w:pPr>
      <w:r>
        <w:t>The paper reviews current governance approaches across major regions, including the EU AI Act, sector-specific strategies in the United States, and targeted regulations in China. It also identifies persistent gaps relating to transparency, accountability, and bias mitigation. Based on this analysis, the paper offers practical recommendations for organizations and policymakers. Effective AI governance extends beyond legal compliance. It serves as a critical foundation for public trust and the fair, sustainable distribution of AI’s benefits.</w:t>
      </w:r>
    </w:p>
    <w:p w14:paraId="32C3B304" w14:textId="77777777" w:rsidR="00EC0EA6" w:rsidRDefault="00EC0EA6" w:rsidP="00EC0EA6">
      <w:pPr>
        <w:spacing w:line="360" w:lineRule="auto"/>
      </w:pPr>
    </w:p>
    <w:p w14:paraId="18B7646A" w14:textId="77777777" w:rsidR="00EC0EA6" w:rsidRDefault="00EC0EA6" w:rsidP="00EC0EA6">
      <w:pPr>
        <w:spacing w:line="276" w:lineRule="auto"/>
      </w:pPr>
    </w:p>
    <w:p w14:paraId="4E9406AE" w14:textId="77777777" w:rsidR="00EC0EA6" w:rsidRDefault="00EC0EA6" w:rsidP="00EC0EA6">
      <w:pPr>
        <w:spacing w:line="276" w:lineRule="auto"/>
      </w:pPr>
    </w:p>
    <w:p w14:paraId="1FD128B0" w14:textId="77777777" w:rsidR="00EC0EA6" w:rsidRDefault="00EC0EA6" w:rsidP="00EC0EA6">
      <w:pPr>
        <w:spacing w:line="276" w:lineRule="auto"/>
      </w:pPr>
    </w:p>
    <w:p w14:paraId="3612BBDC" w14:textId="77777777" w:rsidR="00EC0EA6" w:rsidRDefault="00EC0EA6" w:rsidP="00EC0EA6">
      <w:pPr>
        <w:spacing w:line="276" w:lineRule="auto"/>
      </w:pPr>
    </w:p>
    <w:p w14:paraId="07BDAB2F" w14:textId="77777777" w:rsidR="00EC0EA6" w:rsidRDefault="00EC0EA6" w:rsidP="00EC0EA6">
      <w:pPr>
        <w:spacing w:line="276" w:lineRule="auto"/>
      </w:pPr>
    </w:p>
    <w:p w14:paraId="125CEFC3" w14:textId="77777777" w:rsidR="00EC0EA6" w:rsidRDefault="00EC0EA6" w:rsidP="00EC0EA6">
      <w:pPr>
        <w:spacing w:line="276" w:lineRule="auto"/>
      </w:pPr>
    </w:p>
    <w:p w14:paraId="1266BC79" w14:textId="77777777" w:rsidR="00EC0EA6" w:rsidRDefault="00EC0EA6" w:rsidP="00EC0EA6">
      <w:pPr>
        <w:spacing w:line="276" w:lineRule="auto"/>
      </w:pPr>
    </w:p>
    <w:p w14:paraId="0A591D04" w14:textId="77777777" w:rsidR="00EC0EA6" w:rsidRDefault="00EC0EA6" w:rsidP="00EC0EA6">
      <w:pPr>
        <w:spacing w:line="276" w:lineRule="auto"/>
      </w:pPr>
    </w:p>
    <w:p w14:paraId="17BAD8A1" w14:textId="77777777" w:rsidR="00EC0EA6" w:rsidRDefault="00EC0EA6" w:rsidP="00EC0EA6">
      <w:pPr>
        <w:spacing w:line="276" w:lineRule="auto"/>
      </w:pPr>
    </w:p>
    <w:p w14:paraId="76155879" w14:textId="77777777" w:rsidR="00EC0EA6" w:rsidRDefault="00EC0EA6" w:rsidP="00EC0EA6">
      <w:pPr>
        <w:spacing w:line="276" w:lineRule="auto"/>
      </w:pPr>
    </w:p>
    <w:p w14:paraId="2BF01ECE" w14:textId="77777777" w:rsidR="00EC0EA6" w:rsidRDefault="00EC0EA6" w:rsidP="00EC0EA6">
      <w:pPr>
        <w:spacing w:line="276" w:lineRule="auto"/>
      </w:pPr>
    </w:p>
    <w:p w14:paraId="35DAA0A0" w14:textId="77777777" w:rsidR="00EC0EA6" w:rsidRDefault="00EC0EA6" w:rsidP="00EC0EA6">
      <w:pPr>
        <w:spacing w:line="276" w:lineRule="auto"/>
      </w:pPr>
    </w:p>
    <w:p w14:paraId="1F50E129" w14:textId="77777777" w:rsidR="00EC0EA6" w:rsidRDefault="00EC0EA6" w:rsidP="00EC0EA6">
      <w:pPr>
        <w:spacing w:line="276" w:lineRule="auto"/>
      </w:pPr>
    </w:p>
    <w:p w14:paraId="7CDA9CDC" w14:textId="77777777" w:rsidR="00EC0EA6" w:rsidRDefault="00EC0EA6" w:rsidP="00EC0EA6">
      <w:pPr>
        <w:pStyle w:val="Heading1"/>
        <w:rPr>
          <w:rFonts w:ascii="Aptos" w:eastAsiaTheme="minorHAnsi" w:hAnsi="Aptos" w:cs="Arial"/>
          <w:color w:val="auto"/>
          <w:sz w:val="24"/>
          <w:szCs w:val="24"/>
        </w:rPr>
      </w:pPr>
      <w:bookmarkStart w:id="1" w:name="_Toc234619662"/>
      <w:r w:rsidRPr="00C66006">
        <w:rPr>
          <w:sz w:val="32"/>
          <w:szCs w:val="32"/>
        </w:rPr>
        <w:lastRenderedPageBreak/>
        <w:t>Introduction</w:t>
      </w:r>
      <w:bookmarkEnd w:id="1"/>
    </w:p>
    <w:p w14:paraId="69C0A240" w14:textId="77777777" w:rsidR="00EC0EA6" w:rsidRDefault="00EC0EA6" w:rsidP="00EC0EA6"/>
    <w:p w14:paraId="1E1D54AF" w14:textId="77777777" w:rsidR="00EC0EA6" w:rsidRDefault="00EC0EA6" w:rsidP="00EC0EA6">
      <w:pPr>
        <w:spacing w:line="360" w:lineRule="auto"/>
      </w:pPr>
      <w:r w:rsidRPr="005B6EA6">
        <w:t xml:space="preserve">Over the </w:t>
      </w:r>
      <w:r>
        <w:t>past ten years, AI and machine learning have moved beyond research settings and into daily life</w:t>
      </w:r>
      <w:r w:rsidRPr="005B6EA6">
        <w:t>. They now run recommendation algorithms on streaming services, help doctors spot diseases, assist banks in catching fraud, and are playing a growing role in decisions about hiring, loans, and criminal justice</w:t>
      </w:r>
      <w:r>
        <w:t>. The technological evolution has proceeded so swiftly and comprehensively that the institutional and legal structures required to govern it, have failed to keep pace.</w:t>
      </w:r>
    </w:p>
    <w:p w14:paraId="66467279" w14:textId="77777777" w:rsidR="00EC0EA6" w:rsidRPr="00A77D94" w:rsidRDefault="00EC0EA6" w:rsidP="00EC0EA6">
      <w:pPr>
        <w:spacing w:line="360" w:lineRule="auto"/>
      </w:pPr>
      <w:r w:rsidRPr="000460C2">
        <w:t xml:space="preserve">AI governance refers to the body of rules, guidelines, and practices that determine how artificial intelligence systems are built, deployed, supervised and held </w:t>
      </w:r>
      <w:r>
        <w:t>accountable</w:t>
      </w:r>
      <w:r w:rsidRPr="000460C2">
        <w:t>.</w:t>
      </w:r>
      <w:r>
        <w:t xml:space="preserve"> Without effective governance, AI systems can cause serious harm. They can discriminate against certain groups, violate people's privacy, produce unreliable results, or be used in deceptive ways. </w:t>
      </w:r>
      <w:r w:rsidRPr="00A77D94">
        <w:t>The urgency of these risks has been underscored by several high-profile incidents, including discriminatory recruitment algorithms, facial recognition software</w:t>
      </w:r>
      <w:r>
        <w:t xml:space="preserve"> with racial biases</w:t>
      </w:r>
      <w:r w:rsidRPr="00A77D94">
        <w:t xml:space="preserve"> and the spread of AI-driven misinformation [1], [2].</w:t>
      </w:r>
    </w:p>
    <w:p w14:paraId="37A26EF0" w14:textId="77777777" w:rsidR="00EC0EA6" w:rsidRDefault="00EC0EA6" w:rsidP="00EC0EA6">
      <w:pPr>
        <w:spacing w:line="360" w:lineRule="auto"/>
      </w:pPr>
      <w:r w:rsidRPr="009D31DC">
        <w:t>This paper provides a comprehensive overview of AI governance, structured around three pillars: risk management, ethics, and compliance. It draws on current research, international frameworks, and real-world examples to explain why governance matters and what effective governance looks like in practice.</w:t>
      </w:r>
    </w:p>
    <w:p w14:paraId="6D86C500" w14:textId="77777777" w:rsidR="00EC0EA6" w:rsidRDefault="00EC0EA6" w:rsidP="00EC0EA6">
      <w:pPr>
        <w:spacing w:line="360" w:lineRule="auto"/>
      </w:pPr>
    </w:p>
    <w:p w14:paraId="66408CB4" w14:textId="77777777" w:rsidR="00EC0EA6" w:rsidRDefault="00EC0EA6" w:rsidP="00EC0EA6"/>
    <w:p w14:paraId="5562D165" w14:textId="77777777" w:rsidR="00EC0EA6" w:rsidRDefault="00EC0EA6" w:rsidP="00EC0EA6"/>
    <w:p w14:paraId="4B080122" w14:textId="77777777" w:rsidR="00EC0EA6" w:rsidRDefault="00EC0EA6" w:rsidP="00EC0EA6"/>
    <w:p w14:paraId="0D204F58" w14:textId="77777777" w:rsidR="00EC0EA6" w:rsidRDefault="00EC0EA6" w:rsidP="00EC0EA6"/>
    <w:p w14:paraId="2B909C37" w14:textId="77777777" w:rsidR="00EC0EA6" w:rsidRDefault="00EC0EA6" w:rsidP="00EC0EA6"/>
    <w:p w14:paraId="65C5BB20" w14:textId="77777777" w:rsidR="00EC0EA6" w:rsidRDefault="00EC0EA6" w:rsidP="00EC0EA6"/>
    <w:p w14:paraId="6DA8AFF6" w14:textId="77777777" w:rsidR="00EC0EA6" w:rsidRDefault="00EC0EA6" w:rsidP="00EC0EA6"/>
    <w:p w14:paraId="7B735B70" w14:textId="77777777" w:rsidR="00EC0EA6" w:rsidRDefault="00EC0EA6" w:rsidP="00EC0EA6"/>
    <w:p w14:paraId="1387C742" w14:textId="77777777" w:rsidR="00EC0EA6" w:rsidRDefault="00EC0EA6" w:rsidP="00EC0EA6"/>
    <w:p w14:paraId="5AF3F449" w14:textId="77777777" w:rsidR="00EC0EA6" w:rsidRDefault="00EC0EA6" w:rsidP="00EC0EA6"/>
    <w:p w14:paraId="5BEF6F08" w14:textId="77777777" w:rsidR="00EC0EA6" w:rsidRPr="00C66006" w:rsidRDefault="00EC0EA6" w:rsidP="00EC0EA6">
      <w:pPr>
        <w:pStyle w:val="Heading1"/>
        <w:rPr>
          <w:sz w:val="32"/>
          <w:szCs w:val="32"/>
        </w:rPr>
      </w:pPr>
      <w:bookmarkStart w:id="2" w:name="_Toc234619663"/>
      <w:r>
        <w:rPr>
          <w:sz w:val="32"/>
          <w:szCs w:val="32"/>
        </w:rPr>
        <w:lastRenderedPageBreak/>
        <w:t>1</w:t>
      </w:r>
      <w:r w:rsidRPr="00C66006">
        <w:rPr>
          <w:sz w:val="32"/>
          <w:szCs w:val="32"/>
        </w:rPr>
        <w:t>. Understanding AI Governance</w:t>
      </w:r>
      <w:bookmarkEnd w:id="2"/>
    </w:p>
    <w:p w14:paraId="0B836FEF" w14:textId="77777777" w:rsidR="00EC0EA6" w:rsidRDefault="00EC0EA6" w:rsidP="00EC0EA6">
      <w:pPr>
        <w:pStyle w:val="Heading2"/>
        <w:rPr>
          <w:sz w:val="24"/>
          <w:szCs w:val="24"/>
        </w:rPr>
      </w:pPr>
      <w:bookmarkStart w:id="3" w:name="_Toc234619664"/>
      <w:r>
        <w:rPr>
          <w:sz w:val="24"/>
          <w:szCs w:val="24"/>
        </w:rPr>
        <w:t>1</w:t>
      </w:r>
      <w:r w:rsidRPr="00C66006">
        <w:rPr>
          <w:sz w:val="24"/>
          <w:szCs w:val="24"/>
        </w:rPr>
        <w:t xml:space="preserve">.1 What </w:t>
      </w:r>
      <w:r>
        <w:rPr>
          <w:sz w:val="24"/>
          <w:szCs w:val="24"/>
        </w:rPr>
        <w:t>i</w:t>
      </w:r>
      <w:r w:rsidRPr="00C66006">
        <w:rPr>
          <w:sz w:val="24"/>
          <w:szCs w:val="24"/>
        </w:rPr>
        <w:t>s AI Governance?</w:t>
      </w:r>
      <w:bookmarkEnd w:id="3"/>
    </w:p>
    <w:p w14:paraId="4C69D820" w14:textId="77777777" w:rsidR="00EC0EA6" w:rsidRPr="009E43B9" w:rsidRDefault="00EC0EA6" w:rsidP="00EC0EA6"/>
    <w:p w14:paraId="1395153A" w14:textId="77777777" w:rsidR="00EC0EA6" w:rsidRDefault="00EC0EA6" w:rsidP="00EC0EA6">
      <w:pPr>
        <w:spacing w:line="360" w:lineRule="auto"/>
      </w:pPr>
      <w:r w:rsidRPr="009E43B9">
        <w:t xml:space="preserve">This includes technical standards for reliability, internal usage policies, legal frameworks established by governments, and ethics grounded in human values. Effective governance ensures that AI systems are transparent, </w:t>
      </w:r>
      <w:r>
        <w:t>balanced</w:t>
      </w:r>
      <w:r w:rsidRPr="009E43B9">
        <w:t>, accountable and safe [3].</w:t>
      </w:r>
    </w:p>
    <w:p w14:paraId="595BFE20" w14:textId="77777777" w:rsidR="00EC0EA6" w:rsidRDefault="00EC0EA6" w:rsidP="00EC0EA6">
      <w:pPr>
        <w:spacing w:before="100" w:after="100" w:line="360" w:lineRule="auto"/>
      </w:pPr>
      <w:r w:rsidRPr="00A66439">
        <w:t>Governance is different from simply having rules. It is an ongoing process that involves identifying potential harms before they occur, monitoring systems after they are deployed, responding when things go wrong, and continuously improving practices based on new knowledge. It involves many different actors, including AI developers, companies that use AI, regulators, civil society groups, and the public.</w:t>
      </w:r>
    </w:p>
    <w:p w14:paraId="39310A56" w14:textId="77777777" w:rsidR="00EC0EA6" w:rsidRDefault="00EC0EA6" w:rsidP="00EC0EA6">
      <w:pPr>
        <w:spacing w:before="100" w:after="100" w:line="360" w:lineRule="auto"/>
      </w:pPr>
    </w:p>
    <w:p w14:paraId="2966509F" w14:textId="77777777" w:rsidR="00EC0EA6" w:rsidRDefault="00EC0EA6" w:rsidP="00EC0EA6">
      <w:pPr>
        <w:spacing w:before="80" w:after="80" w:line="360" w:lineRule="auto"/>
        <w:jc w:val="center"/>
      </w:pPr>
      <w:r>
        <w:rPr>
          <w:b/>
          <w:bCs/>
        </w:rPr>
        <w:t xml:space="preserve">Table 1 </w:t>
      </w:r>
      <w:r>
        <w:t>The three core pillars of AI governance and their main components</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20"/>
        <w:gridCol w:w="3299"/>
        <w:gridCol w:w="4241"/>
      </w:tblGrid>
      <w:tr w:rsidR="00EC0EA6" w14:paraId="030703A1" w14:textId="77777777" w:rsidTr="00EB1C64">
        <w:tc>
          <w:tcPr>
            <w:tcW w:w="0" w:type="auto"/>
            <w:shd w:val="clear" w:color="auto" w:fill="80340D" w:themeFill="accent2" w:themeFillShade="80"/>
            <w:tcMar>
              <w:top w:w="80" w:type="dxa"/>
              <w:left w:w="140" w:type="dxa"/>
              <w:bottom w:w="80" w:type="dxa"/>
              <w:right w:w="140" w:type="dxa"/>
            </w:tcMar>
          </w:tcPr>
          <w:p w14:paraId="552FB342" w14:textId="77777777" w:rsidR="00EC0EA6" w:rsidRDefault="00EC0EA6" w:rsidP="00EB1C64">
            <w:pPr>
              <w:jc w:val="center"/>
            </w:pPr>
            <w:r>
              <w:rPr>
                <w:b/>
                <w:bCs/>
                <w:color w:val="FFFFFF"/>
                <w:sz w:val="20"/>
                <w:szCs w:val="20"/>
              </w:rPr>
              <w:t>Governance Pillar</w:t>
            </w:r>
          </w:p>
        </w:tc>
        <w:tc>
          <w:tcPr>
            <w:tcW w:w="0" w:type="auto"/>
            <w:shd w:val="clear" w:color="auto" w:fill="80340D" w:themeFill="accent2" w:themeFillShade="80"/>
            <w:tcMar>
              <w:top w:w="80" w:type="dxa"/>
              <w:left w:w="140" w:type="dxa"/>
              <w:bottom w:w="80" w:type="dxa"/>
              <w:right w:w="140" w:type="dxa"/>
            </w:tcMar>
          </w:tcPr>
          <w:p w14:paraId="21FCE077" w14:textId="77777777" w:rsidR="00EC0EA6" w:rsidRDefault="00EC0EA6" w:rsidP="00EB1C64">
            <w:pPr>
              <w:jc w:val="center"/>
            </w:pPr>
            <w:r>
              <w:rPr>
                <w:b/>
                <w:bCs/>
                <w:color w:val="FFFFFF"/>
                <w:sz w:val="20"/>
                <w:szCs w:val="20"/>
              </w:rPr>
              <w:t>Core Focus</w:t>
            </w:r>
          </w:p>
        </w:tc>
        <w:tc>
          <w:tcPr>
            <w:tcW w:w="0" w:type="auto"/>
            <w:shd w:val="clear" w:color="auto" w:fill="80340D" w:themeFill="accent2" w:themeFillShade="80"/>
            <w:tcMar>
              <w:top w:w="80" w:type="dxa"/>
              <w:left w:w="140" w:type="dxa"/>
              <w:bottom w:w="80" w:type="dxa"/>
              <w:right w:w="140" w:type="dxa"/>
            </w:tcMar>
          </w:tcPr>
          <w:p w14:paraId="7D3C07DF" w14:textId="77777777" w:rsidR="00EC0EA6" w:rsidRDefault="00EC0EA6" w:rsidP="00EB1C64">
            <w:pPr>
              <w:jc w:val="center"/>
            </w:pPr>
            <w:r>
              <w:rPr>
                <w:b/>
                <w:bCs/>
                <w:color w:val="FFFFFF"/>
                <w:sz w:val="20"/>
                <w:szCs w:val="20"/>
              </w:rPr>
              <w:t>Main Activities</w:t>
            </w:r>
          </w:p>
        </w:tc>
      </w:tr>
      <w:tr w:rsidR="00EC0EA6" w14:paraId="1CF5225B" w14:textId="77777777" w:rsidTr="00EB1C64">
        <w:tc>
          <w:tcPr>
            <w:tcW w:w="0" w:type="auto"/>
            <w:shd w:val="clear" w:color="auto" w:fill="F1A983" w:themeFill="accent2" w:themeFillTint="99"/>
            <w:tcMar>
              <w:top w:w="80" w:type="dxa"/>
              <w:left w:w="140" w:type="dxa"/>
              <w:bottom w:w="80" w:type="dxa"/>
              <w:right w:w="140" w:type="dxa"/>
            </w:tcMar>
          </w:tcPr>
          <w:p w14:paraId="3F22F6A7" w14:textId="77777777" w:rsidR="00EC0EA6" w:rsidRDefault="00EC0EA6" w:rsidP="00EB1C64">
            <w:r>
              <w:rPr>
                <w:sz w:val="20"/>
                <w:szCs w:val="20"/>
              </w:rPr>
              <w:t>Risk Management</w:t>
            </w:r>
          </w:p>
        </w:tc>
        <w:tc>
          <w:tcPr>
            <w:tcW w:w="0" w:type="auto"/>
            <w:shd w:val="clear" w:color="auto" w:fill="F1A983" w:themeFill="accent2" w:themeFillTint="99"/>
            <w:tcMar>
              <w:top w:w="80" w:type="dxa"/>
              <w:left w:w="140" w:type="dxa"/>
              <w:bottom w:w="80" w:type="dxa"/>
              <w:right w:w="140" w:type="dxa"/>
            </w:tcMar>
          </w:tcPr>
          <w:p w14:paraId="3B5D433B" w14:textId="77777777" w:rsidR="00EC0EA6" w:rsidRDefault="00EC0EA6" w:rsidP="00EB1C64">
            <w:pPr>
              <w:jc w:val="center"/>
            </w:pPr>
            <w:r>
              <w:rPr>
                <w:sz w:val="20"/>
                <w:szCs w:val="20"/>
              </w:rPr>
              <w:t>Identify and reduce harm</w:t>
            </w:r>
          </w:p>
        </w:tc>
        <w:tc>
          <w:tcPr>
            <w:tcW w:w="0" w:type="auto"/>
            <w:shd w:val="clear" w:color="auto" w:fill="F1A983" w:themeFill="accent2" w:themeFillTint="99"/>
            <w:tcMar>
              <w:top w:w="80" w:type="dxa"/>
              <w:left w:w="140" w:type="dxa"/>
              <w:bottom w:w="80" w:type="dxa"/>
              <w:right w:w="140" w:type="dxa"/>
            </w:tcMar>
          </w:tcPr>
          <w:p w14:paraId="03E901C2" w14:textId="77777777" w:rsidR="00EC0EA6" w:rsidRDefault="00EC0EA6" w:rsidP="00EB1C64">
            <w:r>
              <w:rPr>
                <w:sz w:val="20"/>
                <w:szCs w:val="20"/>
              </w:rPr>
              <w:t>Risk assessments, impact testing, model monitoring</w:t>
            </w:r>
          </w:p>
        </w:tc>
      </w:tr>
      <w:tr w:rsidR="00EC0EA6" w14:paraId="68FF6006" w14:textId="77777777" w:rsidTr="00EB1C64">
        <w:tc>
          <w:tcPr>
            <w:tcW w:w="0" w:type="auto"/>
            <w:shd w:val="clear" w:color="auto" w:fill="F1A983" w:themeFill="accent2" w:themeFillTint="99"/>
            <w:tcMar>
              <w:top w:w="80" w:type="dxa"/>
              <w:left w:w="140" w:type="dxa"/>
              <w:bottom w:w="80" w:type="dxa"/>
              <w:right w:w="140" w:type="dxa"/>
            </w:tcMar>
          </w:tcPr>
          <w:p w14:paraId="0333BD5A" w14:textId="77777777" w:rsidR="00EC0EA6" w:rsidRDefault="00EC0EA6" w:rsidP="00EB1C64">
            <w:r>
              <w:rPr>
                <w:sz w:val="20"/>
                <w:szCs w:val="20"/>
              </w:rPr>
              <w:t>Ethics</w:t>
            </w:r>
          </w:p>
        </w:tc>
        <w:tc>
          <w:tcPr>
            <w:tcW w:w="0" w:type="auto"/>
            <w:shd w:val="clear" w:color="auto" w:fill="F1A983" w:themeFill="accent2" w:themeFillTint="99"/>
            <w:tcMar>
              <w:top w:w="80" w:type="dxa"/>
              <w:left w:w="140" w:type="dxa"/>
              <w:bottom w:w="80" w:type="dxa"/>
              <w:right w:w="140" w:type="dxa"/>
            </w:tcMar>
          </w:tcPr>
          <w:p w14:paraId="72F3D353" w14:textId="77777777" w:rsidR="00EC0EA6" w:rsidRDefault="00EC0EA6" w:rsidP="00EB1C64">
            <w:pPr>
              <w:jc w:val="center"/>
            </w:pPr>
            <w:r>
              <w:rPr>
                <w:sz w:val="20"/>
                <w:szCs w:val="20"/>
              </w:rPr>
              <w:t>Ensure fairness and accountability</w:t>
            </w:r>
          </w:p>
        </w:tc>
        <w:tc>
          <w:tcPr>
            <w:tcW w:w="0" w:type="auto"/>
            <w:shd w:val="clear" w:color="auto" w:fill="F1A983" w:themeFill="accent2" w:themeFillTint="99"/>
            <w:tcMar>
              <w:top w:w="80" w:type="dxa"/>
              <w:left w:w="140" w:type="dxa"/>
              <w:bottom w:w="80" w:type="dxa"/>
              <w:right w:w="140" w:type="dxa"/>
            </w:tcMar>
          </w:tcPr>
          <w:p w14:paraId="0EFF08C0" w14:textId="77777777" w:rsidR="00EC0EA6" w:rsidRDefault="00EC0EA6" w:rsidP="00EB1C64">
            <w:r>
              <w:rPr>
                <w:sz w:val="20"/>
                <w:szCs w:val="20"/>
              </w:rPr>
              <w:t>Bias audits, explainability, diversity in teams</w:t>
            </w:r>
          </w:p>
        </w:tc>
      </w:tr>
      <w:tr w:rsidR="00EC0EA6" w14:paraId="63238F25" w14:textId="77777777" w:rsidTr="00EB1C64">
        <w:tc>
          <w:tcPr>
            <w:tcW w:w="0" w:type="auto"/>
            <w:shd w:val="clear" w:color="auto" w:fill="F1A983" w:themeFill="accent2" w:themeFillTint="99"/>
            <w:tcMar>
              <w:top w:w="80" w:type="dxa"/>
              <w:left w:w="140" w:type="dxa"/>
              <w:bottom w:w="80" w:type="dxa"/>
              <w:right w:w="140" w:type="dxa"/>
            </w:tcMar>
          </w:tcPr>
          <w:p w14:paraId="2813C1D0" w14:textId="77777777" w:rsidR="00EC0EA6" w:rsidRDefault="00EC0EA6" w:rsidP="00EB1C64">
            <w:r>
              <w:rPr>
                <w:sz w:val="20"/>
                <w:szCs w:val="20"/>
              </w:rPr>
              <w:t>Compliance</w:t>
            </w:r>
          </w:p>
        </w:tc>
        <w:tc>
          <w:tcPr>
            <w:tcW w:w="0" w:type="auto"/>
            <w:shd w:val="clear" w:color="auto" w:fill="F1A983" w:themeFill="accent2" w:themeFillTint="99"/>
            <w:tcMar>
              <w:top w:w="80" w:type="dxa"/>
              <w:left w:w="140" w:type="dxa"/>
              <w:bottom w:w="80" w:type="dxa"/>
              <w:right w:w="140" w:type="dxa"/>
            </w:tcMar>
          </w:tcPr>
          <w:p w14:paraId="18FF172A" w14:textId="77777777" w:rsidR="00EC0EA6" w:rsidRDefault="00EC0EA6" w:rsidP="00EB1C64">
            <w:pPr>
              <w:jc w:val="center"/>
            </w:pPr>
            <w:r>
              <w:rPr>
                <w:sz w:val="20"/>
                <w:szCs w:val="20"/>
              </w:rPr>
              <w:t>Meet legal and regulatory requirements</w:t>
            </w:r>
          </w:p>
        </w:tc>
        <w:tc>
          <w:tcPr>
            <w:tcW w:w="0" w:type="auto"/>
            <w:shd w:val="clear" w:color="auto" w:fill="F1A983" w:themeFill="accent2" w:themeFillTint="99"/>
            <w:tcMar>
              <w:top w:w="80" w:type="dxa"/>
              <w:left w:w="140" w:type="dxa"/>
              <w:bottom w:w="80" w:type="dxa"/>
              <w:right w:w="140" w:type="dxa"/>
            </w:tcMar>
          </w:tcPr>
          <w:p w14:paraId="0D286E7E" w14:textId="77777777" w:rsidR="00EC0EA6" w:rsidRDefault="00EC0EA6" w:rsidP="00EB1C64">
            <w:r>
              <w:rPr>
                <w:sz w:val="20"/>
                <w:szCs w:val="20"/>
              </w:rPr>
              <w:t>GDPR alignment, audit trails, breach notification</w:t>
            </w:r>
          </w:p>
        </w:tc>
      </w:tr>
    </w:tbl>
    <w:p w14:paraId="66376132" w14:textId="77777777" w:rsidR="00EC0EA6" w:rsidRDefault="00EC0EA6" w:rsidP="00EC0EA6">
      <w:pPr>
        <w:pStyle w:val="Caption"/>
        <w:keepNext/>
      </w:pPr>
    </w:p>
    <w:p w14:paraId="7598A46F" w14:textId="77777777" w:rsidR="00EC0EA6" w:rsidRDefault="00EC0EA6" w:rsidP="00EC0EA6">
      <w:pPr>
        <w:spacing w:before="100" w:after="100" w:line="360" w:lineRule="auto"/>
      </w:pPr>
    </w:p>
    <w:p w14:paraId="7BE93E64" w14:textId="77777777" w:rsidR="00EC0EA6" w:rsidRDefault="00EC0EA6" w:rsidP="00EC0EA6">
      <w:pPr>
        <w:pStyle w:val="Heading2"/>
        <w:rPr>
          <w:sz w:val="28"/>
          <w:szCs w:val="28"/>
        </w:rPr>
      </w:pPr>
      <w:bookmarkStart w:id="4" w:name="_Toc234619665"/>
      <w:r>
        <w:rPr>
          <w:sz w:val="28"/>
          <w:szCs w:val="28"/>
        </w:rPr>
        <w:t>1</w:t>
      </w:r>
      <w:r w:rsidRPr="00C66006">
        <w:rPr>
          <w:sz w:val="28"/>
          <w:szCs w:val="28"/>
        </w:rPr>
        <w:t xml:space="preserve">.2 Why AI Governance </w:t>
      </w:r>
      <w:r>
        <w:rPr>
          <w:sz w:val="28"/>
          <w:szCs w:val="28"/>
        </w:rPr>
        <w:t>i</w:t>
      </w:r>
      <w:r w:rsidRPr="00C66006">
        <w:rPr>
          <w:sz w:val="28"/>
          <w:szCs w:val="28"/>
        </w:rPr>
        <w:t>s Challenging</w:t>
      </w:r>
      <w:bookmarkEnd w:id="4"/>
      <w:r>
        <w:rPr>
          <w:sz w:val="28"/>
          <w:szCs w:val="28"/>
        </w:rPr>
        <w:t xml:space="preserve">    </w:t>
      </w:r>
    </w:p>
    <w:p w14:paraId="3E0B7D23" w14:textId="77777777" w:rsidR="00EC0EA6" w:rsidRPr="00283DB2" w:rsidRDefault="00EC0EA6" w:rsidP="00EC0EA6">
      <w:pPr>
        <w:pStyle w:val="Heading2"/>
        <w:rPr>
          <w:color w:val="EE0000"/>
          <w:sz w:val="18"/>
          <w:szCs w:val="18"/>
        </w:rPr>
      </w:pPr>
    </w:p>
    <w:p w14:paraId="59CC7677" w14:textId="77777777" w:rsidR="00EC0EA6" w:rsidRDefault="00EC0EA6" w:rsidP="00EC0EA6">
      <w:pPr>
        <w:spacing w:before="100" w:after="100" w:line="360" w:lineRule="auto"/>
      </w:pPr>
      <w:r>
        <w:t>Second, AI learns from data, and data often carries existing social biases. If a model is built on historical hiring data that favoured men, it may learn to discriminate against women, not because it was programmed to, but because the bias was in the data [1], [2]. The same issue appears in facial recognition, which has been found to work less accurately for certain groups [1], [2]. This shows that fairness must be actively built into systems, not assumed.</w:t>
      </w:r>
    </w:p>
    <w:p w14:paraId="13E98967" w14:textId="77777777" w:rsidR="00EC0EA6" w:rsidRDefault="00EC0EA6" w:rsidP="00EC0EA6">
      <w:pPr>
        <w:spacing w:before="100" w:after="100" w:line="360" w:lineRule="auto"/>
      </w:pPr>
      <w:r>
        <w:lastRenderedPageBreak/>
        <w:t>Third, AI technology evolves faster than laws can keep up, and its global nature makes national regulations difficult to enforce [12]. By the time regulations are passed, the technology may have already moved on. A single system can be developed in one country and used in many others, which complicates accountability and oversight.</w:t>
      </w:r>
    </w:p>
    <w:p w14:paraId="0148E38D" w14:textId="77777777" w:rsidR="00EC0EA6" w:rsidRDefault="00EC0EA6" w:rsidP="00EC0EA6">
      <w:pPr>
        <w:spacing w:before="100" w:after="100" w:line="360" w:lineRule="auto"/>
      </w:pPr>
      <w:r>
        <w:t>Taken together, these factors namely opacity, bias, regulatory lag, and global reach, present significant obstacles to effective AI governance.</w:t>
      </w:r>
    </w:p>
    <w:p w14:paraId="644E555D" w14:textId="77777777" w:rsidR="00EC0EA6" w:rsidRPr="00C66006" w:rsidRDefault="00EC0EA6" w:rsidP="00EC0EA6">
      <w:pPr>
        <w:pStyle w:val="Heading1"/>
        <w:rPr>
          <w:sz w:val="32"/>
          <w:szCs w:val="32"/>
        </w:rPr>
      </w:pPr>
      <w:bookmarkStart w:id="5" w:name="_Toc234619666"/>
      <w:r>
        <w:rPr>
          <w:sz w:val="32"/>
          <w:szCs w:val="32"/>
        </w:rPr>
        <w:t>2</w:t>
      </w:r>
      <w:r w:rsidRPr="00C66006">
        <w:rPr>
          <w:sz w:val="32"/>
          <w:szCs w:val="32"/>
        </w:rPr>
        <w:t>. Managing Risk in AI Systems</w:t>
      </w:r>
      <w:bookmarkEnd w:id="5"/>
    </w:p>
    <w:p w14:paraId="2C2DB305" w14:textId="77777777" w:rsidR="00EC0EA6" w:rsidRPr="00C66006" w:rsidRDefault="00EC0EA6" w:rsidP="00EC0EA6">
      <w:pPr>
        <w:pStyle w:val="Heading2"/>
        <w:rPr>
          <w:sz w:val="28"/>
          <w:szCs w:val="28"/>
        </w:rPr>
      </w:pPr>
      <w:bookmarkStart w:id="6" w:name="_Toc234619667"/>
      <w:r>
        <w:rPr>
          <w:sz w:val="28"/>
          <w:szCs w:val="28"/>
        </w:rPr>
        <w:t>2</w:t>
      </w:r>
      <w:r w:rsidRPr="00C66006">
        <w:rPr>
          <w:sz w:val="28"/>
          <w:szCs w:val="28"/>
        </w:rPr>
        <w:t>.1 Types of Risk</w:t>
      </w:r>
      <w:bookmarkEnd w:id="6"/>
    </w:p>
    <w:p w14:paraId="70398AC6" w14:textId="77777777" w:rsidR="00EC0EA6" w:rsidRDefault="00EC0EA6" w:rsidP="00EC0EA6">
      <w:pPr>
        <w:spacing w:before="100" w:after="100" w:line="360" w:lineRule="auto"/>
      </w:pPr>
      <w:r>
        <w:t>One of the most vital components of AI governance is risk management. AI systems can create a wide variety of risks, grouped into several categories. Technical risks include system failures, data errors, and unexpected behaviours. Operational risks relate to how AI is used within organizations. Legal risks arise from non-compliance with data protection laws. Reputational risks occur when an AI system produces harmful outputs. Finally, societal risks include broader harms such as increased inequality, erosion of privacy, or the spread of harmful content</w:t>
      </w:r>
      <w:r w:rsidRPr="001304C9">
        <w:t xml:space="preserve"> [5]</w:t>
      </w:r>
      <w:r>
        <w:t>.</w:t>
      </w:r>
    </w:p>
    <w:p w14:paraId="6A8DC477" w14:textId="77777777" w:rsidR="00EC0EA6" w:rsidRDefault="00EC0EA6" w:rsidP="00EC0EA6">
      <w:pPr>
        <w:spacing w:before="80" w:after="80" w:line="276" w:lineRule="auto"/>
        <w:jc w:val="center"/>
      </w:pPr>
      <w:r>
        <w:rPr>
          <w:b/>
          <w:bCs/>
        </w:rPr>
        <w:t xml:space="preserve">Table 2 </w:t>
      </w:r>
      <w:r>
        <w:t>Comparison of AI risk categories, organized by their estimated severity scores based on likelihood and impact analysis.</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5200"/>
        <w:gridCol w:w="1760"/>
      </w:tblGrid>
      <w:tr w:rsidR="00EC0EA6" w14:paraId="60D56042" w14:textId="77777777" w:rsidTr="00EB1C64">
        <w:tc>
          <w:tcPr>
            <w:tcW w:w="2400" w:type="dxa"/>
            <w:shd w:val="clear" w:color="auto" w:fill="80340D" w:themeFill="accent2" w:themeFillShade="80"/>
            <w:tcMar>
              <w:top w:w="80" w:type="dxa"/>
              <w:left w:w="140" w:type="dxa"/>
              <w:bottom w:w="80" w:type="dxa"/>
              <w:right w:w="140" w:type="dxa"/>
            </w:tcMar>
          </w:tcPr>
          <w:p w14:paraId="5BB6F0DB" w14:textId="77777777" w:rsidR="00EC0EA6" w:rsidRDefault="00EC0EA6" w:rsidP="00EB1C64">
            <w:r>
              <w:rPr>
                <w:b/>
                <w:bCs/>
                <w:color w:val="FFFFFF"/>
                <w:sz w:val="20"/>
                <w:szCs w:val="20"/>
              </w:rPr>
              <w:t>Category</w:t>
            </w:r>
          </w:p>
        </w:tc>
        <w:tc>
          <w:tcPr>
            <w:tcW w:w="5200" w:type="dxa"/>
            <w:shd w:val="clear" w:color="auto" w:fill="80340D" w:themeFill="accent2" w:themeFillShade="80"/>
            <w:tcMar>
              <w:top w:w="80" w:type="dxa"/>
              <w:left w:w="140" w:type="dxa"/>
              <w:bottom w:w="80" w:type="dxa"/>
              <w:right w:w="140" w:type="dxa"/>
            </w:tcMar>
          </w:tcPr>
          <w:p w14:paraId="1442E36B" w14:textId="77777777" w:rsidR="00EC0EA6" w:rsidRDefault="00EC0EA6" w:rsidP="00EB1C64">
            <w:r>
              <w:rPr>
                <w:b/>
                <w:bCs/>
                <w:color w:val="FFFFFF"/>
                <w:sz w:val="20"/>
                <w:szCs w:val="20"/>
              </w:rPr>
              <w:t>Scale</w:t>
            </w:r>
          </w:p>
        </w:tc>
        <w:tc>
          <w:tcPr>
            <w:tcW w:w="1760" w:type="dxa"/>
            <w:shd w:val="clear" w:color="auto" w:fill="80340D" w:themeFill="accent2" w:themeFillShade="80"/>
            <w:tcMar>
              <w:top w:w="80" w:type="dxa"/>
              <w:left w:w="140" w:type="dxa"/>
              <w:bottom w:w="80" w:type="dxa"/>
              <w:right w:w="140" w:type="dxa"/>
            </w:tcMar>
          </w:tcPr>
          <w:p w14:paraId="651B3BE3" w14:textId="77777777" w:rsidR="00EC0EA6" w:rsidRDefault="00EC0EA6" w:rsidP="00EB1C64">
            <w:r>
              <w:rPr>
                <w:b/>
                <w:bCs/>
                <w:color w:val="FFFFFF"/>
                <w:sz w:val="20"/>
                <w:szCs w:val="20"/>
              </w:rPr>
              <w:t>Score / Value</w:t>
            </w:r>
          </w:p>
        </w:tc>
      </w:tr>
      <w:tr w:rsidR="00EC0EA6" w14:paraId="6A3AC153" w14:textId="77777777" w:rsidTr="00EB1C64">
        <w:tc>
          <w:tcPr>
            <w:tcW w:w="2400" w:type="dxa"/>
            <w:shd w:val="clear" w:color="auto" w:fill="F1A983" w:themeFill="accent2" w:themeFillTint="99"/>
            <w:tcMar>
              <w:top w:w="80" w:type="dxa"/>
              <w:left w:w="140" w:type="dxa"/>
              <w:bottom w:w="80" w:type="dxa"/>
              <w:right w:w="140" w:type="dxa"/>
            </w:tcMar>
          </w:tcPr>
          <w:p w14:paraId="74DABA49" w14:textId="77777777" w:rsidR="00EC0EA6" w:rsidRDefault="00EC0EA6" w:rsidP="00EB1C64">
            <w:r>
              <w:rPr>
                <w:b/>
                <w:bCs/>
                <w:sz w:val="20"/>
                <w:szCs w:val="20"/>
              </w:rPr>
              <w:t>Technical Failures</w:t>
            </w:r>
          </w:p>
        </w:tc>
        <w:tc>
          <w:tcPr>
            <w:tcW w:w="5200" w:type="dxa"/>
            <w:shd w:val="clear" w:color="auto" w:fill="F1A983" w:themeFill="accent2" w:themeFillTint="99"/>
            <w:tcMar>
              <w:top w:w="80" w:type="dxa"/>
              <w:left w:w="140" w:type="dxa"/>
              <w:bottom w:w="80" w:type="dxa"/>
              <w:right w:w="140" w:type="dxa"/>
            </w:tcMar>
          </w:tcPr>
          <w:p w14:paraId="06297B75" w14:textId="77777777" w:rsidR="00EC0EA6" w:rsidRDefault="00EC0EA6" w:rsidP="00EB1C64">
            <w:r>
              <w:rPr>
                <w:rFonts w:ascii="Courier New" w:eastAsia="Courier New" w:hAnsi="Courier New" w:cs="Courier New"/>
                <w:color w:val="2E75B6"/>
                <w:sz w:val="20"/>
                <w:szCs w:val="20"/>
              </w:rPr>
              <w:t>████████████████</w:t>
            </w:r>
          </w:p>
        </w:tc>
        <w:tc>
          <w:tcPr>
            <w:tcW w:w="1760" w:type="dxa"/>
            <w:shd w:val="clear" w:color="auto" w:fill="F1A983" w:themeFill="accent2" w:themeFillTint="99"/>
            <w:tcMar>
              <w:top w:w="80" w:type="dxa"/>
              <w:left w:w="140" w:type="dxa"/>
              <w:bottom w:w="80" w:type="dxa"/>
              <w:right w:w="140" w:type="dxa"/>
            </w:tcMar>
          </w:tcPr>
          <w:p w14:paraId="0071F194" w14:textId="77777777" w:rsidR="00EC0EA6" w:rsidRDefault="00EC0EA6" w:rsidP="00EB1C64">
            <w:pPr>
              <w:jc w:val="center"/>
              <w:rPr>
                <w:b/>
                <w:bCs/>
                <w:color w:val="1F4E79"/>
                <w:sz w:val="20"/>
                <w:szCs w:val="20"/>
              </w:rPr>
            </w:pPr>
            <w:r>
              <w:rPr>
                <w:b/>
                <w:bCs/>
                <w:color w:val="1F4E79"/>
                <w:sz w:val="20"/>
                <w:szCs w:val="20"/>
              </w:rPr>
              <w:t>7/10</w:t>
            </w:r>
          </w:p>
          <w:p w14:paraId="2E4D657A" w14:textId="77777777" w:rsidR="00EC0EA6" w:rsidRDefault="00EC0EA6" w:rsidP="00EB1C64">
            <w:pPr>
              <w:jc w:val="center"/>
            </w:pPr>
          </w:p>
        </w:tc>
      </w:tr>
      <w:tr w:rsidR="00EC0EA6" w14:paraId="1D073484" w14:textId="77777777" w:rsidTr="00EB1C64">
        <w:tc>
          <w:tcPr>
            <w:tcW w:w="2400" w:type="dxa"/>
            <w:shd w:val="clear" w:color="auto" w:fill="F1A983" w:themeFill="accent2" w:themeFillTint="99"/>
            <w:tcMar>
              <w:top w:w="80" w:type="dxa"/>
              <w:left w:w="140" w:type="dxa"/>
              <w:bottom w:w="80" w:type="dxa"/>
              <w:right w:w="140" w:type="dxa"/>
            </w:tcMar>
          </w:tcPr>
          <w:p w14:paraId="6B1787D8" w14:textId="77777777" w:rsidR="00EC0EA6" w:rsidRDefault="00EC0EA6" w:rsidP="00EB1C64">
            <w:r>
              <w:rPr>
                <w:b/>
                <w:bCs/>
                <w:sz w:val="20"/>
                <w:szCs w:val="20"/>
              </w:rPr>
              <w:t>Societal Harm / Bias</w:t>
            </w:r>
          </w:p>
        </w:tc>
        <w:tc>
          <w:tcPr>
            <w:tcW w:w="5200" w:type="dxa"/>
            <w:shd w:val="clear" w:color="auto" w:fill="F1A983" w:themeFill="accent2" w:themeFillTint="99"/>
            <w:tcMar>
              <w:top w:w="80" w:type="dxa"/>
              <w:left w:w="140" w:type="dxa"/>
              <w:bottom w:w="80" w:type="dxa"/>
              <w:right w:w="140" w:type="dxa"/>
            </w:tcMar>
          </w:tcPr>
          <w:p w14:paraId="00C36734" w14:textId="77777777" w:rsidR="00EC0EA6" w:rsidRDefault="00EC0EA6" w:rsidP="00EB1C64">
            <w:r>
              <w:rPr>
                <w:rFonts w:ascii="Courier New" w:eastAsia="Courier New" w:hAnsi="Courier New" w:cs="Courier New"/>
                <w:color w:val="2E75B6"/>
                <w:sz w:val="20"/>
                <w:szCs w:val="20"/>
              </w:rPr>
              <w:t>████████████████████</w:t>
            </w:r>
          </w:p>
        </w:tc>
        <w:tc>
          <w:tcPr>
            <w:tcW w:w="1760" w:type="dxa"/>
            <w:shd w:val="clear" w:color="auto" w:fill="F1A983" w:themeFill="accent2" w:themeFillTint="99"/>
            <w:tcMar>
              <w:top w:w="80" w:type="dxa"/>
              <w:left w:w="140" w:type="dxa"/>
              <w:bottom w:w="80" w:type="dxa"/>
              <w:right w:w="140" w:type="dxa"/>
            </w:tcMar>
          </w:tcPr>
          <w:p w14:paraId="635AE192" w14:textId="77777777" w:rsidR="00EC0EA6" w:rsidRDefault="00EC0EA6" w:rsidP="00EB1C64">
            <w:pPr>
              <w:jc w:val="center"/>
              <w:rPr>
                <w:b/>
                <w:bCs/>
                <w:color w:val="1F4E79"/>
                <w:sz w:val="20"/>
                <w:szCs w:val="20"/>
              </w:rPr>
            </w:pPr>
          </w:p>
          <w:p w14:paraId="308C9A46" w14:textId="77777777" w:rsidR="00EC0EA6" w:rsidRDefault="00EC0EA6" w:rsidP="00EB1C64">
            <w:pPr>
              <w:jc w:val="center"/>
            </w:pPr>
            <w:r>
              <w:rPr>
                <w:b/>
                <w:bCs/>
                <w:color w:val="1F4E79"/>
                <w:sz w:val="20"/>
                <w:szCs w:val="20"/>
              </w:rPr>
              <w:t>9/10</w:t>
            </w:r>
          </w:p>
        </w:tc>
      </w:tr>
      <w:tr w:rsidR="00EC0EA6" w14:paraId="122910CD" w14:textId="77777777" w:rsidTr="00EB1C64">
        <w:tc>
          <w:tcPr>
            <w:tcW w:w="2400" w:type="dxa"/>
            <w:shd w:val="clear" w:color="auto" w:fill="F1A983" w:themeFill="accent2" w:themeFillTint="99"/>
            <w:tcMar>
              <w:top w:w="80" w:type="dxa"/>
              <w:left w:w="140" w:type="dxa"/>
              <w:bottom w:w="80" w:type="dxa"/>
              <w:right w:w="140" w:type="dxa"/>
            </w:tcMar>
          </w:tcPr>
          <w:p w14:paraId="38767190" w14:textId="77777777" w:rsidR="00EC0EA6" w:rsidRDefault="00EC0EA6" w:rsidP="00EB1C64">
            <w:r>
              <w:rPr>
                <w:b/>
                <w:bCs/>
                <w:sz w:val="20"/>
                <w:szCs w:val="20"/>
              </w:rPr>
              <w:t>Legal / Compliance</w:t>
            </w:r>
          </w:p>
        </w:tc>
        <w:tc>
          <w:tcPr>
            <w:tcW w:w="5200" w:type="dxa"/>
            <w:shd w:val="clear" w:color="auto" w:fill="F1A983" w:themeFill="accent2" w:themeFillTint="99"/>
            <w:tcMar>
              <w:top w:w="80" w:type="dxa"/>
              <w:left w:w="140" w:type="dxa"/>
              <w:bottom w:w="80" w:type="dxa"/>
              <w:right w:w="140" w:type="dxa"/>
            </w:tcMar>
          </w:tcPr>
          <w:p w14:paraId="32EF7156" w14:textId="77777777" w:rsidR="00EC0EA6" w:rsidRDefault="00EC0EA6" w:rsidP="00EB1C64">
            <w:pPr>
              <w:rPr>
                <w:rFonts w:ascii="Courier New" w:eastAsia="Courier New" w:hAnsi="Courier New" w:cs="Courier New"/>
                <w:color w:val="2E75B6"/>
                <w:sz w:val="20"/>
                <w:szCs w:val="20"/>
              </w:rPr>
            </w:pPr>
            <w:r>
              <w:rPr>
                <w:rFonts w:ascii="Courier New" w:eastAsia="Courier New" w:hAnsi="Courier New" w:cs="Courier New"/>
                <w:color w:val="2E75B6"/>
                <w:sz w:val="20"/>
                <w:szCs w:val="20"/>
              </w:rPr>
              <w:t>██████████████████</w:t>
            </w:r>
          </w:p>
          <w:p w14:paraId="26DBC9C9" w14:textId="77777777" w:rsidR="00EC0EA6" w:rsidRDefault="00EC0EA6" w:rsidP="00EB1C64"/>
        </w:tc>
        <w:tc>
          <w:tcPr>
            <w:tcW w:w="1760" w:type="dxa"/>
            <w:shd w:val="clear" w:color="auto" w:fill="F1A983" w:themeFill="accent2" w:themeFillTint="99"/>
            <w:tcMar>
              <w:top w:w="80" w:type="dxa"/>
              <w:left w:w="140" w:type="dxa"/>
              <w:bottom w:w="80" w:type="dxa"/>
              <w:right w:w="140" w:type="dxa"/>
            </w:tcMar>
          </w:tcPr>
          <w:p w14:paraId="58D8D9D1" w14:textId="77777777" w:rsidR="00EC0EA6" w:rsidRDefault="00EC0EA6" w:rsidP="00EB1C64">
            <w:pPr>
              <w:jc w:val="center"/>
            </w:pPr>
            <w:r>
              <w:rPr>
                <w:b/>
                <w:bCs/>
                <w:color w:val="1F4E79"/>
                <w:sz w:val="20"/>
                <w:szCs w:val="20"/>
              </w:rPr>
              <w:t>8/10</w:t>
            </w:r>
          </w:p>
        </w:tc>
      </w:tr>
      <w:tr w:rsidR="00EC0EA6" w14:paraId="189B482E" w14:textId="77777777" w:rsidTr="00EB1C64">
        <w:tc>
          <w:tcPr>
            <w:tcW w:w="2400" w:type="dxa"/>
            <w:shd w:val="clear" w:color="auto" w:fill="F1A983" w:themeFill="accent2" w:themeFillTint="99"/>
            <w:tcMar>
              <w:top w:w="80" w:type="dxa"/>
              <w:left w:w="140" w:type="dxa"/>
              <w:bottom w:w="80" w:type="dxa"/>
              <w:right w:w="140" w:type="dxa"/>
            </w:tcMar>
          </w:tcPr>
          <w:p w14:paraId="4C765533" w14:textId="77777777" w:rsidR="00EC0EA6" w:rsidRDefault="00EC0EA6" w:rsidP="00EB1C64">
            <w:r>
              <w:rPr>
                <w:b/>
                <w:bCs/>
                <w:sz w:val="20"/>
                <w:szCs w:val="20"/>
              </w:rPr>
              <w:t>Reputational Damage</w:t>
            </w:r>
          </w:p>
        </w:tc>
        <w:tc>
          <w:tcPr>
            <w:tcW w:w="5200" w:type="dxa"/>
            <w:shd w:val="clear" w:color="auto" w:fill="F1A983" w:themeFill="accent2" w:themeFillTint="99"/>
            <w:tcMar>
              <w:top w:w="80" w:type="dxa"/>
              <w:left w:w="140" w:type="dxa"/>
              <w:bottom w:w="80" w:type="dxa"/>
              <w:right w:w="140" w:type="dxa"/>
            </w:tcMar>
          </w:tcPr>
          <w:p w14:paraId="72AF5F5D" w14:textId="77777777" w:rsidR="00EC0EA6" w:rsidRDefault="00EC0EA6" w:rsidP="00EB1C64">
            <w:pPr>
              <w:rPr>
                <w:rFonts w:ascii="Courier New" w:eastAsia="Courier New" w:hAnsi="Courier New" w:cs="Courier New"/>
                <w:color w:val="2E75B6"/>
                <w:sz w:val="20"/>
                <w:szCs w:val="20"/>
              </w:rPr>
            </w:pPr>
            <w:r>
              <w:rPr>
                <w:rFonts w:ascii="Courier New" w:eastAsia="Courier New" w:hAnsi="Courier New" w:cs="Courier New"/>
                <w:color w:val="2E75B6"/>
                <w:sz w:val="20"/>
                <w:szCs w:val="20"/>
              </w:rPr>
              <w:t>████████████████</w:t>
            </w:r>
          </w:p>
          <w:p w14:paraId="4CEA6AD2" w14:textId="77777777" w:rsidR="00EC0EA6" w:rsidRDefault="00EC0EA6" w:rsidP="00EB1C64"/>
        </w:tc>
        <w:tc>
          <w:tcPr>
            <w:tcW w:w="1760" w:type="dxa"/>
            <w:shd w:val="clear" w:color="auto" w:fill="F1A983" w:themeFill="accent2" w:themeFillTint="99"/>
            <w:tcMar>
              <w:top w:w="80" w:type="dxa"/>
              <w:left w:w="140" w:type="dxa"/>
              <w:bottom w:w="80" w:type="dxa"/>
              <w:right w:w="140" w:type="dxa"/>
            </w:tcMar>
          </w:tcPr>
          <w:p w14:paraId="5810D3D4" w14:textId="77777777" w:rsidR="00EC0EA6" w:rsidRDefault="00EC0EA6" w:rsidP="00EB1C64">
            <w:pPr>
              <w:jc w:val="center"/>
            </w:pPr>
            <w:r>
              <w:rPr>
                <w:b/>
                <w:bCs/>
                <w:color w:val="1F4E79"/>
                <w:sz w:val="20"/>
                <w:szCs w:val="20"/>
              </w:rPr>
              <w:t>7/10</w:t>
            </w:r>
          </w:p>
        </w:tc>
      </w:tr>
      <w:tr w:rsidR="00EC0EA6" w14:paraId="06A48EDB" w14:textId="77777777" w:rsidTr="00EB1C64">
        <w:tc>
          <w:tcPr>
            <w:tcW w:w="2400" w:type="dxa"/>
            <w:shd w:val="clear" w:color="auto" w:fill="F1A983" w:themeFill="accent2" w:themeFillTint="99"/>
            <w:tcMar>
              <w:top w:w="80" w:type="dxa"/>
              <w:left w:w="140" w:type="dxa"/>
              <w:bottom w:w="80" w:type="dxa"/>
              <w:right w:w="140" w:type="dxa"/>
            </w:tcMar>
          </w:tcPr>
          <w:p w14:paraId="182CD039" w14:textId="77777777" w:rsidR="00EC0EA6" w:rsidRDefault="00EC0EA6" w:rsidP="00EB1C64">
            <w:r>
              <w:rPr>
                <w:b/>
                <w:bCs/>
                <w:sz w:val="20"/>
                <w:szCs w:val="20"/>
              </w:rPr>
              <w:t>Operational Disruption</w:t>
            </w:r>
          </w:p>
        </w:tc>
        <w:tc>
          <w:tcPr>
            <w:tcW w:w="5200" w:type="dxa"/>
            <w:shd w:val="clear" w:color="auto" w:fill="F1A983" w:themeFill="accent2" w:themeFillTint="99"/>
            <w:tcMar>
              <w:top w:w="80" w:type="dxa"/>
              <w:left w:w="140" w:type="dxa"/>
              <w:bottom w:w="80" w:type="dxa"/>
              <w:right w:w="140" w:type="dxa"/>
            </w:tcMar>
          </w:tcPr>
          <w:p w14:paraId="0A3CE770" w14:textId="77777777" w:rsidR="00EC0EA6" w:rsidRDefault="00EC0EA6" w:rsidP="00EB1C64">
            <w:pPr>
              <w:rPr>
                <w:rFonts w:ascii="Courier New" w:eastAsia="Courier New" w:hAnsi="Courier New" w:cs="Courier New"/>
                <w:color w:val="2E75B6"/>
                <w:sz w:val="20"/>
                <w:szCs w:val="20"/>
              </w:rPr>
            </w:pPr>
            <w:r>
              <w:rPr>
                <w:rFonts w:ascii="Courier New" w:eastAsia="Courier New" w:hAnsi="Courier New" w:cs="Courier New"/>
                <w:color w:val="2E75B6"/>
                <w:sz w:val="20"/>
                <w:szCs w:val="20"/>
              </w:rPr>
              <w:t>█████████████</w:t>
            </w:r>
          </w:p>
          <w:p w14:paraId="5D876729" w14:textId="77777777" w:rsidR="00EC0EA6" w:rsidRDefault="00EC0EA6" w:rsidP="00EB1C64"/>
        </w:tc>
        <w:tc>
          <w:tcPr>
            <w:tcW w:w="1760" w:type="dxa"/>
            <w:shd w:val="clear" w:color="auto" w:fill="F1A983" w:themeFill="accent2" w:themeFillTint="99"/>
            <w:tcMar>
              <w:top w:w="80" w:type="dxa"/>
              <w:left w:w="140" w:type="dxa"/>
              <w:bottom w:w="80" w:type="dxa"/>
              <w:right w:w="140" w:type="dxa"/>
            </w:tcMar>
          </w:tcPr>
          <w:p w14:paraId="2E8D87EE" w14:textId="77777777" w:rsidR="00EC0EA6" w:rsidRDefault="00EC0EA6" w:rsidP="00EB1C64">
            <w:pPr>
              <w:jc w:val="center"/>
            </w:pPr>
            <w:r>
              <w:rPr>
                <w:b/>
                <w:bCs/>
                <w:color w:val="1F4E79"/>
                <w:sz w:val="20"/>
                <w:szCs w:val="20"/>
              </w:rPr>
              <w:t>6/10</w:t>
            </w:r>
          </w:p>
        </w:tc>
      </w:tr>
    </w:tbl>
    <w:p w14:paraId="72090F6B" w14:textId="77777777" w:rsidR="00EC0EA6" w:rsidRDefault="00EC0EA6" w:rsidP="00EC0EA6">
      <w:pPr>
        <w:pStyle w:val="Heading4"/>
      </w:pPr>
      <w:r>
        <w:lastRenderedPageBreak/>
        <w:t>Feedback on the AI Risk Comparison</w:t>
      </w:r>
    </w:p>
    <w:p w14:paraId="60A16DFC" w14:textId="77777777" w:rsidR="00EC0EA6" w:rsidRPr="00C156FB" w:rsidRDefault="00EC0EA6" w:rsidP="00EC0EA6">
      <w:pPr>
        <w:spacing w:line="360" w:lineRule="auto"/>
      </w:pPr>
      <w:r>
        <w:t xml:space="preserve">The table 2 shows that Societal Harm and Bias are rated the highest risk at 9 out of 10. Legal and Compliance risks, along with Operational Disruption, are both rated 8 out of 10, indicating they are also significant concerns. Technical Failures and Reputational Damage are rated slightly lower at 7 out of 10 but remain important. Overall, the scores suggest that five categories pose a serious level of risk and require close attention. This comparison helps prioritise which areas need the most urgent action. </w:t>
      </w:r>
    </w:p>
    <w:p w14:paraId="2C054EF7" w14:textId="77777777" w:rsidR="00EC0EA6" w:rsidRPr="00C66006" w:rsidRDefault="00EC0EA6" w:rsidP="00EC0EA6">
      <w:pPr>
        <w:pStyle w:val="Heading2"/>
        <w:rPr>
          <w:sz w:val="28"/>
          <w:szCs w:val="28"/>
        </w:rPr>
      </w:pPr>
      <w:bookmarkStart w:id="7" w:name="_Toc234619668"/>
      <w:r>
        <w:rPr>
          <w:sz w:val="28"/>
          <w:szCs w:val="28"/>
        </w:rPr>
        <w:t>2</w:t>
      </w:r>
      <w:r w:rsidRPr="00C66006">
        <w:rPr>
          <w:sz w:val="28"/>
          <w:szCs w:val="28"/>
        </w:rPr>
        <w:t>.2 Risk Assessment and Mitigation</w:t>
      </w:r>
      <w:bookmarkEnd w:id="7"/>
    </w:p>
    <w:p w14:paraId="62B31B37" w14:textId="77777777" w:rsidR="00EC0EA6" w:rsidRDefault="00EC0EA6" w:rsidP="00EC0EA6">
      <w:pPr>
        <w:spacing w:before="100" w:after="100" w:line="360" w:lineRule="auto"/>
      </w:pPr>
      <w:r>
        <w:t>Organizations can manage AI risk through a structured process. It begins with identifying risks before deployment through comprehensive testing. The second phase is analysing the severity and likelihood of each risk. The third phase is implementing mitigation strategies, which may include technical measures such as robustness testing and model monitoring, as well as organizational measures such as human review processes and clear escalation procedures.</w:t>
      </w:r>
    </w:p>
    <w:p w14:paraId="0C2803BF" w14:textId="77777777" w:rsidR="00EC0EA6" w:rsidRDefault="00EC0EA6" w:rsidP="00EC0EA6">
      <w:pPr>
        <w:spacing w:before="100" w:after="100" w:line="360" w:lineRule="auto"/>
      </w:pPr>
      <w:r>
        <w:t xml:space="preserve">The European Union's AI Act, which enacted in 2024, introduces a risk-based approach to AI regulation. Under this framework, AI applications are classified into four categories: unacceptable risk (not permitted), high risk (tight requirements), limited risk (imposing transparency requirements), and minimal risk (subject to high-touch governance). This tiered approach reflects the idea that not all AI applications carry the same level of risk </w:t>
      </w:r>
      <w:r w:rsidRPr="00DF20E6">
        <w:t>[6].</w:t>
      </w:r>
    </w:p>
    <w:p w14:paraId="7624660A" w14:textId="77777777" w:rsidR="00EC0EA6" w:rsidRDefault="00EC0EA6" w:rsidP="00EC0EA6">
      <w:pPr>
        <w:spacing w:before="100" w:after="100" w:line="360" w:lineRule="auto"/>
      </w:pPr>
    </w:p>
    <w:p w14:paraId="6D6B7B8D" w14:textId="77777777" w:rsidR="00EC0EA6" w:rsidRDefault="00EC0EA6" w:rsidP="00EC0EA6">
      <w:pPr>
        <w:spacing w:before="100" w:after="100" w:line="360" w:lineRule="auto"/>
      </w:pPr>
    </w:p>
    <w:p w14:paraId="4F6FBC0B" w14:textId="77777777" w:rsidR="00EC0EA6" w:rsidRDefault="00EC0EA6" w:rsidP="00EC0EA6">
      <w:pPr>
        <w:spacing w:before="100" w:after="100" w:line="360" w:lineRule="auto"/>
      </w:pPr>
    </w:p>
    <w:p w14:paraId="0C8DDA86" w14:textId="77777777" w:rsidR="00EC0EA6" w:rsidRDefault="00EC0EA6" w:rsidP="00EC0EA6">
      <w:pPr>
        <w:spacing w:before="100" w:after="100" w:line="360" w:lineRule="auto"/>
      </w:pPr>
    </w:p>
    <w:p w14:paraId="39050911" w14:textId="77777777" w:rsidR="00EC0EA6" w:rsidRDefault="00EC0EA6" w:rsidP="00EC0EA6">
      <w:pPr>
        <w:spacing w:before="100" w:after="100" w:line="360" w:lineRule="auto"/>
      </w:pPr>
    </w:p>
    <w:p w14:paraId="1139A878" w14:textId="77777777" w:rsidR="00EC0EA6" w:rsidRDefault="00EC0EA6" w:rsidP="00EC0EA6">
      <w:pPr>
        <w:spacing w:before="100" w:after="100" w:line="360" w:lineRule="auto"/>
      </w:pPr>
    </w:p>
    <w:p w14:paraId="6C00CE85" w14:textId="77777777" w:rsidR="00EC0EA6" w:rsidRDefault="00EC0EA6" w:rsidP="00EC0EA6">
      <w:pPr>
        <w:spacing w:before="100" w:after="100" w:line="360" w:lineRule="auto"/>
      </w:pPr>
    </w:p>
    <w:p w14:paraId="75FFB6BB" w14:textId="77777777" w:rsidR="00EC0EA6" w:rsidRDefault="00EC0EA6" w:rsidP="00EC0EA6">
      <w:pPr>
        <w:spacing w:before="100" w:after="100" w:line="360" w:lineRule="auto"/>
      </w:pPr>
    </w:p>
    <w:p w14:paraId="6E120BDB" w14:textId="77777777" w:rsidR="00EC0EA6" w:rsidRDefault="00EC0EA6" w:rsidP="00EC0EA6">
      <w:pPr>
        <w:spacing w:before="100" w:after="100" w:line="360" w:lineRule="auto"/>
      </w:pPr>
    </w:p>
    <w:p w14:paraId="455DCE5D" w14:textId="77777777" w:rsidR="00EC0EA6" w:rsidRDefault="00EC0EA6" w:rsidP="00EC0EA6">
      <w:pPr>
        <w:spacing w:before="80" w:after="80" w:line="276" w:lineRule="auto"/>
      </w:pPr>
      <w:r>
        <w:rPr>
          <w:b/>
          <w:bCs/>
        </w:rPr>
        <w:lastRenderedPageBreak/>
        <w:t xml:space="preserve">Table 3 </w:t>
      </w:r>
      <w:r>
        <w:t>The EU AI Act's four risk categories and provides examples of each.</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72"/>
        <w:gridCol w:w="3001"/>
        <w:gridCol w:w="4487"/>
      </w:tblGrid>
      <w:tr w:rsidR="00EC0EA6" w14:paraId="71FB974A" w14:textId="77777777" w:rsidTr="00EB1C64">
        <w:tc>
          <w:tcPr>
            <w:tcW w:w="0" w:type="auto"/>
            <w:shd w:val="clear" w:color="auto" w:fill="80340D" w:themeFill="accent2" w:themeFillShade="80"/>
            <w:tcMar>
              <w:top w:w="80" w:type="dxa"/>
              <w:left w:w="140" w:type="dxa"/>
              <w:bottom w:w="80" w:type="dxa"/>
              <w:right w:w="140" w:type="dxa"/>
            </w:tcMar>
          </w:tcPr>
          <w:p w14:paraId="3AC29EBA" w14:textId="77777777" w:rsidR="00EC0EA6" w:rsidRDefault="00EC0EA6" w:rsidP="00EB1C64">
            <w:pPr>
              <w:jc w:val="center"/>
            </w:pPr>
            <w:r>
              <w:rPr>
                <w:b/>
                <w:bCs/>
                <w:color w:val="FFFFFF"/>
                <w:sz w:val="20"/>
                <w:szCs w:val="20"/>
              </w:rPr>
              <w:t>Risk Category</w:t>
            </w:r>
          </w:p>
        </w:tc>
        <w:tc>
          <w:tcPr>
            <w:tcW w:w="0" w:type="auto"/>
            <w:shd w:val="clear" w:color="auto" w:fill="80340D" w:themeFill="accent2" w:themeFillShade="80"/>
            <w:tcMar>
              <w:top w:w="80" w:type="dxa"/>
              <w:left w:w="140" w:type="dxa"/>
              <w:bottom w:w="80" w:type="dxa"/>
              <w:right w:w="140" w:type="dxa"/>
            </w:tcMar>
          </w:tcPr>
          <w:p w14:paraId="57501059" w14:textId="77777777" w:rsidR="00EC0EA6" w:rsidRDefault="00EC0EA6" w:rsidP="00EB1C64">
            <w:pPr>
              <w:jc w:val="center"/>
            </w:pPr>
            <w:r>
              <w:rPr>
                <w:b/>
                <w:bCs/>
                <w:color w:val="FFFFFF"/>
                <w:sz w:val="20"/>
                <w:szCs w:val="20"/>
              </w:rPr>
              <w:t>Regulatory Approach</w:t>
            </w:r>
          </w:p>
        </w:tc>
        <w:tc>
          <w:tcPr>
            <w:tcW w:w="0" w:type="auto"/>
            <w:shd w:val="clear" w:color="auto" w:fill="80340D" w:themeFill="accent2" w:themeFillShade="80"/>
            <w:tcMar>
              <w:top w:w="80" w:type="dxa"/>
              <w:left w:w="140" w:type="dxa"/>
              <w:bottom w:w="80" w:type="dxa"/>
              <w:right w:w="140" w:type="dxa"/>
            </w:tcMar>
          </w:tcPr>
          <w:p w14:paraId="35900AD0" w14:textId="77777777" w:rsidR="00EC0EA6" w:rsidRDefault="00EC0EA6" w:rsidP="00EB1C64">
            <w:pPr>
              <w:jc w:val="center"/>
            </w:pPr>
            <w:r>
              <w:rPr>
                <w:b/>
                <w:bCs/>
                <w:color w:val="FFFFFF"/>
                <w:sz w:val="20"/>
                <w:szCs w:val="20"/>
              </w:rPr>
              <w:t>Examples</w:t>
            </w:r>
          </w:p>
        </w:tc>
      </w:tr>
      <w:tr w:rsidR="00EC0EA6" w14:paraId="56B1B2AD" w14:textId="77777777" w:rsidTr="00EB1C64">
        <w:tc>
          <w:tcPr>
            <w:tcW w:w="0" w:type="auto"/>
            <w:shd w:val="clear" w:color="auto" w:fill="F1A983" w:themeFill="accent2" w:themeFillTint="99"/>
            <w:tcMar>
              <w:top w:w="80" w:type="dxa"/>
              <w:left w:w="140" w:type="dxa"/>
              <w:bottom w:w="80" w:type="dxa"/>
              <w:right w:w="140" w:type="dxa"/>
            </w:tcMar>
          </w:tcPr>
          <w:p w14:paraId="5BE7E7E5" w14:textId="77777777" w:rsidR="00EC0EA6" w:rsidRDefault="00EC0EA6" w:rsidP="00EB1C64">
            <w:r>
              <w:rPr>
                <w:sz w:val="20"/>
                <w:szCs w:val="20"/>
              </w:rPr>
              <w:t>Unacceptable Risk</w:t>
            </w:r>
          </w:p>
        </w:tc>
        <w:tc>
          <w:tcPr>
            <w:tcW w:w="0" w:type="auto"/>
            <w:shd w:val="clear" w:color="auto" w:fill="F1A983" w:themeFill="accent2" w:themeFillTint="99"/>
            <w:tcMar>
              <w:top w:w="80" w:type="dxa"/>
              <w:left w:w="140" w:type="dxa"/>
              <w:bottom w:w="80" w:type="dxa"/>
              <w:right w:w="140" w:type="dxa"/>
            </w:tcMar>
          </w:tcPr>
          <w:p w14:paraId="6AB81953" w14:textId="77777777" w:rsidR="00EC0EA6" w:rsidRDefault="00EC0EA6" w:rsidP="00EB1C64">
            <w:pPr>
              <w:jc w:val="center"/>
              <w:rPr>
                <w:sz w:val="20"/>
                <w:szCs w:val="20"/>
              </w:rPr>
            </w:pPr>
            <w:r w:rsidRPr="00E10D47">
              <w:rPr>
                <w:sz w:val="20"/>
                <w:szCs w:val="20"/>
              </w:rPr>
              <w:t>not permitted</w:t>
            </w:r>
            <w:r>
              <w:rPr>
                <w:sz w:val="20"/>
                <w:szCs w:val="20"/>
              </w:rPr>
              <w:t xml:space="preserve"> entirely</w:t>
            </w:r>
          </w:p>
          <w:p w14:paraId="33B07CE4" w14:textId="77777777" w:rsidR="00EC0EA6" w:rsidRDefault="00EC0EA6" w:rsidP="00EB1C64">
            <w:pPr>
              <w:jc w:val="center"/>
            </w:pPr>
          </w:p>
        </w:tc>
        <w:tc>
          <w:tcPr>
            <w:tcW w:w="0" w:type="auto"/>
            <w:shd w:val="clear" w:color="auto" w:fill="F1A983" w:themeFill="accent2" w:themeFillTint="99"/>
            <w:tcMar>
              <w:top w:w="80" w:type="dxa"/>
              <w:left w:w="140" w:type="dxa"/>
              <w:bottom w:w="80" w:type="dxa"/>
              <w:right w:w="140" w:type="dxa"/>
            </w:tcMar>
          </w:tcPr>
          <w:p w14:paraId="14B3F459" w14:textId="77777777" w:rsidR="00EC0EA6" w:rsidRDefault="00EC0EA6" w:rsidP="00EB1C64">
            <w:r>
              <w:rPr>
                <w:sz w:val="20"/>
                <w:szCs w:val="20"/>
              </w:rPr>
              <w:t>Social scoring, live biometric monitoring</w:t>
            </w:r>
          </w:p>
        </w:tc>
      </w:tr>
      <w:tr w:rsidR="00EC0EA6" w14:paraId="0BB3B258" w14:textId="77777777" w:rsidTr="00EB1C64">
        <w:tc>
          <w:tcPr>
            <w:tcW w:w="0" w:type="auto"/>
            <w:shd w:val="clear" w:color="auto" w:fill="F1A983" w:themeFill="accent2" w:themeFillTint="99"/>
            <w:tcMar>
              <w:top w:w="80" w:type="dxa"/>
              <w:left w:w="140" w:type="dxa"/>
              <w:bottom w:w="80" w:type="dxa"/>
              <w:right w:w="140" w:type="dxa"/>
            </w:tcMar>
          </w:tcPr>
          <w:p w14:paraId="7A208776" w14:textId="77777777" w:rsidR="00EC0EA6" w:rsidRDefault="00EC0EA6" w:rsidP="00EB1C64">
            <w:r>
              <w:rPr>
                <w:sz w:val="20"/>
                <w:szCs w:val="20"/>
              </w:rPr>
              <w:t>High Risk</w:t>
            </w:r>
          </w:p>
        </w:tc>
        <w:tc>
          <w:tcPr>
            <w:tcW w:w="0" w:type="auto"/>
            <w:shd w:val="clear" w:color="auto" w:fill="F1A983" w:themeFill="accent2" w:themeFillTint="99"/>
            <w:tcMar>
              <w:top w:w="80" w:type="dxa"/>
              <w:left w:w="140" w:type="dxa"/>
              <w:bottom w:w="80" w:type="dxa"/>
              <w:right w:w="140" w:type="dxa"/>
            </w:tcMar>
          </w:tcPr>
          <w:p w14:paraId="4CF9BA4B" w14:textId="77777777" w:rsidR="00EC0EA6" w:rsidRDefault="00EC0EA6" w:rsidP="00EB1C64">
            <w:pPr>
              <w:jc w:val="center"/>
              <w:rPr>
                <w:sz w:val="20"/>
                <w:szCs w:val="20"/>
              </w:rPr>
            </w:pPr>
            <w:r>
              <w:rPr>
                <w:sz w:val="20"/>
                <w:szCs w:val="20"/>
              </w:rPr>
              <w:t>tight requirements + audits</w:t>
            </w:r>
          </w:p>
          <w:p w14:paraId="236CB5FA" w14:textId="77777777" w:rsidR="00EC0EA6" w:rsidRDefault="00EC0EA6" w:rsidP="00EB1C64">
            <w:pPr>
              <w:jc w:val="center"/>
            </w:pPr>
          </w:p>
        </w:tc>
        <w:tc>
          <w:tcPr>
            <w:tcW w:w="0" w:type="auto"/>
            <w:shd w:val="clear" w:color="auto" w:fill="F1A983" w:themeFill="accent2" w:themeFillTint="99"/>
            <w:tcMar>
              <w:top w:w="80" w:type="dxa"/>
              <w:left w:w="140" w:type="dxa"/>
              <w:bottom w:w="80" w:type="dxa"/>
              <w:right w:w="140" w:type="dxa"/>
            </w:tcMar>
          </w:tcPr>
          <w:p w14:paraId="1C8DEC6C" w14:textId="77777777" w:rsidR="00EC0EA6" w:rsidRDefault="00EC0EA6" w:rsidP="00EB1C64">
            <w:r>
              <w:rPr>
                <w:sz w:val="20"/>
                <w:szCs w:val="20"/>
              </w:rPr>
              <w:t>AI in hiring, healthcare devices, credit scoring</w:t>
            </w:r>
          </w:p>
        </w:tc>
      </w:tr>
      <w:tr w:rsidR="00EC0EA6" w14:paraId="7D30861B" w14:textId="77777777" w:rsidTr="00EB1C64">
        <w:tc>
          <w:tcPr>
            <w:tcW w:w="0" w:type="auto"/>
            <w:shd w:val="clear" w:color="auto" w:fill="F1A983" w:themeFill="accent2" w:themeFillTint="99"/>
            <w:tcMar>
              <w:top w:w="80" w:type="dxa"/>
              <w:left w:w="140" w:type="dxa"/>
              <w:bottom w:w="80" w:type="dxa"/>
              <w:right w:w="140" w:type="dxa"/>
            </w:tcMar>
          </w:tcPr>
          <w:p w14:paraId="07CD9BE9" w14:textId="77777777" w:rsidR="00EC0EA6" w:rsidRDefault="00EC0EA6" w:rsidP="00EB1C64">
            <w:r>
              <w:rPr>
                <w:sz w:val="20"/>
                <w:szCs w:val="20"/>
              </w:rPr>
              <w:t>Limited Risk</w:t>
            </w:r>
          </w:p>
        </w:tc>
        <w:tc>
          <w:tcPr>
            <w:tcW w:w="0" w:type="auto"/>
            <w:shd w:val="clear" w:color="auto" w:fill="F1A983" w:themeFill="accent2" w:themeFillTint="99"/>
            <w:tcMar>
              <w:top w:w="80" w:type="dxa"/>
              <w:left w:w="140" w:type="dxa"/>
              <w:bottom w:w="80" w:type="dxa"/>
              <w:right w:w="140" w:type="dxa"/>
            </w:tcMar>
          </w:tcPr>
          <w:p w14:paraId="75E2E71F" w14:textId="77777777" w:rsidR="00EC0EA6" w:rsidRDefault="00EC0EA6" w:rsidP="00EB1C64">
            <w:pPr>
              <w:jc w:val="center"/>
            </w:pPr>
            <w:r>
              <w:rPr>
                <w:sz w:val="20"/>
                <w:szCs w:val="20"/>
              </w:rPr>
              <w:t>Transparency disclosure required</w:t>
            </w:r>
          </w:p>
        </w:tc>
        <w:tc>
          <w:tcPr>
            <w:tcW w:w="0" w:type="auto"/>
            <w:shd w:val="clear" w:color="auto" w:fill="F1A983" w:themeFill="accent2" w:themeFillTint="99"/>
            <w:tcMar>
              <w:top w:w="80" w:type="dxa"/>
              <w:left w:w="140" w:type="dxa"/>
              <w:bottom w:w="80" w:type="dxa"/>
              <w:right w:w="140" w:type="dxa"/>
            </w:tcMar>
          </w:tcPr>
          <w:p w14:paraId="1CC99A48" w14:textId="77777777" w:rsidR="00EC0EA6" w:rsidRDefault="00EC0EA6" w:rsidP="00EB1C64">
            <w:r>
              <w:rPr>
                <w:sz w:val="20"/>
                <w:szCs w:val="20"/>
              </w:rPr>
              <w:t>AI chat assistants, deepfake generators</w:t>
            </w:r>
          </w:p>
        </w:tc>
      </w:tr>
      <w:tr w:rsidR="00EC0EA6" w14:paraId="35B94E52" w14:textId="77777777" w:rsidTr="00EB1C64">
        <w:tc>
          <w:tcPr>
            <w:tcW w:w="0" w:type="auto"/>
            <w:shd w:val="clear" w:color="auto" w:fill="F1A983" w:themeFill="accent2" w:themeFillTint="99"/>
            <w:tcMar>
              <w:top w:w="80" w:type="dxa"/>
              <w:left w:w="140" w:type="dxa"/>
              <w:bottom w:w="80" w:type="dxa"/>
              <w:right w:w="140" w:type="dxa"/>
            </w:tcMar>
          </w:tcPr>
          <w:p w14:paraId="4995C4BA" w14:textId="77777777" w:rsidR="00EC0EA6" w:rsidRDefault="00EC0EA6" w:rsidP="00EB1C64">
            <w:r>
              <w:rPr>
                <w:sz w:val="20"/>
                <w:szCs w:val="20"/>
              </w:rPr>
              <w:t>Minimal Risk</w:t>
            </w:r>
          </w:p>
        </w:tc>
        <w:tc>
          <w:tcPr>
            <w:tcW w:w="0" w:type="auto"/>
            <w:shd w:val="clear" w:color="auto" w:fill="F1A983" w:themeFill="accent2" w:themeFillTint="99"/>
            <w:tcMar>
              <w:top w:w="80" w:type="dxa"/>
              <w:left w:w="140" w:type="dxa"/>
              <w:bottom w:w="80" w:type="dxa"/>
              <w:right w:w="140" w:type="dxa"/>
            </w:tcMar>
          </w:tcPr>
          <w:p w14:paraId="11A8E46C" w14:textId="77777777" w:rsidR="00EC0EA6" w:rsidRDefault="00EC0EA6" w:rsidP="00EB1C64">
            <w:pPr>
              <w:jc w:val="center"/>
            </w:pPr>
            <w:r>
              <w:rPr>
                <w:sz w:val="20"/>
                <w:szCs w:val="20"/>
              </w:rPr>
              <w:t>No obligations</w:t>
            </w:r>
          </w:p>
        </w:tc>
        <w:tc>
          <w:tcPr>
            <w:tcW w:w="0" w:type="auto"/>
            <w:shd w:val="clear" w:color="auto" w:fill="F1A983" w:themeFill="accent2" w:themeFillTint="99"/>
            <w:tcMar>
              <w:top w:w="80" w:type="dxa"/>
              <w:left w:w="140" w:type="dxa"/>
              <w:bottom w:w="80" w:type="dxa"/>
              <w:right w:w="140" w:type="dxa"/>
            </w:tcMar>
          </w:tcPr>
          <w:p w14:paraId="174FB657" w14:textId="77777777" w:rsidR="00EC0EA6" w:rsidRDefault="00EC0EA6" w:rsidP="00EB1C64">
            <w:pPr>
              <w:rPr>
                <w:sz w:val="20"/>
                <w:szCs w:val="20"/>
              </w:rPr>
            </w:pPr>
            <w:r>
              <w:rPr>
                <w:sz w:val="20"/>
                <w:szCs w:val="20"/>
              </w:rPr>
              <w:t>Spam detection systems and AI used in video games</w:t>
            </w:r>
          </w:p>
          <w:p w14:paraId="6812D66F" w14:textId="77777777" w:rsidR="00EC0EA6" w:rsidRDefault="00EC0EA6" w:rsidP="00EB1C64"/>
        </w:tc>
      </w:tr>
    </w:tbl>
    <w:p w14:paraId="20FE6C25" w14:textId="77777777" w:rsidR="00EC0EA6" w:rsidRDefault="00EC0EA6" w:rsidP="00EC0EA6"/>
    <w:p w14:paraId="5B877E70" w14:textId="77777777" w:rsidR="00EC0EA6" w:rsidRDefault="00EC0EA6" w:rsidP="00EC0EA6">
      <w:pPr>
        <w:pStyle w:val="Heading4"/>
      </w:pPr>
      <w:r>
        <w:t>Overview of the EU AI Act Risk Categories</w:t>
      </w:r>
    </w:p>
    <w:p w14:paraId="780A74F6" w14:textId="77777777" w:rsidR="00EC0EA6" w:rsidRPr="00576344" w:rsidRDefault="00EC0EA6" w:rsidP="00EC0EA6"/>
    <w:p w14:paraId="4435FF3F" w14:textId="77777777" w:rsidR="00EC0EA6" w:rsidRPr="00504298" w:rsidRDefault="00EC0EA6" w:rsidP="00EC0EA6">
      <w:pPr>
        <w:spacing w:line="360" w:lineRule="auto"/>
      </w:pPr>
      <w:r>
        <w:t>Table 3 is included to clearly explain the EU AI Act’s four risk categories [6]. It shows how different AI Applications are regulated based on their risk level, from those that are completely banned to those with no obligations. This helps the reader understand that AI regulation is not the same for every application.</w:t>
      </w:r>
    </w:p>
    <w:p w14:paraId="668DF3B8" w14:textId="77777777" w:rsidR="00EC0EA6" w:rsidRPr="00C66006" w:rsidRDefault="00EC0EA6" w:rsidP="00EC0EA6">
      <w:pPr>
        <w:pStyle w:val="Heading1"/>
        <w:rPr>
          <w:sz w:val="32"/>
          <w:szCs w:val="32"/>
        </w:rPr>
      </w:pPr>
      <w:bookmarkStart w:id="8" w:name="_Toc234619669"/>
      <w:r>
        <w:rPr>
          <w:sz w:val="32"/>
          <w:szCs w:val="32"/>
        </w:rPr>
        <w:t>3</w:t>
      </w:r>
      <w:r w:rsidRPr="00C66006">
        <w:rPr>
          <w:sz w:val="32"/>
          <w:szCs w:val="32"/>
        </w:rPr>
        <w:t>. Ethics in AI and Machine Learning</w:t>
      </w:r>
      <w:bookmarkEnd w:id="8"/>
    </w:p>
    <w:p w14:paraId="6ECBBFE5" w14:textId="77777777" w:rsidR="00EC0EA6" w:rsidRPr="00B77A48" w:rsidRDefault="00EC0EA6" w:rsidP="00EC0EA6">
      <w:pPr>
        <w:pStyle w:val="Heading2"/>
        <w:rPr>
          <w:color w:val="EE0000"/>
          <w:sz w:val="28"/>
          <w:szCs w:val="28"/>
        </w:rPr>
      </w:pPr>
      <w:bookmarkStart w:id="9" w:name="_Toc234619670"/>
      <w:r>
        <w:rPr>
          <w:sz w:val="28"/>
          <w:szCs w:val="28"/>
        </w:rPr>
        <w:t>3</w:t>
      </w:r>
      <w:r w:rsidRPr="00C66006">
        <w:rPr>
          <w:sz w:val="28"/>
          <w:szCs w:val="28"/>
        </w:rPr>
        <w:t>.1 Core Ethical Principles</w:t>
      </w:r>
      <w:bookmarkEnd w:id="9"/>
      <w:r>
        <w:rPr>
          <w:sz w:val="28"/>
          <w:szCs w:val="28"/>
        </w:rPr>
        <w:t xml:space="preserve">      </w:t>
      </w:r>
    </w:p>
    <w:p w14:paraId="198D9D2B" w14:textId="77777777" w:rsidR="00EC0EA6" w:rsidRDefault="00EC0EA6" w:rsidP="00EC0EA6">
      <w:pPr>
        <w:spacing w:line="360" w:lineRule="auto"/>
      </w:pPr>
      <w:r w:rsidRPr="002E19E2">
        <w:t>Ethics refer to the principles and values that shape perceptions of right and wrong, guiding decisions in complex settings. In the AI sector, several ethical commitments have gained widespread acceptance, including fairness, transparency, accountability, privacy, and safety [7]. These principles are increasingly embedded in policies, industry standards, and governance practices that oversee AI systems from design to retirement.</w:t>
      </w:r>
    </w:p>
    <w:p w14:paraId="68D34087" w14:textId="77777777" w:rsidR="00EC0EA6" w:rsidRPr="00C66006" w:rsidRDefault="00EC0EA6" w:rsidP="00EC0EA6">
      <w:pPr>
        <w:pStyle w:val="Heading2"/>
        <w:rPr>
          <w:sz w:val="28"/>
          <w:szCs w:val="28"/>
        </w:rPr>
      </w:pPr>
      <w:bookmarkStart w:id="10" w:name="_Toc234619671"/>
      <w:r>
        <w:rPr>
          <w:sz w:val="28"/>
          <w:szCs w:val="28"/>
        </w:rPr>
        <w:t>3</w:t>
      </w:r>
      <w:r w:rsidRPr="00C66006">
        <w:rPr>
          <w:sz w:val="28"/>
          <w:szCs w:val="28"/>
        </w:rPr>
        <w:t>.2 Bias and Fairness</w:t>
      </w:r>
      <w:bookmarkEnd w:id="10"/>
    </w:p>
    <w:p w14:paraId="0B5F66F1" w14:textId="77777777" w:rsidR="00EC0EA6" w:rsidRDefault="00EC0EA6" w:rsidP="00EC0EA6">
      <w:pPr>
        <w:spacing w:line="360" w:lineRule="auto"/>
      </w:pPr>
      <w:r>
        <w:t xml:space="preserve">Bias remains one of the key ethical challenges facing AI today. Evidence indicates that facial recognition software performs less accurately for people with darker skin, and that clinical algorithms have persistently undervalued the healthcare needs of Black patients in comparison to white patients experiencing similar conditions [1], [2]. Such findings </w:t>
      </w:r>
      <w:r>
        <w:lastRenderedPageBreak/>
        <w:t>make it clear that technological systems are inherently shaped by their design choices, and that fairness must be proactively embedded and rigorously tested rather than assumed.</w:t>
      </w:r>
    </w:p>
    <w:p w14:paraId="65FCF49B" w14:textId="77777777" w:rsidR="00EC0EA6" w:rsidRDefault="00EC0EA6" w:rsidP="00EC0EA6">
      <w:pPr>
        <w:spacing w:line="360" w:lineRule="auto"/>
      </w:pPr>
      <w:r>
        <w:t>Addressing bias in AI systems requires development teams that are diverse in both composition and perspective [1]. This diversity helps ensure that a broad range of viewpoints informs the design and evaluation process. In addition, careful examination of training data is necessary to detect and correct underlying imbalances [2]. Ongoing monitoring of deployed systems is also essential. This allows for the identification of discriminatory outcomes and enables timely corrective action.</w:t>
      </w:r>
    </w:p>
    <w:p w14:paraId="3440BBF8" w14:textId="77777777" w:rsidR="00EC0EA6" w:rsidRDefault="00EC0EA6" w:rsidP="00EC0EA6"/>
    <w:p w14:paraId="3277F4E2" w14:textId="77777777" w:rsidR="00EC0EA6" w:rsidRPr="005F4391" w:rsidRDefault="00EC0EA6" w:rsidP="00EC0EA6">
      <w:pPr>
        <w:pStyle w:val="Heading2"/>
        <w:rPr>
          <w:sz w:val="28"/>
          <w:szCs w:val="28"/>
        </w:rPr>
      </w:pPr>
      <w:bookmarkStart w:id="11" w:name="_Toc234619672"/>
      <w:r>
        <w:rPr>
          <w:sz w:val="28"/>
          <w:szCs w:val="28"/>
        </w:rPr>
        <w:t>3</w:t>
      </w:r>
      <w:r w:rsidRPr="005F4391">
        <w:rPr>
          <w:sz w:val="28"/>
          <w:szCs w:val="28"/>
        </w:rPr>
        <w:t>.3 Explainability and Accountability</w:t>
      </w:r>
      <w:bookmarkEnd w:id="11"/>
    </w:p>
    <w:p w14:paraId="3EFA4922" w14:textId="77777777" w:rsidR="00EC0EA6" w:rsidRDefault="00EC0EA6" w:rsidP="00EC0EA6">
      <w:pPr>
        <w:spacing w:line="360" w:lineRule="auto"/>
      </w:pPr>
      <w:r w:rsidRPr="00DF250C">
        <w:t>Explainability and accountability are closely connected. When an AI system decides with significant consequences, such as rejecting a loan application or flagging a security threat, those affected have a right to understand the reasoning behind that decision. The field of Explainable AI, or XAI, seeks to address that very challenge. It aims to develop techniques that make model outputs more interpretable. However, there is often a trade-off between interpretability and predictive accuracy. Improving one frequently comes at the expense of the other [8].</w:t>
      </w:r>
    </w:p>
    <w:p w14:paraId="22D47EAF" w14:textId="77777777" w:rsidR="00EC0EA6" w:rsidRDefault="00EC0EA6" w:rsidP="00EC0EA6">
      <w:pPr>
        <w:spacing w:before="100" w:after="100" w:line="360" w:lineRule="auto"/>
      </w:pPr>
      <w:r w:rsidRPr="00451B0B">
        <w:t>Accountability depends on organizations keeping detailed documentation of how AI systems are built, evaluated, and put into use. To support this, some experts have suggested algorithmic auditing. This involves external reviewers examining AI systems for fairness, dependability, and adherence to ethical guidelines. The approach draws clear parallels to financial auditing practices [9]</w:t>
      </w:r>
      <w:r>
        <w:t>.</w:t>
      </w:r>
    </w:p>
    <w:p w14:paraId="4D0CD78A" w14:textId="77777777" w:rsidR="00EC0EA6" w:rsidRPr="005F4391" w:rsidRDefault="00EC0EA6" w:rsidP="00EC0EA6">
      <w:pPr>
        <w:pStyle w:val="Heading1"/>
        <w:rPr>
          <w:sz w:val="32"/>
          <w:szCs w:val="32"/>
        </w:rPr>
      </w:pPr>
      <w:bookmarkStart w:id="12" w:name="_Toc234619673"/>
      <w:r>
        <w:rPr>
          <w:sz w:val="32"/>
          <w:szCs w:val="32"/>
        </w:rPr>
        <w:t>4</w:t>
      </w:r>
      <w:r w:rsidRPr="005F4391">
        <w:rPr>
          <w:sz w:val="32"/>
          <w:szCs w:val="32"/>
        </w:rPr>
        <w:t>. Compliance and Regulatory Frameworks</w:t>
      </w:r>
      <w:bookmarkEnd w:id="12"/>
    </w:p>
    <w:p w14:paraId="00B5AC6B" w14:textId="77777777" w:rsidR="00EC0EA6" w:rsidRPr="005F4391" w:rsidRDefault="00EC0EA6" w:rsidP="00EC0EA6">
      <w:pPr>
        <w:pStyle w:val="Heading2"/>
        <w:rPr>
          <w:sz w:val="28"/>
          <w:szCs w:val="28"/>
        </w:rPr>
      </w:pPr>
      <w:bookmarkStart w:id="13" w:name="_Toc234619674"/>
      <w:r>
        <w:rPr>
          <w:sz w:val="28"/>
          <w:szCs w:val="28"/>
        </w:rPr>
        <w:t>4</w:t>
      </w:r>
      <w:r w:rsidRPr="005F4391">
        <w:rPr>
          <w:sz w:val="28"/>
          <w:szCs w:val="28"/>
        </w:rPr>
        <w:t>.1 Global Regulatory Landscape</w:t>
      </w:r>
      <w:bookmarkEnd w:id="13"/>
    </w:p>
    <w:p w14:paraId="54A42BD5" w14:textId="77777777" w:rsidR="00EC0EA6" w:rsidRDefault="00EC0EA6" w:rsidP="00EC0EA6">
      <w:pPr>
        <w:spacing w:line="360" w:lineRule="auto"/>
      </w:pPr>
      <w:r w:rsidRPr="00B555B5">
        <w:t xml:space="preserve">The regulatory landscape for AI is changing at a rapid pace. The EU AI Act, </w:t>
      </w:r>
      <w:r>
        <w:t>enacted</w:t>
      </w:r>
      <w:r w:rsidRPr="00B555B5">
        <w:t xml:space="preserve"> in 2024, </w:t>
      </w:r>
      <w:r>
        <w:t>marks the world’s first comprehensive AI law and has emerged as a global point of reference</w:t>
      </w:r>
      <w:r w:rsidRPr="00B555B5">
        <w:t xml:space="preserve">. In contrast, the United States has </w:t>
      </w:r>
      <w:r>
        <w:t>taken a more sector-based</w:t>
      </w:r>
      <w:r w:rsidRPr="00B555B5">
        <w:t xml:space="preserve"> strategy. China has focused its regulations on recommendation algorithms and deep synthesis tools. </w:t>
      </w:r>
      <w:r w:rsidRPr="00B555B5">
        <w:lastRenderedPageBreak/>
        <w:t xml:space="preserve">Meanwhile, the OECD Principles on AI, adopted by more than 40 countries in 2019, provide a non-mandatory framework </w:t>
      </w:r>
      <w:r>
        <w:t>based</w:t>
      </w:r>
      <w:r w:rsidRPr="00B555B5">
        <w:t xml:space="preserve"> on inclusive growth, transparency, and accountability [3], [10].</w:t>
      </w:r>
    </w:p>
    <w:p w14:paraId="3932759A" w14:textId="77777777" w:rsidR="00EC0EA6" w:rsidRPr="00B555B5" w:rsidRDefault="00EC0EA6" w:rsidP="00EC0EA6">
      <w:pPr>
        <w:spacing w:line="360" w:lineRule="auto"/>
      </w:pPr>
    </w:p>
    <w:p w14:paraId="5FD67779" w14:textId="77777777" w:rsidR="00EC0EA6" w:rsidRDefault="00EC0EA6" w:rsidP="00EC0EA6">
      <w:pPr>
        <w:spacing w:before="80" w:after="80" w:line="360" w:lineRule="auto"/>
      </w:pPr>
      <w:r>
        <w:rPr>
          <w:b/>
          <w:bCs/>
        </w:rPr>
        <w:t xml:space="preserve">Table 4 </w:t>
      </w:r>
      <w:r>
        <w:t>presents a comparison of major AI regulatory frameworks from around the world.</w:t>
      </w:r>
    </w:p>
    <w:tbl>
      <w:tblPr>
        <w:tblW w:w="9360" w:type="dxa"/>
        <w:tblInd w:w="-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58"/>
        <w:gridCol w:w="1489"/>
        <w:gridCol w:w="1787"/>
        <w:gridCol w:w="3726"/>
      </w:tblGrid>
      <w:tr w:rsidR="00EC0EA6" w14:paraId="3430724F" w14:textId="77777777" w:rsidTr="00EB1C64">
        <w:tc>
          <w:tcPr>
            <w:tcW w:w="0" w:type="auto"/>
            <w:shd w:val="clear" w:color="auto" w:fill="80340D" w:themeFill="accent2" w:themeFillShade="80"/>
            <w:tcMar>
              <w:top w:w="80" w:type="dxa"/>
              <w:left w:w="140" w:type="dxa"/>
              <w:bottom w:w="80" w:type="dxa"/>
              <w:right w:w="140" w:type="dxa"/>
            </w:tcMar>
          </w:tcPr>
          <w:p w14:paraId="41B257B1" w14:textId="77777777" w:rsidR="00EC0EA6" w:rsidRDefault="00EC0EA6" w:rsidP="00EB1C64">
            <w:pPr>
              <w:jc w:val="center"/>
            </w:pPr>
            <w:r>
              <w:rPr>
                <w:b/>
                <w:bCs/>
                <w:color w:val="FFFFFF"/>
                <w:sz w:val="20"/>
                <w:szCs w:val="20"/>
              </w:rPr>
              <w:t>Framework</w:t>
            </w:r>
          </w:p>
        </w:tc>
        <w:tc>
          <w:tcPr>
            <w:tcW w:w="0" w:type="auto"/>
            <w:shd w:val="clear" w:color="auto" w:fill="80340D" w:themeFill="accent2" w:themeFillShade="80"/>
            <w:tcMar>
              <w:top w:w="80" w:type="dxa"/>
              <w:left w:w="140" w:type="dxa"/>
              <w:bottom w:w="80" w:type="dxa"/>
              <w:right w:w="140" w:type="dxa"/>
            </w:tcMar>
          </w:tcPr>
          <w:p w14:paraId="71DAE901" w14:textId="77777777" w:rsidR="00EC0EA6" w:rsidRDefault="00EC0EA6" w:rsidP="00EB1C64">
            <w:pPr>
              <w:jc w:val="center"/>
            </w:pPr>
            <w:r>
              <w:rPr>
                <w:b/>
                <w:bCs/>
                <w:color w:val="FFFFFF"/>
                <w:sz w:val="20"/>
                <w:szCs w:val="20"/>
              </w:rPr>
              <w:t>Region</w:t>
            </w:r>
          </w:p>
        </w:tc>
        <w:tc>
          <w:tcPr>
            <w:tcW w:w="0" w:type="auto"/>
            <w:shd w:val="clear" w:color="auto" w:fill="80340D" w:themeFill="accent2" w:themeFillShade="80"/>
            <w:tcMar>
              <w:top w:w="80" w:type="dxa"/>
              <w:left w:w="140" w:type="dxa"/>
              <w:bottom w:w="80" w:type="dxa"/>
              <w:right w:w="140" w:type="dxa"/>
            </w:tcMar>
          </w:tcPr>
          <w:p w14:paraId="7629C50B" w14:textId="77777777" w:rsidR="00EC0EA6" w:rsidRDefault="00EC0EA6" w:rsidP="00EB1C64">
            <w:pPr>
              <w:jc w:val="center"/>
            </w:pPr>
            <w:r>
              <w:rPr>
                <w:b/>
                <w:bCs/>
                <w:color w:val="FFFFFF"/>
                <w:sz w:val="20"/>
                <w:szCs w:val="20"/>
              </w:rPr>
              <w:t>Type</w:t>
            </w:r>
          </w:p>
        </w:tc>
        <w:tc>
          <w:tcPr>
            <w:tcW w:w="0" w:type="auto"/>
            <w:shd w:val="clear" w:color="auto" w:fill="80340D" w:themeFill="accent2" w:themeFillShade="80"/>
            <w:tcMar>
              <w:top w:w="80" w:type="dxa"/>
              <w:left w:w="140" w:type="dxa"/>
              <w:bottom w:w="80" w:type="dxa"/>
              <w:right w:w="140" w:type="dxa"/>
            </w:tcMar>
          </w:tcPr>
          <w:p w14:paraId="3B793699" w14:textId="77777777" w:rsidR="00EC0EA6" w:rsidRDefault="00EC0EA6" w:rsidP="00EB1C64">
            <w:pPr>
              <w:jc w:val="center"/>
            </w:pPr>
            <w:r>
              <w:rPr>
                <w:b/>
                <w:bCs/>
                <w:color w:val="FFFFFF"/>
                <w:sz w:val="20"/>
                <w:szCs w:val="20"/>
              </w:rPr>
              <w:t>Key Focus</w:t>
            </w:r>
          </w:p>
        </w:tc>
      </w:tr>
      <w:tr w:rsidR="00EC0EA6" w14:paraId="38C21DE6" w14:textId="77777777" w:rsidTr="00EB1C64">
        <w:tc>
          <w:tcPr>
            <w:tcW w:w="0" w:type="auto"/>
            <w:shd w:val="clear" w:color="auto" w:fill="F1A983" w:themeFill="accent2" w:themeFillTint="99"/>
            <w:tcMar>
              <w:top w:w="80" w:type="dxa"/>
              <w:left w:w="140" w:type="dxa"/>
              <w:bottom w:w="80" w:type="dxa"/>
              <w:right w:w="140" w:type="dxa"/>
            </w:tcMar>
          </w:tcPr>
          <w:p w14:paraId="419E1BAA" w14:textId="77777777" w:rsidR="00EC0EA6" w:rsidRDefault="00EC0EA6" w:rsidP="00EB1C64">
            <w:r>
              <w:rPr>
                <w:sz w:val="20"/>
                <w:szCs w:val="20"/>
              </w:rPr>
              <w:t>EU AI Act (2024)</w:t>
            </w:r>
          </w:p>
        </w:tc>
        <w:tc>
          <w:tcPr>
            <w:tcW w:w="0" w:type="auto"/>
            <w:shd w:val="clear" w:color="auto" w:fill="F1A983" w:themeFill="accent2" w:themeFillTint="99"/>
            <w:tcMar>
              <w:top w:w="80" w:type="dxa"/>
              <w:left w:w="140" w:type="dxa"/>
              <w:bottom w:w="80" w:type="dxa"/>
              <w:right w:w="140" w:type="dxa"/>
            </w:tcMar>
          </w:tcPr>
          <w:p w14:paraId="69980FDD" w14:textId="77777777" w:rsidR="00EC0EA6" w:rsidRDefault="00EC0EA6" w:rsidP="00EB1C64">
            <w:pPr>
              <w:jc w:val="center"/>
            </w:pPr>
            <w:r>
              <w:rPr>
                <w:sz w:val="20"/>
                <w:szCs w:val="20"/>
              </w:rPr>
              <w:t>European Union</w:t>
            </w:r>
          </w:p>
        </w:tc>
        <w:tc>
          <w:tcPr>
            <w:tcW w:w="0" w:type="auto"/>
            <w:shd w:val="clear" w:color="auto" w:fill="F1A983" w:themeFill="accent2" w:themeFillTint="99"/>
            <w:tcMar>
              <w:top w:w="80" w:type="dxa"/>
              <w:left w:w="140" w:type="dxa"/>
              <w:bottom w:w="80" w:type="dxa"/>
              <w:right w:w="140" w:type="dxa"/>
            </w:tcMar>
          </w:tcPr>
          <w:p w14:paraId="09A57997" w14:textId="77777777" w:rsidR="00EC0EA6" w:rsidRDefault="00EC0EA6" w:rsidP="00EB1C64">
            <w:pPr>
              <w:jc w:val="center"/>
            </w:pPr>
            <w:r>
              <w:rPr>
                <w:sz w:val="20"/>
                <w:szCs w:val="20"/>
              </w:rPr>
              <w:t>Legally binding</w:t>
            </w:r>
          </w:p>
        </w:tc>
        <w:tc>
          <w:tcPr>
            <w:tcW w:w="0" w:type="auto"/>
            <w:shd w:val="clear" w:color="auto" w:fill="F1A983" w:themeFill="accent2" w:themeFillTint="99"/>
            <w:tcMar>
              <w:top w:w="80" w:type="dxa"/>
              <w:left w:w="140" w:type="dxa"/>
              <w:bottom w:w="80" w:type="dxa"/>
              <w:right w:w="140" w:type="dxa"/>
            </w:tcMar>
          </w:tcPr>
          <w:p w14:paraId="2C364357" w14:textId="77777777" w:rsidR="00EC0EA6" w:rsidRDefault="00EC0EA6" w:rsidP="00EB1C64">
            <w:r>
              <w:rPr>
                <w:sz w:val="20"/>
                <w:szCs w:val="20"/>
              </w:rPr>
              <w:t xml:space="preserve">Classification of AI systems by risk level </w:t>
            </w:r>
          </w:p>
        </w:tc>
      </w:tr>
      <w:tr w:rsidR="00EC0EA6" w14:paraId="77624C31" w14:textId="77777777" w:rsidTr="00EB1C64">
        <w:tc>
          <w:tcPr>
            <w:tcW w:w="0" w:type="auto"/>
            <w:shd w:val="clear" w:color="auto" w:fill="F1A983" w:themeFill="accent2" w:themeFillTint="99"/>
            <w:tcMar>
              <w:top w:w="80" w:type="dxa"/>
              <w:left w:w="140" w:type="dxa"/>
              <w:bottom w:w="80" w:type="dxa"/>
              <w:right w:w="140" w:type="dxa"/>
            </w:tcMar>
          </w:tcPr>
          <w:p w14:paraId="0A01CA5D" w14:textId="77777777" w:rsidR="00EC0EA6" w:rsidRDefault="00EC0EA6" w:rsidP="00EB1C64">
            <w:r>
              <w:rPr>
                <w:sz w:val="20"/>
                <w:szCs w:val="20"/>
              </w:rPr>
              <w:t>OECD AI Principles (2019)</w:t>
            </w:r>
          </w:p>
        </w:tc>
        <w:tc>
          <w:tcPr>
            <w:tcW w:w="0" w:type="auto"/>
            <w:shd w:val="clear" w:color="auto" w:fill="F1A983" w:themeFill="accent2" w:themeFillTint="99"/>
            <w:tcMar>
              <w:top w:w="80" w:type="dxa"/>
              <w:left w:w="140" w:type="dxa"/>
              <w:bottom w:w="80" w:type="dxa"/>
              <w:right w:w="140" w:type="dxa"/>
            </w:tcMar>
          </w:tcPr>
          <w:p w14:paraId="01BD020B" w14:textId="77777777" w:rsidR="00EC0EA6" w:rsidRDefault="00EC0EA6" w:rsidP="00EB1C64">
            <w:pPr>
              <w:jc w:val="center"/>
            </w:pPr>
            <w:r>
              <w:rPr>
                <w:sz w:val="20"/>
                <w:szCs w:val="20"/>
              </w:rPr>
              <w:t>40+ countries</w:t>
            </w:r>
          </w:p>
        </w:tc>
        <w:tc>
          <w:tcPr>
            <w:tcW w:w="0" w:type="auto"/>
            <w:shd w:val="clear" w:color="auto" w:fill="F1A983" w:themeFill="accent2" w:themeFillTint="99"/>
            <w:tcMar>
              <w:top w:w="80" w:type="dxa"/>
              <w:left w:w="140" w:type="dxa"/>
              <w:bottom w:w="80" w:type="dxa"/>
              <w:right w:w="140" w:type="dxa"/>
            </w:tcMar>
          </w:tcPr>
          <w:p w14:paraId="4B041293" w14:textId="77777777" w:rsidR="00EC0EA6" w:rsidRDefault="00EC0EA6" w:rsidP="00EB1C64">
            <w:pPr>
              <w:jc w:val="center"/>
            </w:pPr>
            <w:r>
              <w:rPr>
                <w:sz w:val="20"/>
                <w:szCs w:val="20"/>
              </w:rPr>
              <w:t>Voluntary</w:t>
            </w:r>
          </w:p>
        </w:tc>
        <w:tc>
          <w:tcPr>
            <w:tcW w:w="0" w:type="auto"/>
            <w:shd w:val="clear" w:color="auto" w:fill="F1A983" w:themeFill="accent2" w:themeFillTint="99"/>
            <w:tcMar>
              <w:top w:w="80" w:type="dxa"/>
              <w:left w:w="140" w:type="dxa"/>
              <w:bottom w:w="80" w:type="dxa"/>
              <w:right w:w="140" w:type="dxa"/>
            </w:tcMar>
          </w:tcPr>
          <w:p w14:paraId="76495C2E" w14:textId="77777777" w:rsidR="00EC0EA6" w:rsidRDefault="00EC0EA6" w:rsidP="00EB1C64">
            <w:r>
              <w:rPr>
                <w:sz w:val="20"/>
                <w:szCs w:val="20"/>
              </w:rPr>
              <w:t>Transparency, accountability, human-centred AI</w:t>
            </w:r>
          </w:p>
        </w:tc>
      </w:tr>
      <w:tr w:rsidR="00EC0EA6" w14:paraId="32004E7A" w14:textId="77777777" w:rsidTr="00EB1C64">
        <w:tc>
          <w:tcPr>
            <w:tcW w:w="0" w:type="auto"/>
            <w:shd w:val="clear" w:color="auto" w:fill="F1A983" w:themeFill="accent2" w:themeFillTint="99"/>
            <w:tcMar>
              <w:top w:w="80" w:type="dxa"/>
              <w:left w:w="140" w:type="dxa"/>
              <w:bottom w:w="80" w:type="dxa"/>
              <w:right w:w="140" w:type="dxa"/>
            </w:tcMar>
          </w:tcPr>
          <w:p w14:paraId="1111DAD5" w14:textId="77777777" w:rsidR="00EC0EA6" w:rsidRDefault="00EC0EA6" w:rsidP="00EB1C64">
            <w:r>
              <w:rPr>
                <w:sz w:val="20"/>
                <w:szCs w:val="20"/>
              </w:rPr>
              <w:t>UNESCO AI Ethics Rec. (2021)</w:t>
            </w:r>
          </w:p>
        </w:tc>
        <w:tc>
          <w:tcPr>
            <w:tcW w:w="0" w:type="auto"/>
            <w:shd w:val="clear" w:color="auto" w:fill="F1A983" w:themeFill="accent2" w:themeFillTint="99"/>
            <w:tcMar>
              <w:top w:w="80" w:type="dxa"/>
              <w:left w:w="140" w:type="dxa"/>
              <w:bottom w:w="80" w:type="dxa"/>
              <w:right w:w="140" w:type="dxa"/>
            </w:tcMar>
          </w:tcPr>
          <w:p w14:paraId="7504C790" w14:textId="77777777" w:rsidR="00EC0EA6" w:rsidRDefault="00EC0EA6" w:rsidP="00EB1C64">
            <w:pPr>
              <w:jc w:val="center"/>
            </w:pPr>
            <w:r>
              <w:rPr>
                <w:sz w:val="20"/>
                <w:szCs w:val="20"/>
              </w:rPr>
              <w:t>Global</w:t>
            </w:r>
          </w:p>
        </w:tc>
        <w:tc>
          <w:tcPr>
            <w:tcW w:w="0" w:type="auto"/>
            <w:shd w:val="clear" w:color="auto" w:fill="F1A983" w:themeFill="accent2" w:themeFillTint="99"/>
            <w:tcMar>
              <w:top w:w="80" w:type="dxa"/>
              <w:left w:w="140" w:type="dxa"/>
              <w:bottom w:w="80" w:type="dxa"/>
              <w:right w:w="140" w:type="dxa"/>
            </w:tcMar>
          </w:tcPr>
          <w:p w14:paraId="5368C344" w14:textId="77777777" w:rsidR="00EC0EA6" w:rsidRDefault="00EC0EA6" w:rsidP="00EB1C64">
            <w:pPr>
              <w:jc w:val="center"/>
            </w:pPr>
            <w:r>
              <w:rPr>
                <w:sz w:val="20"/>
                <w:szCs w:val="20"/>
              </w:rPr>
              <w:t>Voluntary</w:t>
            </w:r>
          </w:p>
        </w:tc>
        <w:tc>
          <w:tcPr>
            <w:tcW w:w="0" w:type="auto"/>
            <w:shd w:val="clear" w:color="auto" w:fill="F1A983" w:themeFill="accent2" w:themeFillTint="99"/>
            <w:tcMar>
              <w:top w:w="80" w:type="dxa"/>
              <w:left w:w="140" w:type="dxa"/>
              <w:bottom w:w="80" w:type="dxa"/>
              <w:right w:w="140" w:type="dxa"/>
            </w:tcMar>
          </w:tcPr>
          <w:p w14:paraId="7517ED87" w14:textId="77777777" w:rsidR="00EC0EA6" w:rsidRDefault="00EC0EA6" w:rsidP="00EB1C64">
            <w:r>
              <w:rPr>
                <w:sz w:val="20"/>
                <w:szCs w:val="20"/>
              </w:rPr>
              <w:t>Human rights, fairness, environmental sustainability</w:t>
            </w:r>
          </w:p>
        </w:tc>
      </w:tr>
      <w:tr w:rsidR="00EC0EA6" w14:paraId="6DD9C645" w14:textId="77777777" w:rsidTr="00EB1C64">
        <w:tc>
          <w:tcPr>
            <w:tcW w:w="0" w:type="auto"/>
            <w:shd w:val="clear" w:color="auto" w:fill="F1A983" w:themeFill="accent2" w:themeFillTint="99"/>
            <w:tcMar>
              <w:top w:w="80" w:type="dxa"/>
              <w:left w:w="140" w:type="dxa"/>
              <w:bottom w:w="80" w:type="dxa"/>
              <w:right w:w="140" w:type="dxa"/>
            </w:tcMar>
          </w:tcPr>
          <w:p w14:paraId="50CF70AA" w14:textId="77777777" w:rsidR="00EC0EA6" w:rsidRDefault="00EC0EA6" w:rsidP="00EB1C64">
            <w:r>
              <w:rPr>
                <w:sz w:val="20"/>
                <w:szCs w:val="20"/>
              </w:rPr>
              <w:t>NIST AI RMF (2023)</w:t>
            </w:r>
          </w:p>
        </w:tc>
        <w:tc>
          <w:tcPr>
            <w:tcW w:w="0" w:type="auto"/>
            <w:shd w:val="clear" w:color="auto" w:fill="F1A983" w:themeFill="accent2" w:themeFillTint="99"/>
            <w:tcMar>
              <w:top w:w="80" w:type="dxa"/>
              <w:left w:w="140" w:type="dxa"/>
              <w:bottom w:w="80" w:type="dxa"/>
              <w:right w:w="140" w:type="dxa"/>
            </w:tcMar>
          </w:tcPr>
          <w:p w14:paraId="41221B80" w14:textId="77777777" w:rsidR="00EC0EA6" w:rsidRDefault="00EC0EA6" w:rsidP="00EB1C64">
            <w:pPr>
              <w:jc w:val="center"/>
            </w:pPr>
            <w:r>
              <w:rPr>
                <w:sz w:val="20"/>
                <w:szCs w:val="20"/>
              </w:rPr>
              <w:t>United States</w:t>
            </w:r>
          </w:p>
        </w:tc>
        <w:tc>
          <w:tcPr>
            <w:tcW w:w="0" w:type="auto"/>
            <w:shd w:val="clear" w:color="auto" w:fill="F1A983" w:themeFill="accent2" w:themeFillTint="99"/>
            <w:tcMar>
              <w:top w:w="80" w:type="dxa"/>
              <w:left w:w="140" w:type="dxa"/>
              <w:bottom w:w="80" w:type="dxa"/>
              <w:right w:w="140" w:type="dxa"/>
            </w:tcMar>
          </w:tcPr>
          <w:p w14:paraId="5485CCFF" w14:textId="77777777" w:rsidR="00EC0EA6" w:rsidRDefault="00EC0EA6" w:rsidP="00EB1C64">
            <w:pPr>
              <w:jc w:val="center"/>
            </w:pPr>
            <w:r>
              <w:rPr>
                <w:sz w:val="20"/>
                <w:szCs w:val="20"/>
              </w:rPr>
              <w:t>Voluntary framework</w:t>
            </w:r>
          </w:p>
        </w:tc>
        <w:tc>
          <w:tcPr>
            <w:tcW w:w="0" w:type="auto"/>
            <w:shd w:val="clear" w:color="auto" w:fill="F1A983" w:themeFill="accent2" w:themeFillTint="99"/>
            <w:tcMar>
              <w:top w:w="80" w:type="dxa"/>
              <w:left w:w="140" w:type="dxa"/>
              <w:bottom w:w="80" w:type="dxa"/>
              <w:right w:w="140" w:type="dxa"/>
            </w:tcMar>
          </w:tcPr>
          <w:p w14:paraId="2C164820" w14:textId="77777777" w:rsidR="00EC0EA6" w:rsidRDefault="00EC0EA6" w:rsidP="00EB1C64">
            <w:r>
              <w:rPr>
                <w:sz w:val="20"/>
                <w:szCs w:val="20"/>
              </w:rPr>
              <w:t>Govern, Map, Measure, Manage AI risk</w:t>
            </w:r>
          </w:p>
        </w:tc>
      </w:tr>
      <w:tr w:rsidR="00EC0EA6" w14:paraId="4104198F" w14:textId="77777777" w:rsidTr="00EB1C64">
        <w:tc>
          <w:tcPr>
            <w:tcW w:w="0" w:type="auto"/>
            <w:shd w:val="clear" w:color="auto" w:fill="F1A983" w:themeFill="accent2" w:themeFillTint="99"/>
            <w:tcMar>
              <w:top w:w="80" w:type="dxa"/>
              <w:left w:w="140" w:type="dxa"/>
              <w:bottom w:w="80" w:type="dxa"/>
              <w:right w:w="140" w:type="dxa"/>
            </w:tcMar>
          </w:tcPr>
          <w:p w14:paraId="56982C51" w14:textId="77777777" w:rsidR="00EC0EA6" w:rsidRDefault="00EC0EA6" w:rsidP="00EB1C64">
            <w:r>
              <w:rPr>
                <w:sz w:val="20"/>
                <w:szCs w:val="20"/>
              </w:rPr>
              <w:t>GDPR (2018)</w:t>
            </w:r>
          </w:p>
        </w:tc>
        <w:tc>
          <w:tcPr>
            <w:tcW w:w="0" w:type="auto"/>
            <w:shd w:val="clear" w:color="auto" w:fill="F1A983" w:themeFill="accent2" w:themeFillTint="99"/>
            <w:tcMar>
              <w:top w:w="80" w:type="dxa"/>
              <w:left w:w="140" w:type="dxa"/>
              <w:bottom w:w="80" w:type="dxa"/>
              <w:right w:w="140" w:type="dxa"/>
            </w:tcMar>
          </w:tcPr>
          <w:p w14:paraId="26E904F5" w14:textId="77777777" w:rsidR="00EC0EA6" w:rsidRDefault="00EC0EA6" w:rsidP="00EB1C64">
            <w:pPr>
              <w:jc w:val="center"/>
            </w:pPr>
            <w:r>
              <w:rPr>
                <w:sz w:val="20"/>
                <w:szCs w:val="20"/>
              </w:rPr>
              <w:t>European Union</w:t>
            </w:r>
          </w:p>
        </w:tc>
        <w:tc>
          <w:tcPr>
            <w:tcW w:w="0" w:type="auto"/>
            <w:shd w:val="clear" w:color="auto" w:fill="F1A983" w:themeFill="accent2" w:themeFillTint="99"/>
            <w:tcMar>
              <w:top w:w="80" w:type="dxa"/>
              <w:left w:w="140" w:type="dxa"/>
              <w:bottom w:w="80" w:type="dxa"/>
              <w:right w:w="140" w:type="dxa"/>
            </w:tcMar>
          </w:tcPr>
          <w:p w14:paraId="546FE333" w14:textId="77777777" w:rsidR="00EC0EA6" w:rsidRDefault="00EC0EA6" w:rsidP="00EB1C64">
            <w:pPr>
              <w:jc w:val="center"/>
            </w:pPr>
            <w:r>
              <w:rPr>
                <w:sz w:val="20"/>
                <w:szCs w:val="20"/>
              </w:rPr>
              <w:t>Legally binding</w:t>
            </w:r>
          </w:p>
        </w:tc>
        <w:tc>
          <w:tcPr>
            <w:tcW w:w="0" w:type="auto"/>
            <w:shd w:val="clear" w:color="auto" w:fill="F1A983" w:themeFill="accent2" w:themeFillTint="99"/>
            <w:tcMar>
              <w:top w:w="80" w:type="dxa"/>
              <w:left w:w="140" w:type="dxa"/>
              <w:bottom w:w="80" w:type="dxa"/>
              <w:right w:w="140" w:type="dxa"/>
            </w:tcMar>
          </w:tcPr>
          <w:p w14:paraId="636BFE35" w14:textId="77777777" w:rsidR="00EC0EA6" w:rsidRDefault="00EC0EA6" w:rsidP="00EB1C64">
            <w:r>
              <w:rPr>
                <w:sz w:val="20"/>
                <w:szCs w:val="20"/>
              </w:rPr>
              <w:t>Data protection and automated decision rights</w:t>
            </w:r>
          </w:p>
        </w:tc>
      </w:tr>
    </w:tbl>
    <w:p w14:paraId="555568C7" w14:textId="77777777" w:rsidR="00EC0EA6" w:rsidRDefault="00EC0EA6" w:rsidP="00EC0EA6">
      <w:pPr>
        <w:pStyle w:val="Caption"/>
      </w:pPr>
      <w:r>
        <w:t>Table 4:</w:t>
      </w:r>
      <w:r w:rsidRPr="00EA5853">
        <w:t xml:space="preserve"> Comparison of Key Global AI Governance Frameworks [3], [6], [10], [11]</w:t>
      </w:r>
    </w:p>
    <w:p w14:paraId="48A16E5D" w14:textId="77777777" w:rsidR="00EC0EA6" w:rsidRDefault="00EC0EA6" w:rsidP="00EC0EA6">
      <w:pPr>
        <w:pStyle w:val="Heading4"/>
      </w:pPr>
      <w:r>
        <w:t>Overview of Global AI Regulatory Frameworks</w:t>
      </w:r>
    </w:p>
    <w:p w14:paraId="7413B7FB" w14:textId="77777777" w:rsidR="00EC0EA6" w:rsidRPr="00A27C38" w:rsidRDefault="00EC0EA6" w:rsidP="00EC0EA6">
      <w:pPr>
        <w:spacing w:line="360" w:lineRule="auto"/>
      </w:pPr>
      <w:r>
        <w:t>Table 4 provides a comparison of five key AI governance frameworks. A few, like the EU AI Act and GDPR, are legally binding, while others are voluntary [3], [6], [10], [11]. The frameworks differ in their focus, ranging from risk classification to human rights and data protection. This shows that global AI regulation is still developing with no single unified approach [3], [6], [10], [11].</w:t>
      </w:r>
    </w:p>
    <w:p w14:paraId="3385FBFD" w14:textId="77777777" w:rsidR="00EC0EA6" w:rsidRDefault="00EC0EA6" w:rsidP="00EC0EA6"/>
    <w:p w14:paraId="3620F0A7" w14:textId="77777777" w:rsidR="00EC0EA6" w:rsidRPr="005F4391" w:rsidRDefault="00EC0EA6" w:rsidP="00EC0EA6">
      <w:pPr>
        <w:pStyle w:val="Heading2"/>
        <w:rPr>
          <w:sz w:val="28"/>
          <w:szCs w:val="28"/>
        </w:rPr>
      </w:pPr>
      <w:bookmarkStart w:id="14" w:name="_Toc234619675"/>
      <w:r>
        <w:rPr>
          <w:sz w:val="28"/>
          <w:szCs w:val="28"/>
        </w:rPr>
        <w:t>4</w:t>
      </w:r>
      <w:r w:rsidRPr="005F4391">
        <w:rPr>
          <w:sz w:val="28"/>
          <w:szCs w:val="28"/>
        </w:rPr>
        <w:t>.2 Data Governance and Model Compliance</w:t>
      </w:r>
      <w:bookmarkEnd w:id="14"/>
    </w:p>
    <w:p w14:paraId="28BD050B" w14:textId="77777777" w:rsidR="00EC0EA6" w:rsidRDefault="00EC0EA6" w:rsidP="00EC0EA6">
      <w:pPr>
        <w:spacing w:line="360" w:lineRule="auto"/>
      </w:pPr>
      <w:r>
        <w:t>AI governance cannot be separated from data governance. The GDPR, effective across the EU since 2018, establishes a set of individual rights concerning personal data. Among these are the rights of access, correction, and erasure. In addition, individuals have the right to receive an explanation for any automated decision that significantly affects them [11].</w:t>
      </w:r>
    </w:p>
    <w:p w14:paraId="767750AF" w14:textId="77777777" w:rsidR="00EC0EA6" w:rsidRDefault="00EC0EA6" w:rsidP="00EC0EA6">
      <w:pPr>
        <w:spacing w:line="360" w:lineRule="auto"/>
      </w:pPr>
      <w:r>
        <w:lastRenderedPageBreak/>
        <w:t>Model governance refers to the organizational processes that manage AI models from development to retirement. Key practices involve documenting model architecture and training datasets in detail. Regular performance assessments are conducted to monitor model behaviour over time. Maintaining version control enables teams to track changes and return to previous versions when needed. Organizations also ensure that outdated models are either removed from service or replaced with newer versions to maintain effectiveness and reliability [13].</w:t>
      </w:r>
    </w:p>
    <w:p w14:paraId="5A5F33AC" w14:textId="77777777" w:rsidR="00EC0EA6" w:rsidRPr="00553CF2" w:rsidRDefault="00EC0EA6" w:rsidP="00EC0EA6">
      <w:pPr>
        <w:pStyle w:val="Heading1"/>
        <w:rPr>
          <w:sz w:val="32"/>
          <w:szCs w:val="32"/>
        </w:rPr>
      </w:pPr>
      <w:bookmarkStart w:id="15" w:name="_Toc234619676"/>
      <w:r>
        <w:rPr>
          <w:sz w:val="32"/>
          <w:szCs w:val="32"/>
        </w:rPr>
        <w:t>5</w:t>
      </w:r>
      <w:r w:rsidRPr="005F4391">
        <w:rPr>
          <w:sz w:val="32"/>
          <w:szCs w:val="32"/>
        </w:rPr>
        <w:t>. Best Practices and Recommendations</w:t>
      </w:r>
      <w:bookmarkEnd w:id="15"/>
    </w:p>
    <w:p w14:paraId="114E2F1E" w14:textId="77777777" w:rsidR="00EC0EA6" w:rsidRDefault="00EC0EA6" w:rsidP="00EC0EA6">
      <w:pPr>
        <w:spacing w:line="360" w:lineRule="auto"/>
      </w:pPr>
      <w:r>
        <w:t>Drawing from the analysis above, the following recommendations are proposed for organizations aiming to enhance their AI governance. Organizations should adopt a risk-based approach, implementing governance measures that are adjusted according to the level of risk associated with each AI application [14]. Applications classified as high-risk, particularly those that affect health, employment, or legal status, should be subject to the most stringent oversight.</w:t>
      </w:r>
    </w:p>
    <w:p w14:paraId="7F725F5F" w14:textId="77777777" w:rsidR="00EC0EA6" w:rsidRDefault="00EC0EA6" w:rsidP="00EC0EA6">
      <w:pPr>
        <w:spacing w:line="360" w:lineRule="auto"/>
      </w:pPr>
      <w:r>
        <w:t>In addition, organizations should invest in diverse and inclusive AI development teams. Including people with different backgrounds helps identify potential biases and harms that might otherwise be overlooked [14], [15].</w:t>
      </w:r>
    </w:p>
    <w:p w14:paraId="61C1B8AB" w14:textId="77777777" w:rsidR="00EC0EA6" w:rsidRDefault="00EC0EA6" w:rsidP="00EC0EA6">
      <w:pPr>
        <w:spacing w:line="360" w:lineRule="auto"/>
      </w:pPr>
      <w:r>
        <w:t>A further recommendation is that transparency should be embedded across every phase of the AI lifecycle. Organizations are expected to provide clear and meaningful explanations of AI-driven decisions to all affected parties. Such explanations should cover the logic behind the decision, the data inputs involved, and the avenues available for challenge or correction [14].</w:t>
      </w:r>
    </w:p>
    <w:p w14:paraId="5FD66D62" w14:textId="77777777" w:rsidR="00EC0EA6" w:rsidRDefault="00EC0EA6" w:rsidP="00EC0EA6">
      <w:pPr>
        <w:spacing w:line="360" w:lineRule="auto"/>
      </w:pPr>
      <w:r>
        <w:t>Moreover, clear accountability structures must be established. Organizations should define roles and responsibilities for AI systems. Mechanisms for addressing harms should also be put in place, including independent review processes and channels for reporting concerns [14],[15].</w:t>
      </w:r>
    </w:p>
    <w:p w14:paraId="402F2CB5" w14:textId="77777777" w:rsidR="00EC0EA6" w:rsidRDefault="00EC0EA6" w:rsidP="00EC0EA6">
      <w:pPr>
        <w:spacing w:line="360" w:lineRule="auto"/>
      </w:pPr>
      <w:r>
        <w:t>Finally, compliance with relevant laws should be treated as a starting point, not a ceiling. Organizations should align their practices with recognized ethical frameworks, such as the OECD AI Principles [3] or the IEEE Ethically Aligned Design guidelines [7].</w:t>
      </w:r>
    </w:p>
    <w:p w14:paraId="6CD2E901" w14:textId="77777777" w:rsidR="00EC0EA6" w:rsidRDefault="00EC0EA6" w:rsidP="00EC0EA6">
      <w:pPr>
        <w:pStyle w:val="Heading1"/>
        <w:rPr>
          <w:sz w:val="32"/>
          <w:szCs w:val="32"/>
        </w:rPr>
      </w:pPr>
      <w:bookmarkStart w:id="16" w:name="_Toc234619677"/>
      <w:r w:rsidRPr="005F4391">
        <w:rPr>
          <w:sz w:val="32"/>
          <w:szCs w:val="32"/>
        </w:rPr>
        <w:lastRenderedPageBreak/>
        <w:t>Conclusion</w:t>
      </w:r>
      <w:bookmarkEnd w:id="16"/>
    </w:p>
    <w:p w14:paraId="7241AF9D" w14:textId="77777777" w:rsidR="00EC0EA6" w:rsidRPr="001519EE" w:rsidRDefault="00EC0EA6" w:rsidP="00EC0EA6"/>
    <w:p w14:paraId="5CFB1BBC" w14:textId="77777777" w:rsidR="00EC0EA6" w:rsidRDefault="00EC0EA6" w:rsidP="00EC0EA6">
      <w:pPr>
        <w:spacing w:before="100" w:after="100" w:line="360" w:lineRule="auto"/>
      </w:pPr>
      <w:r>
        <w:t>The governance of AI and machine learning systems is one of the defining challenges of our time. As AI becomes more capable and more deeply embedded in critical systems, the need for robust governance frameworks becomes ever more urgent. This paper has examined three foundational pillars: risk management, ethics, and compliance.</w:t>
      </w:r>
    </w:p>
    <w:p w14:paraId="2863E552" w14:textId="77777777" w:rsidR="00EC0EA6" w:rsidRDefault="00EC0EA6" w:rsidP="00EC0EA6">
      <w:pPr>
        <w:spacing w:line="360" w:lineRule="auto"/>
      </w:pPr>
      <w:r w:rsidRPr="0008416F">
        <w:t>Effective risk management means identifying, assessing, and reducing the various harms AI can cause. Ethical principles, especially fairness, transparency, and accountability, require active effort at every stage of the AI lifecycle. Compliance with laws offers a baseline, but organizations must go further to build AI systems that earn genuine public trust</w:t>
      </w:r>
      <w:r>
        <w:t xml:space="preserve"> [16]</w:t>
      </w:r>
      <w:r w:rsidRPr="0008416F">
        <w:t>.</w:t>
      </w:r>
    </w:p>
    <w:p w14:paraId="1B615574" w14:textId="77777777" w:rsidR="00EC0EA6" w:rsidRDefault="00EC0EA6" w:rsidP="00EC0EA6">
      <w:pPr>
        <w:spacing w:line="360" w:lineRule="auto"/>
      </w:pPr>
      <w:r w:rsidRPr="001B3CE8">
        <w:t xml:space="preserve">Ultimately, AI governance cannot be reduced to technical or legal considerations alone. It is a broader societal project that calls for sustained collaboration across </w:t>
      </w:r>
      <w:r>
        <w:t>a range of</w:t>
      </w:r>
      <w:r w:rsidRPr="001B3CE8">
        <w:t xml:space="preserve"> disciplines, including computer science, law, ethics, sociology, and public policy. It also requires cooperation across industries, government bodies, and international borders. When governance frameworks are thoughtfully designed and effectively implemented, AI and ML have the capacity to become powerful enablers of human progress, social equity, and collective well-being [5], [10].</w:t>
      </w:r>
    </w:p>
    <w:p w14:paraId="001814BE" w14:textId="77777777" w:rsidR="00EC0EA6" w:rsidRDefault="00EC0EA6" w:rsidP="00EC0EA6">
      <w:pPr>
        <w:pStyle w:val="Heading2"/>
        <w:spacing w:line="360" w:lineRule="auto"/>
      </w:pPr>
    </w:p>
    <w:p w14:paraId="36E06915" w14:textId="77777777" w:rsidR="00EC0EA6" w:rsidRDefault="00EC0EA6" w:rsidP="00EC0EA6"/>
    <w:p w14:paraId="5A2C1CFA" w14:textId="77777777" w:rsidR="00EC0EA6" w:rsidRDefault="00EC0EA6" w:rsidP="00EC0EA6"/>
    <w:p w14:paraId="69607BD5" w14:textId="77777777" w:rsidR="00EC0EA6" w:rsidRDefault="00EC0EA6" w:rsidP="00EC0EA6"/>
    <w:p w14:paraId="357B927D" w14:textId="77777777" w:rsidR="00EC0EA6" w:rsidRDefault="00EC0EA6" w:rsidP="00EC0EA6"/>
    <w:p w14:paraId="60AFA5C4" w14:textId="77777777" w:rsidR="00EC0EA6" w:rsidRDefault="00EC0EA6" w:rsidP="00EC0EA6"/>
    <w:p w14:paraId="4D7740AC" w14:textId="77777777" w:rsidR="00EC0EA6" w:rsidRDefault="00EC0EA6" w:rsidP="00EC0EA6"/>
    <w:p w14:paraId="72F8D29C" w14:textId="77777777" w:rsidR="00EC0EA6" w:rsidRDefault="00EC0EA6" w:rsidP="00EC0EA6"/>
    <w:p w14:paraId="4EB4997E" w14:textId="77777777" w:rsidR="00EC0EA6" w:rsidRDefault="00EC0EA6" w:rsidP="00EC0EA6"/>
    <w:p w14:paraId="01714321" w14:textId="77777777" w:rsidR="00EC0EA6" w:rsidRDefault="00EC0EA6" w:rsidP="00EC0EA6"/>
    <w:p w14:paraId="7128FFFC" w14:textId="77777777" w:rsidR="00EC0EA6" w:rsidRDefault="00EC0EA6" w:rsidP="00EC0EA6"/>
    <w:p w14:paraId="4CF14CD3" w14:textId="77777777" w:rsidR="00EC0EA6" w:rsidRDefault="00EC0EA6" w:rsidP="00EC0EA6">
      <w:pPr>
        <w:pStyle w:val="Heading2"/>
      </w:pPr>
      <w:bookmarkStart w:id="17" w:name="_Toc234619678"/>
      <w:r>
        <w:lastRenderedPageBreak/>
        <w:t>References</w:t>
      </w:r>
      <w:bookmarkEnd w:id="17"/>
    </w:p>
    <w:p w14:paraId="601D1DC8" w14:textId="77777777" w:rsidR="00EC0EA6" w:rsidRPr="0075486A" w:rsidRDefault="00EC0EA6" w:rsidP="00EC0EA6">
      <w:pPr>
        <w:spacing w:before="80" w:after="80" w:line="340" w:lineRule="auto"/>
        <w:ind w:left="560" w:hanging="560"/>
        <w:rPr>
          <w:sz w:val="22"/>
          <w:szCs w:val="22"/>
        </w:rPr>
      </w:pPr>
      <w:r w:rsidRPr="008D2AB1">
        <w:rPr>
          <w:sz w:val="22"/>
          <w:szCs w:val="22"/>
        </w:rPr>
        <w:t>[1]</w:t>
      </w:r>
      <w:r w:rsidRPr="008D2AB1">
        <w:rPr>
          <w:sz w:val="22"/>
          <w:szCs w:val="22"/>
        </w:rPr>
        <w:tab/>
        <w:t xml:space="preserve">J. </w:t>
      </w:r>
      <w:proofErr w:type="spellStart"/>
      <w:r w:rsidRPr="008D2AB1">
        <w:rPr>
          <w:sz w:val="22"/>
          <w:szCs w:val="22"/>
        </w:rPr>
        <w:t>Buolamwini</w:t>
      </w:r>
      <w:proofErr w:type="spellEnd"/>
      <w:r w:rsidRPr="008D2AB1">
        <w:rPr>
          <w:sz w:val="22"/>
          <w:szCs w:val="22"/>
        </w:rPr>
        <w:t xml:space="preserve"> and T. Gebru, "Gender shades: Intersectional Accuracy Disparities in Commercial Gender </w:t>
      </w:r>
      <w:proofErr w:type="spellStart"/>
      <w:r w:rsidRPr="008D2AB1">
        <w:rPr>
          <w:sz w:val="22"/>
          <w:szCs w:val="22"/>
        </w:rPr>
        <w:t>Classification,"Vol</w:t>
      </w:r>
      <w:proofErr w:type="spellEnd"/>
      <w:r w:rsidRPr="008D2AB1">
        <w:rPr>
          <w:sz w:val="22"/>
          <w:szCs w:val="22"/>
        </w:rPr>
        <w:t xml:space="preserve">. 81, pp. 1–15, 2018. [Online]. Available: </w:t>
      </w:r>
      <w:hyperlink r:id="rId5" w:history="1">
        <w:r w:rsidRPr="008D2AB1">
          <w:rPr>
            <w:rStyle w:val="Hyperlink"/>
            <w:sz w:val="22"/>
            <w:szCs w:val="22"/>
          </w:rPr>
          <w:t>https://proceedings.mlr.press/v81/buolamwini18a.html</w:t>
        </w:r>
      </w:hyperlink>
      <w:r w:rsidRPr="008D2AB1">
        <w:rPr>
          <w:sz w:val="22"/>
          <w:szCs w:val="22"/>
        </w:rPr>
        <w:t xml:space="preserve"> .[Accessed: 28 May 2026].</w:t>
      </w:r>
    </w:p>
    <w:p w14:paraId="580C6768" w14:textId="77777777" w:rsidR="00EC0EA6" w:rsidRPr="001519EE" w:rsidRDefault="00EC0EA6" w:rsidP="00EC0EA6">
      <w:pPr>
        <w:spacing w:before="80" w:after="80" w:line="340" w:lineRule="auto"/>
        <w:ind w:left="560" w:hanging="560"/>
        <w:rPr>
          <w:sz w:val="22"/>
          <w:szCs w:val="22"/>
        </w:rPr>
      </w:pPr>
      <w:r w:rsidRPr="008D2AB1">
        <w:rPr>
          <w:sz w:val="22"/>
          <w:szCs w:val="22"/>
        </w:rPr>
        <w:t>[2]</w:t>
      </w:r>
      <w:r w:rsidRPr="008D2AB1">
        <w:rPr>
          <w:sz w:val="22"/>
          <w:szCs w:val="22"/>
        </w:rPr>
        <w:tab/>
        <w:t>Z. Obermeyer, B. Powers, C. Vogeli, and S. Mullainathan, "Dissecting racial bias in an algorithm used to manage the health of populations," Science, vol. 366, no. 6464, pp. 447–453,</w:t>
      </w:r>
      <w:proofErr w:type="gramStart"/>
      <w:r w:rsidRPr="008D2AB1">
        <w:rPr>
          <w:sz w:val="22"/>
          <w:szCs w:val="22"/>
        </w:rPr>
        <w:t>2019.[</w:t>
      </w:r>
      <w:proofErr w:type="gramEnd"/>
      <w:r w:rsidRPr="008D2AB1">
        <w:rPr>
          <w:sz w:val="22"/>
          <w:szCs w:val="22"/>
        </w:rPr>
        <w:t xml:space="preserve">Online]. </w:t>
      </w:r>
      <w:proofErr w:type="gramStart"/>
      <w:r w:rsidRPr="008D2AB1">
        <w:rPr>
          <w:sz w:val="22"/>
          <w:szCs w:val="22"/>
        </w:rPr>
        <w:t>Available :</w:t>
      </w:r>
      <w:proofErr w:type="gramEnd"/>
      <w:r w:rsidRPr="008D2AB1">
        <w:rPr>
          <w:sz w:val="22"/>
          <w:szCs w:val="22"/>
        </w:rPr>
        <w:t xml:space="preserve"> </w:t>
      </w:r>
      <w:hyperlink r:id="rId6" w:history="1">
        <w:r w:rsidRPr="008D2AB1">
          <w:rPr>
            <w:rStyle w:val="Hyperlink"/>
            <w:sz w:val="22"/>
            <w:szCs w:val="22"/>
          </w:rPr>
          <w:t>https://pubmed.ncbi.nlm.nih.gov/31649194/</w:t>
        </w:r>
      </w:hyperlink>
      <w:r w:rsidRPr="008D2AB1">
        <w:rPr>
          <w:sz w:val="22"/>
          <w:szCs w:val="22"/>
        </w:rPr>
        <w:t xml:space="preserve">  </w:t>
      </w:r>
      <w:r>
        <w:rPr>
          <w:sz w:val="22"/>
          <w:szCs w:val="22"/>
        </w:rPr>
        <w:t>.</w:t>
      </w:r>
      <w:r w:rsidRPr="008D2AB1">
        <w:rPr>
          <w:sz w:val="22"/>
          <w:szCs w:val="22"/>
        </w:rPr>
        <w:t>[Accessed: 28 May 2026]</w:t>
      </w:r>
    </w:p>
    <w:p w14:paraId="6EE7F43E" w14:textId="77777777" w:rsidR="00EC0EA6" w:rsidRPr="001519EE" w:rsidRDefault="00EC0EA6" w:rsidP="00EC0EA6">
      <w:pPr>
        <w:spacing w:before="80" w:after="80" w:line="340" w:lineRule="auto"/>
        <w:ind w:left="560" w:hanging="560"/>
        <w:rPr>
          <w:sz w:val="22"/>
          <w:szCs w:val="22"/>
        </w:rPr>
      </w:pPr>
      <w:r w:rsidRPr="009B3E62">
        <w:rPr>
          <w:sz w:val="22"/>
          <w:szCs w:val="22"/>
        </w:rPr>
        <w:t>[3]</w:t>
      </w:r>
      <w:r>
        <w:rPr>
          <w:sz w:val="22"/>
          <w:szCs w:val="22"/>
        </w:rPr>
        <w:tab/>
        <w:t xml:space="preserve">(OECD) Legal Instruments, "Recommendation of the Council on Artificial Intelligence," 2019. [Online]. Available: </w:t>
      </w:r>
      <w:hyperlink r:id="rId7" w:history="1">
        <w:r w:rsidRPr="00C308A1">
          <w:rPr>
            <w:rStyle w:val="Hyperlink"/>
            <w:sz w:val="22"/>
            <w:szCs w:val="22"/>
          </w:rPr>
          <w:t>https://legalinstruments.oecd.org/en/instruments/OECD-LEGAL-0449</w:t>
        </w:r>
      </w:hyperlink>
      <w:r>
        <w:rPr>
          <w:sz w:val="22"/>
          <w:szCs w:val="22"/>
        </w:rPr>
        <w:t xml:space="preserve"> </w:t>
      </w:r>
      <w:r w:rsidRPr="008D2AB1">
        <w:rPr>
          <w:sz w:val="22"/>
          <w:szCs w:val="22"/>
        </w:rPr>
        <w:t>[Accessed: 2</w:t>
      </w:r>
      <w:r>
        <w:rPr>
          <w:sz w:val="22"/>
          <w:szCs w:val="22"/>
        </w:rPr>
        <w:t>9</w:t>
      </w:r>
      <w:r w:rsidRPr="008D2AB1">
        <w:rPr>
          <w:sz w:val="22"/>
          <w:szCs w:val="22"/>
        </w:rPr>
        <w:t xml:space="preserve"> May 2026]</w:t>
      </w:r>
      <w:r>
        <w:rPr>
          <w:sz w:val="22"/>
          <w:szCs w:val="22"/>
        </w:rPr>
        <w:t>.</w:t>
      </w:r>
    </w:p>
    <w:p w14:paraId="5391EB34" w14:textId="77777777" w:rsidR="00EC0EA6" w:rsidRDefault="00EC0EA6" w:rsidP="00EC0EA6">
      <w:pPr>
        <w:spacing w:before="80" w:after="80" w:line="340" w:lineRule="auto"/>
        <w:ind w:left="560" w:hanging="560"/>
      </w:pPr>
      <w:r w:rsidRPr="006914C9">
        <w:rPr>
          <w:sz w:val="22"/>
          <w:szCs w:val="22"/>
        </w:rPr>
        <w:t>[4]</w:t>
      </w:r>
      <w:r>
        <w:rPr>
          <w:sz w:val="22"/>
          <w:szCs w:val="22"/>
        </w:rPr>
        <w:tab/>
        <w:t xml:space="preserve">F. Doshi-Velez and B. Kim, "Towards a Rigorous Science of Interpretable Machine Learning," </w:t>
      </w:r>
      <w:proofErr w:type="spellStart"/>
      <w:r>
        <w:rPr>
          <w:sz w:val="22"/>
          <w:szCs w:val="22"/>
        </w:rPr>
        <w:t>arXiv</w:t>
      </w:r>
      <w:proofErr w:type="spellEnd"/>
      <w:r>
        <w:rPr>
          <w:sz w:val="22"/>
          <w:szCs w:val="22"/>
        </w:rPr>
        <w:t xml:space="preserve"> preprint arXiv:1702.08608, 2017. [Online</w:t>
      </w:r>
      <w:proofErr w:type="gramStart"/>
      <w:r>
        <w:rPr>
          <w:sz w:val="22"/>
          <w:szCs w:val="22"/>
        </w:rPr>
        <w:t>].Available</w:t>
      </w:r>
      <w:proofErr w:type="gramEnd"/>
      <w:r>
        <w:rPr>
          <w:sz w:val="22"/>
          <w:szCs w:val="22"/>
        </w:rPr>
        <w:t xml:space="preserve">: </w:t>
      </w:r>
      <w:hyperlink r:id="rId8" w:history="1">
        <w:r w:rsidRPr="00D64A48">
          <w:rPr>
            <w:rStyle w:val="Hyperlink"/>
            <w:sz w:val="22"/>
            <w:szCs w:val="22"/>
          </w:rPr>
          <w:t>https://arxiv.org/abs/1702.08608</w:t>
        </w:r>
      </w:hyperlink>
      <w:r>
        <w:rPr>
          <w:sz w:val="22"/>
          <w:szCs w:val="22"/>
        </w:rPr>
        <w:t xml:space="preserve"> . [Accessed: 30 May 2026]</w:t>
      </w:r>
    </w:p>
    <w:p w14:paraId="1FF90D53" w14:textId="77777777" w:rsidR="00EC0EA6" w:rsidRPr="00B07739" w:rsidRDefault="00EC0EA6" w:rsidP="00EC0EA6">
      <w:pPr>
        <w:spacing w:before="80" w:after="80" w:line="340" w:lineRule="auto"/>
        <w:ind w:left="560" w:hanging="560"/>
        <w:rPr>
          <w:sz w:val="22"/>
          <w:szCs w:val="22"/>
        </w:rPr>
      </w:pPr>
      <w:r w:rsidRPr="00B25494">
        <w:rPr>
          <w:sz w:val="22"/>
          <w:szCs w:val="22"/>
        </w:rPr>
        <w:t>[5]</w:t>
      </w:r>
      <w:r>
        <w:rPr>
          <w:sz w:val="22"/>
          <w:szCs w:val="22"/>
        </w:rPr>
        <w:tab/>
        <w:t xml:space="preserve">M. Taddeo and L. </w:t>
      </w:r>
      <w:proofErr w:type="spellStart"/>
      <w:r>
        <w:rPr>
          <w:sz w:val="22"/>
          <w:szCs w:val="22"/>
        </w:rPr>
        <w:t>Floridi</w:t>
      </w:r>
      <w:proofErr w:type="spellEnd"/>
      <w:r>
        <w:rPr>
          <w:sz w:val="22"/>
          <w:szCs w:val="22"/>
        </w:rPr>
        <w:t>, "How AI Can be a Force for Good," Science, vol. 361, no. 6404, pp. 751–752,</w:t>
      </w:r>
      <w:proofErr w:type="gramStart"/>
      <w:r>
        <w:rPr>
          <w:sz w:val="22"/>
          <w:szCs w:val="22"/>
        </w:rPr>
        <w:t>2018.[</w:t>
      </w:r>
      <w:proofErr w:type="gramEnd"/>
      <w:r>
        <w:rPr>
          <w:sz w:val="22"/>
          <w:szCs w:val="22"/>
        </w:rPr>
        <w:t xml:space="preserve">Online]Available:  </w:t>
      </w:r>
      <w:hyperlink r:id="rId9" w:history="1">
        <w:r w:rsidRPr="00C308A1">
          <w:rPr>
            <w:rStyle w:val="Hyperlink"/>
            <w:sz w:val="22"/>
            <w:szCs w:val="22"/>
          </w:rPr>
          <w:t>https://www.ovid.com/journals/scie/abstract/10.1126/science.aat5991~how-ai-can-be-a-force-for-good?redirectionsource=fulltextview</w:t>
        </w:r>
      </w:hyperlink>
      <w:r>
        <w:rPr>
          <w:sz w:val="22"/>
          <w:szCs w:val="22"/>
        </w:rPr>
        <w:t xml:space="preserve"> . [Accessed: 1 June 2026]. </w:t>
      </w:r>
    </w:p>
    <w:p w14:paraId="3080DE0E" w14:textId="77777777" w:rsidR="00EC0EA6" w:rsidRDefault="00EC0EA6" w:rsidP="00EC0EA6">
      <w:pPr>
        <w:spacing w:before="80" w:after="80" w:line="340" w:lineRule="auto"/>
        <w:ind w:left="560" w:hanging="560"/>
      </w:pPr>
      <w:r w:rsidRPr="00894EA4">
        <w:rPr>
          <w:sz w:val="22"/>
          <w:szCs w:val="22"/>
        </w:rPr>
        <w:t>[6]</w:t>
      </w:r>
      <w:r>
        <w:rPr>
          <w:sz w:val="22"/>
          <w:szCs w:val="22"/>
        </w:rPr>
        <w:tab/>
        <w:t>European Parliament, "EU AI Act: First regulation on artificial intelligence,</w:t>
      </w:r>
      <w:proofErr w:type="gramStart"/>
      <w:r>
        <w:rPr>
          <w:sz w:val="22"/>
          <w:szCs w:val="22"/>
        </w:rPr>
        <w:t>"  2023</w:t>
      </w:r>
      <w:proofErr w:type="gramEnd"/>
      <w:r>
        <w:rPr>
          <w:sz w:val="22"/>
          <w:szCs w:val="22"/>
        </w:rPr>
        <w:t xml:space="preserve">. [Online]. Available: </w:t>
      </w:r>
      <w:hyperlink r:id="rId10" w:history="1">
        <w:r w:rsidRPr="00C308A1">
          <w:rPr>
            <w:rStyle w:val="Hyperlink"/>
            <w:sz w:val="22"/>
            <w:szCs w:val="22"/>
          </w:rPr>
          <w:t>https://www.europarl.europa.eu/topics/en/article/20230601STO93804/eu-ai-act-first-regulation-on-artificial-intelligence</w:t>
        </w:r>
      </w:hyperlink>
      <w:r>
        <w:rPr>
          <w:sz w:val="22"/>
          <w:szCs w:val="22"/>
        </w:rPr>
        <w:t xml:space="preserve"> . [Accessed: 2 June 2026]</w:t>
      </w:r>
    </w:p>
    <w:p w14:paraId="5AD37BB4" w14:textId="77777777" w:rsidR="00EC0EA6" w:rsidRPr="00166398" w:rsidRDefault="00EC0EA6" w:rsidP="00EC0EA6">
      <w:pPr>
        <w:spacing w:before="80" w:after="80" w:line="340" w:lineRule="auto"/>
        <w:ind w:left="560" w:hanging="560"/>
        <w:rPr>
          <w:sz w:val="22"/>
          <w:szCs w:val="22"/>
        </w:rPr>
      </w:pPr>
      <w:r w:rsidRPr="00334CEF">
        <w:rPr>
          <w:sz w:val="22"/>
          <w:szCs w:val="22"/>
        </w:rPr>
        <w:t>[7]</w:t>
      </w:r>
      <w:r>
        <w:rPr>
          <w:sz w:val="22"/>
          <w:szCs w:val="22"/>
        </w:rPr>
        <w:tab/>
        <w:t>IEEE SA, “</w:t>
      </w:r>
      <w:r w:rsidRPr="00956CDE">
        <w:rPr>
          <w:sz w:val="22"/>
          <w:szCs w:val="22"/>
        </w:rPr>
        <w:t>The IEEE Global Initiative 2.0 on Ethics of Autonomous and Intelligent Systems</w:t>
      </w:r>
      <w:r>
        <w:rPr>
          <w:sz w:val="22"/>
          <w:szCs w:val="22"/>
        </w:rPr>
        <w:t xml:space="preserve">” </w:t>
      </w:r>
      <w:proofErr w:type="gramStart"/>
      <w:r>
        <w:rPr>
          <w:sz w:val="22"/>
          <w:szCs w:val="22"/>
        </w:rPr>
        <w:t>2019.[</w:t>
      </w:r>
      <w:proofErr w:type="gramEnd"/>
      <w:r>
        <w:rPr>
          <w:sz w:val="22"/>
          <w:szCs w:val="22"/>
        </w:rPr>
        <w:t>Online</w:t>
      </w:r>
      <w:proofErr w:type="gramStart"/>
      <w:r>
        <w:rPr>
          <w:sz w:val="22"/>
          <w:szCs w:val="22"/>
        </w:rPr>
        <w:t>].Available</w:t>
      </w:r>
      <w:proofErr w:type="gramEnd"/>
      <w:r>
        <w:rPr>
          <w:sz w:val="22"/>
          <w:szCs w:val="22"/>
        </w:rPr>
        <w:t xml:space="preserve">: </w:t>
      </w:r>
      <w:hyperlink r:id="rId11" w:history="1">
        <w:r w:rsidRPr="00E5072A">
          <w:rPr>
            <w:rStyle w:val="Hyperlink"/>
            <w:sz w:val="22"/>
            <w:szCs w:val="22"/>
          </w:rPr>
          <w:t>https://standards.ieee.org/industryconnections/ec/autonomous-systems/</w:t>
        </w:r>
      </w:hyperlink>
      <w:r>
        <w:rPr>
          <w:sz w:val="22"/>
          <w:szCs w:val="22"/>
        </w:rPr>
        <w:t>.  [Accessed: 4 June 2026]</w:t>
      </w:r>
    </w:p>
    <w:p w14:paraId="7E3D8034" w14:textId="77777777" w:rsidR="00EC0EA6" w:rsidRPr="00166398" w:rsidRDefault="00EC0EA6" w:rsidP="00EC0EA6">
      <w:pPr>
        <w:spacing w:before="80" w:after="80" w:line="340" w:lineRule="auto"/>
        <w:ind w:left="560" w:hanging="560"/>
        <w:rPr>
          <w:sz w:val="22"/>
          <w:szCs w:val="22"/>
        </w:rPr>
      </w:pPr>
      <w:r w:rsidRPr="001E4F49">
        <w:rPr>
          <w:sz w:val="22"/>
          <w:szCs w:val="22"/>
        </w:rPr>
        <w:t>[8]</w:t>
      </w:r>
      <w:r>
        <w:rPr>
          <w:sz w:val="22"/>
          <w:szCs w:val="22"/>
        </w:rPr>
        <w:tab/>
      </w:r>
      <w:r w:rsidRPr="001E4F49">
        <w:rPr>
          <w:sz w:val="22"/>
          <w:szCs w:val="22"/>
        </w:rPr>
        <w:t>D. Gunning and D. W. Aha, "DARPA's explainable artificial intelligence program," AI Magazine, vol. 40, no. 2, pp. 44-58, 2019.</w:t>
      </w:r>
    </w:p>
    <w:p w14:paraId="186C469A" w14:textId="77777777" w:rsidR="00EC0EA6" w:rsidRPr="002C4AC5" w:rsidRDefault="00EC0EA6" w:rsidP="00EC0EA6">
      <w:pPr>
        <w:spacing w:before="80" w:after="80" w:line="340" w:lineRule="auto"/>
        <w:ind w:left="560" w:hanging="560"/>
        <w:rPr>
          <w:sz w:val="22"/>
          <w:szCs w:val="22"/>
        </w:rPr>
      </w:pPr>
      <w:r w:rsidRPr="00095710">
        <w:rPr>
          <w:sz w:val="22"/>
          <w:szCs w:val="22"/>
        </w:rPr>
        <w:t>[9]</w:t>
      </w:r>
      <w:r w:rsidRPr="00095710">
        <w:rPr>
          <w:sz w:val="22"/>
          <w:szCs w:val="22"/>
        </w:rPr>
        <w:tab/>
        <w:t xml:space="preserve"> I. D. Raji, A. Smart, R. N. White, M. Mitchell, T. Gebru, B. Hutchinson, J. Smith-Loud, D. Theron, and P. Barnes, "Closing the AI accountability gap: Defining an end-to-end framework for internal algorithmic auditing," in Proceedings of the 2020 Conference on Fairness, Accountability, and Transparency, 2020, pp. 33-44.</w:t>
      </w:r>
    </w:p>
    <w:p w14:paraId="0CDD313B" w14:textId="77777777" w:rsidR="00EC0EA6" w:rsidRDefault="00EC0EA6" w:rsidP="00EC0EA6">
      <w:pPr>
        <w:spacing w:before="80" w:after="80" w:line="340" w:lineRule="auto"/>
        <w:ind w:left="560" w:hanging="560"/>
      </w:pPr>
      <w:r w:rsidRPr="00B13D77">
        <w:rPr>
          <w:sz w:val="22"/>
          <w:szCs w:val="22"/>
        </w:rPr>
        <w:t>[10]</w:t>
      </w:r>
      <w:r>
        <w:rPr>
          <w:sz w:val="22"/>
          <w:szCs w:val="22"/>
        </w:rPr>
        <w:tab/>
        <w:t xml:space="preserve">UNESCO, "Recommendation on the Ethics of Artificial Intelligence," France, 2021. [Online]. Available: </w:t>
      </w:r>
      <w:hyperlink r:id="rId12" w:history="1">
        <w:r w:rsidRPr="00D64A48">
          <w:rPr>
            <w:rStyle w:val="Hyperlink"/>
            <w:sz w:val="22"/>
            <w:szCs w:val="22"/>
          </w:rPr>
          <w:t>https://unesdoc.unesco.org/ark:/48223/pf0000381137</w:t>
        </w:r>
      </w:hyperlink>
      <w:r>
        <w:rPr>
          <w:sz w:val="22"/>
          <w:szCs w:val="22"/>
        </w:rPr>
        <w:t xml:space="preserve"> .[Accessed: 4 June 2026].</w:t>
      </w:r>
    </w:p>
    <w:p w14:paraId="1CB64927" w14:textId="77777777" w:rsidR="00EC0EA6" w:rsidRDefault="00EC0EA6" w:rsidP="00EC0EA6">
      <w:pPr>
        <w:spacing w:before="80" w:after="80" w:line="340" w:lineRule="auto"/>
        <w:ind w:left="560" w:hanging="560"/>
        <w:rPr>
          <w:sz w:val="22"/>
          <w:szCs w:val="22"/>
        </w:rPr>
      </w:pPr>
      <w:r w:rsidRPr="00DD7B2C">
        <w:rPr>
          <w:sz w:val="22"/>
          <w:szCs w:val="22"/>
        </w:rPr>
        <w:lastRenderedPageBreak/>
        <w:t>[11]</w:t>
      </w:r>
      <w:r>
        <w:rPr>
          <w:sz w:val="22"/>
          <w:szCs w:val="22"/>
        </w:rPr>
        <w:tab/>
        <w:t xml:space="preserve">European Commission, "General Data Protection Regulation (GDPR)," Official Journal of the European Union, Regulation (EU), 2018. [Online]. Available: </w:t>
      </w:r>
      <w:hyperlink r:id="rId13" w:history="1">
        <w:r w:rsidRPr="00D64A48">
          <w:rPr>
            <w:rStyle w:val="Hyperlink"/>
            <w:sz w:val="22"/>
            <w:szCs w:val="22"/>
          </w:rPr>
          <w:t>https://gdpr-info.eu/</w:t>
        </w:r>
      </w:hyperlink>
      <w:r>
        <w:rPr>
          <w:sz w:val="22"/>
          <w:szCs w:val="22"/>
        </w:rPr>
        <w:t xml:space="preserve"> . [Accessed: 5 June 2026].</w:t>
      </w:r>
    </w:p>
    <w:p w14:paraId="182110CC" w14:textId="77777777" w:rsidR="00EC0EA6" w:rsidRDefault="00EC0EA6" w:rsidP="00EC0EA6">
      <w:pPr>
        <w:spacing w:before="80" w:after="80" w:line="340" w:lineRule="auto"/>
        <w:ind w:left="560" w:hanging="560"/>
        <w:rPr>
          <w:sz w:val="22"/>
          <w:szCs w:val="22"/>
        </w:rPr>
      </w:pPr>
      <w:r w:rsidRPr="00E159A4">
        <w:t>[1</w:t>
      </w:r>
      <w:r>
        <w:t>2</w:t>
      </w:r>
      <w:r w:rsidRPr="00E159A4">
        <w:t xml:space="preserve">] </w:t>
      </w:r>
      <w:r w:rsidRPr="00CF5F67">
        <w:rPr>
          <w:sz w:val="22"/>
          <w:szCs w:val="22"/>
        </w:rPr>
        <w:t>M. Scherer, "Regulating artificial intelligence systems: Risks, Challenges, Competencies, and Strategies," Harvard Journal of Law &amp; Technology, vol. 29, no. 2, pp. 353-400, 2015.</w:t>
      </w:r>
    </w:p>
    <w:p w14:paraId="478E1B5B" w14:textId="77777777" w:rsidR="00EC0EA6" w:rsidRPr="00A47062" w:rsidRDefault="00EC0EA6" w:rsidP="00EC0EA6">
      <w:pPr>
        <w:spacing w:before="80" w:after="80" w:line="340" w:lineRule="auto"/>
        <w:ind w:left="560" w:hanging="560"/>
        <w:rPr>
          <w:sz w:val="22"/>
          <w:szCs w:val="22"/>
        </w:rPr>
      </w:pPr>
      <w:r w:rsidRPr="00A47062">
        <w:rPr>
          <w:rFonts w:ascii="Arial" w:hAnsi="Arial"/>
          <w:sz w:val="22"/>
          <w:szCs w:val="22"/>
        </w:rPr>
        <w:t>​</w:t>
      </w:r>
      <w:r w:rsidRPr="00A47062">
        <w:rPr>
          <w:sz w:val="22"/>
          <w:szCs w:val="22"/>
        </w:rPr>
        <w:t>[13] S. Liu, "Model Governance and Data Integrity," in AI and Machine Learning for E-Commerce Risk Management, Springer, 2026.</w:t>
      </w:r>
    </w:p>
    <w:p w14:paraId="31BC4335" w14:textId="77777777" w:rsidR="00EC0EA6" w:rsidRPr="00A47062" w:rsidRDefault="00EC0EA6" w:rsidP="00EC0EA6">
      <w:pPr>
        <w:spacing w:before="80" w:after="80" w:line="340" w:lineRule="auto"/>
        <w:ind w:left="560" w:hanging="560"/>
        <w:rPr>
          <w:sz w:val="22"/>
          <w:szCs w:val="22"/>
        </w:rPr>
      </w:pPr>
      <w:r w:rsidRPr="00A47062">
        <w:rPr>
          <w:rFonts w:ascii="Arial" w:hAnsi="Arial"/>
          <w:sz w:val="22"/>
          <w:szCs w:val="22"/>
        </w:rPr>
        <w:t>​</w:t>
      </w:r>
      <w:r w:rsidRPr="00A47062">
        <w:rPr>
          <w:sz w:val="22"/>
          <w:szCs w:val="22"/>
        </w:rPr>
        <w:t xml:space="preserve">[14] J. Sayles, Principles of AI Governance and Model Risk Management: Master the Techniques for Ethical and Transparent AI Systems. New York, USA: </w:t>
      </w:r>
      <w:proofErr w:type="spellStart"/>
      <w:r w:rsidRPr="00A47062">
        <w:rPr>
          <w:sz w:val="22"/>
          <w:szCs w:val="22"/>
        </w:rPr>
        <w:t>Apress</w:t>
      </w:r>
      <w:proofErr w:type="spellEnd"/>
      <w:r w:rsidRPr="00A47062">
        <w:rPr>
          <w:sz w:val="22"/>
          <w:szCs w:val="22"/>
        </w:rPr>
        <w:t>, 2024.</w:t>
      </w:r>
    </w:p>
    <w:p w14:paraId="1E6B173B" w14:textId="77777777" w:rsidR="00EC0EA6" w:rsidRPr="00A47062" w:rsidRDefault="00EC0EA6" w:rsidP="00EC0EA6">
      <w:pPr>
        <w:spacing w:before="80" w:after="80" w:line="340" w:lineRule="auto"/>
        <w:ind w:left="560" w:hanging="560"/>
        <w:rPr>
          <w:sz w:val="22"/>
          <w:szCs w:val="22"/>
        </w:rPr>
      </w:pPr>
      <w:r w:rsidRPr="00A47062">
        <w:rPr>
          <w:rFonts w:ascii="Arial" w:hAnsi="Arial"/>
          <w:sz w:val="22"/>
          <w:szCs w:val="22"/>
        </w:rPr>
        <w:t>​</w:t>
      </w:r>
      <w:r w:rsidRPr="00A47062">
        <w:rPr>
          <w:sz w:val="22"/>
          <w:szCs w:val="22"/>
        </w:rPr>
        <w:t xml:space="preserve">[15] European Union, "Artificial Intelligence Act," Official Journal of the European Union, Reg. (EU) 2024/1689, 2024. [Online]. Available: </w:t>
      </w:r>
      <w:hyperlink r:id="rId14" w:history="1">
        <w:r w:rsidRPr="00F10BDB">
          <w:rPr>
            <w:rStyle w:val="Hyperlink"/>
            <w:sz w:val="22"/>
            <w:szCs w:val="22"/>
          </w:rPr>
          <w:t>http://data.europa.eu/eli/reg/2024/1689/oj</w:t>
        </w:r>
      </w:hyperlink>
      <w:r>
        <w:rPr>
          <w:sz w:val="22"/>
          <w:szCs w:val="22"/>
        </w:rPr>
        <w:t xml:space="preserve"> [Accessed: 17 July 2026]</w:t>
      </w:r>
    </w:p>
    <w:p w14:paraId="0D66F725" w14:textId="77777777" w:rsidR="00EC0EA6" w:rsidRPr="00A47062" w:rsidRDefault="00EC0EA6" w:rsidP="00EC0EA6">
      <w:pPr>
        <w:spacing w:before="80" w:after="80" w:line="340" w:lineRule="auto"/>
        <w:ind w:left="560" w:hanging="560"/>
        <w:rPr>
          <w:sz w:val="22"/>
          <w:szCs w:val="22"/>
        </w:rPr>
      </w:pPr>
      <w:r w:rsidRPr="00A47062">
        <w:rPr>
          <w:sz w:val="22"/>
          <w:szCs w:val="22"/>
        </w:rPr>
        <w:t xml:space="preserve">[16] J. Kyriazoglou, "AI Management Framework: Practical Solutions for Ethical AI Deployment and Continuous Improvement". New York, USA: </w:t>
      </w:r>
      <w:proofErr w:type="spellStart"/>
      <w:r w:rsidRPr="00A47062">
        <w:rPr>
          <w:sz w:val="22"/>
          <w:szCs w:val="22"/>
        </w:rPr>
        <w:t>Apress</w:t>
      </w:r>
      <w:proofErr w:type="spellEnd"/>
      <w:r w:rsidRPr="00A47062">
        <w:rPr>
          <w:sz w:val="22"/>
          <w:szCs w:val="22"/>
        </w:rPr>
        <w:t>, 2025.</w:t>
      </w:r>
    </w:p>
    <w:p w14:paraId="42240F92" w14:textId="77777777" w:rsidR="00EC0EA6" w:rsidRPr="00A47062" w:rsidRDefault="00EC0EA6" w:rsidP="00EC0EA6">
      <w:pPr>
        <w:spacing w:before="80" w:after="80" w:line="340" w:lineRule="auto"/>
        <w:ind w:left="560" w:hanging="560"/>
        <w:rPr>
          <w:sz w:val="22"/>
          <w:szCs w:val="22"/>
        </w:rPr>
      </w:pPr>
    </w:p>
    <w:p w14:paraId="7C7638AA" w14:textId="77777777" w:rsidR="00EC0EA6" w:rsidRPr="00A47062" w:rsidRDefault="00EC0EA6" w:rsidP="00EC0EA6">
      <w:pPr>
        <w:spacing w:before="80" w:after="80" w:line="340" w:lineRule="auto"/>
        <w:ind w:left="560" w:hanging="560"/>
        <w:rPr>
          <w:sz w:val="22"/>
          <w:szCs w:val="22"/>
        </w:rPr>
      </w:pPr>
    </w:p>
    <w:p w14:paraId="5E68CFC9" w14:textId="77777777" w:rsidR="00EC0EA6" w:rsidRDefault="00EC0EA6" w:rsidP="00EC0EA6">
      <w:pPr>
        <w:spacing w:before="80" w:after="80" w:line="340" w:lineRule="auto"/>
        <w:ind w:left="560" w:hanging="560"/>
        <w:rPr>
          <w:sz w:val="22"/>
          <w:szCs w:val="22"/>
        </w:rPr>
      </w:pPr>
    </w:p>
    <w:p w14:paraId="75F83FF0" w14:textId="77777777" w:rsidR="00EC0EA6" w:rsidRPr="00CF5F67" w:rsidRDefault="00EC0EA6" w:rsidP="00EC0EA6">
      <w:pPr>
        <w:spacing w:before="80" w:after="80" w:line="340" w:lineRule="auto"/>
        <w:ind w:left="560" w:hanging="560"/>
        <w:rPr>
          <w:sz w:val="22"/>
          <w:szCs w:val="22"/>
        </w:rPr>
      </w:pPr>
    </w:p>
    <w:p w14:paraId="4FB9C5EF" w14:textId="77777777" w:rsidR="00EC0EA6" w:rsidRPr="00CF5F67" w:rsidRDefault="00EC0EA6" w:rsidP="00EC0EA6">
      <w:pPr>
        <w:spacing w:before="80" w:after="80" w:line="340" w:lineRule="auto"/>
        <w:ind w:left="560" w:hanging="560"/>
        <w:rPr>
          <w:sz w:val="22"/>
          <w:szCs w:val="22"/>
        </w:rPr>
      </w:pPr>
    </w:p>
    <w:p w14:paraId="24EB4375" w14:textId="77777777" w:rsidR="00EC0EA6" w:rsidRDefault="00EC0EA6" w:rsidP="00EC0EA6">
      <w:pPr>
        <w:spacing w:before="80" w:after="80" w:line="340" w:lineRule="auto"/>
        <w:ind w:left="560" w:hanging="560"/>
      </w:pPr>
    </w:p>
    <w:p w14:paraId="7087ACFA" w14:textId="77777777" w:rsidR="00EC0EA6" w:rsidRDefault="00EC0EA6" w:rsidP="00EC0EA6"/>
    <w:p w14:paraId="2003EBFB" w14:textId="77777777" w:rsidR="00EC0EA6" w:rsidRDefault="00EC0EA6" w:rsidP="00EC0EA6"/>
    <w:p w14:paraId="5180CB15" w14:textId="77777777" w:rsidR="00EC0EA6" w:rsidRDefault="00EC0EA6" w:rsidP="00EC0EA6"/>
    <w:p w14:paraId="54FBC8BB" w14:textId="77777777" w:rsidR="00EC0EA6" w:rsidRDefault="00EC0EA6" w:rsidP="00EC0EA6"/>
    <w:p w14:paraId="5A50A18C" w14:textId="77777777" w:rsidR="00EC0EA6" w:rsidRDefault="00EC0EA6" w:rsidP="00EC0EA6"/>
    <w:p w14:paraId="62525C1D" w14:textId="77777777" w:rsidR="00EC0EA6" w:rsidRDefault="00EC0EA6" w:rsidP="00EC0EA6"/>
    <w:p w14:paraId="0CA49FBA" w14:textId="77777777" w:rsidR="00EC0EA6" w:rsidRDefault="00EC0EA6" w:rsidP="00EC0EA6"/>
    <w:p w14:paraId="22905839" w14:textId="77777777" w:rsidR="00EC0EA6" w:rsidRDefault="00EC0EA6" w:rsidP="00EC0EA6"/>
    <w:p w14:paraId="16953849" w14:textId="77777777" w:rsidR="00EC0EA6" w:rsidRDefault="00EC0EA6" w:rsidP="00EC0EA6"/>
    <w:p w14:paraId="759CF71F" w14:textId="77777777" w:rsidR="00EC0EA6" w:rsidRDefault="00EC0EA6" w:rsidP="00EC0EA6"/>
    <w:p w14:paraId="21C15FB8" w14:textId="77777777" w:rsidR="00EC0EA6" w:rsidRDefault="00EC0EA6" w:rsidP="00EC0EA6"/>
    <w:p w14:paraId="1281C846" w14:textId="77777777" w:rsidR="00EC0EA6" w:rsidRDefault="00EC0EA6" w:rsidP="00EC0EA6"/>
    <w:p w14:paraId="17ECE246" w14:textId="77777777" w:rsidR="00EC0EA6" w:rsidRPr="0003322B" w:rsidRDefault="00EC0EA6" w:rsidP="00EC0EA6">
      <w:pPr>
        <w:pStyle w:val="Heading1"/>
        <w:rPr>
          <w:color w:val="215E99" w:themeColor="text2" w:themeTint="BF"/>
        </w:rPr>
      </w:pPr>
      <w:bookmarkStart w:id="18" w:name="_Toc233932828"/>
      <w:bookmarkStart w:id="19" w:name="_Toc234619679"/>
      <w:r w:rsidRPr="0003322B">
        <w:rPr>
          <w:color w:val="215E99" w:themeColor="text2" w:themeTint="BF"/>
        </w:rPr>
        <w:lastRenderedPageBreak/>
        <w:t>Task 2 – Case Scenario</w:t>
      </w:r>
      <w:bookmarkEnd w:id="18"/>
      <w:bookmarkEnd w:id="19"/>
    </w:p>
    <w:p w14:paraId="75B15DC9" w14:textId="77777777" w:rsidR="00EC0EA6" w:rsidRPr="0003322B" w:rsidRDefault="00EC0EA6" w:rsidP="00EC0EA6">
      <w:pPr>
        <w:rPr>
          <w:b/>
          <w:bCs/>
          <w:color w:val="215E99" w:themeColor="text2" w:themeTint="BF"/>
        </w:rPr>
      </w:pPr>
      <w:r w:rsidRPr="0003322B">
        <w:rPr>
          <w:b/>
          <w:bCs/>
          <w:color w:val="215E99" w:themeColor="text2" w:themeTint="BF"/>
        </w:rPr>
        <w:t>Designing a Structured Cybersecurity Programme</w:t>
      </w:r>
    </w:p>
    <w:p w14:paraId="3067D75D" w14:textId="77777777" w:rsidR="00EC0EA6" w:rsidRPr="0003322B" w:rsidRDefault="00EC0EA6" w:rsidP="00EC0EA6">
      <w:pPr>
        <w:rPr>
          <w:b/>
          <w:bCs/>
          <w:color w:val="215E99" w:themeColor="text2" w:themeTint="BF"/>
        </w:rPr>
      </w:pPr>
    </w:p>
    <w:p w14:paraId="1ABDE1A1" w14:textId="77777777" w:rsidR="00EC0EA6" w:rsidRPr="0003322B" w:rsidRDefault="00EC0EA6" w:rsidP="00EC0EA6">
      <w:pPr>
        <w:pStyle w:val="Heading2"/>
        <w:rPr>
          <w:color w:val="215E99" w:themeColor="text2" w:themeTint="BF"/>
        </w:rPr>
      </w:pPr>
      <w:bookmarkStart w:id="20" w:name="_Toc233932829"/>
      <w:bookmarkStart w:id="21" w:name="_Toc234619680"/>
      <w:r w:rsidRPr="0003322B">
        <w:rPr>
          <w:color w:val="215E99" w:themeColor="text2" w:themeTint="BF"/>
        </w:rPr>
        <w:t>Introduction</w:t>
      </w:r>
      <w:bookmarkEnd w:id="20"/>
      <w:bookmarkEnd w:id="21"/>
    </w:p>
    <w:p w14:paraId="0185A4F9" w14:textId="77777777" w:rsidR="00EC0EA6" w:rsidRPr="003B10E9" w:rsidRDefault="00EC0EA6" w:rsidP="00EC0EA6"/>
    <w:p w14:paraId="7F16A2DE" w14:textId="77777777" w:rsidR="00EC0EA6" w:rsidRPr="001541A0" w:rsidRDefault="00EC0EA6" w:rsidP="00EC0EA6">
      <w:pPr>
        <w:spacing w:line="360" w:lineRule="auto"/>
      </w:pPr>
      <w:r w:rsidRPr="001541A0">
        <w:t xml:space="preserve">In March 2017, the Apache Software </w:t>
      </w:r>
      <w:r>
        <w:t>Foundation addressed a severe security flaw within its Struts web framework by deploying an essential software patch</w:t>
      </w:r>
      <w:r w:rsidRPr="001541A0">
        <w:t xml:space="preserve">. Equifax </w:t>
      </w:r>
      <w:r>
        <w:t>ranks among the largest credit agencies</w:t>
      </w:r>
      <w:r w:rsidRPr="001541A0">
        <w:t xml:space="preserve"> in the world, failed to apply that patch. Two months </w:t>
      </w:r>
      <w:r>
        <w:t>after the vulnerability was identified, attackers exploited it and remained undetected within Equifax’s systems for over two months</w:t>
      </w:r>
      <w:r w:rsidRPr="001541A0">
        <w:t>. By the time the breach was discovered, the personal data of approximately 147 million people had been stolen, including</w:t>
      </w:r>
      <w:r>
        <w:t xml:space="preserve"> sensitive information like</w:t>
      </w:r>
      <w:r w:rsidRPr="001541A0">
        <w:t xml:space="preserve"> Social Security numbers, dates of birth, addresses and credit card details </w:t>
      </w:r>
      <w:r w:rsidRPr="009514E3">
        <w:t>[1]</w:t>
      </w:r>
      <w:r w:rsidRPr="001541A0">
        <w:t>.</w:t>
      </w:r>
    </w:p>
    <w:p w14:paraId="22732A9E" w14:textId="77777777" w:rsidR="00EC0EA6" w:rsidRPr="001541A0" w:rsidRDefault="00EC0EA6" w:rsidP="00EC0EA6">
      <w:pPr>
        <w:spacing w:line="360" w:lineRule="auto"/>
      </w:pPr>
      <w:r w:rsidRPr="001541A0">
        <w:t xml:space="preserve">The </w:t>
      </w:r>
      <w:r>
        <w:t xml:space="preserve">consequences were severe. Equifax faced more than $700 million in financial fines, its chief executive resigned, and the brand’s credibility was damaged </w:t>
      </w:r>
      <w:r w:rsidRPr="003E3D79">
        <w:t>[2].</w:t>
      </w:r>
      <w:r w:rsidRPr="001541A0">
        <w:t xml:space="preserve"> Investigations by the U.S. Senate and the Government Accountability Office found that the breach was not caused by a</w:t>
      </w:r>
      <w:r>
        <w:t xml:space="preserve"> highly advanced </w:t>
      </w:r>
      <w:r w:rsidRPr="001541A0">
        <w:t xml:space="preserve">attack. It was </w:t>
      </w:r>
      <w:r>
        <w:t>driven entirely by avoidable failures</w:t>
      </w:r>
      <w:r w:rsidRPr="001541A0">
        <w:t xml:space="preserve"> in governance, accountability, patch management</w:t>
      </w:r>
      <w:r>
        <w:t xml:space="preserve"> </w:t>
      </w:r>
      <w:r w:rsidRPr="001541A0">
        <w:t xml:space="preserve">and monitoring </w:t>
      </w:r>
      <w:r w:rsidRPr="001A6D9E">
        <w:t>[3].</w:t>
      </w:r>
      <w:r>
        <w:t xml:space="preserve"> </w:t>
      </w:r>
    </w:p>
    <w:p w14:paraId="3736BA1A" w14:textId="77777777" w:rsidR="00EC0EA6" w:rsidRDefault="00EC0EA6" w:rsidP="00EC0EA6">
      <w:pPr>
        <w:spacing w:line="360" w:lineRule="auto"/>
      </w:pPr>
      <w:r w:rsidRPr="001541A0">
        <w:t xml:space="preserve">This paper </w:t>
      </w:r>
      <w:r>
        <w:t>relies on</w:t>
      </w:r>
      <w:r w:rsidRPr="001541A0">
        <w:t xml:space="preserve"> the Equifax</w:t>
      </w:r>
      <w:r>
        <w:t xml:space="preserve"> breach as a critical case study for designing a structured and proactive</w:t>
      </w:r>
      <w:r w:rsidRPr="001541A0">
        <w:t xml:space="preserve"> cybersecurity programme. The</w:t>
      </w:r>
      <w:r>
        <w:t xml:space="preserve"> </w:t>
      </w:r>
      <w:r w:rsidRPr="001541A0">
        <w:t xml:space="preserve">programme is </w:t>
      </w:r>
      <w:r>
        <w:t>organised</w:t>
      </w:r>
      <w:r w:rsidRPr="001541A0">
        <w:t xml:space="preserve"> </w:t>
      </w:r>
      <w:r>
        <w:t>into</w:t>
      </w:r>
      <w:r w:rsidRPr="001541A0">
        <w:t xml:space="preserve"> five </w:t>
      </w:r>
      <w:r>
        <w:t xml:space="preserve">key </w:t>
      </w:r>
      <w:r w:rsidRPr="001541A0">
        <w:t xml:space="preserve">assessment </w:t>
      </w:r>
      <w:r>
        <w:t>areas</w:t>
      </w:r>
      <w:r w:rsidRPr="001541A0">
        <w:t>: organisational structure and accountability, policies and procedures, governance and strategic alignment, risk management and assessment</w:t>
      </w:r>
      <w:r>
        <w:t xml:space="preserve"> </w:t>
      </w:r>
      <w:r w:rsidRPr="001541A0">
        <w:t xml:space="preserve">and </w:t>
      </w:r>
      <w:r>
        <w:t xml:space="preserve">the fifth assessment component is the </w:t>
      </w:r>
      <w:r w:rsidRPr="001541A0">
        <w:t xml:space="preserve">compliance with incident response and protection controls. Each component </w:t>
      </w:r>
      <w:r>
        <w:t xml:space="preserve">is </w:t>
      </w:r>
      <w:r w:rsidRPr="001541A0">
        <w:t xml:space="preserve">directly </w:t>
      </w:r>
      <w:r>
        <w:t>linked to</w:t>
      </w:r>
      <w:r w:rsidRPr="001541A0">
        <w:t xml:space="preserve"> a failure exposed by the breach and is supported by recognised frameworks and</w:t>
      </w:r>
      <w:r>
        <w:t xml:space="preserve"> supporting</w:t>
      </w:r>
      <w:r w:rsidRPr="001541A0">
        <w:t xml:space="preserve"> evidence.</w:t>
      </w:r>
    </w:p>
    <w:p w14:paraId="498E54F5" w14:textId="77777777" w:rsidR="00EC0EA6" w:rsidRDefault="00EC0EA6" w:rsidP="00EC0EA6">
      <w:pPr>
        <w:spacing w:line="360" w:lineRule="auto"/>
      </w:pPr>
    </w:p>
    <w:p w14:paraId="745E08DA" w14:textId="77777777" w:rsidR="00EC0EA6" w:rsidRPr="001541A0" w:rsidRDefault="00EC0EA6" w:rsidP="00EC0EA6"/>
    <w:p w14:paraId="568688D5" w14:textId="77777777" w:rsidR="00EC0EA6" w:rsidRPr="001541A0" w:rsidRDefault="00EC0EA6" w:rsidP="00EC0EA6"/>
    <w:p w14:paraId="023C341E" w14:textId="77777777" w:rsidR="00EC0EA6" w:rsidRPr="001541A0" w:rsidRDefault="00EC0EA6" w:rsidP="00EC0EA6">
      <w:pPr>
        <w:pStyle w:val="Heading2"/>
      </w:pPr>
      <w:bookmarkStart w:id="22" w:name="_Toc233932830"/>
      <w:bookmarkStart w:id="23" w:name="_Toc234619681"/>
      <w:r w:rsidRPr="001541A0">
        <w:lastRenderedPageBreak/>
        <w:t>1. Organisational Structure and Accountability</w:t>
      </w:r>
      <w:bookmarkEnd w:id="22"/>
      <w:bookmarkEnd w:id="23"/>
    </w:p>
    <w:p w14:paraId="5AA8031E" w14:textId="77777777" w:rsidR="00EC0EA6" w:rsidRDefault="00EC0EA6" w:rsidP="00EC0EA6">
      <w:pPr>
        <w:spacing w:line="360" w:lineRule="auto"/>
      </w:pPr>
      <w:r w:rsidRPr="001541A0">
        <w:t>A central finding from the Equifax investigation was that no single person had both the authority and the responsibility to</w:t>
      </w:r>
      <w:r>
        <w:t xml:space="preserve"> implement and</w:t>
      </w:r>
      <w:r w:rsidRPr="001541A0">
        <w:t xml:space="preserve"> enforce security standards </w:t>
      </w:r>
      <w:r>
        <w:t>throughout</w:t>
      </w:r>
      <w:r w:rsidRPr="001541A0">
        <w:t xml:space="preserve"> the organisation. </w:t>
      </w:r>
      <w:r>
        <w:t>Despite being designated Chief Security Officer, the security leader at the time lacked direct board access</w:t>
      </w:r>
      <w:r w:rsidRPr="001541A0">
        <w:t xml:space="preserve"> and had limited authority over business units </w:t>
      </w:r>
      <w:r w:rsidRPr="001E621F">
        <w:t>[3]</w:t>
      </w:r>
      <w:r w:rsidRPr="001541A0">
        <w:t>. This structura</w:t>
      </w:r>
      <w:r>
        <w:t>l failing resulted in the unpatched system weakness remaining outside the scope of detection activities for several months</w:t>
      </w:r>
      <w:r w:rsidRPr="001541A0">
        <w:t>.</w:t>
      </w:r>
    </w:p>
    <w:p w14:paraId="7A8C73C8" w14:textId="77777777" w:rsidR="00EC0EA6" w:rsidRPr="004C2820" w:rsidRDefault="00EC0EA6" w:rsidP="00EC0EA6">
      <w:r>
        <w:t>The proposed governance structure is organised into three tiers, as shown in table 1 below.</w:t>
      </w:r>
    </w:p>
    <w:p w14:paraId="7942C759" w14:textId="77777777" w:rsidR="00EC0EA6" w:rsidRDefault="00EC0EA6" w:rsidP="00EC0EA6">
      <w:pPr>
        <w:pStyle w:val="Heading3"/>
      </w:pPr>
      <w:bookmarkStart w:id="24" w:name="_Toc233932831"/>
      <w:bookmarkStart w:id="25" w:name="_Toc234619682"/>
      <w:r>
        <w:t>1.1</w:t>
      </w:r>
      <w:r w:rsidRPr="007739E8">
        <w:t>Proposed Governance and Reporting Structure</w:t>
      </w:r>
      <w:bookmarkEnd w:id="24"/>
      <w:bookmarkEnd w:id="25"/>
    </w:p>
    <w:p w14:paraId="11E69FBD" w14:textId="77777777" w:rsidR="00EC0EA6" w:rsidRPr="004C2820" w:rsidRDefault="00EC0EA6" w:rsidP="00EC0EA6">
      <w:pPr>
        <w:pStyle w:val="ListParagraph"/>
        <w:ind w:left="380"/>
        <w:rPr>
          <w:b/>
          <w:bCs/>
        </w:rPr>
      </w:pPr>
    </w:p>
    <w:tbl>
      <w:tblPr>
        <w:tblStyle w:val="ListTable5Dark-Accent2"/>
        <w:tblW w:w="9360" w:type="dxa"/>
        <w:tblLook w:val="0000" w:firstRow="0" w:lastRow="0" w:firstColumn="0" w:lastColumn="0" w:noHBand="0" w:noVBand="0"/>
      </w:tblPr>
      <w:tblGrid>
        <w:gridCol w:w="1480"/>
        <w:gridCol w:w="2289"/>
        <w:gridCol w:w="3639"/>
        <w:gridCol w:w="1952"/>
      </w:tblGrid>
      <w:tr w:rsidR="00EC0EA6" w14:paraId="1FA8AE74" w14:textId="77777777" w:rsidTr="00EB1C64">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78AD99E" w14:textId="77777777" w:rsidR="00EC0EA6" w:rsidRDefault="00EC0EA6" w:rsidP="00EC0EA6">
            <w:pPr>
              <w:pStyle w:val="ListParagraph"/>
              <w:numPr>
                <w:ilvl w:val="0"/>
                <w:numId w:val="1"/>
              </w:numPr>
              <w:jc w:val="center"/>
            </w:pPr>
            <w:r w:rsidRPr="007739E8">
              <w:rPr>
                <w:b/>
                <w:bCs/>
                <w:color w:val="FFFFFF"/>
                <w:sz w:val="20"/>
                <w:szCs w:val="20"/>
              </w:rPr>
              <w:t>Tier</w:t>
            </w:r>
          </w:p>
        </w:tc>
        <w:tc>
          <w:tcPr>
            <w:cnfStyle w:val="000001000000" w:firstRow="0" w:lastRow="0" w:firstColumn="0" w:lastColumn="0" w:oddVBand="0" w:evenVBand="1" w:oddHBand="0" w:evenHBand="0" w:firstRowFirstColumn="0" w:firstRowLastColumn="0" w:lastRowFirstColumn="0" w:lastRowLastColumn="0"/>
            <w:tcW w:w="0" w:type="auto"/>
          </w:tcPr>
          <w:p w14:paraId="04CB78F0" w14:textId="77777777" w:rsidR="00EC0EA6" w:rsidRDefault="00EC0EA6" w:rsidP="00EB1C64">
            <w:pPr>
              <w:jc w:val="center"/>
            </w:pPr>
            <w:r>
              <w:rPr>
                <w:b/>
                <w:bCs/>
                <w:color w:val="FFFFFF"/>
                <w:sz w:val="20"/>
                <w:szCs w:val="20"/>
              </w:rPr>
              <w:t>Role / Body</w:t>
            </w:r>
          </w:p>
        </w:tc>
        <w:tc>
          <w:tcPr>
            <w:cnfStyle w:val="000010000000" w:firstRow="0" w:lastRow="0" w:firstColumn="0" w:lastColumn="0" w:oddVBand="1" w:evenVBand="0" w:oddHBand="0" w:evenHBand="0" w:firstRowFirstColumn="0" w:firstRowLastColumn="0" w:lastRowFirstColumn="0" w:lastRowLastColumn="0"/>
            <w:tcW w:w="0" w:type="auto"/>
          </w:tcPr>
          <w:p w14:paraId="0CEB504E" w14:textId="77777777" w:rsidR="00EC0EA6" w:rsidRDefault="00EC0EA6" w:rsidP="00EB1C64">
            <w:pPr>
              <w:jc w:val="center"/>
            </w:pPr>
            <w:r>
              <w:rPr>
                <w:b/>
                <w:bCs/>
                <w:color w:val="FFFFFF"/>
                <w:sz w:val="20"/>
                <w:szCs w:val="20"/>
              </w:rPr>
              <w:t>Responsibilities</w:t>
            </w:r>
          </w:p>
        </w:tc>
        <w:tc>
          <w:tcPr>
            <w:cnfStyle w:val="000001000000" w:firstRow="0" w:lastRow="0" w:firstColumn="0" w:lastColumn="0" w:oddVBand="0" w:evenVBand="1" w:oddHBand="0" w:evenHBand="0" w:firstRowFirstColumn="0" w:firstRowLastColumn="0" w:lastRowFirstColumn="0" w:lastRowLastColumn="0"/>
            <w:tcW w:w="0" w:type="auto"/>
          </w:tcPr>
          <w:p w14:paraId="3A746DE5" w14:textId="77777777" w:rsidR="00EC0EA6" w:rsidRDefault="00EC0EA6" w:rsidP="00EB1C64">
            <w:pPr>
              <w:jc w:val="center"/>
            </w:pPr>
            <w:r>
              <w:rPr>
                <w:b/>
                <w:bCs/>
                <w:color w:val="FFFFFF"/>
                <w:sz w:val="20"/>
                <w:szCs w:val="20"/>
              </w:rPr>
              <w:t>Reporting Line</w:t>
            </w:r>
          </w:p>
        </w:tc>
      </w:tr>
      <w:tr w:rsidR="00EC0EA6" w14:paraId="6EF40B5A" w14:textId="77777777" w:rsidTr="00EB1C64">
        <w:tc>
          <w:tcPr>
            <w:cnfStyle w:val="000010000000" w:firstRow="0" w:lastRow="0" w:firstColumn="0" w:lastColumn="0" w:oddVBand="1" w:evenVBand="0" w:oddHBand="0" w:evenHBand="0" w:firstRowFirstColumn="0" w:firstRowLastColumn="0" w:lastRowFirstColumn="0" w:lastRowLastColumn="0"/>
            <w:tcW w:w="0" w:type="auto"/>
          </w:tcPr>
          <w:p w14:paraId="25395DD3" w14:textId="77777777" w:rsidR="00EC0EA6" w:rsidRDefault="00EC0EA6" w:rsidP="00EB1C64">
            <w:r>
              <w:rPr>
                <w:sz w:val="20"/>
                <w:szCs w:val="20"/>
              </w:rPr>
              <w:t>Tier 1 – Board</w:t>
            </w:r>
          </w:p>
        </w:tc>
        <w:tc>
          <w:tcPr>
            <w:cnfStyle w:val="000001000000" w:firstRow="0" w:lastRow="0" w:firstColumn="0" w:lastColumn="0" w:oddVBand="0" w:evenVBand="1" w:oddHBand="0" w:evenHBand="0" w:firstRowFirstColumn="0" w:firstRowLastColumn="0" w:lastRowFirstColumn="0" w:lastRowLastColumn="0"/>
            <w:tcW w:w="0" w:type="auto"/>
          </w:tcPr>
          <w:p w14:paraId="24D13EA5" w14:textId="77777777" w:rsidR="00EC0EA6" w:rsidRDefault="00EC0EA6" w:rsidP="00EB1C64">
            <w:pPr>
              <w:jc w:val="center"/>
            </w:pPr>
            <w:r>
              <w:rPr>
                <w:sz w:val="20"/>
                <w:szCs w:val="20"/>
              </w:rPr>
              <w:t>Board Cybersecurity Committee</w:t>
            </w:r>
          </w:p>
        </w:tc>
        <w:tc>
          <w:tcPr>
            <w:cnfStyle w:val="000010000000" w:firstRow="0" w:lastRow="0" w:firstColumn="0" w:lastColumn="0" w:oddVBand="1" w:evenVBand="0" w:oddHBand="0" w:evenHBand="0" w:firstRowFirstColumn="0" w:firstRowLastColumn="0" w:lastRowFirstColumn="0" w:lastRowLastColumn="0"/>
            <w:tcW w:w="0" w:type="auto"/>
          </w:tcPr>
          <w:p w14:paraId="0A5D155D" w14:textId="77777777" w:rsidR="00EC0EA6" w:rsidRDefault="00EC0EA6" w:rsidP="00EB1C64">
            <w:pPr>
              <w:jc w:val="center"/>
            </w:pPr>
            <w:r>
              <w:rPr>
                <w:sz w:val="20"/>
                <w:szCs w:val="20"/>
              </w:rPr>
              <w:t>Approve policy, review risk posture, receive incident briefings (quarterly)</w:t>
            </w:r>
          </w:p>
        </w:tc>
        <w:tc>
          <w:tcPr>
            <w:cnfStyle w:val="000001000000" w:firstRow="0" w:lastRow="0" w:firstColumn="0" w:lastColumn="0" w:oddVBand="0" w:evenVBand="1" w:oddHBand="0" w:evenHBand="0" w:firstRowFirstColumn="0" w:firstRowLastColumn="0" w:lastRowFirstColumn="0" w:lastRowLastColumn="0"/>
            <w:tcW w:w="0" w:type="auto"/>
          </w:tcPr>
          <w:p w14:paraId="300946F6" w14:textId="77777777" w:rsidR="00EC0EA6" w:rsidRDefault="00EC0EA6" w:rsidP="00EB1C64">
            <w:r>
              <w:rPr>
                <w:sz w:val="20"/>
                <w:szCs w:val="20"/>
              </w:rPr>
              <w:t>Reports to full Board</w:t>
            </w:r>
          </w:p>
        </w:tc>
      </w:tr>
      <w:tr w:rsidR="00EC0EA6" w14:paraId="113778A1" w14:textId="77777777" w:rsidTr="00EB1C64">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2364808C" w14:textId="77777777" w:rsidR="00EC0EA6" w:rsidRDefault="00EC0EA6" w:rsidP="00EB1C64">
            <w:r>
              <w:rPr>
                <w:sz w:val="20"/>
                <w:szCs w:val="20"/>
              </w:rPr>
              <w:t>Tier 2 – Executive</w:t>
            </w:r>
          </w:p>
        </w:tc>
        <w:tc>
          <w:tcPr>
            <w:cnfStyle w:val="000001000000" w:firstRow="0" w:lastRow="0" w:firstColumn="0" w:lastColumn="0" w:oddVBand="0" w:evenVBand="1" w:oddHBand="0" w:evenHBand="0" w:firstRowFirstColumn="0" w:firstRowLastColumn="0" w:lastRowFirstColumn="0" w:lastRowLastColumn="0"/>
            <w:tcW w:w="0" w:type="auto"/>
          </w:tcPr>
          <w:p w14:paraId="61A43048" w14:textId="77777777" w:rsidR="00EC0EA6" w:rsidRDefault="00EC0EA6" w:rsidP="00EB1C64">
            <w:pPr>
              <w:jc w:val="center"/>
            </w:pPr>
            <w:r>
              <w:rPr>
                <w:sz w:val="20"/>
                <w:szCs w:val="20"/>
              </w:rPr>
              <w:t>Chief Information Security Officer (CISO)</w:t>
            </w:r>
          </w:p>
        </w:tc>
        <w:tc>
          <w:tcPr>
            <w:cnfStyle w:val="000010000000" w:firstRow="0" w:lastRow="0" w:firstColumn="0" w:lastColumn="0" w:oddVBand="1" w:evenVBand="0" w:oddHBand="0" w:evenHBand="0" w:firstRowFirstColumn="0" w:firstRowLastColumn="0" w:lastRowFirstColumn="0" w:lastRowLastColumn="0"/>
            <w:tcW w:w="0" w:type="auto"/>
          </w:tcPr>
          <w:p w14:paraId="72DD278C" w14:textId="77777777" w:rsidR="00EC0EA6" w:rsidRDefault="00EC0EA6" w:rsidP="00EB1C64">
            <w:pPr>
              <w:jc w:val="center"/>
            </w:pPr>
            <w:r>
              <w:rPr>
                <w:sz w:val="20"/>
                <w:szCs w:val="20"/>
              </w:rPr>
              <w:t>Own security strategy, control budget, accountable for programme outcomes</w:t>
            </w:r>
          </w:p>
        </w:tc>
        <w:tc>
          <w:tcPr>
            <w:cnfStyle w:val="000001000000" w:firstRow="0" w:lastRow="0" w:firstColumn="0" w:lastColumn="0" w:oddVBand="0" w:evenVBand="1" w:oddHBand="0" w:evenHBand="0" w:firstRowFirstColumn="0" w:firstRowLastColumn="0" w:lastRowFirstColumn="0" w:lastRowLastColumn="0"/>
            <w:tcW w:w="0" w:type="auto"/>
          </w:tcPr>
          <w:p w14:paraId="29432D8E" w14:textId="77777777" w:rsidR="00EC0EA6" w:rsidRDefault="00EC0EA6" w:rsidP="00EB1C64">
            <w:r>
              <w:rPr>
                <w:sz w:val="20"/>
                <w:szCs w:val="20"/>
              </w:rPr>
              <w:t>Reports to CEO; dotted line to Board</w:t>
            </w:r>
          </w:p>
        </w:tc>
      </w:tr>
      <w:tr w:rsidR="00EC0EA6" w14:paraId="2520122A" w14:textId="77777777" w:rsidTr="00EB1C64">
        <w:tc>
          <w:tcPr>
            <w:cnfStyle w:val="000010000000" w:firstRow="0" w:lastRow="0" w:firstColumn="0" w:lastColumn="0" w:oddVBand="1" w:evenVBand="0" w:oddHBand="0" w:evenHBand="0" w:firstRowFirstColumn="0" w:firstRowLastColumn="0" w:lastRowFirstColumn="0" w:lastRowLastColumn="0"/>
            <w:tcW w:w="0" w:type="auto"/>
          </w:tcPr>
          <w:p w14:paraId="181B7C60" w14:textId="77777777" w:rsidR="00EC0EA6" w:rsidRDefault="00EC0EA6" w:rsidP="00EB1C64">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717F3814" w14:textId="77777777" w:rsidR="00EC0EA6" w:rsidRDefault="00EC0EA6" w:rsidP="00EB1C64">
            <w:pPr>
              <w:jc w:val="center"/>
            </w:pPr>
            <w:r>
              <w:rPr>
                <w:sz w:val="20"/>
                <w:szCs w:val="20"/>
              </w:rPr>
              <w:t>Security Architecture Lead</w:t>
            </w:r>
          </w:p>
        </w:tc>
        <w:tc>
          <w:tcPr>
            <w:cnfStyle w:val="000010000000" w:firstRow="0" w:lastRow="0" w:firstColumn="0" w:lastColumn="0" w:oddVBand="1" w:evenVBand="0" w:oddHBand="0" w:evenHBand="0" w:firstRowFirstColumn="0" w:firstRowLastColumn="0" w:lastRowFirstColumn="0" w:lastRowLastColumn="0"/>
            <w:tcW w:w="0" w:type="auto"/>
          </w:tcPr>
          <w:p w14:paraId="389742DD" w14:textId="77777777" w:rsidR="00EC0EA6" w:rsidRDefault="00EC0EA6" w:rsidP="00EB1C64">
            <w:pPr>
              <w:jc w:val="center"/>
            </w:pPr>
            <w:r>
              <w:rPr>
                <w:sz w:val="20"/>
                <w:szCs w:val="20"/>
              </w:rPr>
              <w:t>Network and infrastructure protection design</w:t>
            </w:r>
          </w:p>
        </w:tc>
        <w:tc>
          <w:tcPr>
            <w:cnfStyle w:val="000001000000" w:firstRow="0" w:lastRow="0" w:firstColumn="0" w:lastColumn="0" w:oddVBand="0" w:evenVBand="1" w:oddHBand="0" w:evenHBand="0" w:firstRowFirstColumn="0" w:firstRowLastColumn="0" w:lastRowFirstColumn="0" w:lastRowLastColumn="0"/>
            <w:tcW w:w="0" w:type="auto"/>
          </w:tcPr>
          <w:p w14:paraId="1DECEBD5" w14:textId="77777777" w:rsidR="00EC0EA6" w:rsidRDefault="00EC0EA6" w:rsidP="00EB1C64">
            <w:r>
              <w:rPr>
                <w:sz w:val="20"/>
                <w:szCs w:val="20"/>
              </w:rPr>
              <w:t>Reports to CISO</w:t>
            </w:r>
          </w:p>
        </w:tc>
      </w:tr>
      <w:tr w:rsidR="00EC0EA6" w14:paraId="0481A066" w14:textId="77777777" w:rsidTr="00EB1C64">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A65892F" w14:textId="77777777" w:rsidR="00EC0EA6" w:rsidRDefault="00EC0EA6" w:rsidP="00EB1C64">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044CA532" w14:textId="77777777" w:rsidR="00EC0EA6" w:rsidRDefault="00EC0EA6" w:rsidP="00EB1C64">
            <w:pPr>
              <w:jc w:val="center"/>
            </w:pPr>
            <w:r>
              <w:rPr>
                <w:sz w:val="20"/>
                <w:szCs w:val="20"/>
              </w:rPr>
              <w:t>Secure Development Lead</w:t>
            </w:r>
          </w:p>
        </w:tc>
        <w:tc>
          <w:tcPr>
            <w:cnfStyle w:val="000010000000" w:firstRow="0" w:lastRow="0" w:firstColumn="0" w:lastColumn="0" w:oddVBand="1" w:evenVBand="0" w:oddHBand="0" w:evenHBand="0" w:firstRowFirstColumn="0" w:firstRowLastColumn="0" w:lastRowFirstColumn="0" w:lastRowLastColumn="0"/>
            <w:tcW w:w="0" w:type="auto"/>
          </w:tcPr>
          <w:p w14:paraId="0B6A2FD5" w14:textId="77777777" w:rsidR="00EC0EA6" w:rsidRDefault="00EC0EA6" w:rsidP="00EB1C64">
            <w:pPr>
              <w:jc w:val="center"/>
            </w:pPr>
            <w:r>
              <w:rPr>
                <w:sz w:val="20"/>
                <w:szCs w:val="20"/>
              </w:rPr>
              <w:t>Software development lifecycle security</w:t>
            </w:r>
          </w:p>
        </w:tc>
        <w:tc>
          <w:tcPr>
            <w:cnfStyle w:val="000001000000" w:firstRow="0" w:lastRow="0" w:firstColumn="0" w:lastColumn="0" w:oddVBand="0" w:evenVBand="1" w:oddHBand="0" w:evenHBand="0" w:firstRowFirstColumn="0" w:firstRowLastColumn="0" w:lastRowFirstColumn="0" w:lastRowLastColumn="0"/>
            <w:tcW w:w="0" w:type="auto"/>
          </w:tcPr>
          <w:p w14:paraId="03B9A87E" w14:textId="77777777" w:rsidR="00EC0EA6" w:rsidRDefault="00EC0EA6" w:rsidP="00EB1C64">
            <w:r>
              <w:rPr>
                <w:sz w:val="20"/>
                <w:szCs w:val="20"/>
              </w:rPr>
              <w:t>Reports to CISO</w:t>
            </w:r>
          </w:p>
        </w:tc>
      </w:tr>
      <w:tr w:rsidR="00EC0EA6" w14:paraId="2962ED38" w14:textId="77777777" w:rsidTr="00EB1C64">
        <w:tc>
          <w:tcPr>
            <w:cnfStyle w:val="000010000000" w:firstRow="0" w:lastRow="0" w:firstColumn="0" w:lastColumn="0" w:oddVBand="1" w:evenVBand="0" w:oddHBand="0" w:evenHBand="0" w:firstRowFirstColumn="0" w:firstRowLastColumn="0" w:lastRowFirstColumn="0" w:lastRowLastColumn="0"/>
            <w:tcW w:w="0" w:type="auto"/>
          </w:tcPr>
          <w:p w14:paraId="7BF32C7D" w14:textId="77777777" w:rsidR="00EC0EA6" w:rsidRDefault="00EC0EA6" w:rsidP="00EB1C64">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3AFEA388" w14:textId="77777777" w:rsidR="00EC0EA6" w:rsidRDefault="00EC0EA6" w:rsidP="00EB1C64">
            <w:pPr>
              <w:jc w:val="center"/>
            </w:pPr>
            <w:r>
              <w:rPr>
                <w:sz w:val="20"/>
                <w:szCs w:val="20"/>
              </w:rPr>
              <w:t>Security Operations Lead</w:t>
            </w:r>
          </w:p>
        </w:tc>
        <w:tc>
          <w:tcPr>
            <w:cnfStyle w:val="000010000000" w:firstRow="0" w:lastRow="0" w:firstColumn="0" w:lastColumn="0" w:oddVBand="1" w:evenVBand="0" w:oddHBand="0" w:evenHBand="0" w:firstRowFirstColumn="0" w:firstRowLastColumn="0" w:lastRowFirstColumn="0" w:lastRowLastColumn="0"/>
            <w:tcW w:w="0" w:type="auto"/>
          </w:tcPr>
          <w:p w14:paraId="55D47671" w14:textId="77777777" w:rsidR="00EC0EA6" w:rsidRDefault="00EC0EA6" w:rsidP="00EB1C64">
            <w:pPr>
              <w:jc w:val="center"/>
            </w:pPr>
            <w:r>
              <w:rPr>
                <w:sz w:val="20"/>
                <w:szCs w:val="20"/>
              </w:rPr>
              <w:t>Monitoring, detection, incident response</w:t>
            </w:r>
          </w:p>
        </w:tc>
        <w:tc>
          <w:tcPr>
            <w:cnfStyle w:val="000001000000" w:firstRow="0" w:lastRow="0" w:firstColumn="0" w:lastColumn="0" w:oddVBand="0" w:evenVBand="1" w:oddHBand="0" w:evenHBand="0" w:firstRowFirstColumn="0" w:firstRowLastColumn="0" w:lastRowFirstColumn="0" w:lastRowLastColumn="0"/>
            <w:tcW w:w="0" w:type="auto"/>
          </w:tcPr>
          <w:p w14:paraId="52D0A551" w14:textId="77777777" w:rsidR="00EC0EA6" w:rsidRDefault="00EC0EA6" w:rsidP="00EB1C64">
            <w:r>
              <w:rPr>
                <w:sz w:val="20"/>
                <w:szCs w:val="20"/>
              </w:rPr>
              <w:t>Reports to CISO</w:t>
            </w:r>
          </w:p>
        </w:tc>
      </w:tr>
      <w:tr w:rsidR="00EC0EA6" w14:paraId="15929103" w14:textId="77777777" w:rsidTr="00EB1C64">
        <w:trPr>
          <w:cnfStyle w:val="000000100000" w:firstRow="0" w:lastRow="0" w:firstColumn="0" w:lastColumn="0" w:oddVBand="0" w:evenVBand="0" w:oddHBand="1" w:evenHBand="0" w:firstRowFirstColumn="0" w:firstRowLastColumn="0" w:lastRowFirstColumn="0" w:lastRowLastColumn="0"/>
        </w:trPr>
        <w:tc>
          <w:tcPr>
            <w:cnfStyle w:val="000010000000" w:firstRow="0" w:lastRow="0" w:firstColumn="0" w:lastColumn="0" w:oddVBand="1" w:evenVBand="0" w:oddHBand="0" w:evenHBand="0" w:firstRowFirstColumn="0" w:firstRowLastColumn="0" w:lastRowFirstColumn="0" w:lastRowLastColumn="0"/>
            <w:tcW w:w="0" w:type="auto"/>
          </w:tcPr>
          <w:p w14:paraId="53333A2F" w14:textId="77777777" w:rsidR="00EC0EA6" w:rsidRDefault="00EC0EA6" w:rsidP="00EB1C64">
            <w:r>
              <w:rPr>
                <w:sz w:val="20"/>
                <w:szCs w:val="20"/>
              </w:rPr>
              <w:t>Tier 3 – Operational</w:t>
            </w:r>
          </w:p>
        </w:tc>
        <w:tc>
          <w:tcPr>
            <w:cnfStyle w:val="000001000000" w:firstRow="0" w:lastRow="0" w:firstColumn="0" w:lastColumn="0" w:oddVBand="0" w:evenVBand="1" w:oddHBand="0" w:evenHBand="0" w:firstRowFirstColumn="0" w:firstRowLastColumn="0" w:lastRowFirstColumn="0" w:lastRowLastColumn="0"/>
            <w:tcW w:w="0" w:type="auto"/>
          </w:tcPr>
          <w:p w14:paraId="6F4C09CB" w14:textId="77777777" w:rsidR="00EC0EA6" w:rsidRDefault="00EC0EA6" w:rsidP="00EB1C64">
            <w:pPr>
              <w:jc w:val="center"/>
            </w:pPr>
            <w:r>
              <w:rPr>
                <w:sz w:val="20"/>
                <w:szCs w:val="20"/>
              </w:rPr>
              <w:t>Risk and Compliance Lead</w:t>
            </w:r>
          </w:p>
        </w:tc>
        <w:tc>
          <w:tcPr>
            <w:cnfStyle w:val="000010000000" w:firstRow="0" w:lastRow="0" w:firstColumn="0" w:lastColumn="0" w:oddVBand="1" w:evenVBand="0" w:oddHBand="0" w:evenHBand="0" w:firstRowFirstColumn="0" w:firstRowLastColumn="0" w:lastRowFirstColumn="0" w:lastRowLastColumn="0"/>
            <w:tcW w:w="0" w:type="auto"/>
          </w:tcPr>
          <w:p w14:paraId="5320A017" w14:textId="77777777" w:rsidR="00EC0EA6" w:rsidRDefault="00EC0EA6" w:rsidP="00EB1C64">
            <w:pPr>
              <w:jc w:val="center"/>
            </w:pPr>
            <w:r>
              <w:rPr>
                <w:sz w:val="20"/>
                <w:szCs w:val="20"/>
              </w:rPr>
              <w:t>Regulatory requirements, audits, vendor risk</w:t>
            </w:r>
          </w:p>
        </w:tc>
        <w:tc>
          <w:tcPr>
            <w:cnfStyle w:val="000001000000" w:firstRow="0" w:lastRow="0" w:firstColumn="0" w:lastColumn="0" w:oddVBand="0" w:evenVBand="1" w:oddHBand="0" w:evenHBand="0" w:firstRowFirstColumn="0" w:firstRowLastColumn="0" w:lastRowFirstColumn="0" w:lastRowLastColumn="0"/>
            <w:tcW w:w="0" w:type="auto"/>
          </w:tcPr>
          <w:p w14:paraId="25AA6933" w14:textId="77777777" w:rsidR="00EC0EA6" w:rsidRDefault="00EC0EA6" w:rsidP="00EB1C64">
            <w:r>
              <w:rPr>
                <w:sz w:val="20"/>
                <w:szCs w:val="20"/>
              </w:rPr>
              <w:t>Reports to CISO</w:t>
            </w:r>
          </w:p>
        </w:tc>
      </w:tr>
    </w:tbl>
    <w:p w14:paraId="32D1DE82" w14:textId="77777777" w:rsidR="00EC0EA6" w:rsidRDefault="00EC0EA6" w:rsidP="00EC0EA6">
      <w:pPr>
        <w:spacing w:before="60" w:after="140"/>
      </w:pPr>
      <w:r>
        <w:rPr>
          <w:i/>
          <w:iCs/>
          <w:color w:val="555555"/>
          <w:sz w:val="20"/>
          <w:szCs w:val="20"/>
        </w:rPr>
        <w:t>Table 1: Proposed Three-Tier Cybersecurity Governance Structure</w:t>
      </w:r>
    </w:p>
    <w:p w14:paraId="3851E078" w14:textId="77777777" w:rsidR="00EC0EA6" w:rsidRPr="007739E8" w:rsidRDefault="00EC0EA6" w:rsidP="00EC0EA6">
      <w:pPr>
        <w:rPr>
          <w:b/>
          <w:bCs/>
        </w:rPr>
      </w:pPr>
    </w:p>
    <w:p w14:paraId="381D1AC2" w14:textId="77777777" w:rsidR="00EC0EA6" w:rsidRPr="00766B3A" w:rsidRDefault="00EC0EA6" w:rsidP="00EC0EA6">
      <w:pPr>
        <w:spacing w:line="360" w:lineRule="auto"/>
      </w:pPr>
      <w:r w:rsidRPr="00766B3A">
        <w:t>The programme creates a three-level security leadership structure so that everyone knows who is responsible at each level.</w:t>
      </w:r>
    </w:p>
    <w:p w14:paraId="4F986309" w14:textId="77777777" w:rsidR="00EC0EA6" w:rsidRPr="00550339" w:rsidRDefault="00EC0EA6" w:rsidP="00EC0EA6">
      <w:pPr>
        <w:spacing w:line="360" w:lineRule="auto"/>
      </w:pPr>
      <w:r w:rsidRPr="00EF4783">
        <w:rPr>
          <w:b/>
          <w:bCs/>
        </w:rPr>
        <w:t>Tier 1</w:t>
      </w:r>
      <w:r w:rsidRPr="00550339">
        <w:t xml:space="preserve"> Board Level: A dedicated Board Cybersecurity Committee meets every three months to review the organisation's risk position, approve key policies, and receive updates on any incidents. This ensures that cybersecurity is seen as a business risk at the highest level, not just a technical issue left for IT.</w:t>
      </w:r>
    </w:p>
    <w:p w14:paraId="241C32F4" w14:textId="77777777" w:rsidR="00EC0EA6" w:rsidRPr="00550339" w:rsidRDefault="00EC0EA6" w:rsidP="00EC0EA6">
      <w:pPr>
        <w:spacing w:line="360" w:lineRule="auto"/>
      </w:pPr>
      <w:r w:rsidRPr="00EF4783">
        <w:rPr>
          <w:b/>
          <w:bCs/>
        </w:rPr>
        <w:t>Tier 2</w:t>
      </w:r>
      <w:r w:rsidRPr="00550339">
        <w:t xml:space="preserve"> Executive Level: The organisation appoints a Chief Information Security Officer (CISO) who reports straight to the CEO and has a formal connection to the Board Committee. The CISO leads the security strategy, oversees the security budget, and takes personal responsibility for the programme's success.</w:t>
      </w:r>
    </w:p>
    <w:p w14:paraId="68DB7695" w14:textId="77777777" w:rsidR="00EC0EA6" w:rsidRPr="00356463" w:rsidRDefault="00EC0EA6" w:rsidP="00EC0EA6">
      <w:pPr>
        <w:spacing w:line="360" w:lineRule="auto"/>
      </w:pPr>
      <w:r w:rsidRPr="00EF4783">
        <w:rPr>
          <w:b/>
          <w:bCs/>
        </w:rPr>
        <w:lastRenderedPageBreak/>
        <w:t>Tier 3</w:t>
      </w:r>
      <w:r w:rsidRPr="00356463">
        <w:t xml:space="preserve"> Operational Level: Four team leads report to the CISO. One handles network and infrastructure security. One manages software development. One runs monitoring and incident response. One deals with regulations, audits, and vendor risks.</w:t>
      </w:r>
    </w:p>
    <w:p w14:paraId="466117F5" w14:textId="77777777" w:rsidR="00EC0EA6" w:rsidRPr="001541A0" w:rsidRDefault="00EC0EA6" w:rsidP="00EC0EA6">
      <w:pPr>
        <w:spacing w:line="360" w:lineRule="auto"/>
      </w:pPr>
      <w:r w:rsidRPr="00356463">
        <w:t xml:space="preserve">This structure gives every security task a clear owner, so risks are not missed between teams. Research shows that organisations with board-level oversight detect breaches faster [4]. The CISO role provides one accountable leader, something Equifax </w:t>
      </w:r>
      <w:r>
        <w:t>critically lacked</w:t>
      </w:r>
      <w:r w:rsidRPr="00356463">
        <w:t>.</w:t>
      </w:r>
    </w:p>
    <w:p w14:paraId="15E0E614" w14:textId="77777777" w:rsidR="00EC0EA6" w:rsidRPr="001541A0" w:rsidRDefault="00EC0EA6" w:rsidP="00EC0EA6">
      <w:pPr>
        <w:pStyle w:val="Heading2"/>
      </w:pPr>
      <w:bookmarkStart w:id="26" w:name="_Toc233932832"/>
      <w:bookmarkStart w:id="27" w:name="_Toc234619683"/>
      <w:r w:rsidRPr="001541A0">
        <w:t>2. Policies and Procedures</w:t>
      </w:r>
      <w:bookmarkEnd w:id="26"/>
      <w:bookmarkEnd w:id="27"/>
    </w:p>
    <w:p w14:paraId="6FE73919" w14:textId="77777777" w:rsidR="00EC0EA6" w:rsidRDefault="00EC0EA6" w:rsidP="00EC0EA6">
      <w:pPr>
        <w:spacing w:line="360" w:lineRule="auto"/>
      </w:pPr>
      <w:r w:rsidRPr="00CD02A8">
        <w:t>The Equifax breach was directly caused by the lack of an enforced patch management policy. A well-known critical vulnerability remained unpatched for more than two months. The organization had no documented process to ensure patches were applied within a defined timeframe, nor any escalation mechanism when deadlines were missed</w:t>
      </w:r>
      <w:r w:rsidRPr="00126705">
        <w:t xml:space="preserve"> [1].</w:t>
      </w:r>
    </w:p>
    <w:p w14:paraId="148657E4" w14:textId="77777777" w:rsidR="00EC0EA6" w:rsidRDefault="00EC0EA6" w:rsidP="00EC0EA6">
      <w:pPr>
        <w:pStyle w:val="Heading4"/>
      </w:pPr>
      <w:r w:rsidRPr="00A0638E">
        <w:t>Reasons Behind the Proposed Policies</w:t>
      </w:r>
    </w:p>
    <w:p w14:paraId="00E67736" w14:textId="77777777" w:rsidR="00EC0EA6" w:rsidRDefault="00EC0EA6" w:rsidP="00EC0EA6"/>
    <w:p w14:paraId="2477FAA2" w14:textId="77777777" w:rsidR="00EC0EA6" w:rsidRPr="009248AB" w:rsidRDefault="00EC0EA6" w:rsidP="00EC0EA6">
      <w:pPr>
        <w:spacing w:line="360" w:lineRule="auto"/>
      </w:pPr>
      <w:r w:rsidRPr="009248AB">
        <w:t xml:space="preserve">The </w:t>
      </w:r>
      <w:r>
        <w:t>following</w:t>
      </w:r>
      <w:r w:rsidRPr="009248AB">
        <w:t xml:space="preserve"> policies </w:t>
      </w:r>
      <w:r>
        <w:t xml:space="preserve">are proposed </w:t>
      </w:r>
      <w:r w:rsidRPr="009248AB">
        <w:t xml:space="preserve">to prevent </w:t>
      </w:r>
      <w:r>
        <w:t>this type of failure. They also serve two additional purposes.</w:t>
      </w:r>
    </w:p>
    <w:p w14:paraId="29D6CC2E" w14:textId="77777777" w:rsidR="00EC0EA6" w:rsidRPr="009248AB" w:rsidRDefault="00EC0EA6" w:rsidP="00EC0EA6">
      <w:pPr>
        <w:spacing w:line="360" w:lineRule="auto"/>
      </w:pPr>
      <w:r w:rsidRPr="009248AB">
        <w:t>First, they assign clear ownership for each patch. This prevents confusion over who is responsible and ensures that delays can be traced back to specific individuals [13]. A breakdown in the Three Lines of Defence was evident at Equifax, where the First Line did not apply the patch, the Second Line could not enforce compliance, and the Third Line did not audit critical systems in time [13].</w:t>
      </w:r>
    </w:p>
    <w:p w14:paraId="3063CFF3" w14:textId="77777777" w:rsidR="00EC0EA6" w:rsidRPr="009248AB" w:rsidRDefault="00EC0EA6" w:rsidP="00EC0EA6">
      <w:pPr>
        <w:spacing w:line="360" w:lineRule="auto"/>
      </w:pPr>
      <w:r w:rsidRPr="009248AB">
        <w:t>Second, they create a clear record of all patching activities. This supports audits and shows that the organisation is meeting its regulatory duties [14]. As outlined in NIST SP 800-40, organisations should form a dedicated patch group with defined roles to manage updates, test fixes, and keep a full audit trail [14].</w:t>
      </w:r>
    </w:p>
    <w:p w14:paraId="002D6733" w14:textId="77777777" w:rsidR="00EC0EA6" w:rsidRPr="009248AB" w:rsidRDefault="00EC0EA6" w:rsidP="00EC0EA6">
      <w:pPr>
        <w:spacing w:line="360" w:lineRule="auto"/>
      </w:pPr>
      <w:r w:rsidRPr="009248AB">
        <w:t>Together, these measures close the gaps seen at Equifax and build a stronger security foundation going forward.</w:t>
      </w:r>
    </w:p>
    <w:p w14:paraId="68DCB70D" w14:textId="77777777" w:rsidR="00EC0EA6" w:rsidRPr="001541A0" w:rsidRDefault="00EC0EA6" w:rsidP="00EC0EA6"/>
    <w:p w14:paraId="766753A9" w14:textId="77777777" w:rsidR="00EC0EA6" w:rsidRPr="001541A0" w:rsidRDefault="00EC0EA6" w:rsidP="00EC0EA6"/>
    <w:p w14:paraId="75017A72" w14:textId="77777777" w:rsidR="00EC0EA6" w:rsidRPr="001541A0" w:rsidRDefault="00EC0EA6" w:rsidP="00EC0EA6">
      <w:pPr>
        <w:pStyle w:val="Heading3"/>
      </w:pPr>
      <w:bookmarkStart w:id="28" w:name="_Toc233932833"/>
      <w:bookmarkStart w:id="29" w:name="_Toc234619684"/>
      <w:r w:rsidRPr="001541A0">
        <w:lastRenderedPageBreak/>
        <w:t>2.1 Vulnerability and Patch Management Policy</w:t>
      </w:r>
      <w:bookmarkEnd w:id="28"/>
      <w:bookmarkEnd w:id="29"/>
    </w:p>
    <w:p w14:paraId="54C35196" w14:textId="77777777" w:rsidR="00EC0EA6" w:rsidRPr="001541A0" w:rsidRDefault="00EC0EA6" w:rsidP="00EC0EA6">
      <w:pPr>
        <w:spacing w:line="360" w:lineRule="auto"/>
      </w:pPr>
      <w:r>
        <w:t>To maintain security baselines, automated vulnerability assessments must be executed across all systems at least once a week</w:t>
      </w:r>
      <w:r w:rsidRPr="001541A0">
        <w:t xml:space="preserve">. Critical patches must be </w:t>
      </w:r>
      <w:r>
        <w:t>deployed</w:t>
      </w:r>
      <w:r w:rsidRPr="001541A0">
        <w:t xml:space="preserve"> within 72 hours</w:t>
      </w:r>
      <w:r>
        <w:t xml:space="preserve">, </w:t>
      </w:r>
      <w:r w:rsidRPr="001541A0">
        <w:t>while</w:t>
      </w:r>
      <w:r>
        <w:t xml:space="preserve"> </w:t>
      </w:r>
      <w:r w:rsidRPr="001541A0">
        <w:t>high-severity</w:t>
      </w:r>
      <w:r>
        <w:t xml:space="preserve"> updates must be implemented within</w:t>
      </w:r>
      <w:r w:rsidRPr="001541A0">
        <w:t xml:space="preserve"> 14 days. Any patch delayed beyond these timelines requires written approval from the CISO, with compensating controls documented and reviewed. Compliance with patch timelines is tracked monthly and reported to the Board Committee. This policy </w:t>
      </w:r>
      <w:r>
        <w:t>directly maps to</w:t>
      </w:r>
      <w:r w:rsidRPr="001541A0">
        <w:t xml:space="preserve"> CIS Controls v8, </w:t>
      </w:r>
      <w:r>
        <w:t xml:space="preserve">specifically addressing the requirements of </w:t>
      </w:r>
      <w:r w:rsidRPr="001541A0">
        <w:t xml:space="preserve">Control 7 </w:t>
      </w:r>
      <w:r w:rsidRPr="00E427CB">
        <w:t>[5].</w:t>
      </w:r>
    </w:p>
    <w:p w14:paraId="641DD02A" w14:textId="77777777" w:rsidR="00EC0EA6" w:rsidRPr="001541A0" w:rsidRDefault="00EC0EA6" w:rsidP="00EC0EA6"/>
    <w:p w14:paraId="66C7D1F1" w14:textId="77777777" w:rsidR="00EC0EA6" w:rsidRPr="001541A0" w:rsidRDefault="00EC0EA6" w:rsidP="00EC0EA6">
      <w:pPr>
        <w:pStyle w:val="Heading3"/>
      </w:pPr>
      <w:bookmarkStart w:id="30" w:name="_Toc233932834"/>
      <w:bookmarkStart w:id="31" w:name="_Toc234619685"/>
      <w:r w:rsidRPr="001541A0">
        <w:t>2.2 Secure Software Development Lifecycle (SSDLC) Policy</w:t>
      </w:r>
      <w:bookmarkEnd w:id="30"/>
      <w:bookmarkEnd w:id="31"/>
    </w:p>
    <w:p w14:paraId="1ACDFFF7" w14:textId="77777777" w:rsidR="00EC0EA6" w:rsidRPr="00D61C60" w:rsidRDefault="00EC0EA6" w:rsidP="00EC0EA6">
      <w:pPr>
        <w:spacing w:line="360" w:lineRule="auto"/>
      </w:pPr>
      <w:r w:rsidRPr="00D61C60">
        <w:t>Every software development project must adhere to a Secure Software Development Lifecycle (SSDLC). Security requirements must be established during the design phase, and both static and dynamic code analysis are required prior to any deployment.</w:t>
      </w:r>
      <w:r>
        <w:t xml:space="preserve"> </w:t>
      </w:r>
      <w:r w:rsidRPr="00D61C60">
        <w:t xml:space="preserve">Internet-facing applications require penetration testing before each major release. All developers must complete annual security awareness training. </w:t>
      </w:r>
      <w:r w:rsidRPr="00D61C60">
        <w:rPr>
          <w:rFonts w:ascii="Arial" w:hAnsi="Arial"/>
        </w:rPr>
        <w:t>​</w:t>
      </w:r>
      <w:r w:rsidRPr="00D61C60">
        <w:t>This policy reflects NIST SP 800-218 standards.</w:t>
      </w:r>
      <w:r w:rsidRPr="00D61C60">
        <w:rPr>
          <w:rFonts w:cs="Aptos"/>
        </w:rPr>
        <w:t> </w:t>
      </w:r>
      <w:r w:rsidRPr="00461903">
        <w:t>[6].</w:t>
      </w:r>
    </w:p>
    <w:p w14:paraId="6BE17268" w14:textId="77777777" w:rsidR="00EC0EA6" w:rsidRPr="001541A0" w:rsidRDefault="00EC0EA6" w:rsidP="00EC0EA6"/>
    <w:p w14:paraId="42EEEB27" w14:textId="77777777" w:rsidR="00EC0EA6" w:rsidRPr="001541A0" w:rsidRDefault="00EC0EA6" w:rsidP="00EC0EA6">
      <w:pPr>
        <w:pStyle w:val="Heading3"/>
      </w:pPr>
      <w:bookmarkStart w:id="32" w:name="_Toc233932835"/>
      <w:bookmarkStart w:id="33" w:name="_Toc234619686"/>
      <w:r w:rsidRPr="001541A0">
        <w:t>2.3 Asset Visibility and Data Protection Policy</w:t>
      </w:r>
      <w:bookmarkEnd w:id="32"/>
      <w:bookmarkEnd w:id="33"/>
    </w:p>
    <w:p w14:paraId="62C01C3F" w14:textId="77777777" w:rsidR="00EC0EA6" w:rsidRPr="001541A0" w:rsidRDefault="00EC0EA6" w:rsidP="00EC0EA6">
      <w:pPr>
        <w:spacing w:line="360" w:lineRule="auto"/>
      </w:pPr>
      <w:r w:rsidRPr="00864A58">
        <w:t>A comprehensive and current registry of all IT resources must be maintained continuously. To ensure accuracy, this inventory requires formal review and verification every three months</w:t>
      </w:r>
      <w:r w:rsidRPr="001541A0">
        <w:t>.</w:t>
      </w:r>
      <w:r w:rsidRPr="00D97371">
        <w:rPr>
          <w:rFonts w:eastAsia="Times New Roman" w:cs="Times New Roman"/>
          <w:color w:val="212121"/>
          <w:kern w:val="0"/>
          <w:lang w:eastAsia="en-GB"/>
          <w14:ligatures w14:val="none"/>
        </w:rPr>
        <w:t xml:space="preserve"> </w:t>
      </w:r>
      <w:r w:rsidRPr="00D97371">
        <w:t>All private personal data must be locked and hidden using strong security systems. This protection applies both when the data is stored on a computer and when it is being sent over the internet</w:t>
      </w:r>
      <w:r w:rsidRPr="001541A0">
        <w:t xml:space="preserve">. Data must be classified by sensitivity level, and access must follow the principle of least privilege. </w:t>
      </w:r>
      <w:r w:rsidRPr="00336AFA">
        <w:t xml:space="preserve">Yearly checks must be conducted to ensure all rules are followed. The results will be given directly to the Chief Information Security Officer </w:t>
      </w:r>
      <w:r>
        <w:t>(</w:t>
      </w:r>
      <w:r w:rsidRPr="00336AFA">
        <w:t>CISO</w:t>
      </w:r>
      <w:r>
        <w:t>)</w:t>
      </w:r>
      <w:r w:rsidRPr="004960AF">
        <w:t xml:space="preserve"> [</w:t>
      </w:r>
      <w:r>
        <w:t>7</w:t>
      </w:r>
      <w:r w:rsidRPr="004960AF">
        <w:t>].</w:t>
      </w:r>
    </w:p>
    <w:p w14:paraId="7F0877FF" w14:textId="77777777" w:rsidR="00EC0EA6" w:rsidRPr="00A77D22" w:rsidRDefault="00EC0EA6" w:rsidP="00EC0EA6">
      <w:pPr>
        <w:rPr>
          <w:color w:val="EE0000"/>
        </w:rPr>
      </w:pPr>
    </w:p>
    <w:p w14:paraId="02F06D0C" w14:textId="77777777" w:rsidR="00EC0EA6" w:rsidRPr="001541A0" w:rsidRDefault="00EC0EA6" w:rsidP="00EC0EA6">
      <w:pPr>
        <w:pStyle w:val="Heading2"/>
      </w:pPr>
      <w:bookmarkStart w:id="34" w:name="_Toc233932836"/>
      <w:bookmarkStart w:id="35" w:name="_Toc234619687"/>
      <w:r w:rsidRPr="001541A0">
        <w:lastRenderedPageBreak/>
        <w:t>3. Governance and Strategic Alignment</w:t>
      </w:r>
      <w:bookmarkEnd w:id="34"/>
      <w:bookmarkEnd w:id="35"/>
    </w:p>
    <w:p w14:paraId="5C941F21" w14:textId="77777777" w:rsidR="00EC0EA6" w:rsidRPr="00A3546F" w:rsidRDefault="00EC0EA6" w:rsidP="00EC0EA6">
      <w:pPr>
        <w:spacing w:line="360" w:lineRule="auto"/>
      </w:pPr>
      <w:r w:rsidRPr="00A3546F">
        <w:rPr>
          <w:rFonts w:ascii="Arial" w:hAnsi="Arial"/>
          <w:b/>
          <w:bCs/>
        </w:rPr>
        <w:t>​</w:t>
      </w:r>
      <w:r w:rsidRPr="00A3546F">
        <w:t>Successful cybersecurity governance must connect directly to organizational goals. In the case of Equifax, security operations were restricted to an administrative role with limited executive oversight</w:t>
      </w:r>
      <w:r>
        <w:t xml:space="preserve"> [8]</w:t>
      </w:r>
      <w:r w:rsidRPr="00A3546F">
        <w:t>.</w:t>
      </w:r>
    </w:p>
    <w:p w14:paraId="397B108E" w14:textId="77777777" w:rsidR="00EC0EA6" w:rsidRPr="001541A0" w:rsidRDefault="00EC0EA6" w:rsidP="00EC0EA6">
      <w:pPr>
        <w:spacing w:line="360" w:lineRule="auto"/>
      </w:pPr>
      <w:r w:rsidRPr="00A3546F">
        <w:t>This programme implements the NIST Cybersecurity Framework 2.0 (CSF 2.0) as its main governance system. The framework serves to translate technical security tasks into strategic business achievements, specifically targeting long-term durability, consumer trust, and continuous operations</w:t>
      </w:r>
      <w:r>
        <w:t xml:space="preserve"> </w:t>
      </w:r>
      <w:r w:rsidRPr="00A3546F">
        <w:t>[8].</w:t>
      </w:r>
    </w:p>
    <w:p w14:paraId="4136E0B7" w14:textId="77777777" w:rsidR="00EC0EA6" w:rsidRPr="001541A0" w:rsidRDefault="00EC0EA6" w:rsidP="00EC0EA6">
      <w:pPr>
        <w:pStyle w:val="Heading3"/>
      </w:pPr>
      <w:bookmarkStart w:id="36" w:name="_Toc233932837"/>
      <w:bookmarkStart w:id="37" w:name="_Toc234619688"/>
      <w:r w:rsidRPr="001541A0">
        <w:t>3.1 Alignment to NIST CSF 2.0</w:t>
      </w:r>
      <w:bookmarkEnd w:id="36"/>
      <w:bookmarkEnd w:id="37"/>
    </w:p>
    <w:p w14:paraId="7157B11B" w14:textId="77777777" w:rsidR="00EC0EA6" w:rsidRDefault="00EC0EA6" w:rsidP="00EC0EA6">
      <w:pPr>
        <w:spacing w:line="360" w:lineRule="auto"/>
      </w:pPr>
      <w:r w:rsidRPr="001541A0">
        <w:t xml:space="preserve">CSF 2.0 </w:t>
      </w:r>
      <w:r>
        <w:t>breaks</w:t>
      </w:r>
      <w:r w:rsidRPr="001541A0">
        <w:t xml:space="preserve"> cybersecurity</w:t>
      </w:r>
      <w:r>
        <w:t xml:space="preserve"> down into six key functional categories, and every category connects directly real program tasks.</w:t>
      </w:r>
      <w:r w:rsidRPr="00630BB0">
        <w:t xml:space="preserve"> The</w:t>
      </w:r>
      <w:r>
        <w:t xml:space="preserve"> core</w:t>
      </w:r>
      <w:r w:rsidRPr="00630BB0">
        <w:t xml:space="preserve"> functions </w:t>
      </w:r>
      <w:r>
        <w:t>consist of</w:t>
      </w:r>
      <w:r w:rsidRPr="00630BB0">
        <w:t xml:space="preserve"> Govern, Identify, Protect, Detect, Respond, and Recover</w:t>
      </w:r>
      <w:r>
        <w:t xml:space="preserve"> [8]</w:t>
      </w:r>
      <w:r w:rsidRPr="00630BB0">
        <w:t xml:space="preserve">. </w:t>
      </w:r>
    </w:p>
    <w:p w14:paraId="4C3256D6" w14:textId="77777777" w:rsidR="00EC0EA6" w:rsidRPr="00630BB0" w:rsidRDefault="00EC0EA6" w:rsidP="00EC0EA6">
      <w:pPr>
        <w:spacing w:line="360" w:lineRule="auto"/>
      </w:pPr>
      <w:r w:rsidRPr="00831B44">
        <w:rPr>
          <w:b/>
          <w:bCs/>
        </w:rPr>
        <w:t>Govern</w:t>
      </w:r>
      <w:r w:rsidRPr="00630BB0">
        <w:t xml:space="preserve"> handles board oversight, CISO ownership, policy management, annual strategy check</w:t>
      </w:r>
      <w:r w:rsidRPr="00630BB0">
        <w:noBreakHyphen/>
        <w:t>ins, and budget approvals. It makes sure security choices always take the business picture into account</w:t>
      </w:r>
      <w:r>
        <w:t xml:space="preserve"> [8]</w:t>
      </w:r>
      <w:r w:rsidRPr="00630BB0">
        <w:t>.</w:t>
      </w:r>
    </w:p>
    <w:p w14:paraId="423A3DAA" w14:textId="77777777" w:rsidR="00EC0EA6" w:rsidRPr="00630BB0" w:rsidRDefault="00EC0EA6" w:rsidP="00EC0EA6">
      <w:pPr>
        <w:spacing w:line="360" w:lineRule="auto"/>
      </w:pPr>
      <w:r w:rsidRPr="00630BB0">
        <w:t xml:space="preserve">Under </w:t>
      </w:r>
      <w:r w:rsidRPr="00601B82">
        <w:rPr>
          <w:b/>
          <w:bCs/>
        </w:rPr>
        <w:t>Identify</w:t>
      </w:r>
      <w:r w:rsidRPr="00630BB0">
        <w:t>, key tasks include quarterly asset checks, data classification, vendor risk reviews, and dependency mapping. Protection is only possible after these assets have been clearly identified</w:t>
      </w:r>
      <w:r>
        <w:t xml:space="preserve"> [8]</w:t>
      </w:r>
      <w:r w:rsidRPr="00630BB0">
        <w:t>.</w:t>
      </w:r>
    </w:p>
    <w:p w14:paraId="4F5C6824" w14:textId="77777777" w:rsidR="00EC0EA6" w:rsidRPr="00630BB0" w:rsidRDefault="00EC0EA6" w:rsidP="00EC0EA6">
      <w:pPr>
        <w:spacing w:line="360" w:lineRule="auto"/>
      </w:pPr>
      <w:r w:rsidRPr="00630BB0">
        <w:t xml:space="preserve">The </w:t>
      </w:r>
      <w:r w:rsidRPr="00601B82">
        <w:rPr>
          <w:b/>
          <w:bCs/>
        </w:rPr>
        <w:t>Protect</w:t>
      </w:r>
      <w:r w:rsidRPr="00630BB0">
        <w:t xml:space="preserve"> function covers patch management policies, Secure Software Development Lifecycle Controls (SSDLC), Multi-factor Authentication (MFA) enforcement, encryption standards, and access management. These measures reduce the attack surface before any incident takes place</w:t>
      </w:r>
      <w:r>
        <w:t xml:space="preserve"> [8]</w:t>
      </w:r>
      <w:r w:rsidRPr="00630BB0">
        <w:t>.</w:t>
      </w:r>
    </w:p>
    <w:p w14:paraId="27140E90" w14:textId="77777777" w:rsidR="00EC0EA6" w:rsidRPr="00630BB0" w:rsidRDefault="00EC0EA6" w:rsidP="00EC0EA6">
      <w:pPr>
        <w:spacing w:line="360" w:lineRule="auto"/>
      </w:pPr>
      <w:r w:rsidRPr="00630BB0">
        <w:t xml:space="preserve">The </w:t>
      </w:r>
      <w:r w:rsidRPr="00601B82">
        <w:rPr>
          <w:b/>
          <w:bCs/>
        </w:rPr>
        <w:t>Detect</w:t>
      </w:r>
      <w:r w:rsidRPr="00630BB0">
        <w:t xml:space="preserve"> function </w:t>
      </w:r>
      <w:r>
        <w:t>provides for ongoing monitoring supported by</w:t>
      </w:r>
      <w:r w:rsidRPr="00630BB0">
        <w:t xml:space="preserve"> Security Information and Event Management (SIEM)</w:t>
      </w:r>
      <w:r>
        <w:t xml:space="preserve"> capabilities</w:t>
      </w:r>
      <w:r w:rsidRPr="00630BB0">
        <w:t>, automated vulnerability scanning, and endpoint detection and response (EDR). These tools are built to reduce dwell time, a key weakness that was exposed during the Equifax breach</w:t>
      </w:r>
      <w:r>
        <w:t xml:space="preserve"> [8]</w:t>
      </w:r>
      <w:r w:rsidRPr="00630BB0">
        <w:t>.</w:t>
      </w:r>
    </w:p>
    <w:p w14:paraId="477F69DA" w14:textId="77777777" w:rsidR="00EC0EA6" w:rsidRPr="00630BB0" w:rsidRDefault="00EC0EA6" w:rsidP="00EC0EA6">
      <w:pPr>
        <w:spacing w:line="360" w:lineRule="auto"/>
      </w:pPr>
      <w:r w:rsidRPr="00630BB0">
        <w:t xml:space="preserve">The </w:t>
      </w:r>
      <w:r w:rsidRPr="00601B82">
        <w:rPr>
          <w:b/>
          <w:bCs/>
        </w:rPr>
        <w:t>Respond</w:t>
      </w:r>
      <w:r w:rsidRPr="00630BB0">
        <w:t xml:space="preserve"> function involves a documented response plan, defined escalation paths, breach notification processes, and a dedicated team on standby.</w:t>
      </w:r>
    </w:p>
    <w:p w14:paraId="7E0CAB3B" w14:textId="77777777" w:rsidR="00EC0EA6" w:rsidRPr="00630BB0" w:rsidRDefault="00EC0EA6" w:rsidP="00EC0EA6">
      <w:pPr>
        <w:spacing w:line="360" w:lineRule="auto"/>
      </w:pPr>
      <w:r w:rsidRPr="00630BB0">
        <w:lastRenderedPageBreak/>
        <w:t xml:space="preserve">And the sixth key function is </w:t>
      </w:r>
      <w:r w:rsidRPr="00601B82">
        <w:rPr>
          <w:b/>
          <w:bCs/>
        </w:rPr>
        <w:t>Recover</w:t>
      </w:r>
      <w:r w:rsidRPr="00630BB0">
        <w:t>, which consists of business continuity and disaster recovery planning, recovery time objectives established for all critical systems, and regular testing through yearly exercises</w:t>
      </w:r>
      <w:r>
        <w:t xml:space="preserve"> [8]</w:t>
      </w:r>
      <w:r w:rsidRPr="00630BB0">
        <w:t>.</w:t>
      </w:r>
    </w:p>
    <w:p w14:paraId="4711EADF" w14:textId="77777777" w:rsidR="00EC0EA6" w:rsidRDefault="00EC0EA6" w:rsidP="00EC0EA6">
      <w:pPr>
        <w:spacing w:line="360" w:lineRule="auto"/>
      </w:pPr>
      <w:r w:rsidRPr="001541A0">
        <w:t xml:space="preserve">By mapping every control to a CSF 2.0 function, the programme ensures that nothing is implemented without a clear strategic purpose. Business continuity is </w:t>
      </w:r>
      <w:r>
        <w:t>specifically</w:t>
      </w:r>
      <w:r w:rsidRPr="001541A0">
        <w:t xml:space="preserve"> supported through the Recover function, while customer trust is maintained through Protect and Respond. This cycle-based approach also prevents the programme from becoming static, requiring regular review and improvement </w:t>
      </w:r>
      <w:r w:rsidRPr="00BA7E6D">
        <w:t>[8].</w:t>
      </w:r>
    </w:p>
    <w:p w14:paraId="156C5158" w14:textId="77777777" w:rsidR="00EC0EA6" w:rsidRPr="001541A0" w:rsidRDefault="00EC0EA6" w:rsidP="00EC0EA6"/>
    <w:p w14:paraId="777958C2" w14:textId="77777777" w:rsidR="00EC0EA6" w:rsidRPr="001541A0" w:rsidRDefault="00EC0EA6" w:rsidP="00EC0EA6">
      <w:pPr>
        <w:pStyle w:val="Heading2"/>
      </w:pPr>
      <w:bookmarkStart w:id="38" w:name="_Toc233932838"/>
      <w:bookmarkStart w:id="39" w:name="_Toc234619689"/>
      <w:r w:rsidRPr="001541A0">
        <w:t>4. Risk Management and Assessment</w:t>
      </w:r>
      <w:bookmarkEnd w:id="38"/>
      <w:bookmarkEnd w:id="39"/>
    </w:p>
    <w:p w14:paraId="054F08BC" w14:textId="77777777" w:rsidR="00EC0EA6" w:rsidRPr="00B20190" w:rsidRDefault="00EC0EA6" w:rsidP="00EC0EA6">
      <w:pPr>
        <w:spacing w:line="360" w:lineRule="auto"/>
      </w:pPr>
      <w:r w:rsidRPr="00B20190">
        <w:t xml:space="preserve">Equifax lacked a proper risk management system that could identify a publicly known, unpatched </w:t>
      </w:r>
      <w:r>
        <w:t>gap</w:t>
      </w:r>
      <w:r w:rsidRPr="00B20190">
        <w:t xml:space="preserve"> as a major threat. A regular and structured risk assessment would have caught the Apache Struts issue well before it was exploited. The section below outlines a high-level risk register, built on the weaknesses revealed by the breach, and uses a Likelihood and Impact approach </w:t>
      </w:r>
      <w:r>
        <w:t>based on</w:t>
      </w:r>
      <w:r w:rsidRPr="00B20190">
        <w:t xml:space="preserve"> ISO/IEC 27005 [9].</w:t>
      </w:r>
      <w:r>
        <w:t xml:space="preserve"> Risks are colour-coded by priority: P1 (critical, red) and P2 (high, amber).</w:t>
      </w:r>
    </w:p>
    <w:p w14:paraId="440ECA52" w14:textId="77777777" w:rsidR="00EC0EA6" w:rsidRPr="001541A0" w:rsidRDefault="00EC0EA6" w:rsidP="00EC0EA6"/>
    <w:p w14:paraId="06748435" w14:textId="77777777" w:rsidR="00EC0EA6" w:rsidRDefault="00EC0EA6" w:rsidP="00EC0EA6">
      <w:pPr>
        <w:pStyle w:val="Heading3"/>
      </w:pPr>
      <w:bookmarkStart w:id="40" w:name="_Toc233932839"/>
      <w:bookmarkStart w:id="41" w:name="_Toc234619690"/>
      <w:r w:rsidRPr="001541A0">
        <w:t>4.1 Risk Register</w:t>
      </w:r>
      <w:bookmarkEnd w:id="40"/>
      <w:bookmarkEnd w:id="41"/>
    </w:p>
    <w:p w14:paraId="3F00A59E" w14:textId="77777777" w:rsidR="00EC0EA6" w:rsidRPr="00C264E9" w:rsidRDefault="00EC0EA6" w:rsidP="00EC0EA6">
      <w:r w:rsidRPr="004A4308">
        <w:rPr>
          <w:b/>
          <w:bCs/>
        </w:rPr>
        <w:t>Table 2</w:t>
      </w:r>
      <w:r>
        <w:rPr>
          <w:b/>
          <w:bCs/>
        </w:rPr>
        <w:t xml:space="preserve"> </w:t>
      </w:r>
      <w:r w:rsidRPr="004A4308">
        <w:t>below</w:t>
      </w:r>
      <w:r>
        <w:t xml:space="preserve"> shows the key risks facing the organisation, along with their likelihood, impact, priority and mitigation measures.</w:t>
      </w:r>
      <w:r>
        <w:rPr>
          <w:b/>
          <w:bCs/>
        </w:rPr>
        <w:t xml:space="preserve"> </w:t>
      </w:r>
      <w:r>
        <w:t>P1 risks are the most critical and require urgent action, while P2 risks are also important but less urgent [1],[4].</w:t>
      </w:r>
    </w:p>
    <w:tbl>
      <w:tblPr>
        <w:tblStyle w:val="GridTable4-Accent2"/>
        <w:tblW w:w="9360" w:type="dxa"/>
        <w:tblLook w:val="04A0" w:firstRow="1" w:lastRow="0" w:firstColumn="1" w:lastColumn="0" w:noHBand="0" w:noVBand="1"/>
      </w:tblPr>
      <w:tblGrid>
        <w:gridCol w:w="3041"/>
        <w:gridCol w:w="1350"/>
        <w:gridCol w:w="989"/>
        <w:gridCol w:w="1007"/>
        <w:gridCol w:w="2973"/>
      </w:tblGrid>
      <w:tr w:rsidR="00EC0EA6" w:rsidRPr="001541A0" w14:paraId="5E11FD13" w14:textId="77777777" w:rsidTr="00EB1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E795D" w14:textId="77777777" w:rsidR="00EC0EA6" w:rsidRPr="001541A0" w:rsidRDefault="00EC0EA6" w:rsidP="00EB1C64">
            <w:r w:rsidRPr="001541A0">
              <w:t>Risk</w:t>
            </w:r>
          </w:p>
        </w:tc>
        <w:tc>
          <w:tcPr>
            <w:tcW w:w="0" w:type="auto"/>
            <w:hideMark/>
          </w:tcPr>
          <w:p w14:paraId="6FE2ABE4" w14:textId="77777777" w:rsidR="00EC0EA6" w:rsidRPr="001541A0" w:rsidRDefault="00EC0EA6" w:rsidP="00EB1C64">
            <w:pPr>
              <w:cnfStyle w:val="100000000000" w:firstRow="1" w:lastRow="0" w:firstColumn="0" w:lastColumn="0" w:oddVBand="0" w:evenVBand="0" w:oddHBand="0" w:evenHBand="0" w:firstRowFirstColumn="0" w:firstRowLastColumn="0" w:lastRowFirstColumn="0" w:lastRowLastColumn="0"/>
            </w:pPr>
            <w:r w:rsidRPr="001541A0">
              <w:t>Likelihood</w:t>
            </w:r>
          </w:p>
        </w:tc>
        <w:tc>
          <w:tcPr>
            <w:tcW w:w="0" w:type="auto"/>
            <w:hideMark/>
          </w:tcPr>
          <w:p w14:paraId="65E93220" w14:textId="77777777" w:rsidR="00EC0EA6" w:rsidRPr="001541A0" w:rsidRDefault="00EC0EA6" w:rsidP="00EB1C64">
            <w:pPr>
              <w:cnfStyle w:val="100000000000" w:firstRow="1" w:lastRow="0" w:firstColumn="0" w:lastColumn="0" w:oddVBand="0" w:evenVBand="0" w:oddHBand="0" w:evenHBand="0" w:firstRowFirstColumn="0" w:firstRowLastColumn="0" w:lastRowFirstColumn="0" w:lastRowLastColumn="0"/>
            </w:pPr>
            <w:r w:rsidRPr="001541A0">
              <w:t>Impact</w:t>
            </w:r>
          </w:p>
        </w:tc>
        <w:tc>
          <w:tcPr>
            <w:tcW w:w="0" w:type="auto"/>
            <w:hideMark/>
          </w:tcPr>
          <w:p w14:paraId="3E34EFD5" w14:textId="77777777" w:rsidR="00EC0EA6" w:rsidRPr="001541A0" w:rsidRDefault="00EC0EA6" w:rsidP="00EB1C64">
            <w:pPr>
              <w:cnfStyle w:val="100000000000" w:firstRow="1" w:lastRow="0" w:firstColumn="0" w:lastColumn="0" w:oddVBand="0" w:evenVBand="0" w:oddHBand="0" w:evenHBand="0" w:firstRowFirstColumn="0" w:firstRowLastColumn="0" w:lastRowFirstColumn="0" w:lastRowLastColumn="0"/>
            </w:pPr>
            <w:r w:rsidRPr="001541A0">
              <w:t>Priority</w:t>
            </w:r>
          </w:p>
        </w:tc>
        <w:tc>
          <w:tcPr>
            <w:tcW w:w="0" w:type="auto"/>
            <w:hideMark/>
          </w:tcPr>
          <w:p w14:paraId="0FE1A209" w14:textId="77777777" w:rsidR="00EC0EA6" w:rsidRPr="001541A0" w:rsidRDefault="00EC0EA6" w:rsidP="00EB1C64">
            <w:pPr>
              <w:cnfStyle w:val="100000000000" w:firstRow="1" w:lastRow="0" w:firstColumn="0" w:lastColumn="0" w:oddVBand="0" w:evenVBand="0" w:oddHBand="0" w:evenHBand="0" w:firstRowFirstColumn="0" w:firstRowLastColumn="0" w:lastRowFirstColumn="0" w:lastRowLastColumn="0"/>
            </w:pPr>
            <w:r w:rsidRPr="001541A0">
              <w:t>Mitigation</w:t>
            </w:r>
          </w:p>
        </w:tc>
      </w:tr>
      <w:tr w:rsidR="00EC0EA6" w:rsidRPr="001541A0" w14:paraId="45BCBF34" w14:textId="77777777" w:rsidTr="00EB1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269884" w14:textId="77777777" w:rsidR="00EC0EA6" w:rsidRPr="001541A0" w:rsidRDefault="00EC0EA6" w:rsidP="00EB1C64">
            <w:r w:rsidRPr="001541A0">
              <w:t>Unpatched internet-facing systems</w:t>
            </w:r>
          </w:p>
        </w:tc>
        <w:tc>
          <w:tcPr>
            <w:tcW w:w="0" w:type="auto"/>
            <w:hideMark/>
          </w:tcPr>
          <w:p w14:paraId="2AB5FF42"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230E51D5"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Critical</w:t>
            </w:r>
          </w:p>
        </w:tc>
        <w:tc>
          <w:tcPr>
            <w:tcW w:w="0" w:type="auto"/>
            <w:hideMark/>
          </w:tcPr>
          <w:p w14:paraId="77661D76"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F72BC5">
              <w:rPr>
                <w:color w:val="EE0000"/>
              </w:rPr>
              <w:t>P1</w:t>
            </w:r>
          </w:p>
        </w:tc>
        <w:tc>
          <w:tcPr>
            <w:tcW w:w="0" w:type="auto"/>
            <w:hideMark/>
          </w:tcPr>
          <w:p w14:paraId="238523D7"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 xml:space="preserve">Automated patch </w:t>
            </w:r>
            <w:proofErr w:type="spellStart"/>
            <w:r w:rsidRPr="001541A0">
              <w:t>mgmt</w:t>
            </w:r>
            <w:proofErr w:type="spellEnd"/>
            <w:r w:rsidRPr="001541A0">
              <w:t xml:space="preserve"> + weekly scans</w:t>
            </w:r>
          </w:p>
        </w:tc>
      </w:tr>
      <w:tr w:rsidR="00EC0EA6" w:rsidRPr="001541A0" w14:paraId="1F09C3D2" w14:textId="77777777" w:rsidTr="00EB1C64">
        <w:tc>
          <w:tcPr>
            <w:cnfStyle w:val="001000000000" w:firstRow="0" w:lastRow="0" w:firstColumn="1" w:lastColumn="0" w:oddVBand="0" w:evenVBand="0" w:oddHBand="0" w:evenHBand="0" w:firstRowFirstColumn="0" w:firstRowLastColumn="0" w:lastRowFirstColumn="0" w:lastRowLastColumn="0"/>
            <w:tcW w:w="0" w:type="auto"/>
            <w:hideMark/>
          </w:tcPr>
          <w:p w14:paraId="75000E65" w14:textId="77777777" w:rsidR="00EC0EA6" w:rsidRPr="001541A0" w:rsidRDefault="00EC0EA6" w:rsidP="00EB1C64">
            <w:r w:rsidRPr="001541A0">
              <w:t>Credential theft / privilege escalation</w:t>
            </w:r>
          </w:p>
        </w:tc>
        <w:tc>
          <w:tcPr>
            <w:tcW w:w="0" w:type="auto"/>
            <w:hideMark/>
          </w:tcPr>
          <w:p w14:paraId="1E353719"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High</w:t>
            </w:r>
          </w:p>
        </w:tc>
        <w:tc>
          <w:tcPr>
            <w:tcW w:w="0" w:type="auto"/>
            <w:hideMark/>
          </w:tcPr>
          <w:p w14:paraId="7A8F7E0A"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Critical</w:t>
            </w:r>
          </w:p>
        </w:tc>
        <w:tc>
          <w:tcPr>
            <w:tcW w:w="0" w:type="auto"/>
            <w:hideMark/>
          </w:tcPr>
          <w:p w14:paraId="6DE33C2B"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F72BC5">
              <w:rPr>
                <w:color w:val="EE0000"/>
              </w:rPr>
              <w:t>P1</w:t>
            </w:r>
          </w:p>
        </w:tc>
        <w:tc>
          <w:tcPr>
            <w:tcW w:w="0" w:type="auto"/>
            <w:hideMark/>
          </w:tcPr>
          <w:p w14:paraId="4188253F"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MFA, PAM, least-privilege policy</w:t>
            </w:r>
          </w:p>
        </w:tc>
      </w:tr>
      <w:tr w:rsidR="00EC0EA6" w:rsidRPr="001541A0" w14:paraId="48B08E3E" w14:textId="77777777" w:rsidTr="00EB1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AA1246" w14:textId="77777777" w:rsidR="00EC0EA6" w:rsidRPr="001541A0" w:rsidRDefault="00EC0EA6" w:rsidP="00EB1C64">
            <w:r w:rsidRPr="001541A0">
              <w:t>Poor network segmentation</w:t>
            </w:r>
          </w:p>
        </w:tc>
        <w:tc>
          <w:tcPr>
            <w:tcW w:w="0" w:type="auto"/>
            <w:hideMark/>
          </w:tcPr>
          <w:p w14:paraId="1B8BF01B"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Medium</w:t>
            </w:r>
          </w:p>
        </w:tc>
        <w:tc>
          <w:tcPr>
            <w:tcW w:w="0" w:type="auto"/>
            <w:hideMark/>
          </w:tcPr>
          <w:p w14:paraId="62870C21"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71E94366"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AE58E5">
              <w:rPr>
                <w:color w:val="FFC000"/>
              </w:rPr>
              <w:t>P2</w:t>
            </w:r>
          </w:p>
        </w:tc>
        <w:tc>
          <w:tcPr>
            <w:tcW w:w="0" w:type="auto"/>
            <w:hideMark/>
          </w:tcPr>
          <w:p w14:paraId="1CCB9219"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t>Network splitting</w:t>
            </w:r>
            <w:r w:rsidRPr="001541A0">
              <w:t>, zero-trust model</w:t>
            </w:r>
          </w:p>
        </w:tc>
      </w:tr>
      <w:tr w:rsidR="00EC0EA6" w:rsidRPr="001541A0" w14:paraId="4BAF86A9" w14:textId="77777777" w:rsidTr="00EB1C64">
        <w:tc>
          <w:tcPr>
            <w:cnfStyle w:val="001000000000" w:firstRow="0" w:lastRow="0" w:firstColumn="1" w:lastColumn="0" w:oddVBand="0" w:evenVBand="0" w:oddHBand="0" w:evenHBand="0" w:firstRowFirstColumn="0" w:firstRowLastColumn="0" w:lastRowFirstColumn="0" w:lastRowLastColumn="0"/>
            <w:tcW w:w="0" w:type="auto"/>
            <w:hideMark/>
          </w:tcPr>
          <w:p w14:paraId="384DAD1A" w14:textId="77777777" w:rsidR="00EC0EA6" w:rsidRPr="001541A0" w:rsidRDefault="00EC0EA6" w:rsidP="00EB1C64">
            <w:r w:rsidRPr="001541A0">
              <w:t>Third-party / supply chain exposure</w:t>
            </w:r>
          </w:p>
        </w:tc>
        <w:tc>
          <w:tcPr>
            <w:tcW w:w="0" w:type="auto"/>
            <w:hideMark/>
          </w:tcPr>
          <w:p w14:paraId="16F68A5A"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Medium</w:t>
            </w:r>
          </w:p>
        </w:tc>
        <w:tc>
          <w:tcPr>
            <w:tcW w:w="0" w:type="auto"/>
            <w:hideMark/>
          </w:tcPr>
          <w:p w14:paraId="0B265240"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High</w:t>
            </w:r>
          </w:p>
        </w:tc>
        <w:tc>
          <w:tcPr>
            <w:tcW w:w="0" w:type="auto"/>
            <w:hideMark/>
          </w:tcPr>
          <w:p w14:paraId="582E1387"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AE58E5">
              <w:rPr>
                <w:color w:val="FFC000"/>
              </w:rPr>
              <w:t>P2</w:t>
            </w:r>
          </w:p>
        </w:tc>
        <w:tc>
          <w:tcPr>
            <w:tcW w:w="0" w:type="auto"/>
            <w:hideMark/>
          </w:tcPr>
          <w:p w14:paraId="7AAFF74F"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Vendor risk assessments + contracts</w:t>
            </w:r>
          </w:p>
        </w:tc>
      </w:tr>
      <w:tr w:rsidR="00EC0EA6" w:rsidRPr="001541A0" w14:paraId="41C4A38B" w14:textId="77777777" w:rsidTr="00EB1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CDF011" w14:textId="77777777" w:rsidR="00EC0EA6" w:rsidRPr="001541A0" w:rsidRDefault="00EC0EA6" w:rsidP="00EB1C64">
            <w:r w:rsidRPr="001541A0">
              <w:t>Long dwell time / poor detection</w:t>
            </w:r>
          </w:p>
        </w:tc>
        <w:tc>
          <w:tcPr>
            <w:tcW w:w="0" w:type="auto"/>
            <w:hideMark/>
          </w:tcPr>
          <w:p w14:paraId="227F7A85"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High</w:t>
            </w:r>
          </w:p>
        </w:tc>
        <w:tc>
          <w:tcPr>
            <w:tcW w:w="0" w:type="auto"/>
            <w:hideMark/>
          </w:tcPr>
          <w:p w14:paraId="0F8BF897"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Critical</w:t>
            </w:r>
          </w:p>
        </w:tc>
        <w:tc>
          <w:tcPr>
            <w:tcW w:w="0" w:type="auto"/>
            <w:hideMark/>
          </w:tcPr>
          <w:p w14:paraId="07CC7C25"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F72BC5">
              <w:rPr>
                <w:color w:val="EE0000"/>
              </w:rPr>
              <w:t>P1</w:t>
            </w:r>
          </w:p>
        </w:tc>
        <w:tc>
          <w:tcPr>
            <w:tcW w:w="0" w:type="auto"/>
            <w:hideMark/>
          </w:tcPr>
          <w:p w14:paraId="4AC34F43" w14:textId="77777777" w:rsidR="00EC0EA6" w:rsidRPr="001541A0" w:rsidRDefault="00EC0EA6" w:rsidP="00EB1C64">
            <w:pPr>
              <w:cnfStyle w:val="000000100000" w:firstRow="0" w:lastRow="0" w:firstColumn="0" w:lastColumn="0" w:oddVBand="0" w:evenVBand="0" w:oddHBand="1" w:evenHBand="0" w:firstRowFirstColumn="0" w:firstRowLastColumn="0" w:lastRowFirstColumn="0" w:lastRowLastColumn="0"/>
            </w:pPr>
            <w:r w:rsidRPr="001541A0">
              <w:t>SIEM + EDR + 24/7 SOC monitoring</w:t>
            </w:r>
          </w:p>
        </w:tc>
      </w:tr>
      <w:tr w:rsidR="00EC0EA6" w:rsidRPr="001541A0" w14:paraId="5A21054C" w14:textId="77777777" w:rsidTr="00EB1C64">
        <w:tc>
          <w:tcPr>
            <w:cnfStyle w:val="001000000000" w:firstRow="0" w:lastRow="0" w:firstColumn="1" w:lastColumn="0" w:oddVBand="0" w:evenVBand="0" w:oddHBand="0" w:evenHBand="0" w:firstRowFirstColumn="0" w:firstRowLastColumn="0" w:lastRowFirstColumn="0" w:lastRowLastColumn="0"/>
            <w:tcW w:w="0" w:type="auto"/>
            <w:hideMark/>
          </w:tcPr>
          <w:p w14:paraId="2FC2DC0C" w14:textId="77777777" w:rsidR="00EC0EA6" w:rsidRPr="001541A0" w:rsidRDefault="00EC0EA6" w:rsidP="00EB1C64">
            <w:r w:rsidRPr="001541A0">
              <w:t>Unencrypted sensitive data</w:t>
            </w:r>
          </w:p>
        </w:tc>
        <w:tc>
          <w:tcPr>
            <w:tcW w:w="0" w:type="auto"/>
            <w:hideMark/>
          </w:tcPr>
          <w:p w14:paraId="618075F3"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Medium</w:t>
            </w:r>
          </w:p>
        </w:tc>
        <w:tc>
          <w:tcPr>
            <w:tcW w:w="0" w:type="auto"/>
            <w:hideMark/>
          </w:tcPr>
          <w:p w14:paraId="1839D0F5"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1541A0">
              <w:t>Critical</w:t>
            </w:r>
          </w:p>
        </w:tc>
        <w:tc>
          <w:tcPr>
            <w:tcW w:w="0" w:type="auto"/>
            <w:hideMark/>
          </w:tcPr>
          <w:p w14:paraId="7D120D22" w14:textId="77777777" w:rsidR="00EC0EA6" w:rsidRPr="001541A0" w:rsidRDefault="00EC0EA6" w:rsidP="00EB1C64">
            <w:pPr>
              <w:cnfStyle w:val="000000000000" w:firstRow="0" w:lastRow="0" w:firstColumn="0" w:lastColumn="0" w:oddVBand="0" w:evenVBand="0" w:oddHBand="0" w:evenHBand="0" w:firstRowFirstColumn="0" w:firstRowLastColumn="0" w:lastRowFirstColumn="0" w:lastRowLastColumn="0"/>
            </w:pPr>
            <w:r w:rsidRPr="00AE58E5">
              <w:rPr>
                <w:color w:val="EE0000"/>
              </w:rPr>
              <w:t>P1</w:t>
            </w:r>
          </w:p>
        </w:tc>
        <w:tc>
          <w:tcPr>
            <w:tcW w:w="0" w:type="auto"/>
            <w:hideMark/>
          </w:tcPr>
          <w:p w14:paraId="388ED227" w14:textId="77777777" w:rsidR="00EC0EA6" w:rsidRPr="001541A0" w:rsidRDefault="00EC0EA6" w:rsidP="00EB1C64">
            <w:pPr>
              <w:keepNext/>
              <w:cnfStyle w:val="000000000000" w:firstRow="0" w:lastRow="0" w:firstColumn="0" w:lastColumn="0" w:oddVBand="0" w:evenVBand="0" w:oddHBand="0" w:evenHBand="0" w:firstRowFirstColumn="0" w:firstRowLastColumn="0" w:lastRowFirstColumn="0" w:lastRowLastColumn="0"/>
            </w:pPr>
            <w:r w:rsidRPr="001541A0">
              <w:t>AES-256 at rest, TLS 1.3 in transit</w:t>
            </w:r>
          </w:p>
        </w:tc>
      </w:tr>
    </w:tbl>
    <w:p w14:paraId="3FD51A5D" w14:textId="77777777" w:rsidR="00EC0EA6" w:rsidRDefault="00EC0EA6" w:rsidP="00EC0EA6">
      <w:pPr>
        <w:pStyle w:val="Caption"/>
      </w:pPr>
      <w:r>
        <w:t>Table 2: Risk Register with Prioritisation and Mitigations</w:t>
      </w:r>
    </w:p>
    <w:p w14:paraId="6D612EE2" w14:textId="77777777" w:rsidR="00EC0EA6" w:rsidRPr="005A15F2" w:rsidRDefault="00EC0EA6" w:rsidP="00EC0EA6"/>
    <w:p w14:paraId="445090C8" w14:textId="77777777" w:rsidR="00EC0EA6" w:rsidRPr="001541A0" w:rsidRDefault="00EC0EA6" w:rsidP="00EC0EA6">
      <w:pPr>
        <w:pStyle w:val="Heading3"/>
      </w:pPr>
      <w:bookmarkStart w:id="42" w:name="_Toc233932840"/>
      <w:bookmarkStart w:id="43" w:name="_Toc234619691"/>
      <w:r w:rsidRPr="001541A0">
        <w:t xml:space="preserve">4.2 Risk Prioritisation and Mitigation </w:t>
      </w:r>
      <w:r>
        <w:t>Approach</w:t>
      </w:r>
      <w:bookmarkEnd w:id="42"/>
      <w:bookmarkEnd w:id="43"/>
    </w:p>
    <w:p w14:paraId="61CF2C16" w14:textId="77777777" w:rsidR="00EC0EA6" w:rsidRPr="003E2894" w:rsidRDefault="00EC0EA6" w:rsidP="00EC0EA6">
      <w:pPr>
        <w:spacing w:line="360" w:lineRule="auto"/>
      </w:pPr>
      <w:r w:rsidRPr="003E2894">
        <w:t xml:space="preserve">Priority 1 risks combine high likelihood and critical impact. Unpatched systems exposed to the internet are Priority 1, as this was the attack vector used at Equifax and remains a common yet preventable risk. Prolonged dwell time from poor detection is also Priority 1, </w:t>
      </w:r>
      <w:proofErr w:type="gramStart"/>
      <w:r w:rsidRPr="003E2894">
        <w:t>since</w:t>
      </w:r>
      <w:proofErr w:type="gramEnd"/>
      <w:r w:rsidRPr="003E2894">
        <w:t xml:space="preserve"> 78 days of unnoticed access drastically increased the breach's impact. Effective monitoring could have halted the attack within hours [1], [4].</w:t>
      </w:r>
    </w:p>
    <w:p w14:paraId="63DB2341" w14:textId="77777777" w:rsidR="00EC0EA6" w:rsidRPr="001541A0" w:rsidRDefault="00EC0EA6" w:rsidP="00EC0EA6">
      <w:pPr>
        <w:spacing w:line="360" w:lineRule="auto"/>
      </w:pPr>
      <w:r w:rsidRPr="003E2894">
        <w:t>Weak network splitting is a Priority 2 risk. While it did not cause the breach, it enabled the attacker to move across systems and access excessive data. Research indicates that effective splitting can reduce breach impact by up to 80% by containing lateral movement [10].</w:t>
      </w:r>
    </w:p>
    <w:p w14:paraId="68E45797" w14:textId="77777777" w:rsidR="00EC0EA6" w:rsidRDefault="00EC0EA6" w:rsidP="00EC0EA6">
      <w:pPr>
        <w:spacing w:line="360" w:lineRule="auto"/>
      </w:pPr>
      <w:r w:rsidRPr="008A009D">
        <w:t>All Priority 1 risks are given to named owners who must create a fix plan within 30 days of identification. The CISO reviews the risk status every month, and the Board Committee reviews it every three months. This regular review process keeps the risk register up to date as threats change.</w:t>
      </w:r>
    </w:p>
    <w:p w14:paraId="1B013A0A" w14:textId="77777777" w:rsidR="00EC0EA6" w:rsidRPr="001541A0" w:rsidRDefault="00EC0EA6" w:rsidP="00EC0EA6"/>
    <w:p w14:paraId="191C409E" w14:textId="77777777" w:rsidR="00EC0EA6" w:rsidRPr="001541A0" w:rsidRDefault="00EC0EA6" w:rsidP="00EC0EA6">
      <w:pPr>
        <w:pStyle w:val="Heading2"/>
      </w:pPr>
      <w:bookmarkStart w:id="44" w:name="_Toc233932841"/>
      <w:bookmarkStart w:id="45" w:name="_Toc234619692"/>
      <w:r w:rsidRPr="001541A0">
        <w:t>5. Compliance, Incident Response, and Protection Controls</w:t>
      </w:r>
      <w:bookmarkEnd w:id="44"/>
      <w:bookmarkEnd w:id="45"/>
    </w:p>
    <w:p w14:paraId="6BE79C9A" w14:textId="77777777" w:rsidR="00EC0EA6" w:rsidRDefault="00EC0EA6" w:rsidP="00EC0EA6">
      <w:pPr>
        <w:pStyle w:val="Heading3"/>
      </w:pPr>
      <w:bookmarkStart w:id="46" w:name="_Toc233932842"/>
      <w:bookmarkStart w:id="47" w:name="_Toc234619693"/>
      <w:r w:rsidRPr="001541A0">
        <w:t>5.1 Regulatory Alignment and Breach Notification</w:t>
      </w:r>
      <w:bookmarkEnd w:id="46"/>
      <w:bookmarkEnd w:id="47"/>
    </w:p>
    <w:p w14:paraId="2F6FAA6B" w14:textId="77777777" w:rsidR="00EC0EA6" w:rsidRPr="00D03FD1" w:rsidRDefault="00EC0EA6" w:rsidP="00EC0EA6">
      <w:pPr>
        <w:spacing w:line="360" w:lineRule="auto"/>
      </w:pPr>
      <w:r w:rsidRPr="00D03FD1">
        <w:t>Equifax waited more than a month after discovering the breach before notifying regulators and the public, a delay that significantly increased its regulatory fines [2]. This programme addresses that failure by mandating clear regulatory coordination upfront.</w:t>
      </w:r>
    </w:p>
    <w:p w14:paraId="69E9A90E" w14:textId="77777777" w:rsidR="00EC0EA6" w:rsidRPr="00D03FD1" w:rsidRDefault="00EC0EA6" w:rsidP="00EC0EA6">
      <w:pPr>
        <w:spacing w:line="360" w:lineRule="auto"/>
      </w:pPr>
      <w:r w:rsidRPr="00D03FD1">
        <w:t>In the United States, the programme follows the Gramm-Leach-Bliley Act and the FTC Safeguards Rule. These laws require financial companies to keep customer data safe and to tell people if their information is exposed. For work involving EU residents, the programme also follows the GDPR. This rule requires reporting a breach to authorities within 72 hours of finding it [11].</w:t>
      </w:r>
    </w:p>
    <w:p w14:paraId="4407644A" w14:textId="77777777" w:rsidR="00EC0EA6" w:rsidRPr="00D03FD1" w:rsidRDefault="00EC0EA6" w:rsidP="00EC0EA6">
      <w:pPr>
        <w:spacing w:line="360" w:lineRule="auto"/>
      </w:pPr>
      <w:r w:rsidRPr="00D03FD1">
        <w:t xml:space="preserve">The Breach Notification Protocol sets out a clear timeline. Within 24 hours of finding a breach, the team must contain it and carry out an early assessment. Within 48 hours, legal and communications staff are brought in. Within 72 hours, regulators are told about </w:t>
      </w:r>
      <w:r w:rsidRPr="00D03FD1">
        <w:lastRenderedPageBreak/>
        <w:t>the breach. And within seven days, affected customers are informed if the law requires it. Every notification is checked by legal advisors before it goes out.</w:t>
      </w:r>
    </w:p>
    <w:p w14:paraId="6A9F3B6E" w14:textId="77777777" w:rsidR="00EC0EA6" w:rsidRPr="000C0599" w:rsidRDefault="00EC0EA6" w:rsidP="00EC0EA6">
      <w:pPr>
        <w:rPr>
          <w:color w:val="EE0000"/>
        </w:rPr>
      </w:pPr>
    </w:p>
    <w:p w14:paraId="79B7CEE9" w14:textId="77777777" w:rsidR="00EC0EA6" w:rsidRPr="001541A0" w:rsidRDefault="00EC0EA6" w:rsidP="00EC0EA6">
      <w:pPr>
        <w:pStyle w:val="Heading3"/>
      </w:pPr>
      <w:bookmarkStart w:id="48" w:name="_Toc233932843"/>
      <w:bookmarkStart w:id="49" w:name="_Toc234619694"/>
      <w:r w:rsidRPr="001541A0">
        <w:t>5.2 Incident Response and Disaster Recovery</w:t>
      </w:r>
      <w:bookmarkEnd w:id="48"/>
      <w:bookmarkEnd w:id="49"/>
    </w:p>
    <w:p w14:paraId="1B89CCB0" w14:textId="77777777" w:rsidR="00EC0EA6" w:rsidRPr="001541A0" w:rsidRDefault="00EC0EA6" w:rsidP="00EC0EA6">
      <w:pPr>
        <w:spacing w:line="360" w:lineRule="auto"/>
      </w:pPr>
      <w:r w:rsidRPr="001541A0">
        <w:t xml:space="preserve">An Incident Response Plan (IRP) is developed in line with NIST SP 800-61, which defines six phases: preparation, detection, containment, eradication, recovery, and lessons learned </w:t>
      </w:r>
      <w:r w:rsidRPr="009B5F14">
        <w:t>[12]</w:t>
      </w:r>
      <w:r w:rsidRPr="001541A0">
        <w:t>. Each phase has defined roles, timelines, and decision authority. The Security Operations team maintains a 24-hour Security Operations Centre (SOC) to monitor for threats in real time, seven days a week.</w:t>
      </w:r>
    </w:p>
    <w:p w14:paraId="107E4226" w14:textId="77777777" w:rsidR="00EC0EA6" w:rsidRPr="001541A0" w:rsidRDefault="00EC0EA6" w:rsidP="00EC0EA6">
      <w:pPr>
        <w:spacing w:line="360" w:lineRule="auto"/>
      </w:pPr>
      <w:r w:rsidRPr="001541A0">
        <w:t xml:space="preserve">A Disaster Recovery Plan (DRP) ensures business continuity following a major incident. Recovery Time Objectives (RTO) and Recovery Point Objectives (RPO) are defined for all critical systems based on business impact analysis. </w:t>
      </w:r>
      <w:r>
        <w:t>The plans are tested yearly through drills and practice runs. The Board Committee gets a report on the results. The team then uses what they learned to respond more effectively</w:t>
      </w:r>
      <w:r w:rsidRPr="001541A0">
        <w:t>.</w:t>
      </w:r>
    </w:p>
    <w:p w14:paraId="56BC66D9" w14:textId="77777777" w:rsidR="00EC0EA6" w:rsidRPr="001541A0" w:rsidRDefault="00EC0EA6" w:rsidP="00EC0EA6"/>
    <w:p w14:paraId="14C271C5" w14:textId="77777777" w:rsidR="00EC0EA6" w:rsidRPr="001541A0" w:rsidRDefault="00EC0EA6" w:rsidP="00EC0EA6">
      <w:pPr>
        <w:pStyle w:val="Heading3"/>
      </w:pPr>
      <w:bookmarkStart w:id="50" w:name="_Toc233932844"/>
      <w:bookmarkStart w:id="51" w:name="_Toc234619695"/>
      <w:r w:rsidRPr="001541A0">
        <w:t>5.3 Technical Safeguards and Justification</w:t>
      </w:r>
      <w:bookmarkEnd w:id="50"/>
      <w:bookmarkEnd w:id="51"/>
    </w:p>
    <w:p w14:paraId="02934B5E" w14:textId="77777777" w:rsidR="00EC0EA6" w:rsidRPr="001541A0" w:rsidRDefault="00EC0EA6" w:rsidP="00EC0EA6">
      <w:pPr>
        <w:spacing w:line="360" w:lineRule="auto"/>
      </w:pPr>
      <w:r>
        <w:t>Below are five technical controls that work together as part of a layered defence. Their goal is to catch threats faster and limit any damage to the organisation</w:t>
      </w:r>
      <w:r w:rsidRPr="001541A0">
        <w:t>:</w:t>
      </w:r>
    </w:p>
    <w:p w14:paraId="67BEFC7C" w14:textId="77777777" w:rsidR="00EC0EA6" w:rsidRPr="001541A0" w:rsidRDefault="00EC0EA6" w:rsidP="00EC0EA6">
      <w:pPr>
        <w:spacing w:line="360" w:lineRule="auto"/>
      </w:pPr>
      <w:r w:rsidRPr="00D45844">
        <w:rPr>
          <w:b/>
          <w:bCs/>
        </w:rPr>
        <w:t>Continuous Monitoring via SIEM</w:t>
      </w:r>
      <w:r w:rsidRPr="00D45844">
        <w:t xml:space="preserve">: </w:t>
      </w:r>
      <w:r w:rsidRPr="001541A0">
        <w:t xml:space="preserve">A Security Information and Event Management system </w:t>
      </w:r>
      <w:r>
        <w:t>collect</w:t>
      </w:r>
      <w:r w:rsidRPr="001541A0">
        <w:t>s log</w:t>
      </w:r>
      <w:r>
        <w:t xml:space="preserve"> data</w:t>
      </w:r>
      <w:r w:rsidRPr="001541A0">
        <w:t xml:space="preserve"> from all systems </w:t>
      </w:r>
      <w:r>
        <w:t>as it happens. It sends out alerts when it detects anything</w:t>
      </w:r>
      <w:r w:rsidRPr="001541A0">
        <w:t xml:space="preserve"> suspicious. This directly addresses the 78-day dwell time at Equifax. Studies show that organisations using SIEM reduce average attacker dwell time from over 200 days to under 30 days</w:t>
      </w:r>
      <w:r>
        <w:t xml:space="preserve"> </w:t>
      </w:r>
      <w:r w:rsidRPr="00846D95">
        <w:t>[4]</w:t>
      </w:r>
      <w:r>
        <w:t>.</w:t>
      </w:r>
    </w:p>
    <w:p w14:paraId="24E908C0" w14:textId="77777777" w:rsidR="00EC0EA6" w:rsidRPr="001541A0" w:rsidRDefault="00EC0EA6" w:rsidP="00EC0EA6">
      <w:pPr>
        <w:spacing w:line="360" w:lineRule="auto"/>
      </w:pPr>
      <w:r w:rsidRPr="00D45844">
        <w:rPr>
          <w:b/>
          <w:bCs/>
        </w:rPr>
        <w:t>Automated Vulnerability Scanning</w:t>
      </w:r>
      <w:r w:rsidRPr="001541A0">
        <w:t xml:space="preserve">: All </w:t>
      </w:r>
      <w:r>
        <w:t>company systems are scanned weekly. If a serious issue is found, a work order automatically sent to the person who can fix it. The work order has a deadline and is tracked. Everything is recorded so it can be reviewed later</w:t>
      </w:r>
      <w:r w:rsidRPr="00532A31">
        <w:t xml:space="preserve"> [5].</w:t>
      </w:r>
    </w:p>
    <w:p w14:paraId="1B018738" w14:textId="77777777" w:rsidR="00EC0EA6" w:rsidRPr="00212692" w:rsidRDefault="00EC0EA6" w:rsidP="00EC0EA6">
      <w:pPr>
        <w:spacing w:line="360" w:lineRule="auto"/>
      </w:pPr>
      <w:r w:rsidRPr="00D66005">
        <w:rPr>
          <w:b/>
          <w:bCs/>
        </w:rPr>
        <w:t>Endpoint Detection and Response (EDR)</w:t>
      </w:r>
      <w:r w:rsidRPr="001541A0">
        <w:t xml:space="preserve">: </w:t>
      </w:r>
      <w:r w:rsidRPr="0056560C">
        <w:t xml:space="preserve">EDR tools monitor all devices for signs of attack. They watch for attackers moving across the network or gaining more control, </w:t>
      </w:r>
      <w:r w:rsidRPr="0056560C">
        <w:lastRenderedPageBreak/>
        <w:t>which are the same tactics used in the Equifax breach. EDR can quickly cut off an infected device to keep the damage from spreading [10]</w:t>
      </w:r>
      <w:r w:rsidRPr="00212692">
        <w:t>. EDR solutions maintain continuous endpoints activity, use behavioural analytics to detect threats and enable rapid forensic reviews through centralised dashboards [10].</w:t>
      </w:r>
    </w:p>
    <w:p w14:paraId="24AD1E2D" w14:textId="77777777" w:rsidR="00EC0EA6" w:rsidRPr="00FD7EB7" w:rsidRDefault="00EC0EA6" w:rsidP="00EC0EA6">
      <w:pPr>
        <w:spacing w:line="360" w:lineRule="auto"/>
      </w:pPr>
      <w:r w:rsidRPr="00D66005">
        <w:rPr>
          <w:b/>
          <w:bCs/>
        </w:rPr>
        <w:t>Encryption</w:t>
      </w:r>
      <w:r w:rsidRPr="001541A0">
        <w:t xml:space="preserve">: </w:t>
      </w:r>
      <w:r w:rsidRPr="00FD7EB7">
        <w:t xml:space="preserve">All personal and financial data is encrypted. AES-256 is used when the data is stored, and </w:t>
      </w:r>
      <w:r>
        <w:t>Transport Layer Security (</w:t>
      </w:r>
      <w:r w:rsidRPr="00FD7EB7">
        <w:t xml:space="preserve">TLS </w:t>
      </w:r>
      <w:r>
        <w:t>)</w:t>
      </w:r>
      <w:r w:rsidRPr="00FD7EB7">
        <w:t>1.3 is used when the data is being sent. This means that even if someone steals the data, they cannot read or use it without the right keys [7].</w:t>
      </w:r>
      <w:r>
        <w:t xml:space="preserve"> </w:t>
      </w:r>
      <w:r w:rsidRPr="00F31C6B">
        <w:t>AES-256 is a trusted encryption standard used to protect sensitive data. TLS 1.3 ensures secure communication by using perfect forward secrecy and removing outdated cryptographic algorithms [7].</w:t>
      </w:r>
    </w:p>
    <w:p w14:paraId="206B6BFB" w14:textId="77777777" w:rsidR="00EC0EA6" w:rsidRPr="00D1509E" w:rsidRDefault="00EC0EA6" w:rsidP="00EC0EA6">
      <w:pPr>
        <w:spacing w:line="360" w:lineRule="auto"/>
      </w:pPr>
      <w:r>
        <w:rPr>
          <w:b/>
          <w:bCs/>
        </w:rPr>
        <w:t>Strong Authentication:</w:t>
      </w:r>
      <w:r w:rsidRPr="00B62E3D">
        <w:t xml:space="preserve"> All important accounts and remote access require multi-factor authentication (MFA).</w:t>
      </w:r>
      <w:r>
        <w:rPr>
          <w:b/>
          <w:bCs/>
        </w:rPr>
        <w:t xml:space="preserve"> </w:t>
      </w:r>
      <w:r w:rsidRPr="001541A0">
        <w:t>Privileged Access Management (PAM) tools</w:t>
      </w:r>
      <w:r>
        <w:t xml:space="preserve"> ensure users have only the access they need and record everything done with that access [6].</w:t>
      </w:r>
      <w:r w:rsidRPr="00D1509E">
        <w:t xml:space="preserve"> MFA requires three factors including password, token or app and biometrics. PAM tools enforce least privilege, auto-rotate credentials and log all privileged activity [6]. </w:t>
      </w:r>
    </w:p>
    <w:p w14:paraId="541A4889" w14:textId="77777777" w:rsidR="00EC0EA6" w:rsidRPr="008F020E" w:rsidRDefault="00EC0EA6" w:rsidP="00EC0EA6">
      <w:pPr>
        <w:spacing w:line="360" w:lineRule="auto"/>
      </w:pPr>
      <w:r w:rsidRPr="008F020E">
        <w:t xml:space="preserve">All these controls work as a team to protect the system. </w:t>
      </w:r>
      <w:r>
        <w:t>There is no</w:t>
      </w:r>
      <w:r w:rsidRPr="008F020E">
        <w:t xml:space="preserve"> single layer is responsible for everything. NIST CSF 2.0 and CIS Controls v8 both say this is the best way to defend against modern attacks [5], [8]. Each control either stops a breach, catches it sooner, or reduces the damage.</w:t>
      </w:r>
    </w:p>
    <w:p w14:paraId="0F5D8D22" w14:textId="77777777" w:rsidR="00EC0EA6" w:rsidRPr="001541A0" w:rsidRDefault="00EC0EA6" w:rsidP="00EC0EA6"/>
    <w:p w14:paraId="12FC1145" w14:textId="77777777" w:rsidR="00EC0EA6" w:rsidRDefault="00EC0EA6" w:rsidP="00EC0EA6"/>
    <w:p w14:paraId="6B2F3538" w14:textId="77777777" w:rsidR="00EC0EA6" w:rsidRDefault="00EC0EA6" w:rsidP="00EC0EA6"/>
    <w:p w14:paraId="0D19852E" w14:textId="77777777" w:rsidR="00EC0EA6" w:rsidRDefault="00EC0EA6" w:rsidP="00EC0EA6"/>
    <w:p w14:paraId="2716F57A" w14:textId="77777777" w:rsidR="00EC0EA6" w:rsidRDefault="00EC0EA6" w:rsidP="00EC0EA6"/>
    <w:p w14:paraId="36D412E7" w14:textId="77777777" w:rsidR="00EC0EA6" w:rsidRDefault="00EC0EA6" w:rsidP="00EC0EA6"/>
    <w:p w14:paraId="00E5E9A2" w14:textId="77777777" w:rsidR="00EC0EA6" w:rsidRDefault="00EC0EA6" w:rsidP="00EC0EA6"/>
    <w:p w14:paraId="0F40AACB" w14:textId="77777777" w:rsidR="00EC0EA6" w:rsidRDefault="00EC0EA6" w:rsidP="00EC0EA6"/>
    <w:p w14:paraId="3EE4F767" w14:textId="77777777" w:rsidR="00EC0EA6" w:rsidRDefault="00EC0EA6" w:rsidP="00EC0EA6"/>
    <w:p w14:paraId="70F3FE99" w14:textId="77777777" w:rsidR="00EC0EA6" w:rsidRPr="001541A0" w:rsidRDefault="00EC0EA6" w:rsidP="00EC0EA6"/>
    <w:p w14:paraId="5B7B2360" w14:textId="77777777" w:rsidR="00EC0EA6" w:rsidRDefault="00EC0EA6" w:rsidP="00EC0EA6">
      <w:pPr>
        <w:pStyle w:val="Heading2"/>
      </w:pPr>
      <w:bookmarkStart w:id="52" w:name="_Toc233932845"/>
      <w:bookmarkStart w:id="53" w:name="_Toc234619696"/>
      <w:r w:rsidRPr="001541A0">
        <w:lastRenderedPageBreak/>
        <w:t>Conclusion</w:t>
      </w:r>
      <w:bookmarkEnd w:id="52"/>
      <w:bookmarkEnd w:id="53"/>
    </w:p>
    <w:p w14:paraId="1E08F404" w14:textId="77777777" w:rsidR="00EC0EA6" w:rsidRPr="00371E0E" w:rsidRDefault="00EC0EA6" w:rsidP="00EC0EA6"/>
    <w:p w14:paraId="588604A2" w14:textId="77777777" w:rsidR="00EC0EA6" w:rsidRPr="009A5724" w:rsidRDefault="00EC0EA6" w:rsidP="00EC0EA6">
      <w:pPr>
        <w:spacing w:line="360" w:lineRule="auto"/>
      </w:pPr>
      <w:r w:rsidRPr="009A5724">
        <w:t>The 2017 Equifax breach happened because of basic, preventable failures. A known flaw was left unpatched. No senior leader was accountable for security. Monitoring tools were not in place to detect an intruder. And no policies existed to enforce basic security standards. This programme addresses each of these failures directly.</w:t>
      </w:r>
    </w:p>
    <w:p w14:paraId="286CAA1F" w14:textId="77777777" w:rsidR="00EC0EA6" w:rsidRPr="009A5724" w:rsidRDefault="00EC0EA6" w:rsidP="00EC0EA6">
      <w:pPr>
        <w:spacing w:line="360" w:lineRule="auto"/>
      </w:pPr>
      <w:r w:rsidRPr="009A5724">
        <w:t>The five parts of this programme work as a single connected system. Clear accountability ensures that security rules are followed. Policies are guided by a framework that links security to business goals. Risk management prioritises the most serious threats and tracks them closely. Response and compliance controls enable the organisation to act quickly, notify the right people, and recover with minimal damage when a breach occurs.</w:t>
      </w:r>
    </w:p>
    <w:p w14:paraId="6BC736FC" w14:textId="77777777" w:rsidR="00EC0EA6" w:rsidRPr="009A5724" w:rsidRDefault="00EC0EA6" w:rsidP="00EC0EA6">
      <w:pPr>
        <w:spacing w:line="360" w:lineRule="auto"/>
      </w:pPr>
      <w:r w:rsidRPr="009A5724">
        <w:t xml:space="preserve">Cybersecurity is </w:t>
      </w:r>
      <w:r>
        <w:t>a recurring process, not a single event</w:t>
      </w:r>
      <w:r w:rsidRPr="009A5724">
        <w:t>. It requires ongoing effort, regular testing, and strong leadership. The programme described in this paper provides a structured, evidence-based foundation for that long-term commitment [8], [12].</w:t>
      </w:r>
    </w:p>
    <w:p w14:paraId="54954593" w14:textId="77777777" w:rsidR="00EC0EA6" w:rsidRPr="001541A0" w:rsidRDefault="00EC0EA6" w:rsidP="00EC0EA6"/>
    <w:p w14:paraId="7D9B051F" w14:textId="77777777" w:rsidR="00EC0EA6" w:rsidRDefault="00EC0EA6" w:rsidP="00EC0EA6"/>
    <w:p w14:paraId="3F20659B" w14:textId="77777777" w:rsidR="00EC0EA6" w:rsidRDefault="00EC0EA6" w:rsidP="00EC0EA6"/>
    <w:p w14:paraId="58E6C226" w14:textId="77777777" w:rsidR="00EC0EA6" w:rsidRDefault="00EC0EA6" w:rsidP="00EC0EA6"/>
    <w:p w14:paraId="27B319A7" w14:textId="77777777" w:rsidR="00EC0EA6" w:rsidRDefault="00EC0EA6" w:rsidP="00EC0EA6"/>
    <w:p w14:paraId="1CEBDA16" w14:textId="77777777" w:rsidR="00EC0EA6" w:rsidRDefault="00EC0EA6" w:rsidP="00EC0EA6"/>
    <w:p w14:paraId="1F1A3D3C" w14:textId="77777777" w:rsidR="00EC0EA6" w:rsidRDefault="00EC0EA6" w:rsidP="00EC0EA6"/>
    <w:p w14:paraId="4CABE5F6" w14:textId="77777777" w:rsidR="00EC0EA6" w:rsidRDefault="00EC0EA6" w:rsidP="00EC0EA6"/>
    <w:p w14:paraId="79A1ECEC" w14:textId="77777777" w:rsidR="00EC0EA6" w:rsidRDefault="00EC0EA6" w:rsidP="00EC0EA6"/>
    <w:p w14:paraId="540B22C7" w14:textId="77777777" w:rsidR="00EC0EA6" w:rsidRDefault="00EC0EA6" w:rsidP="00EC0EA6"/>
    <w:p w14:paraId="4A420EAC" w14:textId="77777777" w:rsidR="00EC0EA6" w:rsidRDefault="00EC0EA6" w:rsidP="00EC0EA6"/>
    <w:p w14:paraId="6339C947" w14:textId="77777777" w:rsidR="00EC0EA6" w:rsidRDefault="00EC0EA6" w:rsidP="00EC0EA6"/>
    <w:p w14:paraId="3AEB9F1B" w14:textId="77777777" w:rsidR="00EC0EA6" w:rsidRDefault="00EC0EA6" w:rsidP="00EC0EA6"/>
    <w:p w14:paraId="7C43A160" w14:textId="77777777" w:rsidR="00EC0EA6" w:rsidRDefault="00EC0EA6" w:rsidP="00EC0EA6"/>
    <w:p w14:paraId="4992E685" w14:textId="77777777" w:rsidR="00EC0EA6" w:rsidRDefault="00EC0EA6" w:rsidP="00EC0EA6"/>
    <w:p w14:paraId="23A265E4" w14:textId="77777777" w:rsidR="00EC0EA6" w:rsidRPr="001541A0" w:rsidRDefault="00EC0EA6" w:rsidP="00EC0EA6"/>
    <w:p w14:paraId="282BB30C" w14:textId="77777777" w:rsidR="00EC0EA6" w:rsidRDefault="00EC0EA6" w:rsidP="00EC0EA6">
      <w:pPr>
        <w:pStyle w:val="Heading2"/>
      </w:pPr>
      <w:bookmarkStart w:id="54" w:name="_Toc233932846"/>
      <w:bookmarkStart w:id="55" w:name="_Toc234619697"/>
      <w:r w:rsidRPr="001541A0">
        <w:lastRenderedPageBreak/>
        <w:t>References</w:t>
      </w:r>
      <w:bookmarkEnd w:id="54"/>
      <w:bookmarkEnd w:id="55"/>
    </w:p>
    <w:p w14:paraId="2F809752" w14:textId="77777777" w:rsidR="00EC0EA6" w:rsidRPr="0046003E" w:rsidRDefault="00EC0EA6" w:rsidP="00EC0EA6"/>
    <w:p w14:paraId="7339F4F6" w14:textId="77777777" w:rsidR="00EC0EA6" w:rsidRPr="0046003E" w:rsidRDefault="00EC0EA6" w:rsidP="00EC0EA6">
      <w:pPr>
        <w:rPr>
          <w:sz w:val="22"/>
          <w:szCs w:val="22"/>
        </w:rPr>
      </w:pPr>
      <w:r w:rsidRPr="0046003E">
        <w:rPr>
          <w:sz w:val="22"/>
          <w:szCs w:val="22"/>
        </w:rPr>
        <w:t xml:space="preserve">[1] U.S. Government Accountability Office (GAO), "Data Protection: Actions Taken by Equifax and Federal Agencies in Response to the 2017 Breach," GAO-18-559, Washington, USA, Aug. 2018. [Online]. Available: </w:t>
      </w:r>
      <w:hyperlink r:id="rId15" w:history="1">
        <w:r w:rsidRPr="0046003E">
          <w:rPr>
            <w:rStyle w:val="Hyperlink"/>
            <w:sz w:val="22"/>
            <w:szCs w:val="22"/>
          </w:rPr>
          <w:t>https://www.gao.gov/products/gao-18-559</w:t>
        </w:r>
      </w:hyperlink>
      <w:r w:rsidRPr="0046003E">
        <w:rPr>
          <w:sz w:val="22"/>
          <w:szCs w:val="22"/>
        </w:rPr>
        <w:t xml:space="preserve">. [Accessed: 21 June 2026]. </w:t>
      </w:r>
    </w:p>
    <w:p w14:paraId="117768D9" w14:textId="77777777" w:rsidR="00EC0EA6" w:rsidRPr="0046003E" w:rsidRDefault="00EC0EA6" w:rsidP="00EC0EA6">
      <w:pPr>
        <w:rPr>
          <w:sz w:val="22"/>
          <w:szCs w:val="22"/>
        </w:rPr>
      </w:pPr>
      <w:r w:rsidRPr="0046003E">
        <w:rPr>
          <w:sz w:val="22"/>
          <w:szCs w:val="22"/>
        </w:rPr>
        <w:t>[</w:t>
      </w:r>
      <w:proofErr w:type="gramStart"/>
      <w:r w:rsidRPr="0046003E">
        <w:rPr>
          <w:sz w:val="22"/>
          <w:szCs w:val="22"/>
        </w:rPr>
        <w:t>2]Federal</w:t>
      </w:r>
      <w:proofErr w:type="gramEnd"/>
      <w:r w:rsidRPr="0046003E">
        <w:rPr>
          <w:sz w:val="22"/>
          <w:szCs w:val="22"/>
        </w:rPr>
        <w:t xml:space="preserve"> Trade Commission (FTC), "Equifax Data Breach </w:t>
      </w:r>
      <w:proofErr w:type="spellStart"/>
      <w:r w:rsidRPr="0046003E">
        <w:rPr>
          <w:sz w:val="22"/>
          <w:szCs w:val="22"/>
        </w:rPr>
        <w:t>Settlement,"FTC</w:t>
      </w:r>
      <w:proofErr w:type="spellEnd"/>
      <w:r w:rsidRPr="0046003E">
        <w:rPr>
          <w:sz w:val="22"/>
          <w:szCs w:val="22"/>
        </w:rPr>
        <w:t xml:space="preserve"> Consumer Information,</w:t>
      </w:r>
      <w:proofErr w:type="gramStart"/>
      <w:r w:rsidRPr="0046003E">
        <w:rPr>
          <w:sz w:val="22"/>
          <w:szCs w:val="22"/>
        </w:rPr>
        <w:t>2024.[</w:t>
      </w:r>
      <w:proofErr w:type="gramEnd"/>
      <w:r w:rsidRPr="0046003E">
        <w:rPr>
          <w:sz w:val="22"/>
          <w:szCs w:val="22"/>
        </w:rPr>
        <w:t>Online</w:t>
      </w:r>
      <w:proofErr w:type="gramStart"/>
      <w:r w:rsidRPr="0046003E">
        <w:rPr>
          <w:sz w:val="22"/>
          <w:szCs w:val="22"/>
        </w:rPr>
        <w:t>].Available</w:t>
      </w:r>
      <w:proofErr w:type="gramEnd"/>
      <w:r w:rsidRPr="0046003E">
        <w:rPr>
          <w:sz w:val="22"/>
          <w:szCs w:val="22"/>
        </w:rPr>
        <w:t>:</w:t>
      </w:r>
      <w:hyperlink r:id="rId16" w:history="1">
        <w:r w:rsidRPr="0046003E">
          <w:rPr>
            <w:rStyle w:val="Hyperlink"/>
            <w:sz w:val="22"/>
            <w:szCs w:val="22"/>
          </w:rPr>
          <w:t>https://www.ftc.gov/enforcement/cases-proceedings/refunds/equifax-data-breach-settlement</w:t>
        </w:r>
      </w:hyperlink>
      <w:r w:rsidRPr="0046003E">
        <w:rPr>
          <w:sz w:val="22"/>
          <w:szCs w:val="22"/>
        </w:rPr>
        <w:t xml:space="preserve">. [Accessed: 21 June 2026]. </w:t>
      </w:r>
    </w:p>
    <w:p w14:paraId="2CFDFA77" w14:textId="77777777" w:rsidR="00EC0EA6" w:rsidRPr="0046003E" w:rsidRDefault="00EC0EA6" w:rsidP="00EC0EA6">
      <w:pPr>
        <w:rPr>
          <w:sz w:val="22"/>
          <w:szCs w:val="22"/>
        </w:rPr>
      </w:pPr>
      <w:r w:rsidRPr="0046003E">
        <w:rPr>
          <w:sz w:val="22"/>
          <w:szCs w:val="22"/>
        </w:rPr>
        <w:t>[3] U.S. Senate Permanent Subcommittee on Investigations, "How Equifax Neglected Cybersecurity and Suffered a Devastating Data Breach," Senate Committee on Homeland Security and Governmental Affairs, Washington, USA, 2019.</w:t>
      </w:r>
    </w:p>
    <w:p w14:paraId="267E7276" w14:textId="77777777" w:rsidR="00EC0EA6" w:rsidRPr="0046003E" w:rsidRDefault="00EC0EA6" w:rsidP="00EC0EA6">
      <w:pPr>
        <w:rPr>
          <w:sz w:val="22"/>
          <w:szCs w:val="22"/>
        </w:rPr>
      </w:pPr>
      <w:r w:rsidRPr="0046003E">
        <w:rPr>
          <w:sz w:val="22"/>
          <w:szCs w:val="22"/>
        </w:rPr>
        <w:t xml:space="preserve">[4] </w:t>
      </w:r>
      <w:proofErr w:type="spellStart"/>
      <w:r w:rsidRPr="0046003E">
        <w:rPr>
          <w:sz w:val="22"/>
          <w:szCs w:val="22"/>
        </w:rPr>
        <w:t>Ponemon</w:t>
      </w:r>
      <w:proofErr w:type="spellEnd"/>
      <w:r w:rsidRPr="0046003E">
        <w:rPr>
          <w:sz w:val="22"/>
          <w:szCs w:val="22"/>
        </w:rPr>
        <w:t xml:space="preserve"> Institute, "Cost of a Data Breach Report 2023," IBM Security, Armonk, NY, USA, 2023. [Online]. Available: </w:t>
      </w:r>
      <w:hyperlink r:id="rId17" w:history="1">
        <w:r w:rsidRPr="0046003E">
          <w:rPr>
            <w:rStyle w:val="Hyperlink"/>
            <w:sz w:val="22"/>
            <w:szCs w:val="22"/>
          </w:rPr>
          <w:t>https://www.ibm.com/reports/data-breach</w:t>
        </w:r>
      </w:hyperlink>
      <w:r w:rsidRPr="0046003E">
        <w:rPr>
          <w:sz w:val="22"/>
          <w:szCs w:val="22"/>
        </w:rPr>
        <w:t>. [Accessed: 24 June 2026].</w:t>
      </w:r>
    </w:p>
    <w:p w14:paraId="5BF9DA6E" w14:textId="77777777" w:rsidR="00EC0EA6" w:rsidRPr="0046003E" w:rsidRDefault="00EC0EA6" w:rsidP="00EC0EA6">
      <w:pPr>
        <w:rPr>
          <w:sz w:val="22"/>
          <w:szCs w:val="22"/>
        </w:rPr>
      </w:pPr>
      <w:r w:rsidRPr="0046003E">
        <w:rPr>
          <w:sz w:val="22"/>
          <w:szCs w:val="22"/>
        </w:rPr>
        <w:t>[</w:t>
      </w:r>
      <w:proofErr w:type="gramStart"/>
      <w:r w:rsidRPr="0046003E">
        <w:rPr>
          <w:sz w:val="22"/>
          <w:szCs w:val="22"/>
        </w:rPr>
        <w:t>5]</w:t>
      </w:r>
      <w:proofErr w:type="spellStart"/>
      <w:r w:rsidRPr="0046003E">
        <w:rPr>
          <w:sz w:val="22"/>
          <w:szCs w:val="22"/>
        </w:rPr>
        <w:t>Center</w:t>
      </w:r>
      <w:proofErr w:type="spellEnd"/>
      <w:proofErr w:type="gramEnd"/>
      <w:r w:rsidRPr="0046003E">
        <w:rPr>
          <w:sz w:val="22"/>
          <w:szCs w:val="22"/>
        </w:rPr>
        <w:t xml:space="preserve"> for Internet Security (CIS), "CIS Controls Version 8," CIS, East Greenbush, NY, USA, 2021. [Online]. Available: </w:t>
      </w:r>
      <w:hyperlink r:id="rId18" w:history="1">
        <w:r w:rsidRPr="0046003E">
          <w:rPr>
            <w:rStyle w:val="Hyperlink"/>
            <w:sz w:val="22"/>
            <w:szCs w:val="22"/>
          </w:rPr>
          <w:t>https://www.cisecurity.org/controls/v8</w:t>
        </w:r>
      </w:hyperlink>
      <w:r w:rsidRPr="0046003E">
        <w:rPr>
          <w:sz w:val="22"/>
          <w:szCs w:val="22"/>
        </w:rPr>
        <w:t xml:space="preserve"> [Accessed: 24 June 2026].</w:t>
      </w:r>
    </w:p>
    <w:p w14:paraId="1B3D8554" w14:textId="77777777" w:rsidR="00EC0EA6" w:rsidRPr="0046003E" w:rsidRDefault="00EC0EA6" w:rsidP="00EC0EA6">
      <w:pPr>
        <w:rPr>
          <w:sz w:val="22"/>
          <w:szCs w:val="22"/>
        </w:rPr>
      </w:pPr>
      <w:r w:rsidRPr="0046003E">
        <w:rPr>
          <w:sz w:val="22"/>
          <w:szCs w:val="22"/>
        </w:rPr>
        <w:t xml:space="preserve">[6] National Institute of Standards and Technology (NIST), "Secure Software Development Framework (SSDF), SP 800-218," NIST, USA, 2022. [Online]. Available: </w:t>
      </w:r>
      <w:hyperlink r:id="rId19" w:history="1">
        <w:r w:rsidRPr="0046003E">
          <w:rPr>
            <w:rStyle w:val="Hyperlink"/>
            <w:sz w:val="22"/>
            <w:szCs w:val="22"/>
          </w:rPr>
          <w:t>https://csrc.nist.gov/pubs/sp/800/218/final?referrer=grok.com</w:t>
        </w:r>
      </w:hyperlink>
      <w:r w:rsidRPr="0046003E">
        <w:rPr>
          <w:sz w:val="22"/>
          <w:szCs w:val="22"/>
        </w:rPr>
        <w:t xml:space="preserve"> . [Accessed: 24 June 2026].</w:t>
      </w:r>
    </w:p>
    <w:p w14:paraId="2230B96A" w14:textId="77777777" w:rsidR="00EC0EA6" w:rsidRPr="0046003E" w:rsidRDefault="00EC0EA6" w:rsidP="00EC0EA6">
      <w:pPr>
        <w:rPr>
          <w:sz w:val="22"/>
          <w:szCs w:val="22"/>
        </w:rPr>
      </w:pPr>
      <w:r w:rsidRPr="0046003E">
        <w:rPr>
          <w:sz w:val="22"/>
          <w:szCs w:val="22"/>
        </w:rPr>
        <w:t>[7] National Institute of Standards and Technology (NIST), "Guidelines for the Selection, Configuration, and Use of Transport Layer Security (TLS) Implementations, SP 800-52 Rev.2,"</w:t>
      </w:r>
      <w:proofErr w:type="gramStart"/>
      <w:r w:rsidRPr="0046003E">
        <w:rPr>
          <w:sz w:val="22"/>
          <w:szCs w:val="22"/>
        </w:rPr>
        <w:t>NIST,Gaithersburg</w:t>
      </w:r>
      <w:proofErr w:type="gramEnd"/>
      <w:r w:rsidRPr="0046003E">
        <w:rPr>
          <w:sz w:val="22"/>
          <w:szCs w:val="22"/>
        </w:rPr>
        <w:t>,USA,</w:t>
      </w:r>
      <w:proofErr w:type="gramStart"/>
      <w:r w:rsidRPr="0046003E">
        <w:rPr>
          <w:sz w:val="22"/>
          <w:szCs w:val="22"/>
        </w:rPr>
        <w:t>2019.[</w:t>
      </w:r>
      <w:proofErr w:type="gramEnd"/>
      <w:r w:rsidRPr="0046003E">
        <w:rPr>
          <w:sz w:val="22"/>
          <w:szCs w:val="22"/>
        </w:rPr>
        <w:t>Online</w:t>
      </w:r>
      <w:proofErr w:type="gramStart"/>
      <w:r w:rsidRPr="0046003E">
        <w:rPr>
          <w:sz w:val="22"/>
          <w:szCs w:val="22"/>
        </w:rPr>
        <w:t>].Available</w:t>
      </w:r>
      <w:proofErr w:type="gramEnd"/>
      <w:r w:rsidRPr="0046003E">
        <w:rPr>
          <w:sz w:val="22"/>
          <w:szCs w:val="22"/>
        </w:rPr>
        <w:t xml:space="preserve">: </w:t>
      </w:r>
      <w:hyperlink r:id="rId20" w:history="1">
        <w:r w:rsidRPr="0046003E">
          <w:rPr>
            <w:rStyle w:val="Hyperlink"/>
            <w:sz w:val="22"/>
            <w:szCs w:val="22"/>
          </w:rPr>
          <w:t>https://csrc.nist.gov/pubs/sp/800/52/r2/final</w:t>
        </w:r>
      </w:hyperlink>
      <w:r w:rsidRPr="0046003E">
        <w:rPr>
          <w:sz w:val="22"/>
          <w:szCs w:val="22"/>
        </w:rPr>
        <w:t xml:space="preserve"> [Accessed: 24 June 2026].</w:t>
      </w:r>
    </w:p>
    <w:p w14:paraId="4245DF70" w14:textId="77777777" w:rsidR="00EC0EA6" w:rsidRPr="0046003E" w:rsidRDefault="00EC0EA6" w:rsidP="00EC0EA6">
      <w:pPr>
        <w:rPr>
          <w:sz w:val="22"/>
          <w:szCs w:val="22"/>
        </w:rPr>
      </w:pPr>
      <w:r w:rsidRPr="0046003E">
        <w:rPr>
          <w:sz w:val="22"/>
          <w:szCs w:val="22"/>
        </w:rPr>
        <w:t>[8] National Institute of Standards and Technology (NIST), "The NIST Cybersecurity Framewor2.0,"</w:t>
      </w:r>
      <w:proofErr w:type="gramStart"/>
      <w:r w:rsidRPr="0046003E">
        <w:rPr>
          <w:sz w:val="22"/>
          <w:szCs w:val="22"/>
        </w:rPr>
        <w:t>NIST,USA</w:t>
      </w:r>
      <w:proofErr w:type="gramEnd"/>
      <w:r w:rsidRPr="0046003E">
        <w:rPr>
          <w:sz w:val="22"/>
          <w:szCs w:val="22"/>
        </w:rPr>
        <w:t>,</w:t>
      </w:r>
      <w:proofErr w:type="gramStart"/>
      <w:r w:rsidRPr="0046003E">
        <w:rPr>
          <w:sz w:val="22"/>
          <w:szCs w:val="22"/>
        </w:rPr>
        <w:t>2024.[</w:t>
      </w:r>
      <w:proofErr w:type="gramEnd"/>
      <w:r w:rsidRPr="0046003E">
        <w:rPr>
          <w:sz w:val="22"/>
          <w:szCs w:val="22"/>
        </w:rPr>
        <w:t>Online</w:t>
      </w:r>
      <w:proofErr w:type="gramStart"/>
      <w:r w:rsidRPr="0046003E">
        <w:rPr>
          <w:sz w:val="22"/>
          <w:szCs w:val="22"/>
        </w:rPr>
        <w:t>].Available</w:t>
      </w:r>
      <w:proofErr w:type="gramEnd"/>
      <w:r w:rsidRPr="0046003E">
        <w:rPr>
          <w:sz w:val="22"/>
          <w:szCs w:val="22"/>
        </w:rPr>
        <w:t>:</w:t>
      </w:r>
      <w:hyperlink r:id="rId21" w:history="1">
        <w:r w:rsidRPr="0046003E">
          <w:rPr>
            <w:rStyle w:val="Hyperlink"/>
            <w:sz w:val="22"/>
            <w:szCs w:val="22"/>
          </w:rPr>
          <w:t>https://nvlpubs.nist.gov/nistpubs/CSWP/NIST.CSWP.29.pdf</w:t>
        </w:r>
      </w:hyperlink>
      <w:r w:rsidRPr="0046003E">
        <w:rPr>
          <w:sz w:val="22"/>
          <w:szCs w:val="22"/>
        </w:rPr>
        <w:t xml:space="preserve"> . [Accessed: 26 June 2026].</w:t>
      </w:r>
    </w:p>
    <w:p w14:paraId="0D99B3EB" w14:textId="77777777" w:rsidR="00EC0EA6" w:rsidRPr="0046003E" w:rsidRDefault="00EC0EA6" w:rsidP="00EC0EA6">
      <w:pPr>
        <w:rPr>
          <w:sz w:val="22"/>
          <w:szCs w:val="22"/>
        </w:rPr>
      </w:pPr>
      <w:r w:rsidRPr="0046003E">
        <w:rPr>
          <w:sz w:val="22"/>
          <w:szCs w:val="22"/>
        </w:rPr>
        <w:t>[9] International Organization for Standardization (ISO), "ISO/IEC 27005:</w:t>
      </w:r>
      <w:proofErr w:type="gramStart"/>
      <w:r w:rsidRPr="0046003E">
        <w:rPr>
          <w:sz w:val="22"/>
          <w:szCs w:val="22"/>
        </w:rPr>
        <w:t>2022 .</w:t>
      </w:r>
      <w:proofErr w:type="gramEnd"/>
      <w:r w:rsidRPr="0046003E">
        <w:rPr>
          <w:sz w:val="22"/>
          <w:szCs w:val="22"/>
        </w:rPr>
        <w:t xml:space="preserve"> Information Security, Cybersecurity and Privacy Protection: Guidance on Managing Information Security Risks," ISO, Geneva, Switzerland, 2022. [Online</w:t>
      </w:r>
      <w:proofErr w:type="gramStart"/>
      <w:r w:rsidRPr="0046003E">
        <w:rPr>
          <w:sz w:val="22"/>
          <w:szCs w:val="22"/>
        </w:rPr>
        <w:t>] .</w:t>
      </w:r>
      <w:proofErr w:type="gramEnd"/>
      <w:r w:rsidRPr="0046003E">
        <w:rPr>
          <w:sz w:val="22"/>
          <w:szCs w:val="22"/>
        </w:rPr>
        <w:t xml:space="preserve"> </w:t>
      </w:r>
      <w:proofErr w:type="gramStart"/>
      <w:r w:rsidRPr="0046003E">
        <w:rPr>
          <w:sz w:val="22"/>
          <w:szCs w:val="22"/>
        </w:rPr>
        <w:t>Available :</w:t>
      </w:r>
      <w:proofErr w:type="gramEnd"/>
      <w:r w:rsidRPr="0046003E">
        <w:rPr>
          <w:sz w:val="22"/>
          <w:szCs w:val="22"/>
        </w:rPr>
        <w:t xml:space="preserve"> </w:t>
      </w:r>
      <w:hyperlink r:id="rId22" w:history="1">
        <w:r w:rsidRPr="0046003E">
          <w:rPr>
            <w:rStyle w:val="Hyperlink"/>
            <w:sz w:val="22"/>
            <w:szCs w:val="22"/>
          </w:rPr>
          <w:t>https://cdn.standards.iteh.ai/samples/80585/7bca93ac16fd426a9bc717cadc9284d9/ISO-IEC-27005-2022.pdf</w:t>
        </w:r>
      </w:hyperlink>
      <w:r w:rsidRPr="0046003E">
        <w:rPr>
          <w:sz w:val="22"/>
          <w:szCs w:val="22"/>
        </w:rPr>
        <w:t xml:space="preserve"> . [Accessed: 27 June 2026].</w:t>
      </w:r>
    </w:p>
    <w:p w14:paraId="5C97E4E2" w14:textId="77777777" w:rsidR="00EC0EA6" w:rsidRPr="0046003E" w:rsidRDefault="00EC0EA6" w:rsidP="00EC0EA6">
      <w:pPr>
        <w:rPr>
          <w:sz w:val="22"/>
          <w:szCs w:val="22"/>
        </w:rPr>
      </w:pPr>
      <w:r w:rsidRPr="0046003E">
        <w:rPr>
          <w:sz w:val="22"/>
          <w:szCs w:val="22"/>
        </w:rPr>
        <w:t>[10]</w:t>
      </w:r>
      <w:r w:rsidRPr="0046003E">
        <w:rPr>
          <w:rFonts w:ascii="Calibri" w:eastAsia="Times New Roman" w:hAnsi="Calibri" w:cs="Calibri"/>
          <w:color w:val="000000"/>
          <w:kern w:val="0"/>
          <w:sz w:val="22"/>
          <w:szCs w:val="22"/>
          <w:lang w:eastAsia="en-GB"/>
          <w14:ligatures w14:val="none"/>
        </w:rPr>
        <w:t xml:space="preserve"> </w:t>
      </w:r>
      <w:r w:rsidRPr="0046003E">
        <w:rPr>
          <w:sz w:val="22"/>
          <w:szCs w:val="22"/>
        </w:rPr>
        <w:t xml:space="preserve">[2] Z. B. Yusof, “Effectiveness of Endpoint Detection and Response Solutions in Combating Modern Cyber Threats,” Journal of Advances in Cybersecurity Science, Threat Intelligence, and Countermeasures, vol. 8, no. 12, pp. 1–9, 2024. Available: </w:t>
      </w:r>
      <w:hyperlink r:id="rId23" w:history="1">
        <w:r w:rsidRPr="0046003E">
          <w:rPr>
            <w:rStyle w:val="Hyperlink"/>
            <w:sz w:val="22"/>
            <w:szCs w:val="22"/>
          </w:rPr>
          <w:t>http://polarpublications.com/index.php/JACSTIC/article/view/1</w:t>
        </w:r>
      </w:hyperlink>
      <w:r w:rsidRPr="0046003E">
        <w:rPr>
          <w:sz w:val="22"/>
          <w:szCs w:val="22"/>
        </w:rPr>
        <w:t xml:space="preserve"> . [Accessed: 27 June 2026].</w:t>
      </w:r>
    </w:p>
    <w:p w14:paraId="4A3499E0" w14:textId="77777777" w:rsidR="00EC0EA6" w:rsidRPr="0046003E" w:rsidRDefault="00EC0EA6" w:rsidP="00EC0EA6">
      <w:pPr>
        <w:rPr>
          <w:sz w:val="22"/>
          <w:szCs w:val="22"/>
        </w:rPr>
      </w:pPr>
      <w:r w:rsidRPr="0046003E">
        <w:rPr>
          <w:sz w:val="22"/>
          <w:szCs w:val="22"/>
        </w:rPr>
        <w:t xml:space="preserve">[11] European Commission, "General Data Protection Regulation (GDPR)," Official Journal of the European Union, Regulation (EU) 2016/679, 2018. [Online]. Available: </w:t>
      </w:r>
      <w:hyperlink r:id="rId24" w:history="1">
        <w:r w:rsidRPr="0046003E">
          <w:rPr>
            <w:rStyle w:val="Hyperlink"/>
            <w:sz w:val="22"/>
            <w:szCs w:val="22"/>
          </w:rPr>
          <w:t>https://gdpr-info.eu/</w:t>
        </w:r>
      </w:hyperlink>
      <w:r w:rsidRPr="0046003E">
        <w:rPr>
          <w:sz w:val="22"/>
          <w:szCs w:val="22"/>
        </w:rPr>
        <w:t xml:space="preserve"> . [Accessed: 28 June 2026].</w:t>
      </w:r>
    </w:p>
    <w:p w14:paraId="5F00162B" w14:textId="77777777" w:rsidR="00EC0EA6" w:rsidRDefault="00EC0EA6" w:rsidP="00EC0EA6">
      <w:pPr>
        <w:rPr>
          <w:sz w:val="22"/>
          <w:szCs w:val="22"/>
        </w:rPr>
      </w:pPr>
      <w:r w:rsidRPr="0046003E">
        <w:rPr>
          <w:sz w:val="22"/>
          <w:szCs w:val="22"/>
        </w:rPr>
        <w:t xml:space="preserve">[12] National Institute of Standards and Technology (NIST), "Computer Security Incident Handling Guide, SP 800-61 Rev. 2," NIST, USA, 2012. [Online]. Available: </w:t>
      </w:r>
      <w:hyperlink r:id="rId25" w:history="1">
        <w:r w:rsidRPr="0046003E">
          <w:rPr>
            <w:rStyle w:val="Hyperlink"/>
            <w:sz w:val="22"/>
            <w:szCs w:val="22"/>
          </w:rPr>
          <w:t>https://nvlpubs.nist.gov/nistpubs/specialpublications/nist.sp.800-61r2.pdf</w:t>
        </w:r>
      </w:hyperlink>
      <w:r w:rsidRPr="0046003E">
        <w:rPr>
          <w:sz w:val="22"/>
          <w:szCs w:val="22"/>
        </w:rPr>
        <w:t xml:space="preserve"> . [Accessed: 29 June 2026].</w:t>
      </w:r>
    </w:p>
    <w:p w14:paraId="215F49C3" w14:textId="77777777" w:rsidR="00EC0EA6" w:rsidRPr="00BD62B3" w:rsidRDefault="00EC0EA6" w:rsidP="00EC0EA6">
      <w:pPr>
        <w:rPr>
          <w:sz w:val="22"/>
          <w:szCs w:val="22"/>
        </w:rPr>
      </w:pPr>
      <w:r w:rsidRPr="00BD62B3">
        <w:rPr>
          <w:sz w:val="22"/>
          <w:szCs w:val="22"/>
        </w:rPr>
        <w:t xml:space="preserve">[13] U.S. Senate Permanent Subcommittee on Investigations, "Equifax Data Breach: Majority Staff Report," United States Senate, Washington, DC, USA, Staff Rep., Feb. 2019. [Online]. Available: </w:t>
      </w:r>
      <w:hyperlink r:id="rId26" w:history="1">
        <w:r w:rsidRPr="00F10BDB">
          <w:rPr>
            <w:rStyle w:val="Hyperlink"/>
            <w:sz w:val="22"/>
            <w:szCs w:val="22"/>
          </w:rPr>
          <w:t>https://www.securityweek.com/equifax-was-aware-cybersecurity-weaknesses-years-senate-report-says/</w:t>
        </w:r>
      </w:hyperlink>
      <w:r>
        <w:rPr>
          <w:sz w:val="22"/>
          <w:szCs w:val="22"/>
        </w:rPr>
        <w:t xml:space="preserve"> .</w:t>
      </w:r>
      <w:r w:rsidRPr="0046003E">
        <w:rPr>
          <w:sz w:val="22"/>
          <w:szCs w:val="22"/>
        </w:rPr>
        <w:t xml:space="preserve">[Accessed: </w:t>
      </w:r>
      <w:r>
        <w:rPr>
          <w:sz w:val="22"/>
          <w:szCs w:val="22"/>
        </w:rPr>
        <w:t>18</w:t>
      </w:r>
      <w:r w:rsidRPr="0046003E">
        <w:rPr>
          <w:sz w:val="22"/>
          <w:szCs w:val="22"/>
        </w:rPr>
        <w:t xml:space="preserve"> Ju</w:t>
      </w:r>
      <w:r>
        <w:rPr>
          <w:sz w:val="22"/>
          <w:szCs w:val="22"/>
        </w:rPr>
        <w:t>ly</w:t>
      </w:r>
      <w:r w:rsidRPr="0046003E">
        <w:rPr>
          <w:sz w:val="22"/>
          <w:szCs w:val="22"/>
        </w:rPr>
        <w:t xml:space="preserve"> 2026].</w:t>
      </w:r>
    </w:p>
    <w:p w14:paraId="5F9D8505" w14:textId="77777777" w:rsidR="00EC0EA6" w:rsidRPr="0046003E" w:rsidRDefault="00EC0EA6" w:rsidP="00EC0EA6">
      <w:pPr>
        <w:rPr>
          <w:sz w:val="22"/>
          <w:szCs w:val="22"/>
        </w:rPr>
      </w:pPr>
      <w:r w:rsidRPr="00BD62B3">
        <w:rPr>
          <w:sz w:val="22"/>
          <w:szCs w:val="22"/>
        </w:rPr>
        <w:t xml:space="preserve">[14] National Institute of Standards and Technology, "Guide to Enterprise Patch Management Planning: Preventive Maintenance for Technology," NIST Special Publication SP 800-40 Rev. 4, Apr. 2022. [Online]. Available: </w:t>
      </w:r>
      <w:hyperlink r:id="rId27" w:history="1">
        <w:r w:rsidRPr="00F10BDB">
          <w:rPr>
            <w:rStyle w:val="Hyperlink"/>
            <w:sz w:val="22"/>
            <w:szCs w:val="22"/>
          </w:rPr>
          <w:t>https://csrc.nist.gov/pubs/sp/800/40/r4/final</w:t>
        </w:r>
      </w:hyperlink>
      <w:r>
        <w:rPr>
          <w:sz w:val="22"/>
          <w:szCs w:val="22"/>
        </w:rPr>
        <w:t xml:space="preserve"> .</w:t>
      </w:r>
      <w:r w:rsidRPr="0046003E">
        <w:rPr>
          <w:sz w:val="22"/>
          <w:szCs w:val="22"/>
        </w:rPr>
        <w:t xml:space="preserve">[Accessed: </w:t>
      </w:r>
      <w:r>
        <w:rPr>
          <w:sz w:val="22"/>
          <w:szCs w:val="22"/>
        </w:rPr>
        <w:t>18</w:t>
      </w:r>
      <w:r w:rsidRPr="0046003E">
        <w:rPr>
          <w:sz w:val="22"/>
          <w:szCs w:val="22"/>
        </w:rPr>
        <w:t xml:space="preserve"> Ju</w:t>
      </w:r>
      <w:r>
        <w:rPr>
          <w:sz w:val="22"/>
          <w:szCs w:val="22"/>
        </w:rPr>
        <w:t>ly</w:t>
      </w:r>
      <w:r w:rsidRPr="0046003E">
        <w:rPr>
          <w:sz w:val="22"/>
          <w:szCs w:val="22"/>
        </w:rPr>
        <w:t xml:space="preserve"> 2026]</w:t>
      </w:r>
    </w:p>
    <w:p w14:paraId="39050016" w14:textId="77777777" w:rsidR="00EC0EA6" w:rsidRDefault="00EC0EA6" w:rsidP="00EC0EA6"/>
    <w:p w14:paraId="0FE11BB8" w14:textId="77777777" w:rsidR="00EC0EA6" w:rsidRDefault="00EC0EA6" w:rsidP="00EC0EA6"/>
    <w:p w14:paraId="49F11F82" w14:textId="77777777" w:rsidR="00EC0EA6" w:rsidRDefault="00EC0EA6" w:rsidP="00EC0EA6"/>
    <w:p w14:paraId="4252AADF" w14:textId="77777777" w:rsidR="00EC0EA6" w:rsidRDefault="00EC0EA6" w:rsidP="00EC0EA6"/>
    <w:p w14:paraId="78721562" w14:textId="77777777" w:rsidR="00EC0EA6" w:rsidRDefault="00EC0EA6" w:rsidP="00EC0EA6"/>
    <w:p w14:paraId="4BAB51C7" w14:textId="77777777" w:rsidR="00EC0EA6" w:rsidRDefault="00EC0EA6" w:rsidP="00EC0EA6"/>
    <w:p w14:paraId="066D1ED5" w14:textId="77777777" w:rsidR="00EC0EA6" w:rsidRDefault="00EC0EA6" w:rsidP="00EC0EA6"/>
    <w:p w14:paraId="23447532" w14:textId="77777777" w:rsidR="00EC0EA6" w:rsidRDefault="00EC0EA6" w:rsidP="00EC0EA6"/>
    <w:p w14:paraId="1450D243" w14:textId="77777777" w:rsidR="00EC0EA6" w:rsidRDefault="00EC0EA6" w:rsidP="00EC0EA6"/>
    <w:p w14:paraId="7B9F18AC" w14:textId="77777777" w:rsidR="00EC0EA6" w:rsidRDefault="00EC0EA6" w:rsidP="00EC0EA6"/>
    <w:p w14:paraId="21827180" w14:textId="77777777" w:rsidR="00EC0EA6" w:rsidRDefault="00EC0EA6" w:rsidP="00EC0EA6"/>
    <w:p w14:paraId="24490E73" w14:textId="77777777" w:rsidR="00EC0EA6" w:rsidRDefault="00EC0EA6" w:rsidP="00EC0EA6"/>
    <w:p w14:paraId="21BC082D" w14:textId="77777777" w:rsidR="00EC0EA6" w:rsidRDefault="00EC0EA6" w:rsidP="00EC0EA6"/>
    <w:p w14:paraId="45927B3E" w14:textId="77777777" w:rsidR="00EC0EA6" w:rsidRDefault="00EC0EA6" w:rsidP="00EC0EA6"/>
    <w:p w14:paraId="1F8ECBA6" w14:textId="77777777" w:rsidR="00EC0EA6" w:rsidRDefault="00EC0EA6" w:rsidP="00EC0EA6"/>
    <w:p w14:paraId="442755C7" w14:textId="77777777" w:rsidR="00EC0EA6" w:rsidRDefault="00EC0EA6" w:rsidP="00EC0EA6"/>
    <w:p w14:paraId="34128F28" w14:textId="77777777" w:rsidR="00EC0EA6" w:rsidRDefault="00EC0EA6" w:rsidP="00EC0EA6"/>
    <w:p w14:paraId="470ABF88" w14:textId="77777777" w:rsidR="00EC0EA6" w:rsidRDefault="00EC0EA6" w:rsidP="00EC0EA6"/>
    <w:p w14:paraId="0262A19F" w14:textId="77777777" w:rsidR="00EC0EA6" w:rsidRDefault="00EC0EA6" w:rsidP="00EC0EA6"/>
    <w:p w14:paraId="1CDF02BE" w14:textId="77777777" w:rsidR="00EC0EA6" w:rsidRDefault="00EC0EA6" w:rsidP="00EC0EA6"/>
    <w:p w14:paraId="3278EC6C" w14:textId="77777777" w:rsidR="00EC0EA6" w:rsidRDefault="00EC0EA6" w:rsidP="00EC0EA6"/>
    <w:p w14:paraId="6412BAF5" w14:textId="77777777" w:rsidR="00EC0EA6" w:rsidRDefault="00EC0EA6" w:rsidP="00EC0EA6"/>
    <w:p w14:paraId="3D9B2D09" w14:textId="77777777" w:rsidR="00EC0EA6" w:rsidRDefault="00EC0EA6" w:rsidP="00EC0EA6"/>
    <w:p w14:paraId="051B788E" w14:textId="77777777" w:rsidR="00EC0EA6" w:rsidRDefault="00EC0EA6" w:rsidP="00EC0EA6"/>
    <w:p w14:paraId="09ECA19A" w14:textId="77777777" w:rsidR="00EC0EA6" w:rsidRDefault="00EC0EA6" w:rsidP="00EC0EA6"/>
    <w:p w14:paraId="56004565" w14:textId="77777777" w:rsidR="00EC0EA6" w:rsidRDefault="00EC0EA6" w:rsidP="00EC0EA6"/>
    <w:p w14:paraId="6DCCE5AB" w14:textId="77777777" w:rsidR="003707DC" w:rsidRDefault="003707DC"/>
    <w:sectPr w:rsidR="003707DC" w:rsidSect="00EC0E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8C4728"/>
    <w:multiLevelType w:val="multilevel"/>
    <w:tmpl w:val="FA5429E8"/>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4516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74B"/>
    <w:rsid w:val="003707DC"/>
    <w:rsid w:val="006F7A61"/>
    <w:rsid w:val="00735530"/>
    <w:rsid w:val="00841D41"/>
    <w:rsid w:val="00911548"/>
    <w:rsid w:val="0092074B"/>
    <w:rsid w:val="00B40AD1"/>
    <w:rsid w:val="00DF006D"/>
    <w:rsid w:val="00E8644C"/>
    <w:rsid w:val="00EC0EA6"/>
    <w:rsid w:val="00F772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DCCF7"/>
  <w15:chartTrackingRefBased/>
  <w15:docId w15:val="{4DEF474B-D148-4DEE-99B0-5EFEAEF00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Arial"/>
        <w:kern w:val="2"/>
        <w:sz w:val="24"/>
        <w:szCs w:val="24"/>
        <w:lang w:val="en-GB" w:eastAsia="en-US" w:bidi="ar-SA"/>
        <w14:ligatures w14:val="standardContextual"/>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0EA6"/>
  </w:style>
  <w:style w:type="paragraph" w:styleId="Heading1">
    <w:name w:val="heading 1"/>
    <w:basedOn w:val="Normal"/>
    <w:next w:val="Normal"/>
    <w:link w:val="Heading1Char"/>
    <w:uiPriority w:val="9"/>
    <w:qFormat/>
    <w:rsid w:val="009207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07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074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2074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2074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2074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074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074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074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7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07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074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92074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2074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2074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2074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2074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2074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2074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07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74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074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2074B"/>
    <w:pPr>
      <w:spacing w:before="160"/>
      <w:jc w:val="center"/>
    </w:pPr>
    <w:rPr>
      <w:i/>
      <w:iCs/>
      <w:color w:val="404040" w:themeColor="text1" w:themeTint="BF"/>
    </w:rPr>
  </w:style>
  <w:style w:type="character" w:customStyle="1" w:styleId="QuoteChar">
    <w:name w:val="Quote Char"/>
    <w:basedOn w:val="DefaultParagraphFont"/>
    <w:link w:val="Quote"/>
    <w:uiPriority w:val="29"/>
    <w:rsid w:val="0092074B"/>
    <w:rPr>
      <w:i/>
      <w:iCs/>
      <w:color w:val="404040" w:themeColor="text1" w:themeTint="BF"/>
    </w:rPr>
  </w:style>
  <w:style w:type="paragraph" w:styleId="ListParagraph">
    <w:name w:val="List Paragraph"/>
    <w:basedOn w:val="Normal"/>
    <w:uiPriority w:val="34"/>
    <w:qFormat/>
    <w:rsid w:val="0092074B"/>
    <w:pPr>
      <w:ind w:left="720"/>
      <w:contextualSpacing/>
    </w:pPr>
  </w:style>
  <w:style w:type="character" w:styleId="IntenseEmphasis">
    <w:name w:val="Intense Emphasis"/>
    <w:basedOn w:val="DefaultParagraphFont"/>
    <w:uiPriority w:val="21"/>
    <w:qFormat/>
    <w:rsid w:val="0092074B"/>
    <w:rPr>
      <w:i/>
      <w:iCs/>
      <w:color w:val="0F4761" w:themeColor="accent1" w:themeShade="BF"/>
    </w:rPr>
  </w:style>
  <w:style w:type="paragraph" w:styleId="IntenseQuote">
    <w:name w:val="Intense Quote"/>
    <w:basedOn w:val="Normal"/>
    <w:next w:val="Normal"/>
    <w:link w:val="IntenseQuoteChar"/>
    <w:uiPriority w:val="30"/>
    <w:qFormat/>
    <w:rsid w:val="009207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074B"/>
    <w:rPr>
      <w:i/>
      <w:iCs/>
      <w:color w:val="0F4761" w:themeColor="accent1" w:themeShade="BF"/>
    </w:rPr>
  </w:style>
  <w:style w:type="character" w:styleId="IntenseReference">
    <w:name w:val="Intense Reference"/>
    <w:basedOn w:val="DefaultParagraphFont"/>
    <w:uiPriority w:val="32"/>
    <w:qFormat/>
    <w:rsid w:val="0092074B"/>
    <w:rPr>
      <w:b/>
      <w:bCs/>
      <w:smallCaps/>
      <w:color w:val="0F4761" w:themeColor="accent1" w:themeShade="BF"/>
      <w:spacing w:val="5"/>
    </w:rPr>
  </w:style>
  <w:style w:type="paragraph" w:styleId="NoSpacing">
    <w:name w:val="No Spacing"/>
    <w:link w:val="NoSpacingChar"/>
    <w:uiPriority w:val="1"/>
    <w:qFormat/>
    <w:rsid w:val="00EC0EA6"/>
    <w:pPr>
      <w:spacing w:after="0"/>
      <w:jc w:val="left"/>
    </w:pPr>
    <w:rPr>
      <w:rFonts w:asciiTheme="minorHAnsi" w:eastAsiaTheme="minorEastAsia" w:hAnsiTheme="minorHAnsi" w:cstheme="minorBidi"/>
      <w:kern w:val="0"/>
      <w:sz w:val="22"/>
      <w:szCs w:val="22"/>
      <w:lang w:eastAsia="en-GB"/>
      <w14:ligatures w14:val="none"/>
    </w:rPr>
  </w:style>
  <w:style w:type="character" w:customStyle="1" w:styleId="NoSpacingChar">
    <w:name w:val="No Spacing Char"/>
    <w:basedOn w:val="DefaultParagraphFont"/>
    <w:link w:val="NoSpacing"/>
    <w:uiPriority w:val="1"/>
    <w:rsid w:val="00EC0EA6"/>
    <w:rPr>
      <w:rFonts w:asciiTheme="minorHAnsi" w:eastAsiaTheme="minorEastAsia" w:hAnsiTheme="minorHAnsi" w:cstheme="minorBidi"/>
      <w:kern w:val="0"/>
      <w:sz w:val="22"/>
      <w:szCs w:val="22"/>
      <w:lang w:eastAsia="en-GB"/>
      <w14:ligatures w14:val="none"/>
    </w:rPr>
  </w:style>
  <w:style w:type="paragraph" w:styleId="TOCHeading">
    <w:name w:val="TOC Heading"/>
    <w:basedOn w:val="Heading1"/>
    <w:next w:val="Normal"/>
    <w:uiPriority w:val="39"/>
    <w:unhideWhenUsed/>
    <w:qFormat/>
    <w:rsid w:val="00EC0EA6"/>
    <w:pPr>
      <w:spacing w:before="240" w:after="0" w:line="259" w:lineRule="auto"/>
      <w:jc w:val="left"/>
      <w:outlineLvl w:val="9"/>
    </w:pPr>
    <w:rPr>
      <w:kern w:val="0"/>
      <w:sz w:val="32"/>
      <w:szCs w:val="32"/>
      <w:lang w:eastAsia="en-GB"/>
      <w14:ligatures w14:val="none"/>
    </w:rPr>
  </w:style>
  <w:style w:type="character" w:styleId="Hyperlink">
    <w:name w:val="Hyperlink"/>
    <w:basedOn w:val="DefaultParagraphFont"/>
    <w:uiPriority w:val="99"/>
    <w:unhideWhenUsed/>
    <w:rsid w:val="00EC0EA6"/>
    <w:rPr>
      <w:color w:val="467886" w:themeColor="hyperlink"/>
      <w:u w:val="single"/>
    </w:rPr>
  </w:style>
  <w:style w:type="paragraph" w:styleId="Caption">
    <w:name w:val="caption"/>
    <w:basedOn w:val="Normal"/>
    <w:next w:val="Normal"/>
    <w:uiPriority w:val="35"/>
    <w:unhideWhenUsed/>
    <w:qFormat/>
    <w:rsid w:val="00EC0EA6"/>
    <w:pPr>
      <w:spacing w:after="200"/>
    </w:pPr>
    <w:rPr>
      <w:i/>
      <w:iCs/>
      <w:color w:val="0E2841" w:themeColor="text2"/>
      <w:sz w:val="18"/>
      <w:szCs w:val="18"/>
    </w:rPr>
  </w:style>
  <w:style w:type="table" w:styleId="GridTable4-Accent2">
    <w:name w:val="Grid Table 4 Accent 2"/>
    <w:basedOn w:val="TableNormal"/>
    <w:uiPriority w:val="49"/>
    <w:rsid w:val="00EC0EA6"/>
    <w:pPr>
      <w:spacing w:after="0"/>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ListTable5Dark-Accent2">
    <w:name w:val="List Table 5 Dark Accent 2"/>
    <w:basedOn w:val="TableNormal"/>
    <w:uiPriority w:val="50"/>
    <w:rsid w:val="00EC0EA6"/>
    <w:pPr>
      <w:spacing w:after="0"/>
    </w:pPr>
    <w:rPr>
      <w:color w:val="FFFFFF" w:themeColor="background1"/>
    </w:rPr>
    <w:tblPr>
      <w:tblStyleRowBandSize w:val="1"/>
      <w:tblStyleColBandSize w:val="1"/>
      <w:tblBorders>
        <w:top w:val="single" w:sz="24" w:space="0" w:color="E97132" w:themeColor="accent2"/>
        <w:left w:val="single" w:sz="24" w:space="0" w:color="E97132" w:themeColor="accent2"/>
        <w:bottom w:val="single" w:sz="24" w:space="0" w:color="E97132" w:themeColor="accent2"/>
        <w:right w:val="single" w:sz="24" w:space="0" w:color="E97132" w:themeColor="accent2"/>
      </w:tblBorders>
    </w:tblPr>
    <w:tcPr>
      <w:shd w:val="clear" w:color="auto" w:fill="E9713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xiv.org/abs/1702.08608" TargetMode="External"/><Relationship Id="rId13" Type="http://schemas.openxmlformats.org/officeDocument/2006/relationships/hyperlink" Target="https://gdpr-info.eu/" TargetMode="External"/><Relationship Id="rId18" Type="http://schemas.openxmlformats.org/officeDocument/2006/relationships/hyperlink" Target="https://www.cisecurity.org/controls/v8" TargetMode="External"/><Relationship Id="rId26" Type="http://schemas.openxmlformats.org/officeDocument/2006/relationships/hyperlink" Target="https://www.securityweek.com/equifax-was-aware-cybersecurity-weaknesses-years-senate-report-says/" TargetMode="External"/><Relationship Id="rId3" Type="http://schemas.openxmlformats.org/officeDocument/2006/relationships/settings" Target="settings.xml"/><Relationship Id="rId21" Type="http://schemas.openxmlformats.org/officeDocument/2006/relationships/hyperlink" Target="https://nvlpubs.nist.gov/nistpubs/CSWP/NIST.CSWP.29.pdf" TargetMode="External"/><Relationship Id="rId7" Type="http://schemas.openxmlformats.org/officeDocument/2006/relationships/hyperlink" Target="https://legalinstruments.oecd.org/en/instruments/OECD-LEGAL-0449" TargetMode="External"/><Relationship Id="rId12" Type="http://schemas.openxmlformats.org/officeDocument/2006/relationships/hyperlink" Target="https://unesdoc.unesco.org/ark:/48223/pf0000381137" TargetMode="External"/><Relationship Id="rId17" Type="http://schemas.openxmlformats.org/officeDocument/2006/relationships/hyperlink" Target="https://www.ibm.com/reports/data-breach" TargetMode="External"/><Relationship Id="rId25" Type="http://schemas.openxmlformats.org/officeDocument/2006/relationships/hyperlink" Target="https://nvlpubs.nist.gov/nistpubs/specialpublications/nist.sp.800-61r2.pdf" TargetMode="External"/><Relationship Id="rId2" Type="http://schemas.openxmlformats.org/officeDocument/2006/relationships/styles" Target="styles.xml"/><Relationship Id="rId16" Type="http://schemas.openxmlformats.org/officeDocument/2006/relationships/hyperlink" Target="https://www.ftc.gov/enforcement/cases-proceedings/refunds/equifax-data-breach-settlement" TargetMode="External"/><Relationship Id="rId20" Type="http://schemas.openxmlformats.org/officeDocument/2006/relationships/hyperlink" Target="https://csrc.nist.gov/pubs/sp/800/52/r2/fina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pubmed.ncbi.nlm.nih.gov/31649194/" TargetMode="External"/><Relationship Id="rId11" Type="http://schemas.openxmlformats.org/officeDocument/2006/relationships/hyperlink" Target="https://standards.ieee.org/industryconnections/ec/autonomous-systems/" TargetMode="External"/><Relationship Id="rId24" Type="http://schemas.openxmlformats.org/officeDocument/2006/relationships/hyperlink" Target="https://gdpr-info.eu/" TargetMode="External"/><Relationship Id="rId5" Type="http://schemas.openxmlformats.org/officeDocument/2006/relationships/hyperlink" Target="https://proceedings.mlr.press/v81/buolamwini18a.html" TargetMode="External"/><Relationship Id="rId15" Type="http://schemas.openxmlformats.org/officeDocument/2006/relationships/hyperlink" Target="https://www.gao.gov/products/gao-18-559" TargetMode="External"/><Relationship Id="rId23" Type="http://schemas.openxmlformats.org/officeDocument/2006/relationships/hyperlink" Target="http://polarpublications.com/index.php/JACSTIC/article/view/1" TargetMode="External"/><Relationship Id="rId28" Type="http://schemas.openxmlformats.org/officeDocument/2006/relationships/fontTable" Target="fontTable.xml"/><Relationship Id="rId10" Type="http://schemas.openxmlformats.org/officeDocument/2006/relationships/hyperlink" Target="https://www.europarl.europa.eu/topics/en/article/20230601STO93804/eu-ai-act-first-regulation-on-artificial-intelligence" TargetMode="External"/><Relationship Id="rId19" Type="http://schemas.openxmlformats.org/officeDocument/2006/relationships/hyperlink" Target="https://csrc.nist.gov/pubs/sp/800/218/final?referrer=grok.com" TargetMode="External"/><Relationship Id="rId4" Type="http://schemas.openxmlformats.org/officeDocument/2006/relationships/webSettings" Target="webSettings.xml"/><Relationship Id="rId9" Type="http://schemas.openxmlformats.org/officeDocument/2006/relationships/hyperlink" Target="https://www.ovid.com/journals/scie/abstract/10.1126/science.aat5991~how-ai-can-be-a-force-for-good?redirectionsource=fulltextview" TargetMode="External"/><Relationship Id="rId14" Type="http://schemas.openxmlformats.org/officeDocument/2006/relationships/hyperlink" Target="http://data.europa.eu/eli/reg/2024/1689/oj" TargetMode="External"/><Relationship Id="rId22" Type="http://schemas.openxmlformats.org/officeDocument/2006/relationships/hyperlink" Target="https://cdn.standards.iteh.ai/samples/80585/7bca93ac16fd426a9bc717cadc9284d9/ISO-IEC-27005-2022.pdf" TargetMode="External"/><Relationship Id="rId27" Type="http://schemas.openxmlformats.org/officeDocument/2006/relationships/hyperlink" Target="https://csrc.nist.gov/pubs/sp/800/40/r4/fin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6461</Words>
  <Characters>36833</Characters>
  <Application>Microsoft Office Word</Application>
  <DocSecurity>0</DocSecurity>
  <Lines>306</Lines>
  <Paragraphs>86</Paragraphs>
  <ScaleCrop>false</ScaleCrop>
  <Company/>
  <LinksUpToDate>false</LinksUpToDate>
  <CharactersWithSpaces>43208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Waheeb Salem (2407868)</dc:creator>
  <cp:keywords/>
  <dc:description/>
  <cp:lastModifiedBy>Waheeb Salem (2407868)</cp:lastModifiedBy>
  <cp:revision>2</cp:revision>
  <dcterms:created xsi:type="dcterms:W3CDTF">2026-07-26T19:07:00Z</dcterms:created>
  <dcterms:modified xsi:type="dcterms:W3CDTF">2026-07-26T19:07:00Z</dcterms:modified>
</cp:coreProperties>
</file>