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61A13" w14:textId="493D6098" w:rsidR="00595814" w:rsidRDefault="00595814" w:rsidP="00595814">
      <w:pPr>
        <w:pStyle w:val="NormalWeb"/>
        <w:spacing w:before="0" w:beforeAutospacing="0" w:after="0" w:afterAutospacing="0"/>
        <w:ind w:left="-180" w:right="-334"/>
      </w:pPr>
      <w:r>
        <w:rPr>
          <w:noProof/>
        </w:rPr>
        <w:drawing>
          <wp:inline distT="0" distB="0" distL="0" distR="0" wp14:anchorId="67C655CA" wp14:editId="618BBF79">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6B30FC3" w14:textId="77777777" w:rsidR="00595814" w:rsidRDefault="00595814" w:rsidP="00595814">
      <w:pPr>
        <w:pStyle w:val="NormalWeb"/>
        <w:spacing w:before="0" w:beforeAutospacing="0" w:after="0" w:afterAutospacing="0"/>
        <w:ind w:left="-180" w:right="-334"/>
      </w:pPr>
    </w:p>
    <w:p w14:paraId="0E7082E9" w14:textId="77777777" w:rsidR="00595814" w:rsidRDefault="00595814" w:rsidP="00595814">
      <w:pPr>
        <w:pStyle w:val="NormalWeb"/>
        <w:spacing w:before="0" w:beforeAutospacing="0" w:after="0" w:afterAutospacing="0"/>
        <w:ind w:left="-180" w:right="-334"/>
      </w:pPr>
    </w:p>
    <w:p w14:paraId="0D5ADAAC" w14:textId="77777777" w:rsidR="00595814" w:rsidRDefault="00595814" w:rsidP="0059581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183AA89" w14:textId="77777777" w:rsidR="00595814" w:rsidRPr="00230F35" w:rsidRDefault="00595814" w:rsidP="0059581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332307F" w14:textId="77777777" w:rsidR="00595814" w:rsidRPr="00230F35" w:rsidRDefault="00595814" w:rsidP="00595814">
      <w:pPr>
        <w:rPr>
          <w:rFonts w:ascii="Arial" w:hAnsi="Arial" w:cs="Arial"/>
          <w:sz w:val="28"/>
          <w:szCs w:val="28"/>
          <w:lang w:val="cy-GB"/>
        </w:rPr>
      </w:pPr>
    </w:p>
    <w:p w14:paraId="177B532D" w14:textId="77777777" w:rsidR="00595814" w:rsidRDefault="00595814" w:rsidP="00595814">
      <w:pPr>
        <w:pStyle w:val="Heading3"/>
        <w:jc w:val="center"/>
        <w:rPr>
          <w:lang w:val="cy-GB"/>
        </w:rPr>
      </w:pPr>
      <w:r>
        <w:rPr>
          <w:lang w:val="cy-GB"/>
        </w:rPr>
        <w:t>THIS SHEET MUST BE THE FIRST PAGE OF THE ASSIGNMENT YOU ARE SUBMITTING  (DO NOT SEND AS A SEPARATE FILE)</w:t>
      </w:r>
    </w:p>
    <w:p w14:paraId="7132B36C" w14:textId="77777777" w:rsidR="00595814" w:rsidRDefault="00595814" w:rsidP="0059581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95814" w:rsidRPr="00230F35" w14:paraId="217428CE" w14:textId="77777777" w:rsidTr="00035C4B">
        <w:trPr>
          <w:trHeight w:val="614"/>
        </w:trPr>
        <w:tc>
          <w:tcPr>
            <w:tcW w:w="8856" w:type="dxa"/>
            <w:gridSpan w:val="5"/>
          </w:tcPr>
          <w:p w14:paraId="411A1A6A" w14:textId="77777777" w:rsidR="00595814" w:rsidRPr="00230F35"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95814" w:rsidRPr="00230F35" w14:paraId="2CF37C56" w14:textId="77777777" w:rsidTr="00035C4B">
        <w:trPr>
          <w:trHeight w:val="718"/>
        </w:trPr>
        <w:tc>
          <w:tcPr>
            <w:tcW w:w="8856" w:type="dxa"/>
            <w:gridSpan w:val="5"/>
          </w:tcPr>
          <w:p w14:paraId="004E2794" w14:textId="77777777" w:rsidR="00595814"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15109D8" w14:textId="1563C225" w:rsidR="00595814" w:rsidRPr="00E01BE0" w:rsidRDefault="00595814" w:rsidP="00035C4B">
            <w:pPr>
              <w:pStyle w:val="NormalWeb"/>
              <w:spacing w:before="0" w:beforeAutospacing="0" w:after="0" w:afterAutospacing="0"/>
              <w:ind w:right="34"/>
              <w:rPr>
                <w:rFonts w:ascii="Arial" w:hAnsi="Arial" w:cs="Arial"/>
                <w:b/>
                <w:sz w:val="22"/>
                <w:szCs w:val="22"/>
              </w:rPr>
            </w:pPr>
            <w:r w:rsidRPr="00E01BE0">
              <w:rPr>
                <w:rFonts w:ascii="Arial" w:hAnsi="Arial" w:cs="Arial"/>
                <w:b/>
                <w:sz w:val="22"/>
                <w:szCs w:val="22"/>
              </w:rPr>
              <w:t>Sian Humphries</w:t>
            </w:r>
          </w:p>
        </w:tc>
      </w:tr>
      <w:tr w:rsidR="00595814" w:rsidRPr="00230F35" w14:paraId="28D32061" w14:textId="77777777" w:rsidTr="00035C4B">
        <w:trPr>
          <w:trHeight w:val="849"/>
        </w:trPr>
        <w:tc>
          <w:tcPr>
            <w:tcW w:w="4788" w:type="dxa"/>
          </w:tcPr>
          <w:p w14:paraId="13F5C171" w14:textId="4FA7C30B" w:rsidR="00595814" w:rsidRPr="00E01BE0" w:rsidRDefault="00595814" w:rsidP="00035C4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sidR="00E01BE0">
              <w:rPr>
                <w:rFonts w:ascii="Arial" w:hAnsi="Arial" w:cs="Arial"/>
                <w:sz w:val="22"/>
                <w:szCs w:val="22"/>
              </w:rPr>
              <w:t xml:space="preserve"> </w:t>
            </w:r>
            <w:r w:rsidRPr="00E01BE0">
              <w:rPr>
                <w:rFonts w:ascii="Arial" w:hAnsi="Arial" w:cs="Arial"/>
                <w:b/>
                <w:sz w:val="22"/>
                <w:szCs w:val="22"/>
              </w:rPr>
              <w:t>:</w:t>
            </w:r>
            <w:r w:rsidR="00E01BE0" w:rsidRPr="00E01BE0">
              <w:rPr>
                <w:rFonts w:ascii="Arial" w:hAnsi="Arial" w:cs="Arial"/>
                <w:b/>
                <w:sz w:val="22"/>
                <w:szCs w:val="22"/>
              </w:rPr>
              <w:t>AHAN</w:t>
            </w:r>
            <w:proofErr w:type="gramEnd"/>
            <w:r w:rsidR="00E01BE0" w:rsidRPr="00E01BE0">
              <w:rPr>
                <w:rFonts w:ascii="Arial" w:hAnsi="Arial" w:cs="Arial"/>
                <w:b/>
                <w:sz w:val="22"/>
                <w:szCs w:val="22"/>
              </w:rPr>
              <w:t>7011</w:t>
            </w:r>
          </w:p>
          <w:p w14:paraId="560AC97E" w14:textId="5AB43D7D" w:rsidR="00595814" w:rsidRPr="00230F35" w:rsidRDefault="00E01BE0" w:rsidP="00035C4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76E0BE83" w14:textId="303B4851" w:rsidR="00595814"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D5223BA" w14:textId="78E375C6" w:rsidR="00E01BE0" w:rsidRPr="00E01BE0" w:rsidRDefault="00E01BE0" w:rsidP="00035C4B">
            <w:pPr>
              <w:pStyle w:val="NormalWeb"/>
              <w:spacing w:before="0" w:beforeAutospacing="0" w:after="0" w:afterAutospacing="0"/>
              <w:ind w:right="34"/>
              <w:rPr>
                <w:rFonts w:ascii="Arial" w:hAnsi="Arial" w:cs="Arial"/>
                <w:b/>
                <w:sz w:val="22"/>
                <w:szCs w:val="22"/>
              </w:rPr>
            </w:pPr>
            <w:r w:rsidRPr="00E01BE0">
              <w:rPr>
                <w:rFonts w:ascii="Arial" w:hAnsi="Arial" w:cs="Arial"/>
                <w:b/>
                <w:sz w:val="22"/>
                <w:szCs w:val="22"/>
              </w:rPr>
              <w:t>Cosmology, magic and divination</w:t>
            </w:r>
          </w:p>
          <w:p w14:paraId="26F99C54" w14:textId="77777777" w:rsidR="00595814" w:rsidRDefault="00595814" w:rsidP="00035C4B">
            <w:pPr>
              <w:pStyle w:val="NormalWeb"/>
              <w:spacing w:before="0" w:beforeAutospacing="0" w:after="0" w:afterAutospacing="0"/>
              <w:ind w:right="34"/>
              <w:rPr>
                <w:rFonts w:ascii="Arial" w:hAnsi="Arial" w:cs="Arial"/>
                <w:sz w:val="22"/>
                <w:szCs w:val="22"/>
              </w:rPr>
            </w:pPr>
          </w:p>
          <w:p w14:paraId="50EF1C5B" w14:textId="77777777" w:rsidR="00595814" w:rsidRPr="00230F35" w:rsidRDefault="00595814" w:rsidP="00035C4B">
            <w:pPr>
              <w:pStyle w:val="NormalWeb"/>
              <w:spacing w:before="0" w:beforeAutospacing="0" w:after="0" w:afterAutospacing="0"/>
              <w:ind w:right="34"/>
              <w:rPr>
                <w:rFonts w:ascii="Arial" w:hAnsi="Arial" w:cs="Arial"/>
                <w:sz w:val="22"/>
                <w:szCs w:val="22"/>
              </w:rPr>
            </w:pPr>
          </w:p>
        </w:tc>
        <w:tc>
          <w:tcPr>
            <w:tcW w:w="2266" w:type="dxa"/>
            <w:gridSpan w:val="3"/>
          </w:tcPr>
          <w:p w14:paraId="29E4A1B4" w14:textId="77777777" w:rsidR="00595814"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DA4925" w14:textId="77777777" w:rsidR="00E01BE0" w:rsidRDefault="00E01BE0" w:rsidP="00035C4B">
            <w:pPr>
              <w:pStyle w:val="NormalWeb"/>
              <w:spacing w:before="0" w:beforeAutospacing="0" w:after="0" w:afterAutospacing="0"/>
              <w:ind w:right="34"/>
              <w:rPr>
                <w:rFonts w:ascii="Arial" w:hAnsi="Arial" w:cs="Arial"/>
                <w:sz w:val="22"/>
                <w:szCs w:val="22"/>
              </w:rPr>
            </w:pPr>
          </w:p>
          <w:p w14:paraId="001FA0BC" w14:textId="16911747" w:rsidR="00E01BE0" w:rsidRPr="00E01BE0" w:rsidRDefault="00E01BE0" w:rsidP="00035C4B">
            <w:pPr>
              <w:pStyle w:val="NormalWeb"/>
              <w:spacing w:before="0" w:beforeAutospacing="0" w:after="0" w:afterAutospacing="0"/>
              <w:ind w:right="34"/>
              <w:rPr>
                <w:rFonts w:ascii="Arial" w:hAnsi="Arial" w:cs="Arial"/>
                <w:b/>
                <w:sz w:val="22"/>
                <w:szCs w:val="22"/>
              </w:rPr>
            </w:pPr>
            <w:r w:rsidRPr="00E01BE0">
              <w:rPr>
                <w:rFonts w:ascii="Arial" w:hAnsi="Arial" w:cs="Arial"/>
                <w:b/>
                <w:sz w:val="22"/>
                <w:szCs w:val="22"/>
              </w:rPr>
              <w:t>1601794</w:t>
            </w:r>
          </w:p>
        </w:tc>
        <w:tc>
          <w:tcPr>
            <w:tcW w:w="1802" w:type="dxa"/>
          </w:tcPr>
          <w:p w14:paraId="5865FF52" w14:textId="77777777" w:rsidR="00595814" w:rsidRPr="00230F35"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2E09D9C" w14:textId="77777777" w:rsidR="00595814" w:rsidRDefault="00595814" w:rsidP="00035C4B">
            <w:pPr>
              <w:pStyle w:val="NormalWeb"/>
              <w:spacing w:before="0" w:beforeAutospacing="0" w:after="0" w:afterAutospacing="0"/>
              <w:ind w:right="34"/>
              <w:rPr>
                <w:rFonts w:ascii="Arial" w:hAnsi="Arial" w:cs="Arial"/>
                <w:sz w:val="22"/>
                <w:szCs w:val="22"/>
              </w:rPr>
            </w:pPr>
          </w:p>
          <w:p w14:paraId="5C00E161" w14:textId="0DABD27D" w:rsidR="00E01BE0" w:rsidRPr="00230F35" w:rsidRDefault="00E01BE0" w:rsidP="00035C4B">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595814" w:rsidRPr="00230F35" w14:paraId="37906326" w14:textId="77777777" w:rsidTr="00035C4B">
        <w:trPr>
          <w:trHeight w:val="1139"/>
        </w:trPr>
        <w:tc>
          <w:tcPr>
            <w:tcW w:w="8856" w:type="dxa"/>
            <w:gridSpan w:val="5"/>
          </w:tcPr>
          <w:p w14:paraId="468DF06C" w14:textId="31177312" w:rsidR="00595814" w:rsidRPr="00230F35" w:rsidRDefault="00595814" w:rsidP="00035C4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01BE0">
              <w:rPr>
                <w:rFonts w:ascii="Arial" w:hAnsi="Arial" w:cs="Arial"/>
                <w:sz w:val="22"/>
                <w:szCs w:val="22"/>
              </w:rPr>
              <w:t xml:space="preserve"> </w:t>
            </w:r>
            <w:r w:rsidR="00E01BE0" w:rsidRPr="00E01BE0">
              <w:rPr>
                <w:rFonts w:ascii="Arial" w:hAnsi="Arial" w:cs="Arial"/>
                <w:b/>
                <w:sz w:val="22"/>
                <w:szCs w:val="22"/>
              </w:rPr>
              <w:t xml:space="preserve">Dr Crystal </w:t>
            </w:r>
            <w:proofErr w:type="spellStart"/>
            <w:r w:rsidR="00E01BE0" w:rsidRPr="00E01BE0">
              <w:rPr>
                <w:rFonts w:ascii="Arial" w:hAnsi="Arial" w:cs="Arial"/>
                <w:b/>
                <w:sz w:val="22"/>
                <w:szCs w:val="22"/>
              </w:rPr>
              <w:t>Addey</w:t>
            </w:r>
            <w:proofErr w:type="spellEnd"/>
            <w:r w:rsidR="00E01BE0" w:rsidRPr="00E01BE0">
              <w:rPr>
                <w:rFonts w:ascii="Arial" w:hAnsi="Arial" w:cs="Arial"/>
                <w:b/>
                <w:sz w:val="22"/>
                <w:szCs w:val="22"/>
              </w:rPr>
              <w:t xml:space="preserve"> and Dr Dorian Greenbaum</w:t>
            </w:r>
          </w:p>
          <w:p w14:paraId="4E4D2824" w14:textId="77777777" w:rsidR="00595814" w:rsidRPr="00230F35" w:rsidRDefault="00595814" w:rsidP="00035C4B">
            <w:pPr>
              <w:pStyle w:val="NormalWeb"/>
              <w:spacing w:before="0" w:beforeAutospacing="0" w:after="0" w:afterAutospacing="0"/>
              <w:ind w:right="34"/>
              <w:rPr>
                <w:rFonts w:ascii="Arial" w:hAnsi="Arial" w:cs="Arial"/>
                <w:sz w:val="22"/>
                <w:szCs w:val="22"/>
              </w:rPr>
            </w:pPr>
          </w:p>
          <w:p w14:paraId="0109BCCE" w14:textId="77777777" w:rsidR="00595814" w:rsidRDefault="00595814" w:rsidP="00035C4B">
            <w:pPr>
              <w:pStyle w:val="NormalWeb"/>
              <w:spacing w:before="0" w:beforeAutospacing="0" w:after="0" w:afterAutospacing="0"/>
              <w:ind w:right="34"/>
              <w:rPr>
                <w:rFonts w:ascii="Arial" w:hAnsi="Arial" w:cs="Arial"/>
                <w:sz w:val="22"/>
                <w:szCs w:val="22"/>
              </w:rPr>
            </w:pPr>
          </w:p>
          <w:p w14:paraId="6D9CE880" w14:textId="078C0BC9" w:rsidR="00595814" w:rsidRPr="00230F35"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01BE0">
              <w:rPr>
                <w:rFonts w:ascii="Arial" w:hAnsi="Arial" w:cs="Arial"/>
                <w:sz w:val="22"/>
                <w:szCs w:val="22"/>
              </w:rPr>
              <w:t xml:space="preserve"> 4/6/2018</w:t>
            </w:r>
          </w:p>
        </w:tc>
      </w:tr>
      <w:tr w:rsidR="00595814" w:rsidRPr="00230F35" w14:paraId="67744F91" w14:textId="77777777" w:rsidTr="00035C4B">
        <w:trPr>
          <w:trHeight w:val="978"/>
        </w:trPr>
        <w:tc>
          <w:tcPr>
            <w:tcW w:w="8856" w:type="dxa"/>
            <w:gridSpan w:val="5"/>
            <w:tcBorders>
              <w:bottom w:val="single" w:sz="4" w:space="0" w:color="000000"/>
            </w:tcBorders>
          </w:tcPr>
          <w:p w14:paraId="3938765B" w14:textId="77777777" w:rsidR="00595814" w:rsidRDefault="00595814" w:rsidP="00035C4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46215AD3" w14:textId="77777777" w:rsidR="00595814" w:rsidRDefault="00595814" w:rsidP="00035C4B">
            <w:pPr>
              <w:rPr>
                <w:rFonts w:ascii="Arial" w:hAnsi="Arial" w:cs="Arial"/>
              </w:rPr>
            </w:pPr>
          </w:p>
          <w:p w14:paraId="08A61B5C" w14:textId="1B21BEA4" w:rsidR="00595814" w:rsidRPr="00230F35" w:rsidRDefault="00595814" w:rsidP="00035C4B">
            <w:pPr>
              <w:rPr>
                <w:rFonts w:ascii="Arial" w:hAnsi="Arial" w:cs="Arial"/>
              </w:rPr>
            </w:pPr>
            <w:r w:rsidRPr="00230F35">
              <w:rPr>
                <w:rFonts w:ascii="Arial" w:hAnsi="Arial" w:cs="Arial"/>
              </w:rPr>
              <w:t>1</w:t>
            </w:r>
            <w:r w:rsidRPr="00230F35">
              <w:rPr>
                <w:rFonts w:ascii="Arial" w:hAnsi="Arial" w:cs="Arial"/>
                <w:vertAlign w:val="superscript"/>
              </w:rPr>
              <w:t>st</w:t>
            </w:r>
            <w:r w:rsidR="00E01BE0">
              <w:rPr>
                <w:rFonts w:ascii="Arial" w:hAnsi="Arial" w:cs="Arial"/>
                <w:vertAlign w:val="superscript"/>
              </w:rPr>
              <w:t>x</w:t>
            </w:r>
            <w:r w:rsidR="00E01BE0">
              <w:rPr>
                <w:rFonts w:ascii="Arial" w:hAnsi="Arial" w:cs="Arial"/>
              </w:rPr>
              <w:fldChar w:fldCharType="begin">
                <w:ffData>
                  <w:name w:val="Check13"/>
                  <w:enabled/>
                  <w:calcOnExit w:val="0"/>
                  <w:checkBox>
                    <w:sizeAuto/>
                    <w:default w:val="1"/>
                  </w:checkBox>
                </w:ffData>
              </w:fldChar>
            </w:r>
            <w:bookmarkStart w:id="0" w:name="Check13"/>
            <w:r w:rsidR="00E01BE0">
              <w:rPr>
                <w:rFonts w:ascii="Arial" w:hAnsi="Arial" w:cs="Arial"/>
              </w:rPr>
              <w:instrText xml:space="preserve"> FORMCHECKBOX </w:instrText>
            </w:r>
            <w:r w:rsidR="00E01BE0">
              <w:rPr>
                <w:rFonts w:ascii="Arial" w:hAnsi="Arial" w:cs="Arial"/>
              </w:rPr>
            </w:r>
            <w:r w:rsidR="00E01BE0">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595814" w:rsidRPr="00230F35" w14:paraId="4036C322" w14:textId="77777777" w:rsidTr="00035C4B">
        <w:trPr>
          <w:trHeight w:val="978"/>
        </w:trPr>
        <w:tc>
          <w:tcPr>
            <w:tcW w:w="8856" w:type="dxa"/>
            <w:gridSpan w:val="5"/>
            <w:shd w:val="clear" w:color="auto" w:fill="D9D9D9"/>
          </w:tcPr>
          <w:p w14:paraId="741D61E3" w14:textId="77777777" w:rsidR="00595814" w:rsidRPr="00230F35" w:rsidRDefault="00595814" w:rsidP="00035C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641371B" w14:textId="0CB9B177" w:rsidR="00595814" w:rsidRPr="00E01BE0" w:rsidRDefault="00595814" w:rsidP="00035C4B">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Signed </w:t>
            </w:r>
            <w:r w:rsidR="00E01BE0" w:rsidRPr="00E01BE0">
              <w:rPr>
                <w:rFonts w:ascii="Arial" w:hAnsi="Arial" w:cs="Arial"/>
                <w:b/>
                <w:sz w:val="22"/>
                <w:szCs w:val="22"/>
              </w:rPr>
              <w:t>Sian Humphries</w:t>
            </w:r>
          </w:p>
          <w:p w14:paraId="2EEBC12E" w14:textId="77777777" w:rsidR="00595814" w:rsidRDefault="00595814" w:rsidP="00035C4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255EC84C" w14:textId="77777777" w:rsidR="00595814" w:rsidRPr="00230F35" w:rsidRDefault="00595814" w:rsidP="00035C4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5814" w:rsidRPr="00230F35" w14:paraId="5F3D7AD4" w14:textId="77777777" w:rsidTr="00035C4B">
        <w:trPr>
          <w:trHeight w:val="3972"/>
        </w:trPr>
        <w:tc>
          <w:tcPr>
            <w:tcW w:w="8856" w:type="dxa"/>
            <w:gridSpan w:val="5"/>
          </w:tcPr>
          <w:p w14:paraId="0FE8B9AF" w14:textId="77777777" w:rsidR="00595814" w:rsidRDefault="00595814" w:rsidP="00035C4B">
            <w:pPr>
              <w:rPr>
                <w:rFonts w:ascii="Arial" w:hAnsi="Arial"/>
                <w:b/>
              </w:rPr>
            </w:pPr>
          </w:p>
          <w:p w14:paraId="6E28293E" w14:textId="77777777" w:rsidR="00595814" w:rsidRPr="00116CE6" w:rsidRDefault="00595814" w:rsidP="00035C4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95814" w:rsidRPr="00116CE6" w14:paraId="0DC8EDAB" w14:textId="77777777" w:rsidTr="00035C4B">
              <w:tc>
                <w:tcPr>
                  <w:tcW w:w="6970" w:type="dxa"/>
                </w:tcPr>
                <w:p w14:paraId="15C311FB" w14:textId="77777777" w:rsidR="00595814" w:rsidRPr="00116CE6" w:rsidRDefault="00595814" w:rsidP="00035C4B">
                  <w:pPr>
                    <w:rPr>
                      <w:rFonts w:ascii="Arial" w:hAnsi="Arial"/>
                      <w:sz w:val="20"/>
                      <w:szCs w:val="20"/>
                    </w:rPr>
                  </w:pPr>
                </w:p>
                <w:p w14:paraId="779597BB" w14:textId="77777777" w:rsidR="00595814" w:rsidRPr="00116CE6" w:rsidRDefault="00595814" w:rsidP="00035C4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0EAE110" w14:textId="77777777" w:rsidR="00595814" w:rsidRPr="00116CE6" w:rsidRDefault="00595814" w:rsidP="00035C4B">
                  <w:pPr>
                    <w:rPr>
                      <w:rFonts w:ascii="Arial" w:hAnsi="Arial"/>
                      <w:sz w:val="20"/>
                      <w:szCs w:val="20"/>
                    </w:rPr>
                  </w:pPr>
                </w:p>
              </w:tc>
            </w:tr>
            <w:tr w:rsidR="00595814" w:rsidRPr="00116CE6" w14:paraId="21CC621D" w14:textId="77777777" w:rsidTr="00035C4B">
              <w:tc>
                <w:tcPr>
                  <w:tcW w:w="6970" w:type="dxa"/>
                </w:tcPr>
                <w:p w14:paraId="70527E34" w14:textId="77777777" w:rsidR="00595814" w:rsidRPr="00116CE6" w:rsidRDefault="00595814" w:rsidP="00035C4B">
                  <w:pPr>
                    <w:rPr>
                      <w:rFonts w:ascii="Arial" w:hAnsi="Arial"/>
                      <w:sz w:val="20"/>
                      <w:szCs w:val="20"/>
                    </w:rPr>
                  </w:pPr>
                </w:p>
                <w:p w14:paraId="27C07CDD" w14:textId="77777777" w:rsidR="00595814" w:rsidRPr="00116CE6" w:rsidRDefault="00595814" w:rsidP="00035C4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E82FA63" w14:textId="77777777" w:rsidR="00595814" w:rsidRPr="00116CE6" w:rsidRDefault="00595814" w:rsidP="00035C4B">
                  <w:pPr>
                    <w:rPr>
                      <w:rFonts w:ascii="Arial" w:hAnsi="Arial"/>
                      <w:sz w:val="20"/>
                      <w:szCs w:val="20"/>
                    </w:rPr>
                  </w:pPr>
                </w:p>
              </w:tc>
            </w:tr>
            <w:tr w:rsidR="00595814" w:rsidRPr="00116CE6" w14:paraId="7D804CCA" w14:textId="77777777" w:rsidTr="00035C4B">
              <w:tc>
                <w:tcPr>
                  <w:tcW w:w="6970" w:type="dxa"/>
                </w:tcPr>
                <w:p w14:paraId="38DCA437" w14:textId="77777777" w:rsidR="00595814" w:rsidRPr="006367FD" w:rsidRDefault="00595814" w:rsidP="00035C4B">
                  <w:pPr>
                    <w:rPr>
                      <w:rFonts w:ascii="Arial" w:hAnsi="Arial"/>
                      <w:color w:val="000000"/>
                      <w:sz w:val="20"/>
                      <w:szCs w:val="20"/>
                    </w:rPr>
                  </w:pPr>
                  <w:r w:rsidRPr="006367FD">
                    <w:rPr>
                      <w:rFonts w:ascii="Arial" w:hAnsi="Arial"/>
                      <w:color w:val="000000"/>
                      <w:sz w:val="20"/>
                      <w:szCs w:val="20"/>
                    </w:rPr>
                    <w:t xml:space="preserve">Agreed Internal Mark: </w:t>
                  </w:r>
                </w:p>
                <w:p w14:paraId="039495DF" w14:textId="77777777" w:rsidR="00595814" w:rsidRPr="00E14D2E" w:rsidRDefault="00595814" w:rsidP="00035C4B">
                  <w:pPr>
                    <w:rPr>
                      <w:rFonts w:ascii="Arial" w:hAnsi="Arial"/>
                      <w:sz w:val="20"/>
                      <w:szCs w:val="20"/>
                      <w:highlight w:val="yellow"/>
                    </w:rPr>
                  </w:pPr>
                </w:p>
              </w:tc>
              <w:tc>
                <w:tcPr>
                  <w:tcW w:w="1660" w:type="dxa"/>
                </w:tcPr>
                <w:p w14:paraId="76462EDA" w14:textId="77777777" w:rsidR="00595814" w:rsidRPr="00E14D2E" w:rsidRDefault="00595814" w:rsidP="00035C4B">
                  <w:pPr>
                    <w:rPr>
                      <w:rFonts w:ascii="Arial" w:hAnsi="Arial"/>
                      <w:sz w:val="20"/>
                      <w:szCs w:val="20"/>
                      <w:highlight w:val="yellow"/>
                    </w:rPr>
                  </w:pPr>
                </w:p>
              </w:tc>
            </w:tr>
            <w:tr w:rsidR="00595814" w:rsidRPr="00116CE6" w14:paraId="7C92EC62" w14:textId="77777777" w:rsidTr="00035C4B">
              <w:tc>
                <w:tcPr>
                  <w:tcW w:w="6970" w:type="dxa"/>
                </w:tcPr>
                <w:p w14:paraId="3E0EDB4B" w14:textId="77777777" w:rsidR="00595814" w:rsidRPr="00116CE6" w:rsidRDefault="00595814" w:rsidP="00035C4B">
                  <w:pPr>
                    <w:rPr>
                      <w:rFonts w:ascii="Arial" w:hAnsi="Arial"/>
                      <w:sz w:val="20"/>
                      <w:szCs w:val="20"/>
                    </w:rPr>
                  </w:pPr>
                </w:p>
                <w:p w14:paraId="5AFF941A" w14:textId="77777777" w:rsidR="00595814" w:rsidRPr="00116CE6" w:rsidRDefault="00595814" w:rsidP="00035C4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E18AB4" w14:textId="77777777" w:rsidR="00595814" w:rsidRPr="00116CE6" w:rsidRDefault="00595814" w:rsidP="00035C4B">
                  <w:pPr>
                    <w:rPr>
                      <w:rFonts w:ascii="Arial" w:hAnsi="Arial"/>
                      <w:sz w:val="20"/>
                      <w:szCs w:val="20"/>
                    </w:rPr>
                  </w:pPr>
                </w:p>
              </w:tc>
            </w:tr>
            <w:tr w:rsidR="00595814" w:rsidRPr="00116CE6" w14:paraId="677D397B" w14:textId="77777777" w:rsidTr="00035C4B">
              <w:tc>
                <w:tcPr>
                  <w:tcW w:w="6970" w:type="dxa"/>
                </w:tcPr>
                <w:p w14:paraId="2B83795E" w14:textId="77777777" w:rsidR="00595814" w:rsidRDefault="00595814" w:rsidP="00035C4B">
                  <w:pPr>
                    <w:rPr>
                      <w:rFonts w:ascii="Arial" w:hAnsi="Arial"/>
                      <w:sz w:val="20"/>
                      <w:szCs w:val="20"/>
                    </w:rPr>
                  </w:pPr>
                </w:p>
                <w:p w14:paraId="6DD3D819" w14:textId="77777777" w:rsidR="00595814" w:rsidRPr="00022345" w:rsidRDefault="00595814" w:rsidP="00035C4B">
                  <w:pPr>
                    <w:rPr>
                      <w:rFonts w:ascii="Arial" w:hAnsi="Arial"/>
                      <w:b/>
                      <w:sz w:val="20"/>
                      <w:szCs w:val="20"/>
                    </w:rPr>
                  </w:pPr>
                  <w:r w:rsidRPr="00022345">
                    <w:rPr>
                      <w:rFonts w:ascii="Arial" w:hAnsi="Arial"/>
                      <w:b/>
                      <w:sz w:val="20"/>
                      <w:szCs w:val="20"/>
                    </w:rPr>
                    <w:t>Final Mark</w:t>
                  </w:r>
                </w:p>
                <w:p w14:paraId="731625D3" w14:textId="77777777" w:rsidR="00595814" w:rsidRPr="00116CE6" w:rsidRDefault="00595814" w:rsidP="00035C4B">
                  <w:pPr>
                    <w:rPr>
                      <w:rFonts w:ascii="Arial" w:hAnsi="Arial"/>
                      <w:sz w:val="20"/>
                      <w:szCs w:val="20"/>
                    </w:rPr>
                  </w:pPr>
                </w:p>
              </w:tc>
              <w:tc>
                <w:tcPr>
                  <w:tcW w:w="1660" w:type="dxa"/>
                </w:tcPr>
                <w:p w14:paraId="33B5FB7A" w14:textId="77777777" w:rsidR="00595814" w:rsidRPr="00116CE6" w:rsidRDefault="00595814" w:rsidP="00035C4B">
                  <w:pPr>
                    <w:rPr>
                      <w:rFonts w:ascii="Arial" w:hAnsi="Arial"/>
                      <w:sz w:val="20"/>
                      <w:szCs w:val="20"/>
                    </w:rPr>
                  </w:pPr>
                </w:p>
              </w:tc>
            </w:tr>
          </w:tbl>
          <w:p w14:paraId="4A130C6F" w14:textId="77777777" w:rsidR="00595814" w:rsidRDefault="00595814" w:rsidP="00035C4B">
            <w:pPr>
              <w:pStyle w:val="NormalWeb"/>
              <w:spacing w:before="0" w:beforeAutospacing="0" w:after="0" w:afterAutospacing="0"/>
              <w:ind w:left="142" w:right="34"/>
              <w:rPr>
                <w:rFonts w:ascii="Arial" w:hAnsi="Arial" w:cs="Arial"/>
                <w:b/>
                <w:sz w:val="22"/>
                <w:szCs w:val="22"/>
              </w:rPr>
            </w:pPr>
          </w:p>
          <w:p w14:paraId="57D0D59D" w14:textId="77777777" w:rsidR="00595814" w:rsidRPr="00230F35" w:rsidRDefault="00595814" w:rsidP="00035C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19FD955" w14:textId="77777777" w:rsidR="00595814" w:rsidRDefault="00595814" w:rsidP="00035C4B">
            <w:pPr>
              <w:pStyle w:val="NormalWeb"/>
              <w:spacing w:before="0" w:beforeAutospacing="0" w:after="0" w:afterAutospacing="0"/>
              <w:rPr>
                <w:rFonts w:ascii="Arial" w:hAnsi="Arial" w:cs="Arial"/>
                <w:b/>
                <w:sz w:val="22"/>
                <w:szCs w:val="22"/>
              </w:rPr>
            </w:pPr>
          </w:p>
          <w:p w14:paraId="6C613791" w14:textId="77777777" w:rsidR="00595814" w:rsidRDefault="00595814" w:rsidP="00035C4B">
            <w:pPr>
              <w:pStyle w:val="NormalWeb"/>
              <w:spacing w:before="0" w:beforeAutospacing="0" w:after="0" w:afterAutospacing="0"/>
              <w:rPr>
                <w:rFonts w:ascii="Arial" w:hAnsi="Arial" w:cs="Arial"/>
                <w:b/>
                <w:sz w:val="22"/>
                <w:szCs w:val="22"/>
              </w:rPr>
            </w:pPr>
          </w:p>
          <w:p w14:paraId="689D9D87" w14:textId="77777777" w:rsidR="00595814" w:rsidRDefault="00595814" w:rsidP="00035C4B">
            <w:pPr>
              <w:pStyle w:val="NormalWeb"/>
              <w:spacing w:before="0" w:beforeAutospacing="0" w:after="0" w:afterAutospacing="0"/>
              <w:rPr>
                <w:rFonts w:ascii="Arial" w:hAnsi="Arial" w:cs="Arial"/>
                <w:b/>
                <w:sz w:val="22"/>
                <w:szCs w:val="22"/>
              </w:rPr>
            </w:pPr>
          </w:p>
          <w:p w14:paraId="01B11FFC" w14:textId="77777777" w:rsidR="00595814" w:rsidRDefault="00595814" w:rsidP="00035C4B">
            <w:pPr>
              <w:pStyle w:val="NormalWeb"/>
              <w:spacing w:before="0" w:beforeAutospacing="0" w:after="0" w:afterAutospacing="0"/>
              <w:rPr>
                <w:rFonts w:ascii="Arial" w:hAnsi="Arial" w:cs="Arial"/>
                <w:b/>
                <w:sz w:val="22"/>
                <w:szCs w:val="22"/>
              </w:rPr>
            </w:pPr>
          </w:p>
          <w:p w14:paraId="0324B528" w14:textId="77777777" w:rsidR="00595814" w:rsidRPr="00230F35" w:rsidRDefault="00595814" w:rsidP="00035C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2467243" w14:textId="77777777" w:rsidR="00595814" w:rsidRDefault="00595814" w:rsidP="00035C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39A3DB0" w14:textId="77777777" w:rsidR="00595814" w:rsidRPr="00001C3B" w:rsidRDefault="00595814" w:rsidP="00035C4B">
            <w:pPr>
              <w:pStyle w:val="NormalWeb"/>
              <w:rPr>
                <w:rFonts w:ascii="Arial" w:hAnsi="Arial" w:cs="Arial"/>
                <w:sz w:val="22"/>
                <w:szCs w:val="22"/>
              </w:rPr>
            </w:pPr>
          </w:p>
        </w:tc>
      </w:tr>
      <w:tr w:rsidR="00595814" w:rsidRPr="00230F35" w14:paraId="08413294" w14:textId="77777777" w:rsidTr="00035C4B">
        <w:trPr>
          <w:trHeight w:val="492"/>
        </w:trPr>
        <w:tc>
          <w:tcPr>
            <w:tcW w:w="6768" w:type="dxa"/>
            <w:gridSpan w:val="3"/>
          </w:tcPr>
          <w:p w14:paraId="549DF473" w14:textId="77777777" w:rsidR="00595814" w:rsidRPr="00230F35" w:rsidRDefault="00595814" w:rsidP="00035C4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AB7CD06" w14:textId="77777777" w:rsidR="00595814" w:rsidRPr="00230F35" w:rsidRDefault="00595814" w:rsidP="00035C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95814" w:rsidRPr="002F467C" w14:paraId="65B3A5F4" w14:textId="77777777" w:rsidTr="00035C4B">
        <w:tc>
          <w:tcPr>
            <w:tcW w:w="8856" w:type="dxa"/>
            <w:gridSpan w:val="5"/>
          </w:tcPr>
          <w:p w14:paraId="483E119C" w14:textId="77777777" w:rsidR="00595814" w:rsidRPr="00230F35" w:rsidRDefault="00595814" w:rsidP="00035C4B">
            <w:pPr>
              <w:pStyle w:val="NormalWeb"/>
              <w:spacing w:before="0" w:beforeAutospacing="0" w:after="0" w:afterAutospacing="0"/>
              <w:ind w:right="-334"/>
              <w:rPr>
                <w:rFonts w:ascii="Arial" w:hAnsi="Arial" w:cs="Arial"/>
                <w:bCs/>
                <w:i/>
                <w:sz w:val="22"/>
                <w:szCs w:val="22"/>
              </w:rPr>
            </w:pPr>
          </w:p>
          <w:p w14:paraId="10367035" w14:textId="77777777" w:rsidR="00595814" w:rsidRPr="00230F35" w:rsidRDefault="00595814" w:rsidP="00035C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37B4F43" w14:textId="77777777" w:rsidR="00595814" w:rsidRPr="00230F35" w:rsidRDefault="00595814" w:rsidP="00035C4B">
            <w:pPr>
              <w:pStyle w:val="NormalWeb"/>
              <w:spacing w:before="0" w:beforeAutospacing="0" w:after="0" w:afterAutospacing="0"/>
              <w:ind w:right="-334"/>
              <w:rPr>
                <w:rFonts w:ascii="Arial" w:hAnsi="Arial" w:cs="Arial"/>
                <w:b/>
                <w:bCs/>
                <w:sz w:val="22"/>
                <w:szCs w:val="22"/>
              </w:rPr>
            </w:pPr>
          </w:p>
          <w:p w14:paraId="7C9C850B"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BA8F0AF"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p w14:paraId="3B261C73"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p w14:paraId="401E4E6E"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tc>
      </w:tr>
      <w:tr w:rsidR="00595814" w:rsidRPr="002F467C" w14:paraId="659E4EC9" w14:textId="77777777" w:rsidTr="00035C4B">
        <w:trPr>
          <w:trHeight w:val="720"/>
        </w:trPr>
        <w:tc>
          <w:tcPr>
            <w:tcW w:w="5211" w:type="dxa"/>
            <w:gridSpan w:val="2"/>
          </w:tcPr>
          <w:p w14:paraId="37F2733C"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B3B865B"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95814" w:rsidRPr="002F467C" w14:paraId="03EF6699" w14:textId="77777777" w:rsidTr="00035C4B">
        <w:trPr>
          <w:trHeight w:val="720"/>
        </w:trPr>
        <w:tc>
          <w:tcPr>
            <w:tcW w:w="8856" w:type="dxa"/>
            <w:gridSpan w:val="5"/>
          </w:tcPr>
          <w:p w14:paraId="05416D6F" w14:textId="77777777" w:rsidR="00595814" w:rsidRPr="006367FD" w:rsidRDefault="00595814" w:rsidP="00035C4B">
            <w:pPr>
              <w:rPr>
                <w:rFonts w:ascii="Arial" w:hAnsi="Arial" w:cs="Arial"/>
                <w:b/>
              </w:rPr>
            </w:pPr>
            <w:r w:rsidRPr="006367FD">
              <w:rPr>
                <w:rFonts w:ascii="Arial" w:hAnsi="Arial" w:cs="Arial"/>
                <w:b/>
              </w:rPr>
              <w:t>AGREED INTERNAL MARK (where necessary):</w:t>
            </w:r>
          </w:p>
          <w:p w14:paraId="3A0FEAD4" w14:textId="77777777" w:rsidR="00595814" w:rsidRPr="006367FD" w:rsidRDefault="00595814" w:rsidP="00035C4B">
            <w:pPr>
              <w:rPr>
                <w:rFonts w:ascii="Arial" w:hAnsi="Arial" w:cs="Arial"/>
                <w:b/>
              </w:rPr>
            </w:pPr>
          </w:p>
          <w:p w14:paraId="0FB0A701" w14:textId="77777777" w:rsidR="00595814" w:rsidRDefault="00595814" w:rsidP="00035C4B">
            <w:pPr>
              <w:rPr>
                <w:rFonts w:ascii="Arial" w:hAnsi="Arial" w:cs="Arial"/>
                <w:b/>
              </w:rPr>
            </w:pPr>
            <w:r w:rsidRPr="006367FD">
              <w:rPr>
                <w:rFonts w:ascii="Arial" w:hAnsi="Arial" w:cs="Arial"/>
                <w:b/>
              </w:rPr>
              <w:t>Comment on process of arriving at agreed mark:</w:t>
            </w:r>
          </w:p>
          <w:p w14:paraId="070378A1" w14:textId="77777777" w:rsidR="00595814" w:rsidRDefault="00595814" w:rsidP="00035C4B">
            <w:pPr>
              <w:rPr>
                <w:rFonts w:ascii="Arial" w:hAnsi="Arial" w:cs="Arial"/>
                <w:b/>
              </w:rPr>
            </w:pPr>
          </w:p>
          <w:p w14:paraId="2B3772DC" w14:textId="77777777" w:rsidR="00595814" w:rsidRDefault="00595814" w:rsidP="00035C4B">
            <w:pPr>
              <w:rPr>
                <w:rFonts w:ascii="Arial" w:hAnsi="Arial" w:cs="Arial"/>
                <w:b/>
              </w:rPr>
            </w:pPr>
          </w:p>
          <w:p w14:paraId="093E2882" w14:textId="77777777" w:rsidR="00595814" w:rsidRDefault="00595814" w:rsidP="00035C4B">
            <w:pPr>
              <w:rPr>
                <w:rFonts w:ascii="Arial" w:hAnsi="Arial" w:cs="Arial"/>
                <w:b/>
              </w:rPr>
            </w:pPr>
          </w:p>
          <w:p w14:paraId="30A4BAC0" w14:textId="77777777" w:rsidR="00595814" w:rsidRDefault="00595814" w:rsidP="00035C4B">
            <w:pPr>
              <w:rPr>
                <w:rFonts w:ascii="Arial" w:hAnsi="Arial" w:cs="Arial"/>
                <w:b/>
              </w:rPr>
            </w:pPr>
          </w:p>
          <w:p w14:paraId="3A9D2214" w14:textId="77777777" w:rsidR="00595814" w:rsidRDefault="00595814" w:rsidP="00035C4B">
            <w:pPr>
              <w:rPr>
                <w:rFonts w:ascii="Arial" w:hAnsi="Arial" w:cs="Arial"/>
                <w:b/>
              </w:rPr>
            </w:pPr>
          </w:p>
          <w:p w14:paraId="39313A4C" w14:textId="77777777" w:rsidR="00595814" w:rsidRDefault="00595814" w:rsidP="00035C4B">
            <w:pPr>
              <w:rPr>
                <w:rFonts w:ascii="Arial" w:hAnsi="Arial" w:cs="Arial"/>
                <w:b/>
              </w:rPr>
            </w:pPr>
          </w:p>
          <w:p w14:paraId="30965811" w14:textId="77777777" w:rsidR="00595814" w:rsidRDefault="00595814" w:rsidP="00035C4B">
            <w:pPr>
              <w:rPr>
                <w:rFonts w:ascii="Arial" w:hAnsi="Arial" w:cs="Arial"/>
                <w:b/>
              </w:rPr>
            </w:pPr>
          </w:p>
          <w:p w14:paraId="12BD5194" w14:textId="77777777" w:rsidR="00595814" w:rsidRPr="00B34964" w:rsidRDefault="00595814" w:rsidP="00035C4B">
            <w:pPr>
              <w:rPr>
                <w:rFonts w:ascii="Arial" w:hAnsi="Arial" w:cs="Arial"/>
                <w:b/>
              </w:rPr>
            </w:pPr>
          </w:p>
        </w:tc>
      </w:tr>
      <w:tr w:rsidR="00595814" w:rsidRPr="002F467C" w14:paraId="0FA0EF76" w14:textId="77777777" w:rsidTr="00035C4B">
        <w:trPr>
          <w:trHeight w:val="720"/>
        </w:trPr>
        <w:tc>
          <w:tcPr>
            <w:tcW w:w="8856" w:type="dxa"/>
            <w:gridSpan w:val="5"/>
          </w:tcPr>
          <w:p w14:paraId="123FA82B" w14:textId="77777777" w:rsidR="00595814" w:rsidRPr="00B34964" w:rsidRDefault="00595814" w:rsidP="00035C4B">
            <w:pPr>
              <w:rPr>
                <w:rFonts w:ascii="Arial" w:hAnsi="Arial" w:cs="Arial"/>
                <w:b/>
              </w:rPr>
            </w:pPr>
            <w:r w:rsidRPr="00B34964">
              <w:rPr>
                <w:rFonts w:ascii="Arial" w:hAnsi="Arial" w:cs="Arial"/>
                <w:b/>
              </w:rPr>
              <w:lastRenderedPageBreak/>
              <w:t>External Examiner’s comments (if relevant)</w:t>
            </w:r>
          </w:p>
          <w:p w14:paraId="2F233005" w14:textId="77777777" w:rsidR="00595814" w:rsidRDefault="00595814" w:rsidP="00035C4B">
            <w:pPr>
              <w:pStyle w:val="NormalWeb"/>
              <w:spacing w:before="0" w:beforeAutospacing="0" w:after="0" w:afterAutospacing="0"/>
              <w:ind w:right="-334"/>
              <w:rPr>
                <w:rFonts w:ascii="Arial" w:hAnsi="Arial" w:cs="Arial"/>
                <w:bCs/>
                <w:sz w:val="22"/>
                <w:szCs w:val="22"/>
              </w:rPr>
            </w:pPr>
          </w:p>
          <w:p w14:paraId="73F604B5" w14:textId="77777777" w:rsidR="00595814" w:rsidRDefault="00595814" w:rsidP="00035C4B">
            <w:pPr>
              <w:pStyle w:val="NormalWeb"/>
              <w:spacing w:before="0" w:beforeAutospacing="0" w:after="0" w:afterAutospacing="0"/>
              <w:ind w:right="-334"/>
              <w:rPr>
                <w:rFonts w:ascii="Arial" w:hAnsi="Arial" w:cs="Arial"/>
                <w:bCs/>
                <w:sz w:val="22"/>
                <w:szCs w:val="22"/>
              </w:rPr>
            </w:pPr>
          </w:p>
          <w:p w14:paraId="401F8C3D" w14:textId="77777777" w:rsidR="00595814" w:rsidRDefault="00595814" w:rsidP="00035C4B">
            <w:pPr>
              <w:pStyle w:val="NormalWeb"/>
              <w:spacing w:before="0" w:beforeAutospacing="0" w:after="0" w:afterAutospacing="0"/>
              <w:ind w:right="-334"/>
              <w:rPr>
                <w:rFonts w:ascii="Arial" w:hAnsi="Arial" w:cs="Arial"/>
                <w:bCs/>
                <w:sz w:val="22"/>
                <w:szCs w:val="22"/>
              </w:rPr>
            </w:pPr>
          </w:p>
          <w:p w14:paraId="1553DD00" w14:textId="77777777" w:rsidR="00595814" w:rsidRDefault="00595814" w:rsidP="00035C4B">
            <w:pPr>
              <w:pStyle w:val="NormalWeb"/>
              <w:spacing w:before="0" w:beforeAutospacing="0" w:after="0" w:afterAutospacing="0"/>
              <w:ind w:right="-334"/>
              <w:rPr>
                <w:rFonts w:ascii="Arial" w:hAnsi="Arial" w:cs="Arial"/>
                <w:bCs/>
                <w:sz w:val="22"/>
                <w:szCs w:val="22"/>
              </w:rPr>
            </w:pPr>
          </w:p>
          <w:p w14:paraId="4D51FE80"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p w14:paraId="5D9D4280"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p w14:paraId="750D05B5" w14:textId="77777777" w:rsidR="00595814" w:rsidRPr="00230F35" w:rsidRDefault="00595814" w:rsidP="00035C4B">
            <w:pPr>
              <w:pStyle w:val="NormalWeb"/>
              <w:spacing w:before="0" w:beforeAutospacing="0" w:after="0" w:afterAutospacing="0"/>
              <w:ind w:right="-334"/>
              <w:rPr>
                <w:rFonts w:ascii="Arial" w:hAnsi="Arial" w:cs="Arial"/>
                <w:bCs/>
                <w:sz w:val="22"/>
                <w:szCs w:val="22"/>
              </w:rPr>
            </w:pPr>
          </w:p>
        </w:tc>
      </w:tr>
      <w:tr w:rsidR="00595814" w:rsidRPr="002F467C" w14:paraId="22D07E39" w14:textId="77777777" w:rsidTr="00035C4B">
        <w:trPr>
          <w:trHeight w:val="720"/>
        </w:trPr>
        <w:tc>
          <w:tcPr>
            <w:tcW w:w="5211" w:type="dxa"/>
            <w:gridSpan w:val="2"/>
          </w:tcPr>
          <w:p w14:paraId="2C0F3B57" w14:textId="77777777" w:rsidR="00595814" w:rsidRPr="00230F35" w:rsidRDefault="00595814" w:rsidP="00035C4B">
            <w:pPr>
              <w:rPr>
                <w:rFonts w:ascii="Arial" w:hAnsi="Arial" w:cs="Arial"/>
              </w:rPr>
            </w:pPr>
            <w:r w:rsidRPr="00230F35">
              <w:rPr>
                <w:rFonts w:ascii="Arial" w:hAnsi="Arial" w:cs="Arial"/>
              </w:rPr>
              <w:t>External Examiner’s Signature:</w:t>
            </w:r>
          </w:p>
        </w:tc>
        <w:tc>
          <w:tcPr>
            <w:tcW w:w="3645" w:type="dxa"/>
            <w:gridSpan w:val="3"/>
          </w:tcPr>
          <w:p w14:paraId="5F64384B" w14:textId="77777777" w:rsidR="00595814" w:rsidRPr="00230F35" w:rsidRDefault="00595814" w:rsidP="00035C4B">
            <w:pPr>
              <w:rPr>
                <w:rFonts w:ascii="Arial" w:hAnsi="Arial" w:cs="Arial"/>
              </w:rPr>
            </w:pPr>
            <w:r w:rsidRPr="00230F35">
              <w:rPr>
                <w:rFonts w:ascii="Arial" w:hAnsi="Arial" w:cs="Arial"/>
              </w:rPr>
              <w:t>Date:</w:t>
            </w:r>
          </w:p>
        </w:tc>
      </w:tr>
    </w:tbl>
    <w:p w14:paraId="3387168B" w14:textId="77777777" w:rsidR="00595814" w:rsidRPr="00D67BF8" w:rsidRDefault="00595814" w:rsidP="00595814">
      <w:pPr>
        <w:pStyle w:val="NormalWeb"/>
        <w:spacing w:before="0" w:beforeAutospacing="0" w:after="0" w:afterAutospacing="0"/>
        <w:ind w:right="-334"/>
        <w:rPr>
          <w:rFonts w:ascii="Trebuchet MS" w:hAnsi="Trebuchet MS" w:cs="Tahoma"/>
          <w:bCs/>
          <w:sz w:val="24"/>
          <w:szCs w:val="24"/>
        </w:rPr>
      </w:pPr>
    </w:p>
    <w:p w14:paraId="2378AE60" w14:textId="77777777" w:rsidR="00595814" w:rsidRDefault="00595814" w:rsidP="00326018">
      <w:pPr>
        <w:spacing w:line="360" w:lineRule="auto"/>
        <w:jc w:val="center"/>
        <w:rPr>
          <w:b/>
          <w:sz w:val="20"/>
          <w:szCs w:val="20"/>
        </w:rPr>
      </w:pPr>
    </w:p>
    <w:p w14:paraId="1FE8A973" w14:textId="77777777" w:rsidR="00E01BE0" w:rsidRDefault="00E01BE0" w:rsidP="00326018">
      <w:pPr>
        <w:spacing w:line="360" w:lineRule="auto"/>
        <w:jc w:val="center"/>
        <w:rPr>
          <w:b/>
          <w:sz w:val="20"/>
          <w:szCs w:val="20"/>
        </w:rPr>
      </w:pPr>
    </w:p>
    <w:p w14:paraId="50830C0B" w14:textId="77777777" w:rsidR="00E01BE0" w:rsidRDefault="00E01BE0" w:rsidP="00326018">
      <w:pPr>
        <w:spacing w:line="360" w:lineRule="auto"/>
        <w:jc w:val="center"/>
        <w:rPr>
          <w:b/>
          <w:sz w:val="20"/>
          <w:szCs w:val="20"/>
        </w:rPr>
      </w:pPr>
    </w:p>
    <w:p w14:paraId="00E3343B" w14:textId="77777777" w:rsidR="00E01BE0" w:rsidRDefault="00E01BE0" w:rsidP="00326018">
      <w:pPr>
        <w:spacing w:line="360" w:lineRule="auto"/>
        <w:jc w:val="center"/>
        <w:rPr>
          <w:b/>
          <w:sz w:val="20"/>
          <w:szCs w:val="20"/>
        </w:rPr>
      </w:pPr>
    </w:p>
    <w:p w14:paraId="5D5B53F1" w14:textId="77777777" w:rsidR="00E01BE0" w:rsidRDefault="00E01BE0" w:rsidP="00326018">
      <w:pPr>
        <w:spacing w:line="360" w:lineRule="auto"/>
        <w:jc w:val="center"/>
        <w:rPr>
          <w:b/>
          <w:sz w:val="20"/>
          <w:szCs w:val="20"/>
        </w:rPr>
      </w:pPr>
    </w:p>
    <w:p w14:paraId="67CB359E" w14:textId="77777777" w:rsidR="00E01BE0" w:rsidRDefault="00E01BE0" w:rsidP="00326018">
      <w:pPr>
        <w:spacing w:line="360" w:lineRule="auto"/>
        <w:jc w:val="center"/>
        <w:rPr>
          <w:b/>
          <w:sz w:val="20"/>
          <w:szCs w:val="20"/>
        </w:rPr>
      </w:pPr>
    </w:p>
    <w:p w14:paraId="73A8171B" w14:textId="77777777" w:rsidR="00E01BE0" w:rsidRDefault="00E01BE0" w:rsidP="00326018">
      <w:pPr>
        <w:spacing w:line="360" w:lineRule="auto"/>
        <w:jc w:val="center"/>
        <w:rPr>
          <w:b/>
          <w:sz w:val="20"/>
          <w:szCs w:val="20"/>
        </w:rPr>
      </w:pPr>
    </w:p>
    <w:p w14:paraId="0591D728" w14:textId="77777777" w:rsidR="00E01BE0" w:rsidRDefault="00E01BE0" w:rsidP="00326018">
      <w:pPr>
        <w:spacing w:line="360" w:lineRule="auto"/>
        <w:jc w:val="center"/>
        <w:rPr>
          <w:b/>
          <w:sz w:val="20"/>
          <w:szCs w:val="20"/>
        </w:rPr>
      </w:pPr>
    </w:p>
    <w:p w14:paraId="2A80C2E9" w14:textId="77777777" w:rsidR="00E01BE0" w:rsidRDefault="00E01BE0" w:rsidP="00326018">
      <w:pPr>
        <w:spacing w:line="360" w:lineRule="auto"/>
        <w:jc w:val="center"/>
        <w:rPr>
          <w:b/>
          <w:sz w:val="20"/>
          <w:szCs w:val="20"/>
        </w:rPr>
      </w:pPr>
    </w:p>
    <w:p w14:paraId="3C4BEA98" w14:textId="77777777" w:rsidR="00E01BE0" w:rsidRDefault="00E01BE0" w:rsidP="00326018">
      <w:pPr>
        <w:spacing w:line="360" w:lineRule="auto"/>
        <w:jc w:val="center"/>
        <w:rPr>
          <w:b/>
          <w:sz w:val="20"/>
          <w:szCs w:val="20"/>
        </w:rPr>
      </w:pPr>
    </w:p>
    <w:p w14:paraId="3920F52F" w14:textId="77777777" w:rsidR="00E01BE0" w:rsidRDefault="00E01BE0" w:rsidP="00326018">
      <w:pPr>
        <w:spacing w:line="360" w:lineRule="auto"/>
        <w:jc w:val="center"/>
        <w:rPr>
          <w:b/>
          <w:sz w:val="20"/>
          <w:szCs w:val="20"/>
        </w:rPr>
      </w:pPr>
    </w:p>
    <w:p w14:paraId="5F147E6A" w14:textId="77777777" w:rsidR="00E01BE0" w:rsidRDefault="00E01BE0" w:rsidP="00326018">
      <w:pPr>
        <w:spacing w:line="360" w:lineRule="auto"/>
        <w:jc w:val="center"/>
        <w:rPr>
          <w:b/>
          <w:sz w:val="20"/>
          <w:szCs w:val="20"/>
        </w:rPr>
      </w:pPr>
    </w:p>
    <w:p w14:paraId="10139F94" w14:textId="77777777" w:rsidR="00385C33" w:rsidRDefault="00A05973" w:rsidP="00326018">
      <w:pPr>
        <w:spacing w:line="360" w:lineRule="auto"/>
        <w:jc w:val="center"/>
        <w:rPr>
          <w:b/>
          <w:sz w:val="20"/>
          <w:szCs w:val="20"/>
        </w:rPr>
      </w:pPr>
      <w:r w:rsidRPr="00BC20EE">
        <w:rPr>
          <w:b/>
          <w:sz w:val="20"/>
          <w:szCs w:val="20"/>
        </w:rPr>
        <w:lastRenderedPageBreak/>
        <w:t xml:space="preserve">A critical review of </w:t>
      </w:r>
    </w:p>
    <w:p w14:paraId="3581761F" w14:textId="6652C31A" w:rsidR="00A05973" w:rsidRPr="00BC20EE" w:rsidRDefault="00E01BE0" w:rsidP="00326018">
      <w:pPr>
        <w:spacing w:line="360" w:lineRule="auto"/>
        <w:jc w:val="center"/>
        <w:rPr>
          <w:b/>
          <w:sz w:val="20"/>
          <w:szCs w:val="20"/>
        </w:rPr>
      </w:pPr>
      <w:bookmarkStart w:id="6" w:name="_GoBack"/>
      <w:bookmarkEnd w:id="6"/>
      <w:r w:rsidRPr="00BC20EE">
        <w:rPr>
          <w:b/>
          <w:sz w:val="20"/>
          <w:szCs w:val="20"/>
        </w:rPr>
        <w:t>Iamblichus</w:t>
      </w:r>
      <w:r w:rsidR="00A05973" w:rsidRPr="00BC20EE">
        <w:rPr>
          <w:b/>
          <w:sz w:val="20"/>
          <w:szCs w:val="20"/>
        </w:rPr>
        <w:t xml:space="preserve"> On </w:t>
      </w:r>
      <w:r w:rsidR="00385C33">
        <w:rPr>
          <w:b/>
          <w:sz w:val="20"/>
          <w:szCs w:val="20"/>
        </w:rPr>
        <w:t>t</w:t>
      </w:r>
      <w:r w:rsidR="00A05973" w:rsidRPr="00BC20EE">
        <w:rPr>
          <w:b/>
          <w:sz w:val="20"/>
          <w:szCs w:val="20"/>
        </w:rPr>
        <w:t xml:space="preserve">he </w:t>
      </w:r>
      <w:r w:rsidR="00385C33">
        <w:rPr>
          <w:b/>
          <w:sz w:val="20"/>
          <w:szCs w:val="20"/>
        </w:rPr>
        <w:t>M</w:t>
      </w:r>
      <w:r w:rsidR="00A05973" w:rsidRPr="00BC20EE">
        <w:rPr>
          <w:b/>
          <w:sz w:val="20"/>
          <w:szCs w:val="20"/>
        </w:rPr>
        <w:t xml:space="preserve">ysteries : </w:t>
      </w:r>
      <w:r>
        <w:rPr>
          <w:b/>
          <w:sz w:val="20"/>
          <w:szCs w:val="20"/>
        </w:rPr>
        <w:t>B</w:t>
      </w:r>
      <w:r w:rsidR="00A05973" w:rsidRPr="00BC20EE">
        <w:rPr>
          <w:b/>
          <w:sz w:val="20"/>
          <w:szCs w:val="20"/>
        </w:rPr>
        <w:t xml:space="preserve">ook 3 On </w:t>
      </w:r>
      <w:r>
        <w:rPr>
          <w:b/>
          <w:sz w:val="20"/>
          <w:szCs w:val="20"/>
        </w:rPr>
        <w:t>D</w:t>
      </w:r>
      <w:r w:rsidR="00A05973" w:rsidRPr="00BC20EE">
        <w:rPr>
          <w:b/>
          <w:sz w:val="20"/>
          <w:szCs w:val="20"/>
        </w:rPr>
        <w:t>ivination</w:t>
      </w:r>
    </w:p>
    <w:p w14:paraId="5E3FA314" w14:textId="37B39DD7" w:rsidR="002A353A" w:rsidRPr="00BC20EE" w:rsidRDefault="002A353A" w:rsidP="00326018">
      <w:pPr>
        <w:spacing w:line="360" w:lineRule="auto"/>
        <w:jc w:val="center"/>
        <w:rPr>
          <w:b/>
          <w:sz w:val="20"/>
          <w:szCs w:val="20"/>
        </w:rPr>
      </w:pPr>
      <w:r w:rsidRPr="00BC20EE">
        <w:rPr>
          <w:b/>
          <w:sz w:val="20"/>
          <w:szCs w:val="20"/>
        </w:rPr>
        <w:t>By Sian Humphries</w:t>
      </w:r>
    </w:p>
    <w:p w14:paraId="00BB0A9D" w14:textId="0145B5EA" w:rsidR="0058516C" w:rsidRPr="00BC20EE" w:rsidRDefault="0058516C" w:rsidP="00326018">
      <w:pPr>
        <w:spacing w:line="360" w:lineRule="auto"/>
        <w:jc w:val="center"/>
        <w:rPr>
          <w:sz w:val="20"/>
          <w:szCs w:val="20"/>
        </w:rPr>
      </w:pPr>
      <w:r w:rsidRPr="00BC20EE">
        <w:rPr>
          <w:sz w:val="20"/>
          <w:szCs w:val="20"/>
        </w:rPr>
        <w:t xml:space="preserve">Word Count = </w:t>
      </w:r>
      <w:r w:rsidR="00E41BB5" w:rsidRPr="00BC20EE">
        <w:rPr>
          <w:sz w:val="20"/>
          <w:szCs w:val="20"/>
        </w:rPr>
        <w:t>20</w:t>
      </w:r>
      <w:r w:rsidR="00385C33">
        <w:rPr>
          <w:sz w:val="20"/>
          <w:szCs w:val="20"/>
        </w:rPr>
        <w:t>45</w:t>
      </w:r>
    </w:p>
    <w:p w14:paraId="4A7D049A" w14:textId="30DD19D8" w:rsidR="00F97647" w:rsidRPr="00BC20EE" w:rsidRDefault="00751C51" w:rsidP="00F97647">
      <w:pPr>
        <w:spacing w:line="360" w:lineRule="auto"/>
        <w:ind w:firstLine="720"/>
        <w:rPr>
          <w:rFonts w:cs="Arial"/>
          <w:bCs/>
          <w:color w:val="292929"/>
          <w:sz w:val="20"/>
          <w:szCs w:val="20"/>
          <w:shd w:val="clear" w:color="auto" w:fill="FFFFFF"/>
        </w:rPr>
      </w:pPr>
      <w:r w:rsidRPr="00BC20EE">
        <w:rPr>
          <w:sz w:val="20"/>
          <w:szCs w:val="20"/>
        </w:rPr>
        <w:t xml:space="preserve"> </w:t>
      </w:r>
      <w:r w:rsidRPr="00BC20EE">
        <w:rPr>
          <w:sz w:val="20"/>
          <w:szCs w:val="20"/>
        </w:rPr>
        <w:tab/>
      </w:r>
      <w:r w:rsidR="00B42069" w:rsidRPr="00BC20EE">
        <w:rPr>
          <w:sz w:val="20"/>
          <w:szCs w:val="20"/>
        </w:rPr>
        <w:t xml:space="preserve">Divination is defined by the </w:t>
      </w:r>
      <w:r w:rsidR="00FB1F51" w:rsidRPr="00BC20EE">
        <w:rPr>
          <w:sz w:val="20"/>
          <w:szCs w:val="20"/>
        </w:rPr>
        <w:t>O</w:t>
      </w:r>
      <w:r w:rsidR="00B42069" w:rsidRPr="00BC20EE">
        <w:rPr>
          <w:sz w:val="20"/>
          <w:szCs w:val="20"/>
        </w:rPr>
        <w:t>xford English dictionary as being “</w:t>
      </w:r>
      <w:r w:rsidR="00B42069" w:rsidRPr="00BC20EE">
        <w:rPr>
          <w:rFonts w:cs="Arial"/>
          <w:bCs/>
          <w:sz w:val="20"/>
          <w:szCs w:val="20"/>
          <w:shd w:val="clear" w:color="auto" w:fill="FFFFFF"/>
        </w:rPr>
        <w:t>the </w:t>
      </w:r>
      <w:hyperlink r:id="rId8" w:tooltip="skill" w:history="1">
        <w:r w:rsidR="00B42069" w:rsidRPr="00BC20EE">
          <w:rPr>
            <w:rStyle w:val="Hyperlink"/>
            <w:rFonts w:cs="Arial"/>
            <w:bCs/>
            <w:color w:val="auto"/>
            <w:sz w:val="20"/>
            <w:szCs w:val="20"/>
            <w:u w:val="none"/>
          </w:rPr>
          <w:t>skill</w:t>
        </w:r>
      </w:hyperlink>
      <w:r w:rsidR="00B42069" w:rsidRPr="00BC20EE">
        <w:rPr>
          <w:rFonts w:cs="Arial"/>
          <w:bCs/>
          <w:sz w:val="20"/>
          <w:szCs w:val="20"/>
          <w:shd w:val="clear" w:color="auto" w:fill="FFFFFF"/>
        </w:rPr>
        <w:t> or </w:t>
      </w:r>
      <w:hyperlink r:id="rId9" w:tooltip="act" w:history="1">
        <w:r w:rsidR="00B42069" w:rsidRPr="00BC20EE">
          <w:rPr>
            <w:rStyle w:val="Hyperlink"/>
            <w:rFonts w:cs="Arial"/>
            <w:bCs/>
            <w:color w:val="auto"/>
            <w:sz w:val="20"/>
            <w:szCs w:val="20"/>
            <w:u w:val="none"/>
          </w:rPr>
          <w:t>act</w:t>
        </w:r>
      </w:hyperlink>
      <w:r w:rsidR="00B42069" w:rsidRPr="00BC20EE">
        <w:rPr>
          <w:rFonts w:cs="Arial"/>
          <w:bCs/>
          <w:sz w:val="20"/>
          <w:szCs w:val="20"/>
          <w:shd w:val="clear" w:color="auto" w:fill="FFFFFF"/>
        </w:rPr>
        <w:t> of saying or </w:t>
      </w:r>
      <w:hyperlink r:id="rId10" w:tooltip="discovering" w:history="1">
        <w:r w:rsidR="00B42069" w:rsidRPr="00BC20EE">
          <w:rPr>
            <w:rStyle w:val="Hyperlink"/>
            <w:rFonts w:cs="Arial"/>
            <w:bCs/>
            <w:color w:val="auto"/>
            <w:sz w:val="20"/>
            <w:szCs w:val="20"/>
            <w:u w:val="none"/>
          </w:rPr>
          <w:t>discovering</w:t>
        </w:r>
      </w:hyperlink>
      <w:r w:rsidR="00B42069" w:rsidRPr="00BC20EE">
        <w:rPr>
          <w:rFonts w:cs="Arial"/>
          <w:bCs/>
          <w:sz w:val="20"/>
          <w:szCs w:val="20"/>
          <w:shd w:val="clear" w:color="auto" w:fill="FFFFFF"/>
        </w:rPr>
        <w:t> what will </w:t>
      </w:r>
      <w:hyperlink r:id="rId11" w:tooltip="happen" w:history="1">
        <w:r w:rsidR="00B42069" w:rsidRPr="00BC20EE">
          <w:rPr>
            <w:rStyle w:val="Hyperlink"/>
            <w:rFonts w:cs="Arial"/>
            <w:bCs/>
            <w:color w:val="auto"/>
            <w:sz w:val="20"/>
            <w:szCs w:val="20"/>
            <w:u w:val="none"/>
          </w:rPr>
          <w:t>happen</w:t>
        </w:r>
      </w:hyperlink>
      <w:r w:rsidR="00B42069" w:rsidRPr="00BC20EE">
        <w:rPr>
          <w:rFonts w:cs="Arial"/>
          <w:bCs/>
          <w:sz w:val="20"/>
          <w:szCs w:val="20"/>
          <w:shd w:val="clear" w:color="auto" w:fill="FFFFFF"/>
        </w:rPr>
        <w:t> in the </w:t>
      </w:r>
      <w:hyperlink r:id="rId12" w:tooltip="future" w:history="1">
        <w:r w:rsidR="00B42069" w:rsidRPr="00BC20EE">
          <w:rPr>
            <w:rStyle w:val="Hyperlink"/>
            <w:rFonts w:cs="Arial"/>
            <w:bCs/>
            <w:color w:val="auto"/>
            <w:sz w:val="20"/>
            <w:szCs w:val="20"/>
            <w:u w:val="none"/>
          </w:rPr>
          <w:t>future</w:t>
        </w:r>
      </w:hyperlink>
      <w:r w:rsidR="00B42069" w:rsidRPr="00BC20EE">
        <w:rPr>
          <w:rFonts w:cs="Arial"/>
          <w:bCs/>
          <w:color w:val="292929"/>
          <w:sz w:val="20"/>
          <w:szCs w:val="20"/>
          <w:shd w:val="clear" w:color="auto" w:fill="FFFFFF"/>
        </w:rPr>
        <w:t>”</w:t>
      </w:r>
      <w:r w:rsidR="00B42069" w:rsidRPr="00BC20EE">
        <w:rPr>
          <w:rFonts w:cs="Arial"/>
          <w:b/>
          <w:bCs/>
          <w:color w:val="292929"/>
          <w:sz w:val="20"/>
          <w:szCs w:val="20"/>
          <w:shd w:val="clear" w:color="auto" w:fill="FFFFFF"/>
        </w:rPr>
        <w:t>.</w:t>
      </w:r>
      <w:r w:rsidR="00B42069" w:rsidRPr="00BC20EE">
        <w:rPr>
          <w:rStyle w:val="FootnoteReference"/>
          <w:rFonts w:cs="Arial"/>
          <w:b/>
          <w:bCs/>
          <w:color w:val="292929"/>
          <w:sz w:val="20"/>
          <w:szCs w:val="20"/>
          <w:shd w:val="clear" w:color="auto" w:fill="FFFFFF"/>
        </w:rPr>
        <w:footnoteReference w:id="1"/>
      </w:r>
      <w:r w:rsidR="00B42069" w:rsidRPr="00BC20EE">
        <w:rPr>
          <w:rFonts w:cs="Arial"/>
          <w:b/>
          <w:bCs/>
          <w:color w:val="292929"/>
          <w:sz w:val="20"/>
          <w:szCs w:val="20"/>
          <w:shd w:val="clear" w:color="auto" w:fill="FFFFFF"/>
        </w:rPr>
        <w:t xml:space="preserve">  </w:t>
      </w:r>
      <w:r w:rsidR="007763AD" w:rsidRPr="00BC20EE">
        <w:rPr>
          <w:rFonts w:cs="Arial"/>
          <w:b/>
          <w:bCs/>
          <w:color w:val="292929"/>
          <w:sz w:val="20"/>
          <w:szCs w:val="20"/>
          <w:shd w:val="clear" w:color="auto" w:fill="FFFFFF"/>
        </w:rPr>
        <w:t xml:space="preserve"> </w:t>
      </w:r>
      <w:r w:rsidR="0047130B" w:rsidRPr="00BC20EE">
        <w:rPr>
          <w:rFonts w:cs="Arial"/>
          <w:bCs/>
          <w:color w:val="292929"/>
          <w:sz w:val="20"/>
          <w:szCs w:val="20"/>
          <w:shd w:val="clear" w:color="auto" w:fill="FFFFFF"/>
        </w:rPr>
        <w:t>The earliest forms of divination have been found in Mesopotamia</w:t>
      </w:r>
      <w:r w:rsidR="00326018" w:rsidRPr="00BC20EE">
        <w:rPr>
          <w:rFonts w:cs="Arial"/>
          <w:bCs/>
          <w:color w:val="292929"/>
          <w:sz w:val="20"/>
          <w:szCs w:val="20"/>
          <w:shd w:val="clear" w:color="auto" w:fill="FFFFFF"/>
        </w:rPr>
        <w:t>. T</w:t>
      </w:r>
      <w:r w:rsidR="0047130B" w:rsidRPr="00BC20EE">
        <w:rPr>
          <w:rFonts w:cs="Arial"/>
          <w:bCs/>
          <w:color w:val="292929"/>
          <w:sz w:val="20"/>
          <w:szCs w:val="20"/>
          <w:shd w:val="clear" w:color="auto" w:fill="FFFFFF"/>
        </w:rPr>
        <w:t xml:space="preserve">ablets found in excavations in </w:t>
      </w:r>
      <w:proofErr w:type="spellStart"/>
      <w:r w:rsidR="0047130B" w:rsidRPr="00BC20EE">
        <w:rPr>
          <w:rFonts w:cs="Arial"/>
          <w:bCs/>
          <w:color w:val="292929"/>
          <w:sz w:val="20"/>
          <w:szCs w:val="20"/>
          <w:shd w:val="clear" w:color="auto" w:fill="FFFFFF"/>
        </w:rPr>
        <w:t>Sultantepe</w:t>
      </w:r>
      <w:proofErr w:type="spellEnd"/>
      <w:r w:rsidR="0047130B" w:rsidRPr="00BC20EE">
        <w:rPr>
          <w:rFonts w:cs="Arial"/>
          <w:bCs/>
          <w:color w:val="292929"/>
          <w:sz w:val="20"/>
          <w:szCs w:val="20"/>
          <w:shd w:val="clear" w:color="auto" w:fill="FFFFFF"/>
        </w:rPr>
        <w:t xml:space="preserve"> show that divination by </w:t>
      </w:r>
      <w:proofErr w:type="spellStart"/>
      <w:r w:rsidR="0047130B" w:rsidRPr="00BC20EE">
        <w:rPr>
          <w:rFonts w:cs="Arial"/>
          <w:bCs/>
          <w:color w:val="292929"/>
          <w:sz w:val="20"/>
          <w:szCs w:val="20"/>
          <w:shd w:val="clear" w:color="auto" w:fill="FFFFFF"/>
        </w:rPr>
        <w:t>extispicy</w:t>
      </w:r>
      <w:proofErr w:type="spellEnd"/>
      <w:r w:rsidR="0047130B" w:rsidRPr="00BC20EE">
        <w:rPr>
          <w:rFonts w:cs="Arial"/>
          <w:bCs/>
          <w:color w:val="292929"/>
          <w:sz w:val="20"/>
          <w:szCs w:val="20"/>
          <w:shd w:val="clear" w:color="auto" w:fill="FFFFFF"/>
        </w:rPr>
        <w:t>, was a popular form of divination at this time.</w:t>
      </w:r>
      <w:r w:rsidR="0047130B" w:rsidRPr="00BC20EE">
        <w:rPr>
          <w:rStyle w:val="FootnoteReference"/>
          <w:rFonts w:cs="Arial"/>
          <w:bCs/>
          <w:color w:val="292929"/>
          <w:sz w:val="20"/>
          <w:szCs w:val="20"/>
          <w:shd w:val="clear" w:color="auto" w:fill="FFFFFF"/>
        </w:rPr>
        <w:footnoteReference w:id="2"/>
      </w:r>
      <w:r w:rsidR="0047130B" w:rsidRPr="00BC20EE">
        <w:rPr>
          <w:rFonts w:cs="Arial"/>
          <w:bCs/>
          <w:color w:val="292929"/>
          <w:sz w:val="20"/>
          <w:szCs w:val="20"/>
          <w:shd w:val="clear" w:color="auto" w:fill="FFFFFF"/>
        </w:rPr>
        <w:t xml:space="preserve">    </w:t>
      </w:r>
      <w:r w:rsidR="00326018" w:rsidRPr="00BC20EE">
        <w:rPr>
          <w:rFonts w:cs="Arial"/>
          <w:bCs/>
          <w:color w:val="292929"/>
          <w:sz w:val="20"/>
          <w:szCs w:val="20"/>
          <w:shd w:val="clear" w:color="auto" w:fill="FFFFFF"/>
        </w:rPr>
        <w:t>Throughout Ancient</w:t>
      </w:r>
      <w:r w:rsidR="0047130B" w:rsidRPr="00BC20EE">
        <w:rPr>
          <w:rFonts w:cs="Arial"/>
          <w:bCs/>
          <w:color w:val="292929"/>
          <w:sz w:val="20"/>
          <w:szCs w:val="20"/>
          <w:shd w:val="clear" w:color="auto" w:fill="FFFFFF"/>
        </w:rPr>
        <w:t xml:space="preserve"> Greece divination was seen to be one of the most prominent techniques used to both understand the will of </w:t>
      </w:r>
      <w:r w:rsidR="00F16370" w:rsidRPr="00BC20EE">
        <w:rPr>
          <w:rFonts w:cs="Arial"/>
          <w:bCs/>
          <w:color w:val="292929"/>
          <w:sz w:val="20"/>
          <w:szCs w:val="20"/>
          <w:shd w:val="clear" w:color="auto" w:fill="FFFFFF"/>
        </w:rPr>
        <w:t>the Gods</w:t>
      </w:r>
      <w:r w:rsidR="0047130B" w:rsidRPr="00BC20EE">
        <w:rPr>
          <w:rFonts w:cs="Arial"/>
          <w:bCs/>
          <w:color w:val="292929"/>
          <w:sz w:val="20"/>
          <w:szCs w:val="20"/>
          <w:shd w:val="clear" w:color="auto" w:fill="FFFFFF"/>
        </w:rPr>
        <w:t xml:space="preserve"> </w:t>
      </w:r>
      <w:r w:rsidR="00020A5F" w:rsidRPr="00BC20EE">
        <w:rPr>
          <w:rFonts w:cs="Arial"/>
          <w:bCs/>
          <w:color w:val="292929"/>
          <w:sz w:val="20"/>
          <w:szCs w:val="20"/>
          <w:shd w:val="clear" w:color="auto" w:fill="FFFFFF"/>
        </w:rPr>
        <w:t>and</w:t>
      </w:r>
      <w:r w:rsidR="0047130B" w:rsidRPr="00BC20EE">
        <w:rPr>
          <w:rFonts w:cs="Arial"/>
          <w:bCs/>
          <w:color w:val="292929"/>
          <w:sz w:val="20"/>
          <w:szCs w:val="20"/>
          <w:shd w:val="clear" w:color="auto" w:fill="FFFFFF"/>
        </w:rPr>
        <w:t xml:space="preserve"> </w:t>
      </w:r>
      <w:r w:rsidR="006327E2" w:rsidRPr="00BC20EE">
        <w:rPr>
          <w:rFonts w:cs="Arial"/>
          <w:bCs/>
          <w:color w:val="292929"/>
          <w:sz w:val="20"/>
          <w:szCs w:val="20"/>
          <w:shd w:val="clear" w:color="auto" w:fill="FFFFFF"/>
        </w:rPr>
        <w:t>to</w:t>
      </w:r>
      <w:r w:rsidR="0047130B" w:rsidRPr="00BC20EE">
        <w:rPr>
          <w:rFonts w:cs="Arial"/>
          <w:bCs/>
          <w:color w:val="292929"/>
          <w:sz w:val="20"/>
          <w:szCs w:val="20"/>
          <w:shd w:val="clear" w:color="auto" w:fill="FFFFFF"/>
        </w:rPr>
        <w:t xml:space="preserve"> chang</w:t>
      </w:r>
      <w:r w:rsidR="00020A5F" w:rsidRPr="00BC20EE">
        <w:rPr>
          <w:rFonts w:cs="Arial"/>
          <w:bCs/>
          <w:color w:val="292929"/>
          <w:sz w:val="20"/>
          <w:szCs w:val="20"/>
          <w:shd w:val="clear" w:color="auto" w:fill="FFFFFF"/>
        </w:rPr>
        <w:t>e</w:t>
      </w:r>
      <w:r w:rsidR="0047130B" w:rsidRPr="00BC20EE">
        <w:rPr>
          <w:rFonts w:cs="Arial"/>
          <w:bCs/>
          <w:color w:val="292929"/>
          <w:sz w:val="20"/>
          <w:szCs w:val="20"/>
          <w:shd w:val="clear" w:color="auto" w:fill="FFFFFF"/>
        </w:rPr>
        <w:t xml:space="preserve"> </w:t>
      </w:r>
      <w:r w:rsidR="0092684E" w:rsidRPr="00BC20EE">
        <w:rPr>
          <w:rFonts w:cs="Arial"/>
          <w:bCs/>
          <w:color w:val="292929"/>
          <w:sz w:val="20"/>
          <w:szCs w:val="20"/>
          <w:shd w:val="clear" w:color="auto" w:fill="FFFFFF"/>
        </w:rPr>
        <w:t>fate</w:t>
      </w:r>
      <w:r w:rsidR="0047130B" w:rsidRPr="00BC20EE">
        <w:rPr>
          <w:rFonts w:cs="Arial"/>
          <w:bCs/>
          <w:color w:val="292929"/>
          <w:sz w:val="20"/>
          <w:szCs w:val="20"/>
          <w:shd w:val="clear" w:color="auto" w:fill="FFFFFF"/>
        </w:rPr>
        <w:t>, by knowing the future</w:t>
      </w:r>
      <w:r w:rsidR="00FB1F51" w:rsidRPr="00BC20EE">
        <w:rPr>
          <w:rFonts w:cs="Arial"/>
          <w:bCs/>
          <w:color w:val="292929"/>
          <w:sz w:val="20"/>
          <w:szCs w:val="20"/>
          <w:shd w:val="clear" w:color="auto" w:fill="FFFFFF"/>
        </w:rPr>
        <w:t xml:space="preserve"> and manipulating it by magical means</w:t>
      </w:r>
      <w:r w:rsidR="0047130B" w:rsidRPr="00BC20EE">
        <w:rPr>
          <w:rFonts w:cs="Arial"/>
          <w:bCs/>
          <w:color w:val="292929"/>
          <w:sz w:val="20"/>
          <w:szCs w:val="20"/>
          <w:shd w:val="clear" w:color="auto" w:fill="FFFFFF"/>
        </w:rPr>
        <w:t xml:space="preserve">. </w:t>
      </w:r>
      <w:r w:rsidR="00A33E6C" w:rsidRPr="00BC20EE">
        <w:rPr>
          <w:rStyle w:val="FootnoteReference"/>
          <w:rFonts w:cs="Arial"/>
          <w:bCs/>
          <w:color w:val="292929"/>
          <w:sz w:val="20"/>
          <w:szCs w:val="20"/>
          <w:shd w:val="clear" w:color="auto" w:fill="FFFFFF"/>
        </w:rPr>
        <w:footnoteReference w:id="3"/>
      </w:r>
      <w:r w:rsidR="001C5795" w:rsidRPr="00BC20EE">
        <w:rPr>
          <w:rFonts w:cs="Arial"/>
          <w:bCs/>
          <w:color w:val="292929"/>
          <w:sz w:val="20"/>
          <w:szCs w:val="20"/>
          <w:shd w:val="clear" w:color="auto" w:fill="FFFFFF"/>
        </w:rPr>
        <w:t xml:space="preserve">  The connection between magic and religion seems to be very fluid in Ancient Greece as demonstrated by the variety and number of magical working connected with divination seen in the Greek Magical papyri.  Spells ranging from </w:t>
      </w:r>
      <w:r w:rsidR="00F97647" w:rsidRPr="00BC20EE">
        <w:rPr>
          <w:rFonts w:cs="Arial"/>
          <w:bCs/>
          <w:color w:val="292929"/>
          <w:sz w:val="20"/>
          <w:szCs w:val="20"/>
          <w:shd w:val="clear" w:color="auto" w:fill="FFFFFF"/>
        </w:rPr>
        <w:t>petitions for oracles to requests for supernatural assistants to aid with the divinatory process abound.</w:t>
      </w:r>
      <w:r w:rsidR="00F97647" w:rsidRPr="00BC20EE">
        <w:rPr>
          <w:rStyle w:val="FootnoteReference"/>
          <w:rFonts w:cs="Arial"/>
          <w:bCs/>
          <w:color w:val="292929"/>
          <w:sz w:val="20"/>
          <w:szCs w:val="20"/>
          <w:shd w:val="clear" w:color="auto" w:fill="FFFFFF"/>
        </w:rPr>
        <w:footnoteReference w:id="4"/>
      </w:r>
      <w:r w:rsidR="00F97647" w:rsidRPr="00BC20EE">
        <w:rPr>
          <w:rFonts w:cs="Arial"/>
          <w:bCs/>
          <w:color w:val="292929"/>
          <w:sz w:val="20"/>
          <w:szCs w:val="20"/>
          <w:shd w:val="clear" w:color="auto" w:fill="FFFFFF"/>
        </w:rPr>
        <w:t xml:space="preserve">  This paper will discuss the views on divination held by </w:t>
      </w:r>
      <w:r w:rsidR="00020A5F" w:rsidRPr="00BC20EE">
        <w:rPr>
          <w:rFonts w:cs="Arial"/>
          <w:bCs/>
          <w:color w:val="292929"/>
          <w:sz w:val="20"/>
          <w:szCs w:val="20"/>
          <w:shd w:val="clear" w:color="auto" w:fill="FFFFFF"/>
        </w:rPr>
        <w:t>Iamblichus</w:t>
      </w:r>
      <w:r w:rsidR="00F97647" w:rsidRPr="00BC20EE">
        <w:rPr>
          <w:rFonts w:cs="Arial"/>
          <w:bCs/>
          <w:color w:val="292929"/>
          <w:sz w:val="20"/>
          <w:szCs w:val="20"/>
          <w:shd w:val="clear" w:color="auto" w:fill="FFFFFF"/>
        </w:rPr>
        <w:t>, which are expressed through his book “</w:t>
      </w:r>
      <w:r w:rsidR="00F97647" w:rsidRPr="006327E2">
        <w:rPr>
          <w:rFonts w:cs="Arial"/>
          <w:bCs/>
          <w:i/>
          <w:color w:val="292929"/>
          <w:sz w:val="20"/>
          <w:szCs w:val="20"/>
          <w:shd w:val="clear" w:color="auto" w:fill="FFFFFF"/>
        </w:rPr>
        <w:t>On the Mysteries, Book 3</w:t>
      </w:r>
      <w:r w:rsidR="00F97647" w:rsidRPr="00BC20EE">
        <w:rPr>
          <w:rFonts w:cs="Arial"/>
          <w:bCs/>
          <w:color w:val="292929"/>
          <w:sz w:val="20"/>
          <w:szCs w:val="20"/>
          <w:shd w:val="clear" w:color="auto" w:fill="FFFFFF"/>
        </w:rPr>
        <w:t>”</w:t>
      </w:r>
      <w:r w:rsidR="00020A5F" w:rsidRPr="00BC20EE">
        <w:rPr>
          <w:rFonts w:cs="Arial"/>
          <w:bCs/>
          <w:color w:val="292929"/>
          <w:sz w:val="20"/>
          <w:szCs w:val="20"/>
          <w:shd w:val="clear" w:color="auto" w:fill="FFFFFF"/>
        </w:rPr>
        <w:t xml:space="preserve"> and go on to suggest that the process that Iamblichus defends has more in common with the methods of prophecy found in </w:t>
      </w:r>
      <w:r w:rsidR="003B0CC1">
        <w:rPr>
          <w:rFonts w:cs="Arial"/>
          <w:bCs/>
          <w:color w:val="292929"/>
          <w:sz w:val="20"/>
          <w:szCs w:val="20"/>
          <w:shd w:val="clear" w:color="auto" w:fill="FFFFFF"/>
        </w:rPr>
        <w:t xml:space="preserve">near eastern </w:t>
      </w:r>
      <w:r w:rsidR="00020A5F" w:rsidRPr="00BC20EE">
        <w:rPr>
          <w:rFonts w:cs="Arial"/>
          <w:bCs/>
          <w:color w:val="292929"/>
          <w:sz w:val="20"/>
          <w:szCs w:val="20"/>
          <w:shd w:val="clear" w:color="auto" w:fill="FFFFFF"/>
        </w:rPr>
        <w:t xml:space="preserve"> communities than with the deductive divination being commonly used</w:t>
      </w:r>
      <w:r w:rsidR="003B0CC1">
        <w:rPr>
          <w:rFonts w:cs="Arial"/>
          <w:bCs/>
          <w:color w:val="292929"/>
          <w:sz w:val="20"/>
          <w:szCs w:val="20"/>
          <w:shd w:val="clear" w:color="auto" w:fill="FFFFFF"/>
        </w:rPr>
        <w:t xml:space="preserve"> in Greek society</w:t>
      </w:r>
      <w:r w:rsidR="00020A5F" w:rsidRPr="00BC20EE">
        <w:rPr>
          <w:rFonts w:cs="Arial"/>
          <w:bCs/>
          <w:color w:val="292929"/>
          <w:sz w:val="20"/>
          <w:szCs w:val="20"/>
          <w:shd w:val="clear" w:color="auto" w:fill="FFFFFF"/>
        </w:rPr>
        <w:t xml:space="preserve"> at the time.</w:t>
      </w:r>
      <w:r w:rsidR="006327E2">
        <w:rPr>
          <w:rStyle w:val="FootnoteReference"/>
          <w:rFonts w:cs="Arial"/>
          <w:bCs/>
          <w:color w:val="292929"/>
          <w:sz w:val="20"/>
          <w:szCs w:val="20"/>
          <w:shd w:val="clear" w:color="auto" w:fill="FFFFFF"/>
        </w:rPr>
        <w:footnoteReference w:id="5"/>
      </w:r>
      <w:r w:rsidR="00F97647" w:rsidRPr="00BC20EE">
        <w:rPr>
          <w:rFonts w:cs="Arial"/>
          <w:bCs/>
          <w:color w:val="292929"/>
          <w:sz w:val="20"/>
          <w:szCs w:val="20"/>
          <w:shd w:val="clear" w:color="auto" w:fill="FFFFFF"/>
        </w:rPr>
        <w:t xml:space="preserve"> </w:t>
      </w:r>
    </w:p>
    <w:p w14:paraId="39B3CC64" w14:textId="0E2EEC9A" w:rsidR="0056497A" w:rsidRPr="00BC20EE" w:rsidRDefault="0047130B" w:rsidP="00F97647">
      <w:pPr>
        <w:spacing w:line="360" w:lineRule="auto"/>
        <w:ind w:firstLine="720"/>
        <w:rPr>
          <w:sz w:val="20"/>
          <w:szCs w:val="20"/>
        </w:rPr>
      </w:pPr>
      <w:r w:rsidRPr="00BC20EE">
        <w:rPr>
          <w:rFonts w:cs="Arial"/>
          <w:bCs/>
          <w:color w:val="292929"/>
          <w:sz w:val="20"/>
          <w:szCs w:val="20"/>
          <w:shd w:val="clear" w:color="auto" w:fill="FFFFFF"/>
        </w:rPr>
        <w:t xml:space="preserve"> Iamblichus conducts an extensive review of divinatory techniques</w:t>
      </w:r>
      <w:r w:rsidR="00F97647" w:rsidRPr="00BC20EE">
        <w:rPr>
          <w:rFonts w:cs="Arial"/>
          <w:bCs/>
          <w:color w:val="292929"/>
          <w:sz w:val="20"/>
          <w:szCs w:val="20"/>
          <w:shd w:val="clear" w:color="auto" w:fill="FFFFFF"/>
        </w:rPr>
        <w:t xml:space="preserve"> in response </w:t>
      </w:r>
      <w:r w:rsidR="00A33E6C" w:rsidRPr="00BC20EE">
        <w:rPr>
          <w:sz w:val="20"/>
          <w:szCs w:val="20"/>
        </w:rPr>
        <w:t xml:space="preserve">to a </w:t>
      </w:r>
      <w:r w:rsidR="009E0C36" w:rsidRPr="00BC20EE">
        <w:rPr>
          <w:sz w:val="20"/>
          <w:szCs w:val="20"/>
        </w:rPr>
        <w:t>letter</w:t>
      </w:r>
      <w:r w:rsidR="00A33E6C" w:rsidRPr="00BC20EE">
        <w:rPr>
          <w:sz w:val="20"/>
          <w:szCs w:val="20"/>
        </w:rPr>
        <w:t xml:space="preserve"> from P</w:t>
      </w:r>
      <w:r w:rsidRPr="00BC20EE">
        <w:rPr>
          <w:sz w:val="20"/>
          <w:szCs w:val="20"/>
        </w:rPr>
        <w:t>orphyry</w:t>
      </w:r>
      <w:r w:rsidR="00A33E6C" w:rsidRPr="00BC20EE">
        <w:rPr>
          <w:sz w:val="20"/>
          <w:szCs w:val="20"/>
        </w:rPr>
        <w:t>, a</w:t>
      </w:r>
      <w:r w:rsidR="00FF6D47">
        <w:rPr>
          <w:sz w:val="20"/>
          <w:szCs w:val="20"/>
        </w:rPr>
        <w:t xml:space="preserve"> </w:t>
      </w:r>
      <w:r w:rsidR="00A33E6C" w:rsidRPr="00BC20EE">
        <w:rPr>
          <w:sz w:val="20"/>
          <w:szCs w:val="20"/>
        </w:rPr>
        <w:t>student of Plotinus</w:t>
      </w:r>
      <w:r w:rsidR="00FF6D47">
        <w:rPr>
          <w:sz w:val="20"/>
          <w:szCs w:val="20"/>
        </w:rPr>
        <w:t>,</w:t>
      </w:r>
      <w:r w:rsidR="00326018" w:rsidRPr="00BC20EE">
        <w:rPr>
          <w:sz w:val="20"/>
          <w:szCs w:val="20"/>
        </w:rPr>
        <w:t xml:space="preserve"> </w:t>
      </w:r>
      <w:r w:rsidR="009E0C36" w:rsidRPr="00BC20EE">
        <w:rPr>
          <w:sz w:val="20"/>
          <w:szCs w:val="20"/>
        </w:rPr>
        <w:t>in which Porphyry argues against the divine status of the divination utilised in Iamblichus’ philosophy</w:t>
      </w:r>
      <w:r w:rsidR="0092684E" w:rsidRPr="00BC20EE">
        <w:rPr>
          <w:sz w:val="20"/>
          <w:szCs w:val="20"/>
        </w:rPr>
        <w:t>,</w:t>
      </w:r>
      <w:r w:rsidR="009E0C36" w:rsidRPr="00BC20EE">
        <w:rPr>
          <w:sz w:val="20"/>
          <w:szCs w:val="20"/>
        </w:rPr>
        <w:t xml:space="preserve"> </w:t>
      </w:r>
      <w:r w:rsidR="00020A5F" w:rsidRPr="00BC20EE">
        <w:rPr>
          <w:sz w:val="20"/>
          <w:szCs w:val="20"/>
        </w:rPr>
        <w:t>Theurgy.</w:t>
      </w:r>
      <w:r w:rsidR="0092684E" w:rsidRPr="00BC20EE">
        <w:rPr>
          <w:rStyle w:val="FootnoteReference"/>
          <w:sz w:val="20"/>
          <w:szCs w:val="20"/>
        </w:rPr>
        <w:footnoteReference w:id="6"/>
      </w:r>
      <w:r w:rsidR="009E0C36" w:rsidRPr="00BC20EE">
        <w:rPr>
          <w:sz w:val="20"/>
          <w:szCs w:val="20"/>
        </w:rPr>
        <w:t xml:space="preserve">  </w:t>
      </w:r>
      <w:r w:rsidR="00326018" w:rsidRPr="00BC20EE">
        <w:rPr>
          <w:sz w:val="20"/>
          <w:szCs w:val="20"/>
        </w:rPr>
        <w:t xml:space="preserve">Struck </w:t>
      </w:r>
      <w:r w:rsidR="009E0C36" w:rsidRPr="00BC20EE">
        <w:rPr>
          <w:sz w:val="20"/>
          <w:szCs w:val="20"/>
        </w:rPr>
        <w:t xml:space="preserve">describes Porphyry’s </w:t>
      </w:r>
      <w:r w:rsidR="00F97647" w:rsidRPr="00BC20EE">
        <w:rPr>
          <w:sz w:val="20"/>
          <w:szCs w:val="20"/>
        </w:rPr>
        <w:t>view “</w:t>
      </w:r>
      <w:r w:rsidR="00326018" w:rsidRPr="00BC20EE">
        <w:rPr>
          <w:rFonts w:eastAsia="Times New Roman" w:cs="Times New Roman"/>
          <w:i/>
          <w:color w:val="000000"/>
          <w:sz w:val="20"/>
          <w:szCs w:val="20"/>
          <w:lang w:eastAsia="en-GB"/>
        </w:rPr>
        <w:t>In his critique, Porphyry preserves what I have characterized as the general outlook that traditional </w:t>
      </w:r>
      <w:proofErr w:type="spellStart"/>
      <w:r w:rsidR="00326018" w:rsidRPr="00BC20EE">
        <w:rPr>
          <w:rFonts w:eastAsia="Times New Roman" w:cs="Times New Roman"/>
          <w:i/>
          <w:iCs/>
          <w:color w:val="000000"/>
          <w:sz w:val="20"/>
          <w:szCs w:val="20"/>
          <w:lang w:eastAsia="en-GB"/>
        </w:rPr>
        <w:t>mantikê</w:t>
      </w:r>
      <w:proofErr w:type="spellEnd"/>
      <w:r w:rsidR="00326018" w:rsidRPr="00BC20EE">
        <w:rPr>
          <w:rFonts w:eastAsia="Times New Roman" w:cs="Times New Roman"/>
          <w:i/>
          <w:iCs/>
          <w:color w:val="000000"/>
          <w:sz w:val="20"/>
          <w:szCs w:val="20"/>
          <w:lang w:eastAsia="en-GB"/>
        </w:rPr>
        <w:t xml:space="preserve"> </w:t>
      </w:r>
      <w:r w:rsidR="009E0C36" w:rsidRPr="00BC20EE">
        <w:rPr>
          <w:rFonts w:eastAsia="Times New Roman" w:cs="Times New Roman"/>
          <w:i/>
          <w:iCs/>
          <w:color w:val="000000"/>
          <w:sz w:val="20"/>
          <w:szCs w:val="20"/>
          <w:lang w:eastAsia="en-GB"/>
        </w:rPr>
        <w:t xml:space="preserve">is </w:t>
      </w:r>
      <w:r w:rsidR="00326018" w:rsidRPr="00BC20EE">
        <w:rPr>
          <w:rFonts w:eastAsia="Times New Roman" w:cs="Times New Roman"/>
          <w:i/>
          <w:color w:val="000000"/>
          <w:sz w:val="20"/>
          <w:szCs w:val="20"/>
          <w:lang w:eastAsia="en-GB"/>
        </w:rPr>
        <w:t>operated via bodily processes. He characterizes the kind of knowing in which diviners are engaged as one derived from humans’ physical natures, which now rest at an opposite pole from what is truly divine</w:t>
      </w:r>
      <w:r w:rsidR="006327E2">
        <w:rPr>
          <w:rFonts w:eastAsia="Times New Roman" w:cs="Times New Roman"/>
          <w:i/>
          <w:color w:val="000000"/>
          <w:sz w:val="20"/>
          <w:szCs w:val="20"/>
          <w:lang w:eastAsia="en-GB"/>
        </w:rPr>
        <w:t>”</w:t>
      </w:r>
      <w:r w:rsidR="00326018" w:rsidRPr="00BC20EE">
        <w:rPr>
          <w:rFonts w:eastAsia="Times New Roman" w:cs="Times New Roman"/>
          <w:i/>
          <w:color w:val="000000"/>
          <w:sz w:val="20"/>
          <w:szCs w:val="20"/>
          <w:lang w:eastAsia="en-GB"/>
        </w:rPr>
        <w:t>.</w:t>
      </w:r>
      <w:r w:rsidR="00326018" w:rsidRPr="00BC20EE">
        <w:rPr>
          <w:rStyle w:val="FootnoteReference"/>
          <w:sz w:val="20"/>
          <w:szCs w:val="20"/>
        </w:rPr>
        <w:footnoteReference w:id="7"/>
      </w:r>
      <w:r w:rsidR="00326018" w:rsidRPr="00BC20EE">
        <w:rPr>
          <w:rFonts w:eastAsia="Times New Roman" w:cs="Times New Roman"/>
          <w:color w:val="000000"/>
          <w:sz w:val="20"/>
          <w:szCs w:val="20"/>
          <w:lang w:eastAsia="en-GB"/>
        </w:rPr>
        <w:t xml:space="preserve"> </w:t>
      </w:r>
      <w:r w:rsidR="0056497A" w:rsidRPr="00BC20EE">
        <w:rPr>
          <w:rFonts w:eastAsia="Times New Roman" w:cs="Times New Roman"/>
          <w:color w:val="000000"/>
          <w:sz w:val="20"/>
          <w:szCs w:val="20"/>
          <w:lang w:eastAsia="en-GB"/>
        </w:rPr>
        <w:t xml:space="preserve">  </w:t>
      </w:r>
      <w:r w:rsidR="009E0C36" w:rsidRPr="00BC20EE">
        <w:rPr>
          <w:rFonts w:eastAsia="Times New Roman" w:cs="Times New Roman"/>
          <w:color w:val="000000"/>
          <w:sz w:val="20"/>
          <w:szCs w:val="20"/>
          <w:lang w:eastAsia="en-GB"/>
        </w:rPr>
        <w:t xml:space="preserve">Iamblichus argues against this in his answer to </w:t>
      </w:r>
      <w:r w:rsidR="0056497A" w:rsidRPr="00BC20EE">
        <w:rPr>
          <w:sz w:val="20"/>
          <w:szCs w:val="20"/>
        </w:rPr>
        <w:t>Porphyry’s first question “</w:t>
      </w:r>
      <w:r w:rsidR="0056497A" w:rsidRPr="00BC20EE">
        <w:rPr>
          <w:i/>
          <w:sz w:val="20"/>
          <w:szCs w:val="20"/>
        </w:rPr>
        <w:t>What happens in predicting the future</w:t>
      </w:r>
      <w:r w:rsidR="0056497A" w:rsidRPr="00BC20EE">
        <w:rPr>
          <w:sz w:val="20"/>
          <w:szCs w:val="20"/>
        </w:rPr>
        <w:t>”.</w:t>
      </w:r>
      <w:r w:rsidR="0056497A" w:rsidRPr="00BC20EE">
        <w:rPr>
          <w:rStyle w:val="FootnoteReference"/>
          <w:sz w:val="20"/>
          <w:szCs w:val="20"/>
        </w:rPr>
        <w:footnoteReference w:id="8"/>
      </w:r>
      <w:r w:rsidR="0056497A" w:rsidRPr="00BC20EE">
        <w:rPr>
          <w:sz w:val="20"/>
          <w:szCs w:val="20"/>
        </w:rPr>
        <w:t xml:space="preserve">  Iamblichus insists that all true divination is of the gods, and that </w:t>
      </w:r>
      <w:r w:rsidR="0092684E" w:rsidRPr="00BC20EE">
        <w:rPr>
          <w:sz w:val="20"/>
          <w:szCs w:val="20"/>
        </w:rPr>
        <w:t xml:space="preserve">when others discuss the material notion of divination </w:t>
      </w:r>
      <w:r w:rsidR="0056497A" w:rsidRPr="00BC20EE">
        <w:rPr>
          <w:sz w:val="20"/>
          <w:szCs w:val="20"/>
        </w:rPr>
        <w:t>ha</w:t>
      </w:r>
      <w:r w:rsidR="00A14972" w:rsidRPr="00BC20EE">
        <w:rPr>
          <w:sz w:val="20"/>
          <w:szCs w:val="20"/>
        </w:rPr>
        <w:t>ve</w:t>
      </w:r>
      <w:r w:rsidR="0056497A" w:rsidRPr="00BC20EE">
        <w:rPr>
          <w:sz w:val="20"/>
          <w:szCs w:val="20"/>
        </w:rPr>
        <w:t xml:space="preserve"> made a </w:t>
      </w:r>
      <w:r w:rsidR="009E0C36" w:rsidRPr="00BC20EE">
        <w:rPr>
          <w:sz w:val="20"/>
          <w:szCs w:val="20"/>
        </w:rPr>
        <w:t>“</w:t>
      </w:r>
      <w:r w:rsidR="0056497A" w:rsidRPr="00BC20EE">
        <w:rPr>
          <w:sz w:val="20"/>
          <w:szCs w:val="20"/>
        </w:rPr>
        <w:t>grave error</w:t>
      </w:r>
      <w:r w:rsidR="009E0C36" w:rsidRPr="00BC20EE">
        <w:rPr>
          <w:sz w:val="20"/>
          <w:szCs w:val="20"/>
        </w:rPr>
        <w:t>”</w:t>
      </w:r>
      <w:r w:rsidR="0056497A" w:rsidRPr="00BC20EE">
        <w:rPr>
          <w:sz w:val="20"/>
          <w:szCs w:val="20"/>
        </w:rPr>
        <w:t>.</w:t>
      </w:r>
      <w:r w:rsidR="0056497A" w:rsidRPr="00BC20EE">
        <w:rPr>
          <w:rStyle w:val="FootnoteReference"/>
          <w:sz w:val="20"/>
          <w:szCs w:val="20"/>
        </w:rPr>
        <w:footnoteReference w:id="9"/>
      </w:r>
      <w:r w:rsidR="0056497A" w:rsidRPr="00BC20EE">
        <w:rPr>
          <w:sz w:val="20"/>
          <w:szCs w:val="20"/>
        </w:rPr>
        <w:t xml:space="preserve">    He constantly returns to this theme throughout the exchange.  Iamblichus uses the terms “Primary” and “Secondary” to distinguish between what Struck calls “Authentic” divination, which descends from the Gods </w:t>
      </w:r>
      <w:r w:rsidR="0056497A" w:rsidRPr="00BC20EE">
        <w:rPr>
          <w:sz w:val="20"/>
          <w:szCs w:val="20"/>
        </w:rPr>
        <w:lastRenderedPageBreak/>
        <w:t>themselves and “Non-Divine” divination which comes from the material world and is the remit of mankind.</w:t>
      </w:r>
      <w:r w:rsidR="0056497A" w:rsidRPr="00BC20EE">
        <w:rPr>
          <w:rStyle w:val="FootnoteReference"/>
          <w:sz w:val="20"/>
          <w:szCs w:val="20"/>
        </w:rPr>
        <w:footnoteReference w:id="10"/>
      </w:r>
      <w:r w:rsidR="0056497A" w:rsidRPr="00BC20EE">
        <w:rPr>
          <w:sz w:val="20"/>
          <w:szCs w:val="20"/>
        </w:rPr>
        <w:t xml:space="preserve">   The </w:t>
      </w:r>
      <w:r w:rsidR="00A14972" w:rsidRPr="00BC20EE">
        <w:rPr>
          <w:sz w:val="20"/>
          <w:szCs w:val="20"/>
        </w:rPr>
        <w:t>latter</w:t>
      </w:r>
      <w:r w:rsidR="0056497A" w:rsidRPr="00BC20EE">
        <w:rPr>
          <w:sz w:val="20"/>
          <w:szCs w:val="20"/>
        </w:rPr>
        <w:t xml:space="preserve"> is seen to be a lesser version of the primary type.  Iamblichus appears to consider it a perversion of the truth and counsels against it strongly.</w:t>
      </w:r>
      <w:r w:rsidR="00020A5F" w:rsidRPr="00BC20EE">
        <w:rPr>
          <w:rStyle w:val="FootnoteReference"/>
          <w:sz w:val="20"/>
          <w:szCs w:val="20"/>
        </w:rPr>
        <w:footnoteReference w:id="11"/>
      </w:r>
    </w:p>
    <w:p w14:paraId="44C3B6E5" w14:textId="78E13DF2" w:rsidR="009D481F" w:rsidRPr="00BC20EE" w:rsidRDefault="00E544DA" w:rsidP="00D44890">
      <w:pPr>
        <w:spacing w:line="360" w:lineRule="auto"/>
        <w:ind w:firstLine="720"/>
        <w:rPr>
          <w:sz w:val="20"/>
          <w:szCs w:val="20"/>
        </w:rPr>
      </w:pPr>
      <w:r w:rsidRPr="00BC20EE">
        <w:rPr>
          <w:sz w:val="20"/>
          <w:szCs w:val="20"/>
        </w:rPr>
        <w:t xml:space="preserve">After discussing the general nature of </w:t>
      </w:r>
      <w:r w:rsidR="00132ADE" w:rsidRPr="00BC20EE">
        <w:rPr>
          <w:sz w:val="20"/>
          <w:szCs w:val="20"/>
        </w:rPr>
        <w:t>divination,</w:t>
      </w:r>
      <w:r w:rsidRPr="00BC20EE">
        <w:rPr>
          <w:sz w:val="20"/>
          <w:szCs w:val="20"/>
        </w:rPr>
        <w:t xml:space="preserve"> he moves on to </w:t>
      </w:r>
      <w:r w:rsidR="004576AF" w:rsidRPr="00BC20EE">
        <w:rPr>
          <w:sz w:val="20"/>
          <w:szCs w:val="20"/>
        </w:rPr>
        <w:t>discuss</w:t>
      </w:r>
      <w:r w:rsidRPr="00BC20EE">
        <w:rPr>
          <w:sz w:val="20"/>
          <w:szCs w:val="20"/>
        </w:rPr>
        <w:t xml:space="preserve"> the different types of divination</w:t>
      </w:r>
      <w:r w:rsidR="00020A5F" w:rsidRPr="00BC20EE">
        <w:rPr>
          <w:sz w:val="20"/>
          <w:szCs w:val="20"/>
        </w:rPr>
        <w:t xml:space="preserve"> raised by</w:t>
      </w:r>
      <w:r w:rsidRPr="00BC20EE">
        <w:rPr>
          <w:sz w:val="20"/>
          <w:szCs w:val="20"/>
        </w:rPr>
        <w:t xml:space="preserve"> </w:t>
      </w:r>
      <w:r w:rsidR="00751C51" w:rsidRPr="00BC20EE">
        <w:rPr>
          <w:sz w:val="20"/>
          <w:szCs w:val="20"/>
        </w:rPr>
        <w:t>Porphyry’s</w:t>
      </w:r>
      <w:r w:rsidRPr="00BC20EE">
        <w:rPr>
          <w:sz w:val="20"/>
          <w:szCs w:val="20"/>
        </w:rPr>
        <w:t xml:space="preserve"> question</w:t>
      </w:r>
      <w:r w:rsidR="00020A5F" w:rsidRPr="00BC20EE">
        <w:rPr>
          <w:sz w:val="20"/>
          <w:szCs w:val="20"/>
        </w:rPr>
        <w:t>s</w:t>
      </w:r>
      <w:r w:rsidRPr="00BC20EE">
        <w:rPr>
          <w:sz w:val="20"/>
          <w:szCs w:val="20"/>
        </w:rPr>
        <w:t xml:space="preserve">.  He starts by describing divination by dream.  </w:t>
      </w:r>
      <w:r w:rsidR="00020A5F" w:rsidRPr="00BC20EE">
        <w:rPr>
          <w:sz w:val="20"/>
          <w:szCs w:val="20"/>
        </w:rPr>
        <w:t xml:space="preserve">Describing </w:t>
      </w:r>
      <w:r w:rsidRPr="00BC20EE">
        <w:rPr>
          <w:sz w:val="20"/>
          <w:szCs w:val="20"/>
        </w:rPr>
        <w:t xml:space="preserve"> “normal” dreams as “fantasies arising from our daily concerns”, </w:t>
      </w:r>
      <w:r w:rsidR="00020A5F" w:rsidRPr="00BC20EE">
        <w:rPr>
          <w:sz w:val="20"/>
          <w:szCs w:val="20"/>
        </w:rPr>
        <w:t xml:space="preserve">he distinguishes them </w:t>
      </w:r>
      <w:r w:rsidRPr="00BC20EE">
        <w:rPr>
          <w:sz w:val="20"/>
          <w:szCs w:val="20"/>
        </w:rPr>
        <w:t>clearly from those dreams that he considers “God- sent”.</w:t>
      </w:r>
      <w:r w:rsidRPr="00BC20EE">
        <w:rPr>
          <w:rStyle w:val="FootnoteReference"/>
          <w:sz w:val="20"/>
          <w:szCs w:val="20"/>
        </w:rPr>
        <w:footnoteReference w:id="12"/>
      </w:r>
      <w:r w:rsidRPr="00BC20EE">
        <w:rPr>
          <w:sz w:val="20"/>
          <w:szCs w:val="20"/>
        </w:rPr>
        <w:t xml:space="preserve">  He describes the type of sleep which is necessary to receive these dreams as being in the space where sleep is departing, Clarke describes this state “Hypnogogic”.</w:t>
      </w:r>
      <w:r w:rsidRPr="00BC20EE">
        <w:rPr>
          <w:rStyle w:val="FootnoteReference"/>
          <w:sz w:val="20"/>
          <w:szCs w:val="20"/>
        </w:rPr>
        <w:footnoteReference w:id="13"/>
      </w:r>
      <w:r w:rsidRPr="00BC20EE">
        <w:rPr>
          <w:sz w:val="20"/>
          <w:szCs w:val="20"/>
        </w:rPr>
        <w:t xml:space="preserve">  Iamblichus then goes on to describe physical symptoms associated with the god sent dreams, these include hearing voices and a </w:t>
      </w:r>
      <w:r w:rsidR="004576AF" w:rsidRPr="00BC20EE">
        <w:rPr>
          <w:sz w:val="20"/>
          <w:szCs w:val="20"/>
        </w:rPr>
        <w:t>whooshing</w:t>
      </w:r>
      <w:r w:rsidRPr="00BC20EE">
        <w:rPr>
          <w:sz w:val="20"/>
          <w:szCs w:val="20"/>
        </w:rPr>
        <w:t xml:space="preserve"> sound when the dream or god is </w:t>
      </w:r>
      <w:r w:rsidR="004576AF" w:rsidRPr="00BC20EE">
        <w:rPr>
          <w:sz w:val="20"/>
          <w:szCs w:val="20"/>
        </w:rPr>
        <w:t>entering</w:t>
      </w:r>
      <w:r w:rsidRPr="00BC20EE">
        <w:rPr>
          <w:sz w:val="20"/>
          <w:szCs w:val="20"/>
        </w:rPr>
        <w:t xml:space="preserve"> the body.</w:t>
      </w:r>
      <w:r w:rsidRPr="00BC20EE">
        <w:rPr>
          <w:rStyle w:val="FootnoteReference"/>
          <w:sz w:val="20"/>
          <w:szCs w:val="20"/>
        </w:rPr>
        <w:footnoteReference w:id="14"/>
      </w:r>
      <w:r w:rsidRPr="00BC20EE">
        <w:rPr>
          <w:sz w:val="20"/>
          <w:szCs w:val="20"/>
        </w:rPr>
        <w:t xml:space="preserve">   </w:t>
      </w:r>
      <w:r w:rsidR="004576AF" w:rsidRPr="00BC20EE">
        <w:rPr>
          <w:sz w:val="20"/>
          <w:szCs w:val="20"/>
        </w:rPr>
        <w:t>Iamblichus</w:t>
      </w:r>
      <w:r w:rsidRPr="00BC20EE">
        <w:rPr>
          <w:sz w:val="20"/>
          <w:szCs w:val="20"/>
        </w:rPr>
        <w:t xml:space="preserve"> </w:t>
      </w:r>
      <w:r w:rsidR="00020A5F" w:rsidRPr="00BC20EE">
        <w:rPr>
          <w:sz w:val="20"/>
          <w:szCs w:val="20"/>
        </w:rPr>
        <w:t xml:space="preserve">proposes </w:t>
      </w:r>
      <w:r w:rsidRPr="00BC20EE">
        <w:rPr>
          <w:sz w:val="20"/>
          <w:szCs w:val="20"/>
        </w:rPr>
        <w:t xml:space="preserve">that the soul leads a double life when it is involved with this type of dream divination, </w:t>
      </w:r>
      <w:r w:rsidR="004576AF" w:rsidRPr="00BC20EE">
        <w:rPr>
          <w:sz w:val="20"/>
          <w:szCs w:val="20"/>
        </w:rPr>
        <w:t>where the soul of the person occupies the body during its corporeal daytime, but the body then becomes the vessel of the Divine during its sleep.</w:t>
      </w:r>
      <w:r w:rsidR="004576AF" w:rsidRPr="00BC20EE">
        <w:rPr>
          <w:rStyle w:val="FootnoteReference"/>
          <w:sz w:val="20"/>
          <w:szCs w:val="20"/>
        </w:rPr>
        <w:footnoteReference w:id="15"/>
      </w:r>
      <w:r w:rsidR="006362E8" w:rsidRPr="00BC20EE">
        <w:rPr>
          <w:sz w:val="20"/>
          <w:szCs w:val="20"/>
        </w:rPr>
        <w:t xml:space="preserve">   This would agree</w:t>
      </w:r>
      <w:r w:rsidR="00DD6928" w:rsidRPr="00BC20EE">
        <w:rPr>
          <w:sz w:val="20"/>
          <w:szCs w:val="20"/>
        </w:rPr>
        <w:t xml:space="preserve"> in part</w:t>
      </w:r>
      <w:r w:rsidR="006362E8" w:rsidRPr="00BC20EE">
        <w:rPr>
          <w:sz w:val="20"/>
          <w:szCs w:val="20"/>
        </w:rPr>
        <w:t xml:space="preserve"> with Plato’s idea of the intellectual part of the soul being an extension of the Divine.   Plato describes the soul as </w:t>
      </w:r>
      <w:r w:rsidR="00621F9C" w:rsidRPr="00BC20EE">
        <w:rPr>
          <w:sz w:val="20"/>
          <w:szCs w:val="20"/>
        </w:rPr>
        <w:t>follows “</w:t>
      </w:r>
      <w:r w:rsidR="006362E8" w:rsidRPr="00BC20EE">
        <w:rPr>
          <w:sz w:val="20"/>
          <w:szCs w:val="20"/>
        </w:rPr>
        <w:t>The human soul is also seen to be of divine origin and as such is immortal, not requiring a physical body to exist.</w:t>
      </w:r>
      <w:r w:rsidR="006362E8" w:rsidRPr="00BC20EE">
        <w:rPr>
          <w:rStyle w:val="FootnoteReference"/>
          <w:sz w:val="20"/>
          <w:szCs w:val="20"/>
        </w:rPr>
        <w:footnoteReference w:id="16"/>
      </w:r>
      <w:r w:rsidR="006362E8" w:rsidRPr="00BC20EE">
        <w:rPr>
          <w:sz w:val="20"/>
          <w:szCs w:val="20"/>
        </w:rPr>
        <w:t xml:space="preserve">  </w:t>
      </w:r>
      <w:r w:rsidR="00621F9C" w:rsidRPr="00BC20EE">
        <w:rPr>
          <w:sz w:val="20"/>
          <w:szCs w:val="20"/>
        </w:rPr>
        <w:t xml:space="preserve">  </w:t>
      </w:r>
      <w:r w:rsidR="00DD6928" w:rsidRPr="00BC20EE">
        <w:rPr>
          <w:sz w:val="20"/>
          <w:szCs w:val="20"/>
        </w:rPr>
        <w:t>This would elucidate the</w:t>
      </w:r>
      <w:r w:rsidR="00621F9C" w:rsidRPr="00BC20EE">
        <w:rPr>
          <w:sz w:val="20"/>
          <w:szCs w:val="20"/>
        </w:rPr>
        <w:t xml:space="preserve"> ability of the Divine to descend into a material body and then withdraw again</w:t>
      </w:r>
      <w:r w:rsidR="00DD6928" w:rsidRPr="00BC20EE">
        <w:rPr>
          <w:sz w:val="20"/>
          <w:szCs w:val="20"/>
        </w:rPr>
        <w:t>,</w:t>
      </w:r>
      <w:r w:rsidR="00621F9C" w:rsidRPr="00BC20EE">
        <w:rPr>
          <w:sz w:val="20"/>
          <w:szCs w:val="20"/>
        </w:rPr>
        <w:t xml:space="preserve"> as the intellect is but an extension of </w:t>
      </w:r>
      <w:r w:rsidR="00751C51" w:rsidRPr="00BC20EE">
        <w:rPr>
          <w:sz w:val="20"/>
          <w:szCs w:val="20"/>
        </w:rPr>
        <w:t>the divine</w:t>
      </w:r>
      <w:r w:rsidR="00D44890" w:rsidRPr="00BC20EE">
        <w:rPr>
          <w:sz w:val="20"/>
          <w:szCs w:val="20"/>
        </w:rPr>
        <w:t xml:space="preserve"> </w:t>
      </w:r>
    </w:p>
    <w:p w14:paraId="741270B6" w14:textId="67F22F7F" w:rsidR="00FF6D47" w:rsidRPr="00BC20EE" w:rsidRDefault="00D44890" w:rsidP="00FF6D47">
      <w:pPr>
        <w:spacing w:line="360" w:lineRule="auto"/>
        <w:ind w:firstLine="720"/>
        <w:rPr>
          <w:sz w:val="20"/>
          <w:szCs w:val="20"/>
        </w:rPr>
      </w:pPr>
      <w:r w:rsidRPr="00BC20EE">
        <w:rPr>
          <w:sz w:val="20"/>
          <w:szCs w:val="20"/>
        </w:rPr>
        <w:t xml:space="preserve">When discussing divine inspiration in the waking state Iamblichus describes several different divination techniques which he believes are </w:t>
      </w:r>
      <w:r w:rsidR="009D481F" w:rsidRPr="00BC20EE">
        <w:rPr>
          <w:sz w:val="20"/>
          <w:szCs w:val="20"/>
        </w:rPr>
        <w:t xml:space="preserve">wholly </w:t>
      </w:r>
      <w:r w:rsidRPr="00BC20EE">
        <w:rPr>
          <w:sz w:val="20"/>
          <w:szCs w:val="20"/>
        </w:rPr>
        <w:t>divine.  He describes ways in which a possession by the gods may be physically seen, these include movements of the body, the “madness of words” and inability to feel pain when stabbed or burnt.</w:t>
      </w:r>
      <w:r w:rsidRPr="00BC20EE">
        <w:rPr>
          <w:rStyle w:val="FootnoteReference"/>
          <w:sz w:val="20"/>
          <w:szCs w:val="20"/>
        </w:rPr>
        <w:footnoteReference w:id="17"/>
      </w:r>
      <w:r w:rsidRPr="00BC20EE">
        <w:rPr>
          <w:sz w:val="20"/>
          <w:szCs w:val="20"/>
        </w:rPr>
        <w:t xml:space="preserve">   He discusses several different divinatory techniques used by Oracles such as those of Delphi, </w:t>
      </w:r>
      <w:proofErr w:type="spellStart"/>
      <w:r w:rsidRPr="00BC20EE">
        <w:rPr>
          <w:sz w:val="20"/>
          <w:szCs w:val="20"/>
        </w:rPr>
        <w:t>Sabazios</w:t>
      </w:r>
      <w:proofErr w:type="spellEnd"/>
      <w:r w:rsidRPr="00BC20EE">
        <w:rPr>
          <w:sz w:val="20"/>
          <w:szCs w:val="20"/>
        </w:rPr>
        <w:t xml:space="preserve"> and </w:t>
      </w:r>
      <w:proofErr w:type="spellStart"/>
      <w:r w:rsidRPr="00BC20EE">
        <w:rPr>
          <w:sz w:val="20"/>
          <w:szCs w:val="20"/>
        </w:rPr>
        <w:t>Korybantes</w:t>
      </w:r>
      <w:proofErr w:type="spellEnd"/>
      <w:r w:rsidRPr="00BC20EE">
        <w:rPr>
          <w:sz w:val="20"/>
          <w:szCs w:val="20"/>
        </w:rPr>
        <w:t>.</w:t>
      </w:r>
      <w:r w:rsidRPr="00BC20EE">
        <w:rPr>
          <w:rStyle w:val="FootnoteReference"/>
          <w:sz w:val="20"/>
          <w:szCs w:val="20"/>
        </w:rPr>
        <w:footnoteReference w:id="18"/>
      </w:r>
      <w:r w:rsidRPr="00BC20EE">
        <w:rPr>
          <w:sz w:val="20"/>
          <w:szCs w:val="20"/>
        </w:rPr>
        <w:t xml:space="preserve">    </w:t>
      </w:r>
      <w:r w:rsidR="0018283D" w:rsidRPr="00BC20EE">
        <w:rPr>
          <w:sz w:val="20"/>
          <w:szCs w:val="20"/>
        </w:rPr>
        <w:t xml:space="preserve">Here he describes the way that practitioners of these divinations give up their lives to the service of the gods and in doing so become a vessel for the divine power.  This requires </w:t>
      </w:r>
      <w:r w:rsidR="00FF6D47" w:rsidRPr="00BC20EE">
        <w:rPr>
          <w:sz w:val="20"/>
          <w:szCs w:val="20"/>
        </w:rPr>
        <w:t>days of</w:t>
      </w:r>
      <w:r w:rsidR="0018283D" w:rsidRPr="00BC20EE">
        <w:rPr>
          <w:sz w:val="20"/>
          <w:szCs w:val="20"/>
        </w:rPr>
        <w:t xml:space="preserve"> preparatory techniques and ritual which allow the oracle to speak for the gods. </w:t>
      </w:r>
      <w:r w:rsidR="00FF6D47" w:rsidRPr="00BC20EE">
        <w:rPr>
          <w:sz w:val="20"/>
          <w:szCs w:val="20"/>
        </w:rPr>
        <w:t xml:space="preserve">Iamblichus then goes on to discuss the various divine actions that people in this state can perform, including the curing of diseases and foretelling future events.  This is all possible because of the nature of the interaction between the divine soul and the person who is providing the access to the material world for the divinity.  </w:t>
      </w:r>
      <w:r w:rsidR="00FF6D47" w:rsidRPr="00BC20EE">
        <w:rPr>
          <w:sz w:val="20"/>
          <w:szCs w:val="20"/>
        </w:rPr>
        <w:lastRenderedPageBreak/>
        <w:t>Curing disease is possible as all knowledge of disease is within the divine knowledge and the same is to be said for the future which is already known by the Gods.</w:t>
      </w:r>
      <w:r w:rsidR="00FF6D47" w:rsidRPr="00BC20EE">
        <w:rPr>
          <w:rStyle w:val="FootnoteReference"/>
          <w:sz w:val="20"/>
          <w:szCs w:val="20"/>
        </w:rPr>
        <w:footnoteReference w:id="19"/>
      </w:r>
      <w:r w:rsidR="00FF6D47" w:rsidRPr="00BC20EE">
        <w:rPr>
          <w:sz w:val="20"/>
          <w:szCs w:val="20"/>
        </w:rPr>
        <w:t xml:space="preserve">  </w:t>
      </w:r>
    </w:p>
    <w:p w14:paraId="54F4097F" w14:textId="7F9C0C7D" w:rsidR="00DD6928" w:rsidRPr="00BC20EE" w:rsidRDefault="005C5814" w:rsidP="00D44890">
      <w:pPr>
        <w:spacing w:line="360" w:lineRule="auto"/>
        <w:ind w:firstLine="720"/>
        <w:rPr>
          <w:sz w:val="20"/>
          <w:szCs w:val="20"/>
        </w:rPr>
      </w:pPr>
      <w:r w:rsidRPr="00BC20EE">
        <w:rPr>
          <w:sz w:val="20"/>
          <w:szCs w:val="20"/>
        </w:rPr>
        <w:t>Porphyry</w:t>
      </w:r>
      <w:r w:rsidR="00A14972" w:rsidRPr="00BC20EE">
        <w:rPr>
          <w:sz w:val="20"/>
          <w:szCs w:val="20"/>
        </w:rPr>
        <w:t xml:space="preserve">, in contrast, </w:t>
      </w:r>
      <w:r w:rsidRPr="00BC20EE">
        <w:rPr>
          <w:sz w:val="20"/>
          <w:szCs w:val="20"/>
        </w:rPr>
        <w:t>describes the possibility that these “</w:t>
      </w:r>
      <w:r w:rsidR="00D9246C" w:rsidRPr="003B0CC1">
        <w:rPr>
          <w:i/>
          <w:sz w:val="20"/>
          <w:szCs w:val="20"/>
        </w:rPr>
        <w:t>ecstasies</w:t>
      </w:r>
      <w:r w:rsidRPr="00BC20EE">
        <w:rPr>
          <w:sz w:val="20"/>
          <w:szCs w:val="20"/>
        </w:rPr>
        <w:t xml:space="preserve">” are caused by mental illness or </w:t>
      </w:r>
      <w:r w:rsidR="00D9246C" w:rsidRPr="00BC20EE">
        <w:rPr>
          <w:sz w:val="20"/>
          <w:szCs w:val="20"/>
        </w:rPr>
        <w:t>by the person being under the influence of intoxicants.</w:t>
      </w:r>
      <w:r w:rsidR="00D9246C" w:rsidRPr="00BC20EE">
        <w:rPr>
          <w:rStyle w:val="FootnoteReference"/>
          <w:sz w:val="20"/>
          <w:szCs w:val="20"/>
        </w:rPr>
        <w:footnoteReference w:id="20"/>
      </w:r>
      <w:r w:rsidR="00D9246C" w:rsidRPr="00BC20EE">
        <w:rPr>
          <w:sz w:val="20"/>
          <w:szCs w:val="20"/>
        </w:rPr>
        <w:t xml:space="preserve">  Iamblichus </w:t>
      </w:r>
      <w:r w:rsidR="00E01BE0">
        <w:rPr>
          <w:sz w:val="20"/>
          <w:szCs w:val="20"/>
        </w:rPr>
        <w:t>argues</w:t>
      </w:r>
      <w:r w:rsidR="00FF6D47">
        <w:rPr>
          <w:sz w:val="20"/>
          <w:szCs w:val="20"/>
        </w:rPr>
        <w:t xml:space="preserve"> that</w:t>
      </w:r>
      <w:r w:rsidR="00D9246C" w:rsidRPr="00BC20EE">
        <w:rPr>
          <w:sz w:val="20"/>
          <w:szCs w:val="20"/>
        </w:rPr>
        <w:t xml:space="preserve"> these types of</w:t>
      </w:r>
      <w:r w:rsidR="00E01BE0">
        <w:rPr>
          <w:sz w:val="20"/>
          <w:szCs w:val="20"/>
        </w:rPr>
        <w:t xml:space="preserve"> </w:t>
      </w:r>
      <w:r w:rsidR="00FF6D47">
        <w:rPr>
          <w:sz w:val="20"/>
          <w:szCs w:val="20"/>
        </w:rPr>
        <w:t>non-divine</w:t>
      </w:r>
      <w:r w:rsidR="00D9246C" w:rsidRPr="00BC20EE">
        <w:rPr>
          <w:sz w:val="20"/>
          <w:szCs w:val="20"/>
        </w:rPr>
        <w:t xml:space="preserve"> “</w:t>
      </w:r>
      <w:r w:rsidR="00D9246C" w:rsidRPr="003B0CC1">
        <w:rPr>
          <w:i/>
          <w:sz w:val="20"/>
          <w:szCs w:val="20"/>
        </w:rPr>
        <w:t>madness</w:t>
      </w:r>
      <w:r w:rsidR="00D9246C" w:rsidRPr="00BC20EE">
        <w:rPr>
          <w:sz w:val="20"/>
          <w:szCs w:val="20"/>
        </w:rPr>
        <w:t>” as being “</w:t>
      </w:r>
      <w:r w:rsidR="00D9246C" w:rsidRPr="003B0CC1">
        <w:rPr>
          <w:i/>
          <w:sz w:val="20"/>
          <w:szCs w:val="20"/>
        </w:rPr>
        <w:t>turned to the Lower forms as opposed to the Higher and being caused by the excesses of black bile</w:t>
      </w:r>
      <w:r w:rsidR="00D9246C" w:rsidRPr="00BC20EE">
        <w:rPr>
          <w:sz w:val="20"/>
          <w:szCs w:val="20"/>
        </w:rPr>
        <w:t>.</w:t>
      </w:r>
      <w:r w:rsidR="00D9246C" w:rsidRPr="00BC20EE">
        <w:rPr>
          <w:rStyle w:val="FootnoteReference"/>
          <w:sz w:val="20"/>
          <w:szCs w:val="20"/>
        </w:rPr>
        <w:footnoteReference w:id="21"/>
      </w:r>
      <w:r w:rsidR="00D9246C" w:rsidRPr="00BC20EE">
        <w:rPr>
          <w:sz w:val="20"/>
          <w:szCs w:val="20"/>
        </w:rPr>
        <w:t xml:space="preserve">  </w:t>
      </w:r>
      <w:r w:rsidR="00A14972" w:rsidRPr="00BC20EE">
        <w:rPr>
          <w:sz w:val="20"/>
          <w:szCs w:val="20"/>
        </w:rPr>
        <w:t xml:space="preserve">However </w:t>
      </w:r>
      <w:r w:rsidR="003B0CC1">
        <w:rPr>
          <w:sz w:val="20"/>
          <w:szCs w:val="20"/>
        </w:rPr>
        <w:t>o</w:t>
      </w:r>
      <w:r w:rsidR="00D9246C" w:rsidRPr="00BC20EE">
        <w:rPr>
          <w:sz w:val="20"/>
          <w:szCs w:val="20"/>
        </w:rPr>
        <w:t>racular</w:t>
      </w:r>
      <w:r w:rsidR="00DD6928" w:rsidRPr="00BC20EE">
        <w:rPr>
          <w:sz w:val="20"/>
          <w:szCs w:val="20"/>
        </w:rPr>
        <w:t xml:space="preserve"> techniques were not exclusive to</w:t>
      </w:r>
      <w:r w:rsidR="00A14972" w:rsidRPr="00BC20EE">
        <w:rPr>
          <w:sz w:val="20"/>
          <w:szCs w:val="20"/>
        </w:rPr>
        <w:t xml:space="preserve"> these types of grandiose ritual</w:t>
      </w:r>
      <w:r w:rsidR="00DD6928" w:rsidRPr="00BC20EE">
        <w:rPr>
          <w:sz w:val="20"/>
          <w:szCs w:val="20"/>
        </w:rPr>
        <w:t xml:space="preserve"> </w:t>
      </w:r>
      <w:r w:rsidR="0018283D" w:rsidRPr="00BC20EE">
        <w:rPr>
          <w:sz w:val="20"/>
          <w:szCs w:val="20"/>
        </w:rPr>
        <w:t>, the magical Greek papyri are full of oracles of different types which require no extended preparation or the dedication of one’s life to the Gods</w:t>
      </w:r>
      <w:r w:rsidR="009D481F" w:rsidRPr="00BC20EE">
        <w:rPr>
          <w:sz w:val="20"/>
          <w:szCs w:val="20"/>
        </w:rPr>
        <w:t>, and still</w:t>
      </w:r>
      <w:r w:rsidR="003B0CC1">
        <w:rPr>
          <w:sz w:val="20"/>
          <w:szCs w:val="20"/>
        </w:rPr>
        <w:t xml:space="preserve"> appear to </w:t>
      </w:r>
      <w:r w:rsidR="009D481F" w:rsidRPr="00BC20EE">
        <w:rPr>
          <w:sz w:val="20"/>
          <w:szCs w:val="20"/>
        </w:rPr>
        <w:t xml:space="preserve"> yield usable results.</w:t>
      </w:r>
      <w:r w:rsidR="0018283D" w:rsidRPr="00BC20EE">
        <w:rPr>
          <w:sz w:val="20"/>
          <w:szCs w:val="20"/>
        </w:rPr>
        <w:t xml:space="preserve">  One example is a request for a dream oracle</w:t>
      </w:r>
      <w:r w:rsidR="009D481F" w:rsidRPr="00BC20EE">
        <w:rPr>
          <w:sz w:val="20"/>
          <w:szCs w:val="20"/>
        </w:rPr>
        <w:t>, PGM V11,73-26</w:t>
      </w:r>
      <w:r w:rsidR="0018283D" w:rsidRPr="00BC20EE">
        <w:rPr>
          <w:sz w:val="20"/>
          <w:szCs w:val="20"/>
        </w:rPr>
        <w:t>, in this magical spell a request is written with myrrh to the Universal gods. Invocations and vowel intonation are used to invoke a dream oracle.  After the magical name is written in a V formation it is placed under the lamp and the person is instructed to go to sleep</w:t>
      </w:r>
      <w:r w:rsidR="00A14972" w:rsidRPr="00BC20EE">
        <w:rPr>
          <w:sz w:val="20"/>
          <w:szCs w:val="20"/>
        </w:rPr>
        <w:t xml:space="preserve"> and await the oracle</w:t>
      </w:r>
      <w:r w:rsidR="0018283D" w:rsidRPr="00BC20EE">
        <w:rPr>
          <w:sz w:val="20"/>
          <w:szCs w:val="20"/>
        </w:rPr>
        <w:t>.</w:t>
      </w:r>
      <w:r w:rsidR="0018283D" w:rsidRPr="00BC20EE">
        <w:rPr>
          <w:rStyle w:val="FootnoteReference"/>
          <w:sz w:val="20"/>
          <w:szCs w:val="20"/>
        </w:rPr>
        <w:footnoteReference w:id="22"/>
      </w:r>
      <w:r w:rsidR="0018283D" w:rsidRPr="00BC20EE">
        <w:rPr>
          <w:sz w:val="20"/>
          <w:szCs w:val="20"/>
        </w:rPr>
        <w:t xml:space="preserve">  These invocations appear to be in general use and do not indicate the need for the </w:t>
      </w:r>
      <w:r w:rsidR="005D064B">
        <w:rPr>
          <w:sz w:val="20"/>
          <w:szCs w:val="20"/>
        </w:rPr>
        <w:t>intervention of properly prepared priesthoods to conduct the ritual</w:t>
      </w:r>
      <w:r w:rsidR="0018283D" w:rsidRPr="00BC20EE">
        <w:rPr>
          <w:sz w:val="20"/>
          <w:szCs w:val="20"/>
        </w:rPr>
        <w:t>.  These were the type of divinations of which Iamblichus disapproved and indeed he</w:t>
      </w:r>
      <w:r w:rsidR="00D44890" w:rsidRPr="00BC20EE">
        <w:rPr>
          <w:sz w:val="20"/>
          <w:szCs w:val="20"/>
        </w:rPr>
        <w:t xml:space="preserve"> raises concerns about performing divination with what he terms “</w:t>
      </w:r>
      <w:r w:rsidR="00D44890" w:rsidRPr="005D064B">
        <w:rPr>
          <w:i/>
          <w:sz w:val="20"/>
          <w:szCs w:val="20"/>
        </w:rPr>
        <w:t>magical characters</w:t>
      </w:r>
      <w:r w:rsidR="00D44890" w:rsidRPr="00BC20EE">
        <w:rPr>
          <w:sz w:val="20"/>
          <w:szCs w:val="20"/>
        </w:rPr>
        <w:t>”, stating that this is a form of divination which has been put to “</w:t>
      </w:r>
      <w:r w:rsidR="00D44890" w:rsidRPr="005D064B">
        <w:rPr>
          <w:i/>
          <w:sz w:val="20"/>
          <w:szCs w:val="20"/>
        </w:rPr>
        <w:t xml:space="preserve">bad use by the </w:t>
      </w:r>
      <w:r w:rsidR="009D481F" w:rsidRPr="005D064B">
        <w:rPr>
          <w:i/>
          <w:sz w:val="20"/>
          <w:szCs w:val="20"/>
        </w:rPr>
        <w:t>v</w:t>
      </w:r>
      <w:r w:rsidR="00D44890" w:rsidRPr="005D064B">
        <w:rPr>
          <w:i/>
          <w:sz w:val="20"/>
          <w:szCs w:val="20"/>
        </w:rPr>
        <w:t>ulgar throng</w:t>
      </w:r>
      <w:r w:rsidR="00D44890" w:rsidRPr="00BC20EE">
        <w:rPr>
          <w:sz w:val="20"/>
          <w:szCs w:val="20"/>
        </w:rPr>
        <w:t>”</w:t>
      </w:r>
      <w:r w:rsidR="00D9246C" w:rsidRPr="00BC20EE">
        <w:rPr>
          <w:sz w:val="20"/>
          <w:szCs w:val="20"/>
        </w:rPr>
        <w:t xml:space="preserve">, </w:t>
      </w:r>
      <w:r w:rsidR="00E87E60">
        <w:rPr>
          <w:sz w:val="20"/>
          <w:szCs w:val="20"/>
        </w:rPr>
        <w:t>but they would appear to be</w:t>
      </w:r>
      <w:r w:rsidR="00D9246C" w:rsidRPr="00BC20EE">
        <w:rPr>
          <w:sz w:val="20"/>
          <w:szCs w:val="20"/>
        </w:rPr>
        <w:t xml:space="preserve"> far more common than</w:t>
      </w:r>
      <w:r w:rsidR="005D064B">
        <w:rPr>
          <w:sz w:val="20"/>
          <w:szCs w:val="20"/>
        </w:rPr>
        <w:t xml:space="preserve"> the inductive divination </w:t>
      </w:r>
      <w:r w:rsidR="00D9246C" w:rsidRPr="00BC20EE">
        <w:rPr>
          <w:sz w:val="20"/>
          <w:szCs w:val="20"/>
        </w:rPr>
        <w:t>of which he did approve</w:t>
      </w:r>
      <w:r w:rsidR="00D44890" w:rsidRPr="00BC20EE">
        <w:rPr>
          <w:sz w:val="20"/>
          <w:szCs w:val="20"/>
        </w:rPr>
        <w:t>.</w:t>
      </w:r>
      <w:r w:rsidR="00D44890" w:rsidRPr="00BC20EE">
        <w:rPr>
          <w:rStyle w:val="FootnoteReference"/>
          <w:sz w:val="20"/>
          <w:szCs w:val="20"/>
        </w:rPr>
        <w:footnoteReference w:id="23"/>
      </w:r>
      <w:r w:rsidR="00D44890" w:rsidRPr="00BC20EE">
        <w:rPr>
          <w:sz w:val="20"/>
          <w:szCs w:val="20"/>
        </w:rPr>
        <w:t xml:space="preserve">  </w:t>
      </w:r>
      <w:r w:rsidR="006B7FF0">
        <w:rPr>
          <w:sz w:val="20"/>
          <w:szCs w:val="20"/>
        </w:rPr>
        <w:t xml:space="preserve">He also goes on to criticise the use of images in talismanic magic, where he describes how the practitioner </w:t>
      </w:r>
      <w:r w:rsidR="006B7FF0" w:rsidRPr="00FF6D47">
        <w:rPr>
          <w:i/>
          <w:sz w:val="20"/>
          <w:szCs w:val="20"/>
        </w:rPr>
        <w:t>“undervalues</w:t>
      </w:r>
      <w:r w:rsidR="006B7FF0">
        <w:rPr>
          <w:sz w:val="20"/>
          <w:szCs w:val="20"/>
        </w:rPr>
        <w:t>”  their own divinity by trusting what he terms “</w:t>
      </w:r>
      <w:r w:rsidR="006B7FF0" w:rsidRPr="006B7FF0">
        <w:rPr>
          <w:i/>
          <w:sz w:val="20"/>
          <w:szCs w:val="20"/>
        </w:rPr>
        <w:t>lifeless</w:t>
      </w:r>
      <w:r w:rsidR="006B7FF0">
        <w:rPr>
          <w:sz w:val="20"/>
          <w:szCs w:val="20"/>
        </w:rPr>
        <w:t>” images infused by the appearance of life, he claims that “</w:t>
      </w:r>
      <w:r w:rsidR="006B7FF0" w:rsidRPr="006B7FF0">
        <w:rPr>
          <w:i/>
          <w:sz w:val="20"/>
          <w:szCs w:val="20"/>
        </w:rPr>
        <w:t>nothing shaped by human skill are simple and pure</w:t>
      </w:r>
      <w:r w:rsidR="006B7FF0">
        <w:rPr>
          <w:sz w:val="20"/>
          <w:szCs w:val="20"/>
        </w:rPr>
        <w:t>”.</w:t>
      </w:r>
      <w:r w:rsidR="006B7FF0">
        <w:rPr>
          <w:rStyle w:val="FootnoteReference"/>
          <w:sz w:val="20"/>
          <w:szCs w:val="20"/>
        </w:rPr>
        <w:footnoteReference w:id="24"/>
      </w:r>
      <w:r w:rsidR="006B7FF0">
        <w:rPr>
          <w:sz w:val="20"/>
          <w:szCs w:val="20"/>
        </w:rPr>
        <w:t xml:space="preserve">  This appears to suggest that Iamblichus believed that the magical procedures outlined in many of the papyri and which were in common use at the time are invalid and </w:t>
      </w:r>
      <w:r w:rsidR="00FF6D47">
        <w:rPr>
          <w:sz w:val="20"/>
          <w:szCs w:val="20"/>
        </w:rPr>
        <w:t>did not work.</w:t>
      </w:r>
    </w:p>
    <w:p w14:paraId="1F89921E" w14:textId="364012E9" w:rsidR="00D44890" w:rsidRDefault="00DD6928" w:rsidP="00D44890">
      <w:pPr>
        <w:spacing w:line="360" w:lineRule="auto"/>
        <w:ind w:firstLine="720"/>
        <w:rPr>
          <w:sz w:val="20"/>
          <w:szCs w:val="20"/>
        </w:rPr>
      </w:pPr>
      <w:r w:rsidRPr="00BC20EE">
        <w:rPr>
          <w:sz w:val="20"/>
          <w:szCs w:val="20"/>
        </w:rPr>
        <w:t xml:space="preserve">Iamblichus </w:t>
      </w:r>
      <w:r w:rsidR="00FF6D47">
        <w:rPr>
          <w:sz w:val="20"/>
          <w:szCs w:val="20"/>
        </w:rPr>
        <w:t xml:space="preserve">appears to </w:t>
      </w:r>
      <w:r w:rsidRPr="00BC20EE">
        <w:rPr>
          <w:sz w:val="20"/>
          <w:szCs w:val="20"/>
        </w:rPr>
        <w:t xml:space="preserve">contradict </w:t>
      </w:r>
      <w:r w:rsidR="00FF6D47">
        <w:rPr>
          <w:sz w:val="20"/>
          <w:szCs w:val="20"/>
        </w:rPr>
        <w:t>this</w:t>
      </w:r>
      <w:r w:rsidRPr="00BC20EE">
        <w:rPr>
          <w:sz w:val="20"/>
          <w:szCs w:val="20"/>
        </w:rPr>
        <w:t xml:space="preserve"> when speaking </w:t>
      </w:r>
      <w:r w:rsidR="00D44890" w:rsidRPr="00BC20EE">
        <w:rPr>
          <w:sz w:val="20"/>
          <w:szCs w:val="20"/>
        </w:rPr>
        <w:t xml:space="preserve">later of other forms of popular divination which </w:t>
      </w:r>
      <w:r w:rsidRPr="00BC20EE">
        <w:rPr>
          <w:sz w:val="20"/>
          <w:szCs w:val="20"/>
        </w:rPr>
        <w:t xml:space="preserve">he says are </w:t>
      </w:r>
      <w:r w:rsidR="00D44890" w:rsidRPr="00BC20EE">
        <w:rPr>
          <w:sz w:val="20"/>
          <w:szCs w:val="20"/>
        </w:rPr>
        <w:t>made largely of “</w:t>
      </w:r>
      <w:r w:rsidR="00D44890" w:rsidRPr="00FF6D47">
        <w:rPr>
          <w:i/>
          <w:sz w:val="20"/>
          <w:szCs w:val="20"/>
        </w:rPr>
        <w:t>guessing and supposition</w:t>
      </w:r>
      <w:r w:rsidR="00D44890" w:rsidRPr="00BC20EE">
        <w:rPr>
          <w:sz w:val="20"/>
          <w:szCs w:val="20"/>
        </w:rPr>
        <w:t>”</w:t>
      </w:r>
      <w:r w:rsidRPr="00BC20EE">
        <w:rPr>
          <w:sz w:val="20"/>
          <w:szCs w:val="20"/>
        </w:rPr>
        <w:t xml:space="preserve"> </w:t>
      </w:r>
      <w:r w:rsidR="00E87E60">
        <w:rPr>
          <w:sz w:val="20"/>
          <w:szCs w:val="20"/>
        </w:rPr>
        <w:t xml:space="preserve"> suggesting that </w:t>
      </w:r>
      <w:r w:rsidR="00610E4E">
        <w:rPr>
          <w:sz w:val="20"/>
          <w:szCs w:val="20"/>
        </w:rPr>
        <w:t xml:space="preserve">he would </w:t>
      </w:r>
      <w:r w:rsidRPr="00BC20EE">
        <w:rPr>
          <w:sz w:val="20"/>
          <w:szCs w:val="20"/>
        </w:rPr>
        <w:t xml:space="preserve"> disapprov</w:t>
      </w:r>
      <w:r w:rsidR="00610E4E">
        <w:rPr>
          <w:sz w:val="20"/>
          <w:szCs w:val="20"/>
        </w:rPr>
        <w:t>e</w:t>
      </w:r>
      <w:r w:rsidRPr="00BC20EE">
        <w:rPr>
          <w:sz w:val="20"/>
          <w:szCs w:val="20"/>
        </w:rPr>
        <w:t xml:space="preserve"> of their material basis</w:t>
      </w:r>
      <w:r w:rsidR="00D44890" w:rsidRPr="00BC20EE">
        <w:rPr>
          <w:sz w:val="20"/>
          <w:szCs w:val="20"/>
        </w:rPr>
        <w:t>.</w:t>
      </w:r>
      <w:r w:rsidR="00D44890" w:rsidRPr="00BC20EE">
        <w:rPr>
          <w:rStyle w:val="FootnoteReference"/>
          <w:sz w:val="20"/>
          <w:szCs w:val="20"/>
        </w:rPr>
        <w:footnoteReference w:id="25"/>
      </w:r>
      <w:r w:rsidR="00D44890" w:rsidRPr="00BC20EE">
        <w:rPr>
          <w:sz w:val="20"/>
          <w:szCs w:val="20"/>
        </w:rPr>
        <w:t xml:space="preserve">  </w:t>
      </w:r>
      <w:r w:rsidR="0018283D" w:rsidRPr="00BC20EE">
        <w:rPr>
          <w:sz w:val="20"/>
          <w:szCs w:val="20"/>
        </w:rPr>
        <w:t>H</w:t>
      </w:r>
      <w:r w:rsidR="00D44890" w:rsidRPr="00BC20EE">
        <w:rPr>
          <w:sz w:val="20"/>
          <w:szCs w:val="20"/>
        </w:rPr>
        <w:t>e seems</w:t>
      </w:r>
      <w:r w:rsidR="009D481F" w:rsidRPr="00BC20EE">
        <w:rPr>
          <w:sz w:val="20"/>
          <w:szCs w:val="20"/>
        </w:rPr>
        <w:t xml:space="preserve">, </w:t>
      </w:r>
      <w:r w:rsidR="00030CF8" w:rsidRPr="00BC20EE">
        <w:rPr>
          <w:sz w:val="20"/>
          <w:szCs w:val="20"/>
        </w:rPr>
        <w:t>however,</w:t>
      </w:r>
      <w:r w:rsidR="00D44890" w:rsidRPr="00BC20EE">
        <w:rPr>
          <w:sz w:val="20"/>
          <w:szCs w:val="20"/>
        </w:rPr>
        <w:t xml:space="preserve"> to accept this form of divination as “</w:t>
      </w:r>
      <w:r w:rsidR="00D44890" w:rsidRPr="00FF6D47">
        <w:rPr>
          <w:i/>
          <w:sz w:val="20"/>
          <w:szCs w:val="20"/>
        </w:rPr>
        <w:t>god sent</w:t>
      </w:r>
      <w:r w:rsidR="00D44890" w:rsidRPr="00BC20EE">
        <w:rPr>
          <w:sz w:val="20"/>
          <w:szCs w:val="20"/>
        </w:rPr>
        <w:t>” due to the fact that the diviner is using inanimate objects which he believes are actively under the control of divine influence.</w:t>
      </w:r>
      <w:r w:rsidR="00D44890" w:rsidRPr="00BC20EE">
        <w:rPr>
          <w:rStyle w:val="FootnoteReference"/>
          <w:sz w:val="20"/>
          <w:szCs w:val="20"/>
        </w:rPr>
        <w:footnoteReference w:id="26"/>
      </w:r>
      <w:r w:rsidR="00D44890" w:rsidRPr="00BC20EE">
        <w:rPr>
          <w:sz w:val="20"/>
          <w:szCs w:val="20"/>
        </w:rPr>
        <w:t xml:space="preserve">  </w:t>
      </w:r>
      <w:r w:rsidR="00FF6D47">
        <w:rPr>
          <w:sz w:val="20"/>
          <w:szCs w:val="20"/>
        </w:rPr>
        <w:t>I</w:t>
      </w:r>
      <w:r w:rsidR="00D44890" w:rsidRPr="00BC20EE">
        <w:rPr>
          <w:sz w:val="20"/>
          <w:szCs w:val="20"/>
        </w:rPr>
        <w:t>t seems</w:t>
      </w:r>
      <w:r w:rsidR="00FF6D47">
        <w:rPr>
          <w:sz w:val="20"/>
          <w:szCs w:val="20"/>
        </w:rPr>
        <w:t xml:space="preserve"> that he </w:t>
      </w:r>
      <w:r w:rsidR="00D44890" w:rsidRPr="00BC20EE">
        <w:rPr>
          <w:sz w:val="20"/>
          <w:szCs w:val="20"/>
        </w:rPr>
        <w:t xml:space="preserve"> has no issue with this type of divination, </w:t>
      </w:r>
      <w:r w:rsidR="00E87E60">
        <w:rPr>
          <w:sz w:val="20"/>
          <w:szCs w:val="20"/>
        </w:rPr>
        <w:t>c</w:t>
      </w:r>
      <w:r w:rsidR="00D44890" w:rsidRPr="00BC20EE">
        <w:rPr>
          <w:sz w:val="20"/>
          <w:szCs w:val="20"/>
        </w:rPr>
        <w:t xml:space="preserve">iting Augury and </w:t>
      </w:r>
      <w:proofErr w:type="spellStart"/>
      <w:r w:rsidR="00D44890" w:rsidRPr="00BC20EE">
        <w:rPr>
          <w:sz w:val="20"/>
          <w:szCs w:val="20"/>
        </w:rPr>
        <w:t>e</w:t>
      </w:r>
      <w:r w:rsidRPr="00BC20EE">
        <w:rPr>
          <w:sz w:val="20"/>
          <w:szCs w:val="20"/>
        </w:rPr>
        <w:t>x</w:t>
      </w:r>
      <w:r w:rsidR="00A14972" w:rsidRPr="00BC20EE">
        <w:rPr>
          <w:sz w:val="20"/>
          <w:szCs w:val="20"/>
        </w:rPr>
        <w:t>ti</w:t>
      </w:r>
      <w:r w:rsidR="00D44890" w:rsidRPr="00BC20EE">
        <w:rPr>
          <w:sz w:val="20"/>
          <w:szCs w:val="20"/>
        </w:rPr>
        <w:t>sp</w:t>
      </w:r>
      <w:r w:rsidRPr="00BC20EE">
        <w:rPr>
          <w:sz w:val="20"/>
          <w:szCs w:val="20"/>
        </w:rPr>
        <w:t>i</w:t>
      </w:r>
      <w:r w:rsidR="00D44890" w:rsidRPr="00BC20EE">
        <w:rPr>
          <w:sz w:val="20"/>
          <w:szCs w:val="20"/>
        </w:rPr>
        <w:t>c</w:t>
      </w:r>
      <w:r w:rsidR="00071AD2" w:rsidRPr="00BC20EE">
        <w:rPr>
          <w:sz w:val="20"/>
          <w:szCs w:val="20"/>
        </w:rPr>
        <w:t>y</w:t>
      </w:r>
      <w:proofErr w:type="spellEnd"/>
      <w:r w:rsidR="00D44890" w:rsidRPr="00BC20EE">
        <w:rPr>
          <w:sz w:val="20"/>
          <w:szCs w:val="20"/>
        </w:rPr>
        <w:t xml:space="preserve"> as being acceptable forms of divination as they are not influenced by the lower mind of humans</w:t>
      </w:r>
      <w:r w:rsidRPr="00BC20EE">
        <w:rPr>
          <w:sz w:val="20"/>
          <w:szCs w:val="20"/>
        </w:rPr>
        <w:t>.</w:t>
      </w:r>
      <w:r w:rsidR="00D9246C" w:rsidRPr="00BC20EE">
        <w:rPr>
          <w:rStyle w:val="FootnoteReference"/>
          <w:sz w:val="20"/>
          <w:szCs w:val="20"/>
        </w:rPr>
        <w:footnoteReference w:id="27"/>
      </w:r>
      <w:r w:rsidR="00D44890" w:rsidRPr="00BC20EE">
        <w:rPr>
          <w:sz w:val="20"/>
          <w:szCs w:val="20"/>
        </w:rPr>
        <w:t xml:space="preserve"> </w:t>
      </w:r>
    </w:p>
    <w:p w14:paraId="4FDD37E1" w14:textId="6A3E4C37" w:rsidR="00D9246C" w:rsidRPr="00BC20EE" w:rsidRDefault="00411FE2" w:rsidP="005D064B">
      <w:pPr>
        <w:pStyle w:val="NoSpacing"/>
        <w:spacing w:line="360" w:lineRule="auto"/>
        <w:ind w:firstLine="720"/>
        <w:rPr>
          <w:color w:val="000000"/>
          <w:sz w:val="20"/>
          <w:szCs w:val="20"/>
          <w:shd w:val="clear" w:color="auto" w:fill="FFFFFF"/>
        </w:rPr>
      </w:pPr>
      <w:r w:rsidRPr="00BC20EE">
        <w:rPr>
          <w:sz w:val="20"/>
          <w:szCs w:val="20"/>
        </w:rPr>
        <w:lastRenderedPageBreak/>
        <w:t xml:space="preserve">The seemingly </w:t>
      </w:r>
      <w:r w:rsidR="00B65754" w:rsidRPr="00BC20EE">
        <w:rPr>
          <w:sz w:val="20"/>
          <w:szCs w:val="20"/>
        </w:rPr>
        <w:t>contradictory</w:t>
      </w:r>
      <w:r w:rsidRPr="00BC20EE">
        <w:rPr>
          <w:sz w:val="20"/>
          <w:szCs w:val="20"/>
        </w:rPr>
        <w:t xml:space="preserve"> points of view of Iamblichus and </w:t>
      </w:r>
      <w:r w:rsidR="00B65754" w:rsidRPr="00BC20EE">
        <w:rPr>
          <w:sz w:val="20"/>
          <w:szCs w:val="20"/>
        </w:rPr>
        <w:t>Porphyry</w:t>
      </w:r>
      <w:r w:rsidRPr="00BC20EE">
        <w:rPr>
          <w:sz w:val="20"/>
          <w:szCs w:val="20"/>
        </w:rPr>
        <w:t xml:space="preserve"> </w:t>
      </w:r>
      <w:r w:rsidR="00FF6D47">
        <w:rPr>
          <w:sz w:val="20"/>
          <w:szCs w:val="20"/>
        </w:rPr>
        <w:t xml:space="preserve">appear to </w:t>
      </w:r>
      <w:r w:rsidRPr="00BC20EE">
        <w:rPr>
          <w:sz w:val="20"/>
          <w:szCs w:val="20"/>
        </w:rPr>
        <w:t xml:space="preserve">stem from their </w:t>
      </w:r>
      <w:r w:rsidR="00610E4E">
        <w:rPr>
          <w:sz w:val="20"/>
          <w:szCs w:val="20"/>
        </w:rPr>
        <w:t xml:space="preserve">different understandings </w:t>
      </w:r>
      <w:r w:rsidRPr="00BC20EE">
        <w:rPr>
          <w:sz w:val="20"/>
          <w:szCs w:val="20"/>
        </w:rPr>
        <w:t>of Theurgy itself.</w:t>
      </w:r>
      <w:r w:rsidR="00A007E5">
        <w:rPr>
          <w:sz w:val="20"/>
          <w:szCs w:val="20"/>
        </w:rPr>
        <w:t xml:space="preserve">  </w:t>
      </w:r>
      <w:r w:rsidR="002C0205">
        <w:rPr>
          <w:sz w:val="20"/>
          <w:szCs w:val="20"/>
        </w:rPr>
        <w:t>Porphyry, argues against Iamblichus’ theurgical philosophy as it appears to move away from the rationality of their teacher Plotinus’ more mystical approach of philosophy.</w:t>
      </w:r>
      <w:r w:rsidR="002C0205">
        <w:rPr>
          <w:rStyle w:val="FootnoteReference"/>
          <w:sz w:val="20"/>
          <w:szCs w:val="20"/>
        </w:rPr>
        <w:footnoteReference w:id="28"/>
      </w:r>
      <w:r w:rsidRPr="00BC20EE">
        <w:rPr>
          <w:sz w:val="20"/>
          <w:szCs w:val="20"/>
        </w:rPr>
        <w:t xml:space="preserve">  Gregory Shaw states that </w:t>
      </w:r>
      <w:r w:rsidR="00B65754" w:rsidRPr="00BC20EE">
        <w:rPr>
          <w:i/>
          <w:sz w:val="20"/>
          <w:szCs w:val="20"/>
        </w:rPr>
        <w:t>“Porphyry</w:t>
      </w:r>
      <w:r w:rsidRPr="00BC20EE">
        <w:rPr>
          <w:i/>
          <w:sz w:val="20"/>
          <w:szCs w:val="20"/>
        </w:rPr>
        <w:t xml:space="preserve"> was the first Platonist to discuss theurgy; he held that theurgic rites were useful only as a means to purify the lower soul</w:t>
      </w:r>
      <w:r w:rsidR="00F16370" w:rsidRPr="00BC20EE">
        <w:rPr>
          <w:i/>
          <w:sz w:val="20"/>
          <w:szCs w:val="20"/>
        </w:rPr>
        <w:t>,</w:t>
      </w:r>
      <w:r w:rsidRPr="00BC20EE">
        <w:rPr>
          <w:i/>
          <w:sz w:val="20"/>
          <w:szCs w:val="20"/>
        </w:rPr>
        <w:t xml:space="preserve"> Iamblichus, with a significantly different notion of 'soul,' believed theurgic rites possessed the highest degree of initiatory power</w:t>
      </w:r>
      <w:r w:rsidRPr="00BC20EE">
        <w:rPr>
          <w:sz w:val="20"/>
          <w:szCs w:val="20"/>
        </w:rPr>
        <w:t>”.</w:t>
      </w:r>
      <w:r w:rsidR="00B65754" w:rsidRPr="00BC20EE">
        <w:rPr>
          <w:rStyle w:val="FootnoteReference"/>
          <w:sz w:val="20"/>
          <w:szCs w:val="20"/>
        </w:rPr>
        <w:footnoteReference w:id="29"/>
      </w:r>
      <w:r w:rsidRPr="00BC20EE">
        <w:rPr>
          <w:sz w:val="20"/>
          <w:szCs w:val="20"/>
        </w:rPr>
        <w:t xml:space="preserve"> </w:t>
      </w:r>
      <w:r w:rsidR="00B65754" w:rsidRPr="00BC20EE">
        <w:rPr>
          <w:sz w:val="20"/>
          <w:szCs w:val="20"/>
        </w:rPr>
        <w:t xml:space="preserve">  </w:t>
      </w:r>
      <w:r w:rsidR="00BC20EE" w:rsidRPr="00BC20EE">
        <w:rPr>
          <w:sz w:val="20"/>
          <w:szCs w:val="20"/>
        </w:rPr>
        <w:t xml:space="preserve"> Iamblichus’ understanding of the soul was that there</w:t>
      </w:r>
      <w:r w:rsidR="00932F94" w:rsidRPr="00BC20EE">
        <w:rPr>
          <w:sz w:val="20"/>
          <w:szCs w:val="20"/>
        </w:rPr>
        <w:t xml:space="preserve"> were intermediate levels between the lower, subservient </w:t>
      </w:r>
      <w:r w:rsidR="00BC20EE" w:rsidRPr="00BC20EE">
        <w:rPr>
          <w:sz w:val="20"/>
          <w:szCs w:val="20"/>
        </w:rPr>
        <w:t xml:space="preserve">human </w:t>
      </w:r>
      <w:r w:rsidR="00932F94" w:rsidRPr="00BC20EE">
        <w:rPr>
          <w:sz w:val="20"/>
          <w:szCs w:val="20"/>
        </w:rPr>
        <w:t>soul</w:t>
      </w:r>
      <w:r w:rsidR="005D064B">
        <w:rPr>
          <w:sz w:val="20"/>
          <w:szCs w:val="20"/>
        </w:rPr>
        <w:t>,</w:t>
      </w:r>
      <w:r w:rsidR="00932F94" w:rsidRPr="00BC20EE">
        <w:rPr>
          <w:sz w:val="20"/>
          <w:szCs w:val="20"/>
        </w:rPr>
        <w:t xml:space="preserve"> and the higher soul of the divine world</w:t>
      </w:r>
      <w:r w:rsidR="00BC20EE" w:rsidRPr="00BC20EE">
        <w:rPr>
          <w:sz w:val="20"/>
          <w:szCs w:val="20"/>
        </w:rPr>
        <w:t>.</w:t>
      </w:r>
      <w:r w:rsidR="00BC20EE" w:rsidRPr="00BC20EE">
        <w:rPr>
          <w:rStyle w:val="FootnoteReference"/>
          <w:sz w:val="20"/>
          <w:szCs w:val="20"/>
        </w:rPr>
        <w:footnoteReference w:id="30"/>
      </w:r>
      <w:r w:rsidR="00BC20EE" w:rsidRPr="00BC20EE">
        <w:rPr>
          <w:sz w:val="20"/>
          <w:szCs w:val="20"/>
        </w:rPr>
        <w:t xml:space="preserve">  </w:t>
      </w:r>
      <w:r w:rsidR="00D9246C" w:rsidRPr="00BC20EE">
        <w:rPr>
          <w:sz w:val="20"/>
          <w:szCs w:val="20"/>
        </w:rPr>
        <w:t xml:space="preserve"> </w:t>
      </w:r>
      <w:r w:rsidR="00BC20EE" w:rsidRPr="00BC20EE">
        <w:rPr>
          <w:sz w:val="20"/>
          <w:szCs w:val="20"/>
        </w:rPr>
        <w:t xml:space="preserve">  These intermediate levels </w:t>
      </w:r>
      <w:r w:rsidR="00D9246C" w:rsidRPr="00BC20EE">
        <w:rPr>
          <w:sz w:val="20"/>
          <w:szCs w:val="20"/>
        </w:rPr>
        <w:t xml:space="preserve">are </w:t>
      </w:r>
      <w:r w:rsidR="00BC20EE" w:rsidRPr="00BC20EE">
        <w:rPr>
          <w:sz w:val="20"/>
          <w:szCs w:val="20"/>
        </w:rPr>
        <w:t xml:space="preserve"> unlike those in </w:t>
      </w:r>
      <w:r w:rsidR="00D9246C" w:rsidRPr="00BC20EE">
        <w:rPr>
          <w:sz w:val="20"/>
          <w:szCs w:val="20"/>
        </w:rPr>
        <w:t>other Platonic or Neoplatonic theologies</w:t>
      </w:r>
      <w:r w:rsidR="005D064B">
        <w:rPr>
          <w:sz w:val="20"/>
          <w:szCs w:val="20"/>
        </w:rPr>
        <w:t xml:space="preserve"> and </w:t>
      </w:r>
      <w:r w:rsidR="00932F94" w:rsidRPr="00BC20EE">
        <w:rPr>
          <w:sz w:val="20"/>
          <w:szCs w:val="20"/>
        </w:rPr>
        <w:t>was made of spiritual beings such as daemons, the souls of heroes and angels.</w:t>
      </w:r>
      <w:r w:rsidR="00932F94" w:rsidRPr="00BC20EE">
        <w:rPr>
          <w:rStyle w:val="FootnoteReference"/>
          <w:sz w:val="20"/>
          <w:szCs w:val="20"/>
        </w:rPr>
        <w:footnoteReference w:id="31"/>
      </w:r>
      <w:r w:rsidR="00932F94" w:rsidRPr="00BC20EE">
        <w:rPr>
          <w:sz w:val="20"/>
          <w:szCs w:val="20"/>
        </w:rPr>
        <w:t xml:space="preserve">  </w:t>
      </w:r>
      <w:r w:rsidR="00E87E60">
        <w:rPr>
          <w:sz w:val="20"/>
          <w:szCs w:val="20"/>
        </w:rPr>
        <w:t xml:space="preserve"> </w:t>
      </w:r>
      <w:proofErr w:type="spellStart"/>
      <w:r w:rsidR="00E87E60">
        <w:rPr>
          <w:sz w:val="20"/>
          <w:szCs w:val="20"/>
        </w:rPr>
        <w:t>Athnassiadi</w:t>
      </w:r>
      <w:proofErr w:type="spellEnd"/>
      <w:r w:rsidR="00E87E60">
        <w:rPr>
          <w:sz w:val="20"/>
          <w:szCs w:val="20"/>
        </w:rPr>
        <w:t xml:space="preserve"> discusses Iamblichus’ view that “</w:t>
      </w:r>
      <w:r w:rsidR="00E87E60" w:rsidRPr="00E87E60">
        <w:rPr>
          <w:i/>
          <w:sz w:val="20"/>
          <w:szCs w:val="20"/>
        </w:rPr>
        <w:t>only by negating himself can man become aware of the Divine spirit within him</w:t>
      </w:r>
      <w:r w:rsidR="00E87E60">
        <w:rPr>
          <w:i/>
          <w:sz w:val="20"/>
          <w:szCs w:val="20"/>
        </w:rPr>
        <w:t>”</w:t>
      </w:r>
      <w:r w:rsidR="00605708">
        <w:rPr>
          <w:i/>
          <w:sz w:val="20"/>
          <w:szCs w:val="20"/>
        </w:rPr>
        <w:t xml:space="preserve"> </w:t>
      </w:r>
      <w:r w:rsidR="00605708" w:rsidRPr="00605708">
        <w:rPr>
          <w:sz w:val="20"/>
          <w:szCs w:val="20"/>
        </w:rPr>
        <w:t xml:space="preserve">and describes how the </w:t>
      </w:r>
      <w:r w:rsidR="00FF6D47">
        <w:rPr>
          <w:sz w:val="20"/>
          <w:szCs w:val="20"/>
        </w:rPr>
        <w:t xml:space="preserve">intermediary </w:t>
      </w:r>
      <w:r w:rsidR="00605708" w:rsidRPr="00605708">
        <w:rPr>
          <w:sz w:val="20"/>
          <w:szCs w:val="20"/>
        </w:rPr>
        <w:t>stages are merely symbols of the developing human soul</w:t>
      </w:r>
      <w:r w:rsidR="00E87E60">
        <w:rPr>
          <w:rStyle w:val="FootnoteReference"/>
          <w:sz w:val="20"/>
          <w:szCs w:val="20"/>
        </w:rPr>
        <w:footnoteReference w:id="32"/>
      </w:r>
      <w:r w:rsidR="00E87E60">
        <w:rPr>
          <w:sz w:val="20"/>
          <w:szCs w:val="20"/>
        </w:rPr>
        <w:t>.</w:t>
      </w:r>
      <w:r w:rsidR="00932F94" w:rsidRPr="00BC20EE">
        <w:rPr>
          <w:sz w:val="20"/>
          <w:szCs w:val="20"/>
        </w:rPr>
        <w:t xml:space="preserve">  This </w:t>
      </w:r>
      <w:r w:rsidR="00FF6D47">
        <w:rPr>
          <w:sz w:val="20"/>
          <w:szCs w:val="20"/>
        </w:rPr>
        <w:t xml:space="preserve">may have </w:t>
      </w:r>
      <w:r w:rsidR="00932F94" w:rsidRPr="00BC20EE">
        <w:rPr>
          <w:sz w:val="20"/>
          <w:szCs w:val="20"/>
        </w:rPr>
        <w:t>caused difficulties for philosophers such as Porphyry who</w:t>
      </w:r>
      <w:r w:rsidR="00FF6D47">
        <w:rPr>
          <w:sz w:val="20"/>
          <w:szCs w:val="20"/>
        </w:rPr>
        <w:t xml:space="preserve"> would have</w:t>
      </w:r>
      <w:r w:rsidR="00932F94" w:rsidRPr="00BC20EE">
        <w:rPr>
          <w:sz w:val="20"/>
          <w:szCs w:val="20"/>
        </w:rPr>
        <w:t xml:space="preserve"> found the subservient nature of </w:t>
      </w:r>
      <w:r w:rsidR="00BC20EE" w:rsidRPr="00BC20EE">
        <w:rPr>
          <w:sz w:val="20"/>
          <w:szCs w:val="20"/>
        </w:rPr>
        <w:t xml:space="preserve">Iamblichus’ </w:t>
      </w:r>
      <w:r w:rsidR="00605708">
        <w:rPr>
          <w:sz w:val="20"/>
          <w:szCs w:val="20"/>
        </w:rPr>
        <w:t xml:space="preserve">human </w:t>
      </w:r>
      <w:r w:rsidR="00BC20EE" w:rsidRPr="00BC20EE">
        <w:rPr>
          <w:sz w:val="20"/>
          <w:szCs w:val="20"/>
        </w:rPr>
        <w:t xml:space="preserve">soul </w:t>
      </w:r>
      <w:r w:rsidR="00932F94" w:rsidRPr="00BC20EE">
        <w:rPr>
          <w:sz w:val="20"/>
          <w:szCs w:val="20"/>
        </w:rPr>
        <w:t>to be incompatible with their understanding of the divine source and nature of the human soul.  Moore quotes Plotinus</w:t>
      </w:r>
      <w:r w:rsidR="005D064B">
        <w:rPr>
          <w:sz w:val="20"/>
          <w:szCs w:val="20"/>
        </w:rPr>
        <w:t>, the teacher of Iamblichus,</w:t>
      </w:r>
      <w:r w:rsidR="00932F94" w:rsidRPr="00BC20EE">
        <w:rPr>
          <w:sz w:val="20"/>
          <w:szCs w:val="20"/>
        </w:rPr>
        <w:t xml:space="preserve"> saying that “</w:t>
      </w:r>
      <w:r w:rsidR="00932F94" w:rsidRPr="00BC20EE">
        <w:rPr>
          <w:i/>
          <w:color w:val="000000"/>
          <w:sz w:val="20"/>
          <w:szCs w:val="20"/>
          <w:shd w:val="clear" w:color="auto" w:fill="FFFFFF"/>
        </w:rPr>
        <w:t>Plotinus had scorned "Let the gods come to me, and not I to them," he had once said (cf. Porphyry, </w:t>
      </w:r>
      <w:r w:rsidR="00932F94" w:rsidRPr="00BC20EE">
        <w:rPr>
          <w:rStyle w:val="Emphasis"/>
          <w:i w:val="0"/>
          <w:color w:val="000000"/>
          <w:sz w:val="20"/>
          <w:szCs w:val="20"/>
          <w:bdr w:val="none" w:sz="0" w:space="0" w:color="auto" w:frame="1"/>
          <w:shd w:val="clear" w:color="auto" w:fill="FFFFFF"/>
        </w:rPr>
        <w:t>Life of Plotinus </w:t>
      </w:r>
      <w:r w:rsidR="00932F94" w:rsidRPr="00BC20EE">
        <w:rPr>
          <w:i/>
          <w:color w:val="000000"/>
          <w:sz w:val="20"/>
          <w:szCs w:val="20"/>
          <w:shd w:val="clear" w:color="auto" w:fill="FFFFFF"/>
        </w:rPr>
        <w:t>10)”</w:t>
      </w:r>
      <w:r w:rsidR="00BC20EE" w:rsidRPr="00BC20EE">
        <w:rPr>
          <w:i/>
          <w:color w:val="000000"/>
          <w:sz w:val="20"/>
          <w:szCs w:val="20"/>
          <w:shd w:val="clear" w:color="auto" w:fill="FFFFFF"/>
        </w:rPr>
        <w:t>.</w:t>
      </w:r>
      <w:r w:rsidR="00932F94" w:rsidRPr="00BC20EE">
        <w:rPr>
          <w:rStyle w:val="FootnoteReference"/>
          <w:i/>
          <w:color w:val="000000"/>
          <w:sz w:val="20"/>
          <w:szCs w:val="20"/>
          <w:shd w:val="clear" w:color="auto" w:fill="FFFFFF"/>
        </w:rPr>
        <w:footnoteReference w:id="33"/>
      </w:r>
      <w:r w:rsidR="00605708">
        <w:rPr>
          <w:i/>
          <w:color w:val="000000"/>
          <w:sz w:val="20"/>
          <w:szCs w:val="20"/>
          <w:shd w:val="clear" w:color="auto" w:fill="FFFFFF"/>
        </w:rPr>
        <w:t xml:space="preserve">  </w:t>
      </w:r>
      <w:r w:rsidR="00605708">
        <w:rPr>
          <w:color w:val="000000"/>
          <w:sz w:val="20"/>
          <w:szCs w:val="20"/>
          <w:shd w:val="clear" w:color="auto" w:fill="FFFFFF"/>
        </w:rPr>
        <w:t xml:space="preserve">  There is an irony to this statement as Iamblichus spends most of the discourse arguing that the use of Theurgy to bring the Gods down into the physical realm, as described in the magical papyri spells, </w:t>
      </w:r>
      <w:r w:rsidR="005653B6">
        <w:rPr>
          <w:color w:val="000000"/>
          <w:sz w:val="20"/>
          <w:szCs w:val="20"/>
          <w:shd w:val="clear" w:color="auto" w:fill="FFFFFF"/>
        </w:rPr>
        <w:t>as being in</w:t>
      </w:r>
      <w:r w:rsidR="00605708">
        <w:rPr>
          <w:color w:val="000000"/>
          <w:sz w:val="20"/>
          <w:szCs w:val="20"/>
          <w:shd w:val="clear" w:color="auto" w:fill="FFFFFF"/>
        </w:rPr>
        <w:t>correct and that ritual to ascend to the realms of the Gods is essential for man’s development.</w:t>
      </w:r>
      <w:r w:rsidR="00605708">
        <w:rPr>
          <w:rStyle w:val="FootnoteReference"/>
          <w:color w:val="000000"/>
          <w:sz w:val="20"/>
          <w:szCs w:val="20"/>
          <w:shd w:val="clear" w:color="auto" w:fill="FFFFFF"/>
        </w:rPr>
        <w:footnoteReference w:id="34"/>
      </w:r>
      <w:r w:rsidR="00D9246C" w:rsidRPr="00BC20EE">
        <w:rPr>
          <w:i/>
          <w:color w:val="000000"/>
          <w:sz w:val="20"/>
          <w:szCs w:val="20"/>
          <w:shd w:val="clear" w:color="auto" w:fill="FFFFFF"/>
        </w:rPr>
        <w:t xml:space="preserve">  </w:t>
      </w:r>
      <w:r w:rsidR="00D9246C" w:rsidRPr="00BC20EE">
        <w:rPr>
          <w:color w:val="000000"/>
          <w:sz w:val="20"/>
          <w:szCs w:val="20"/>
          <w:shd w:val="clear" w:color="auto" w:fill="FFFFFF"/>
        </w:rPr>
        <w:t xml:space="preserve">This apparent aversion for the physical or material nature is counterintuitive to the Platonic </w:t>
      </w:r>
      <w:r w:rsidR="00A147DC" w:rsidRPr="00BC20EE">
        <w:rPr>
          <w:color w:val="000000"/>
          <w:sz w:val="20"/>
          <w:szCs w:val="20"/>
          <w:shd w:val="clear" w:color="auto" w:fill="FFFFFF"/>
        </w:rPr>
        <w:t>idea of the soul as being immersed in nature as opposed to imprisoned by it.  That nature itself has a divine root.</w:t>
      </w:r>
      <w:r w:rsidR="00A147DC" w:rsidRPr="00BC20EE">
        <w:rPr>
          <w:rStyle w:val="FootnoteReference"/>
          <w:color w:val="000000"/>
          <w:sz w:val="20"/>
          <w:szCs w:val="20"/>
          <w:shd w:val="clear" w:color="auto" w:fill="FFFFFF"/>
        </w:rPr>
        <w:footnoteReference w:id="35"/>
      </w:r>
      <w:r w:rsidR="00A147DC" w:rsidRPr="00BC20EE">
        <w:rPr>
          <w:color w:val="000000"/>
          <w:sz w:val="20"/>
          <w:szCs w:val="20"/>
          <w:shd w:val="clear" w:color="auto" w:fill="FFFFFF"/>
        </w:rPr>
        <w:t xml:space="preserve">  </w:t>
      </w:r>
      <w:r w:rsidR="00D9246C" w:rsidRPr="00BC20EE">
        <w:rPr>
          <w:i/>
          <w:color w:val="000000"/>
          <w:sz w:val="20"/>
          <w:szCs w:val="20"/>
          <w:shd w:val="clear" w:color="auto" w:fill="FFFFFF"/>
        </w:rPr>
        <w:t xml:space="preserve"> </w:t>
      </w:r>
      <w:r w:rsidR="00A147DC" w:rsidRPr="00BC20EE">
        <w:rPr>
          <w:i/>
          <w:color w:val="000000"/>
          <w:sz w:val="20"/>
          <w:szCs w:val="20"/>
          <w:shd w:val="clear" w:color="auto" w:fill="FFFFFF"/>
        </w:rPr>
        <w:t xml:space="preserve"> </w:t>
      </w:r>
      <w:r w:rsidR="00A147DC" w:rsidRPr="00BC20EE">
        <w:rPr>
          <w:color w:val="000000"/>
          <w:sz w:val="20"/>
          <w:szCs w:val="20"/>
          <w:shd w:val="clear" w:color="auto" w:fill="FFFFFF"/>
        </w:rPr>
        <w:t>Iamblichus seems to agree with later Neoplatonists such as Proclus whose philosophy was slightly gnostic in nature,</w:t>
      </w:r>
      <w:r w:rsidR="006B7FF0">
        <w:rPr>
          <w:color w:val="000000"/>
          <w:sz w:val="20"/>
          <w:szCs w:val="20"/>
          <w:shd w:val="clear" w:color="auto" w:fill="FFFFFF"/>
        </w:rPr>
        <w:t xml:space="preserve"> using descriptions such as “</w:t>
      </w:r>
      <w:r w:rsidR="006B7FF0" w:rsidRPr="005653B6">
        <w:rPr>
          <w:i/>
          <w:color w:val="000000"/>
          <w:sz w:val="20"/>
          <w:szCs w:val="20"/>
          <w:shd w:val="clear" w:color="auto" w:fill="FFFFFF"/>
        </w:rPr>
        <w:t>Feeble and Puny</w:t>
      </w:r>
      <w:r w:rsidR="006B7FF0">
        <w:rPr>
          <w:color w:val="000000"/>
          <w:sz w:val="20"/>
          <w:szCs w:val="20"/>
          <w:shd w:val="clear" w:color="auto" w:fill="FFFFFF"/>
        </w:rPr>
        <w:t xml:space="preserve">” when describing </w:t>
      </w:r>
      <w:r w:rsidR="00FF6D47">
        <w:rPr>
          <w:color w:val="000000"/>
          <w:sz w:val="20"/>
          <w:szCs w:val="20"/>
          <w:shd w:val="clear" w:color="auto" w:fill="FFFFFF"/>
        </w:rPr>
        <w:t>humans</w:t>
      </w:r>
      <w:r w:rsidR="006B7FF0">
        <w:rPr>
          <w:color w:val="000000"/>
          <w:sz w:val="20"/>
          <w:szCs w:val="20"/>
          <w:shd w:val="clear" w:color="auto" w:fill="FFFFFF"/>
        </w:rPr>
        <w:t>.</w:t>
      </w:r>
      <w:r w:rsidR="006B7FF0">
        <w:rPr>
          <w:rStyle w:val="FootnoteReference"/>
          <w:color w:val="000000"/>
          <w:sz w:val="20"/>
          <w:szCs w:val="20"/>
          <w:shd w:val="clear" w:color="auto" w:fill="FFFFFF"/>
        </w:rPr>
        <w:footnoteReference w:id="36"/>
      </w:r>
      <w:r w:rsidR="00A147DC" w:rsidRPr="00BC20EE">
        <w:rPr>
          <w:color w:val="000000"/>
          <w:sz w:val="20"/>
          <w:szCs w:val="20"/>
          <w:shd w:val="clear" w:color="auto" w:fill="FFFFFF"/>
        </w:rPr>
        <w:t xml:space="preserve"> </w:t>
      </w:r>
      <w:r w:rsidR="006B7FF0">
        <w:rPr>
          <w:color w:val="000000"/>
          <w:sz w:val="20"/>
          <w:szCs w:val="20"/>
          <w:shd w:val="clear" w:color="auto" w:fill="FFFFFF"/>
        </w:rPr>
        <w:t xml:space="preserve">  He seems to </w:t>
      </w:r>
      <w:r w:rsidR="00A147DC" w:rsidRPr="00BC20EE">
        <w:rPr>
          <w:color w:val="000000"/>
          <w:sz w:val="20"/>
          <w:szCs w:val="20"/>
          <w:shd w:val="clear" w:color="auto" w:fill="FFFFFF"/>
        </w:rPr>
        <w:t xml:space="preserve">see the material world as one which was </w:t>
      </w:r>
      <w:r w:rsidR="006B7FF0" w:rsidRPr="00BC20EE">
        <w:rPr>
          <w:color w:val="000000"/>
          <w:sz w:val="20"/>
          <w:szCs w:val="20"/>
          <w:shd w:val="clear" w:color="auto" w:fill="FFFFFF"/>
        </w:rPr>
        <w:t>impure</w:t>
      </w:r>
      <w:r w:rsidR="006B7FF0">
        <w:rPr>
          <w:color w:val="000000"/>
          <w:sz w:val="20"/>
          <w:szCs w:val="20"/>
          <w:shd w:val="clear" w:color="auto" w:fill="FFFFFF"/>
        </w:rPr>
        <w:t>, something</w:t>
      </w:r>
      <w:r w:rsidR="00610E4E">
        <w:rPr>
          <w:color w:val="000000"/>
          <w:sz w:val="20"/>
          <w:szCs w:val="20"/>
          <w:shd w:val="clear" w:color="auto" w:fill="FFFFFF"/>
        </w:rPr>
        <w:t xml:space="preserve">, that man needs to move from </w:t>
      </w:r>
      <w:r w:rsidR="005653B6">
        <w:rPr>
          <w:color w:val="000000"/>
          <w:sz w:val="20"/>
          <w:szCs w:val="20"/>
          <w:shd w:val="clear" w:color="auto" w:fill="FFFFFF"/>
        </w:rPr>
        <w:t>to</w:t>
      </w:r>
      <w:r w:rsidR="00610E4E">
        <w:rPr>
          <w:color w:val="000000"/>
          <w:sz w:val="20"/>
          <w:szCs w:val="20"/>
          <w:shd w:val="clear" w:color="auto" w:fill="FFFFFF"/>
        </w:rPr>
        <w:t xml:space="preserve"> unite with the wholly </w:t>
      </w:r>
      <w:r w:rsidR="006B7FF0">
        <w:rPr>
          <w:color w:val="000000"/>
          <w:sz w:val="20"/>
          <w:szCs w:val="20"/>
          <w:shd w:val="clear" w:color="auto" w:fill="FFFFFF"/>
        </w:rPr>
        <w:t>non-corporeal</w:t>
      </w:r>
      <w:r w:rsidR="00610E4E">
        <w:rPr>
          <w:color w:val="000000"/>
          <w:sz w:val="20"/>
          <w:szCs w:val="20"/>
          <w:shd w:val="clear" w:color="auto" w:fill="FFFFFF"/>
        </w:rPr>
        <w:t xml:space="preserve"> divine.</w:t>
      </w:r>
      <w:r w:rsidR="00A147DC" w:rsidRPr="00BC20EE">
        <w:rPr>
          <w:rStyle w:val="FootnoteReference"/>
          <w:color w:val="000000"/>
          <w:sz w:val="20"/>
          <w:szCs w:val="20"/>
          <w:shd w:val="clear" w:color="auto" w:fill="FFFFFF"/>
        </w:rPr>
        <w:footnoteReference w:id="37"/>
      </w:r>
    </w:p>
    <w:p w14:paraId="381E6394" w14:textId="46058E51" w:rsidR="00605708" w:rsidRDefault="00A147DC" w:rsidP="00D9246C">
      <w:pPr>
        <w:spacing w:line="360" w:lineRule="auto"/>
        <w:ind w:firstLine="720"/>
        <w:rPr>
          <w:sz w:val="20"/>
          <w:szCs w:val="20"/>
        </w:rPr>
      </w:pPr>
      <w:r w:rsidRPr="00BC20EE">
        <w:rPr>
          <w:sz w:val="20"/>
          <w:szCs w:val="20"/>
        </w:rPr>
        <w:t xml:space="preserve">This then accounts for </w:t>
      </w:r>
      <w:r w:rsidR="00932F94" w:rsidRPr="00BC20EE">
        <w:rPr>
          <w:sz w:val="20"/>
          <w:szCs w:val="20"/>
        </w:rPr>
        <w:t>Iamblichus</w:t>
      </w:r>
      <w:r w:rsidRPr="00BC20EE">
        <w:rPr>
          <w:sz w:val="20"/>
          <w:szCs w:val="20"/>
        </w:rPr>
        <w:t>’</w:t>
      </w:r>
      <w:r w:rsidR="00932F94" w:rsidRPr="00BC20EE">
        <w:rPr>
          <w:sz w:val="20"/>
          <w:szCs w:val="20"/>
        </w:rPr>
        <w:t xml:space="preserve"> ideas of divination</w:t>
      </w:r>
      <w:r w:rsidRPr="00BC20EE">
        <w:rPr>
          <w:sz w:val="20"/>
          <w:szCs w:val="20"/>
        </w:rPr>
        <w:t xml:space="preserve"> being purely of the inductive type and this understanding </w:t>
      </w:r>
      <w:r w:rsidR="00932F94" w:rsidRPr="00BC20EE">
        <w:rPr>
          <w:sz w:val="20"/>
          <w:szCs w:val="20"/>
        </w:rPr>
        <w:t>differ</w:t>
      </w:r>
      <w:r w:rsidRPr="00BC20EE">
        <w:rPr>
          <w:sz w:val="20"/>
          <w:szCs w:val="20"/>
        </w:rPr>
        <w:t>s</w:t>
      </w:r>
      <w:r w:rsidR="00932F94" w:rsidRPr="00BC20EE">
        <w:rPr>
          <w:sz w:val="20"/>
          <w:szCs w:val="20"/>
        </w:rPr>
        <w:t xml:space="preserve"> extensively from the common understanding of divination and its role in both religion and magic</w:t>
      </w:r>
      <w:r w:rsidR="005D064B">
        <w:rPr>
          <w:sz w:val="20"/>
          <w:szCs w:val="20"/>
        </w:rPr>
        <w:t xml:space="preserve"> in Ancient Greek culture</w:t>
      </w:r>
      <w:r w:rsidR="00932F94" w:rsidRPr="00BC20EE">
        <w:rPr>
          <w:sz w:val="20"/>
          <w:szCs w:val="20"/>
        </w:rPr>
        <w:t xml:space="preserve">. </w:t>
      </w:r>
      <w:r w:rsidR="005C7E75" w:rsidRPr="00BC20EE">
        <w:rPr>
          <w:sz w:val="20"/>
          <w:szCs w:val="20"/>
        </w:rPr>
        <w:t xml:space="preserve"> Lange reports that the main type of </w:t>
      </w:r>
      <w:r w:rsidRPr="00BC20EE">
        <w:rPr>
          <w:sz w:val="20"/>
          <w:szCs w:val="20"/>
        </w:rPr>
        <w:t>“</w:t>
      </w:r>
      <w:proofErr w:type="spellStart"/>
      <w:r w:rsidR="005C7E75" w:rsidRPr="005D064B">
        <w:rPr>
          <w:i/>
          <w:sz w:val="20"/>
          <w:szCs w:val="20"/>
        </w:rPr>
        <w:t>manteis</w:t>
      </w:r>
      <w:proofErr w:type="spellEnd"/>
      <w:r w:rsidRPr="00BC20EE">
        <w:rPr>
          <w:sz w:val="20"/>
          <w:szCs w:val="20"/>
        </w:rPr>
        <w:t>”</w:t>
      </w:r>
      <w:r w:rsidR="005C7E75" w:rsidRPr="00BC20EE">
        <w:rPr>
          <w:sz w:val="20"/>
          <w:szCs w:val="20"/>
        </w:rPr>
        <w:t xml:space="preserve"> in use at this time is deductive in nature, employing material things to deduce the will of the gods.</w:t>
      </w:r>
      <w:r w:rsidR="005C7E75" w:rsidRPr="00BC20EE">
        <w:rPr>
          <w:rStyle w:val="FootnoteReference"/>
          <w:sz w:val="20"/>
          <w:szCs w:val="20"/>
        </w:rPr>
        <w:footnoteReference w:id="38"/>
      </w:r>
      <w:r w:rsidR="005C7E75" w:rsidRPr="00BC20EE">
        <w:rPr>
          <w:sz w:val="20"/>
          <w:szCs w:val="20"/>
        </w:rPr>
        <w:t xml:space="preserve"> </w:t>
      </w:r>
      <w:r w:rsidR="005D064B">
        <w:rPr>
          <w:sz w:val="20"/>
          <w:szCs w:val="20"/>
        </w:rPr>
        <w:t xml:space="preserve">  The myriad spells in the </w:t>
      </w:r>
      <w:r w:rsidR="005D064B">
        <w:rPr>
          <w:sz w:val="20"/>
          <w:szCs w:val="20"/>
        </w:rPr>
        <w:lastRenderedPageBreak/>
        <w:t>Greek magical papyri would suggest that the seer could then offer services to counter this fate with offerings and incantations to placate the gods.</w:t>
      </w:r>
      <w:r w:rsidR="005D064B">
        <w:rPr>
          <w:rStyle w:val="FootnoteReference"/>
          <w:sz w:val="20"/>
          <w:szCs w:val="20"/>
        </w:rPr>
        <w:footnoteReference w:id="39"/>
      </w:r>
      <w:r w:rsidR="005C7E75" w:rsidRPr="00BC20EE">
        <w:rPr>
          <w:sz w:val="20"/>
          <w:szCs w:val="20"/>
        </w:rPr>
        <w:t xml:space="preserve"> </w:t>
      </w:r>
      <w:r w:rsidR="005D064B">
        <w:rPr>
          <w:sz w:val="20"/>
          <w:szCs w:val="20"/>
        </w:rPr>
        <w:t xml:space="preserve">  Lange</w:t>
      </w:r>
      <w:r w:rsidR="005C7E75" w:rsidRPr="00BC20EE">
        <w:rPr>
          <w:sz w:val="20"/>
          <w:szCs w:val="20"/>
        </w:rPr>
        <w:t xml:space="preserve"> goes on to argue that the inductive divination techniques, advocated by Iamblichus, have more in common with the </w:t>
      </w:r>
      <w:r w:rsidRPr="00BC20EE">
        <w:rPr>
          <w:sz w:val="20"/>
          <w:szCs w:val="20"/>
        </w:rPr>
        <w:t>p</w:t>
      </w:r>
      <w:r w:rsidR="005C7E75" w:rsidRPr="00BC20EE">
        <w:rPr>
          <w:sz w:val="20"/>
          <w:szCs w:val="20"/>
        </w:rPr>
        <w:t>rophetic techniques used in ancient near eastern cultures such as the Israelite – Jewish communities.</w:t>
      </w:r>
      <w:r w:rsidR="005C7E75" w:rsidRPr="00BC20EE">
        <w:rPr>
          <w:rStyle w:val="FootnoteReference"/>
          <w:sz w:val="20"/>
          <w:szCs w:val="20"/>
        </w:rPr>
        <w:footnoteReference w:id="40"/>
      </w:r>
      <w:r w:rsidR="005C7E75" w:rsidRPr="00BC20EE">
        <w:rPr>
          <w:sz w:val="20"/>
          <w:szCs w:val="20"/>
        </w:rPr>
        <w:t xml:space="preserve">  There appear to be definite </w:t>
      </w:r>
      <w:r w:rsidR="00DD6928" w:rsidRPr="00BC20EE">
        <w:rPr>
          <w:sz w:val="20"/>
          <w:szCs w:val="20"/>
        </w:rPr>
        <w:t>similarities</w:t>
      </w:r>
      <w:r w:rsidR="005C7E75" w:rsidRPr="00BC20EE">
        <w:rPr>
          <w:sz w:val="20"/>
          <w:szCs w:val="20"/>
        </w:rPr>
        <w:t xml:space="preserve"> between the “symptoms” of divine expression seen in the two systems, with comparable statements such as “</w:t>
      </w:r>
      <w:r w:rsidR="007D68C9" w:rsidRPr="00BC20EE">
        <w:rPr>
          <w:sz w:val="20"/>
          <w:szCs w:val="20"/>
        </w:rPr>
        <w:t xml:space="preserve"> </w:t>
      </w:r>
      <w:r w:rsidR="007D68C9" w:rsidRPr="005D064B">
        <w:rPr>
          <w:i/>
          <w:sz w:val="20"/>
          <w:szCs w:val="20"/>
        </w:rPr>
        <w:t xml:space="preserve">audition and </w:t>
      </w:r>
      <w:r w:rsidRPr="005D064B">
        <w:rPr>
          <w:i/>
          <w:sz w:val="20"/>
          <w:szCs w:val="20"/>
        </w:rPr>
        <w:t>audio-visual</w:t>
      </w:r>
      <w:r w:rsidR="007D68C9" w:rsidRPr="005D064B">
        <w:rPr>
          <w:i/>
          <w:sz w:val="20"/>
          <w:szCs w:val="20"/>
        </w:rPr>
        <w:t xml:space="preserve"> experience</w:t>
      </w:r>
      <w:r w:rsidR="001E466D" w:rsidRPr="005D064B">
        <w:rPr>
          <w:i/>
          <w:sz w:val="20"/>
          <w:szCs w:val="20"/>
        </w:rPr>
        <w:t>, ecstasy and physical body movements</w:t>
      </w:r>
      <w:r w:rsidR="001E466D" w:rsidRPr="00BC20EE">
        <w:rPr>
          <w:sz w:val="20"/>
          <w:szCs w:val="20"/>
        </w:rPr>
        <w:t xml:space="preserve"> </w:t>
      </w:r>
      <w:r w:rsidR="007D68C9" w:rsidRPr="00BC20EE">
        <w:rPr>
          <w:sz w:val="20"/>
          <w:szCs w:val="20"/>
        </w:rPr>
        <w:t>” been seen in both methods.</w:t>
      </w:r>
      <w:r w:rsidR="007D68C9" w:rsidRPr="00BC20EE">
        <w:rPr>
          <w:rStyle w:val="FootnoteReference"/>
          <w:sz w:val="20"/>
          <w:szCs w:val="20"/>
        </w:rPr>
        <w:footnoteReference w:id="41"/>
      </w:r>
      <w:r w:rsidR="007D68C9" w:rsidRPr="00BC20EE">
        <w:rPr>
          <w:sz w:val="20"/>
          <w:szCs w:val="20"/>
        </w:rPr>
        <w:t xml:space="preserve">  </w:t>
      </w:r>
      <w:r w:rsidR="00DD6928" w:rsidRPr="00BC20EE">
        <w:rPr>
          <w:sz w:val="20"/>
          <w:szCs w:val="20"/>
        </w:rPr>
        <w:t xml:space="preserve">  </w:t>
      </w:r>
      <w:r w:rsidRPr="00BC20EE">
        <w:rPr>
          <w:sz w:val="20"/>
          <w:szCs w:val="20"/>
        </w:rPr>
        <w:t xml:space="preserve">The common philosophies of theological distance from the divine and the use of intermediary beings such as angels suggest that the defence of divination seen in </w:t>
      </w:r>
      <w:r w:rsidR="001E466D" w:rsidRPr="00BC20EE">
        <w:rPr>
          <w:sz w:val="20"/>
          <w:szCs w:val="20"/>
        </w:rPr>
        <w:t>“</w:t>
      </w:r>
      <w:r w:rsidRPr="00605708">
        <w:rPr>
          <w:i/>
          <w:sz w:val="20"/>
          <w:szCs w:val="20"/>
        </w:rPr>
        <w:t xml:space="preserve">On </w:t>
      </w:r>
      <w:r w:rsidR="00610E4E">
        <w:rPr>
          <w:i/>
          <w:sz w:val="20"/>
          <w:szCs w:val="20"/>
        </w:rPr>
        <w:t>T</w:t>
      </w:r>
      <w:r w:rsidRPr="00605708">
        <w:rPr>
          <w:i/>
          <w:sz w:val="20"/>
          <w:szCs w:val="20"/>
        </w:rPr>
        <w:t xml:space="preserve">he </w:t>
      </w:r>
      <w:r w:rsidR="00610E4E">
        <w:rPr>
          <w:i/>
          <w:sz w:val="20"/>
          <w:szCs w:val="20"/>
        </w:rPr>
        <w:t>M</w:t>
      </w:r>
      <w:r w:rsidRPr="00605708">
        <w:rPr>
          <w:i/>
          <w:sz w:val="20"/>
          <w:szCs w:val="20"/>
        </w:rPr>
        <w:t>ysteries</w:t>
      </w:r>
      <w:r w:rsidR="001E466D" w:rsidRPr="00BC20EE">
        <w:rPr>
          <w:sz w:val="20"/>
          <w:szCs w:val="20"/>
        </w:rPr>
        <w:t xml:space="preserve">” might be </w:t>
      </w:r>
      <w:r w:rsidR="00BC20EE">
        <w:rPr>
          <w:sz w:val="20"/>
          <w:szCs w:val="20"/>
        </w:rPr>
        <w:t xml:space="preserve">better described as a defence of </w:t>
      </w:r>
      <w:r w:rsidR="005D064B">
        <w:rPr>
          <w:sz w:val="20"/>
          <w:szCs w:val="20"/>
        </w:rPr>
        <w:t xml:space="preserve">prophecy.  </w:t>
      </w:r>
      <w:r w:rsidR="00605708">
        <w:rPr>
          <w:sz w:val="20"/>
          <w:szCs w:val="20"/>
        </w:rPr>
        <w:t>Using divination to become one with your Gods, r</w:t>
      </w:r>
      <w:r w:rsidR="005D064B">
        <w:rPr>
          <w:sz w:val="20"/>
          <w:szCs w:val="20"/>
        </w:rPr>
        <w:t>eceiving t</w:t>
      </w:r>
      <w:r w:rsidRPr="00BC20EE">
        <w:rPr>
          <w:sz w:val="20"/>
          <w:szCs w:val="20"/>
        </w:rPr>
        <w:t>he word</w:t>
      </w:r>
      <w:r w:rsidR="005D064B">
        <w:rPr>
          <w:sz w:val="20"/>
          <w:szCs w:val="20"/>
        </w:rPr>
        <w:t>s</w:t>
      </w:r>
      <w:r w:rsidRPr="00BC20EE">
        <w:rPr>
          <w:sz w:val="20"/>
          <w:szCs w:val="20"/>
        </w:rPr>
        <w:t xml:space="preserve"> of </w:t>
      </w:r>
      <w:r w:rsidR="00BC20EE">
        <w:rPr>
          <w:sz w:val="20"/>
          <w:szCs w:val="20"/>
        </w:rPr>
        <w:t>the Gods,</w:t>
      </w:r>
      <w:r w:rsidRPr="00BC20EE">
        <w:rPr>
          <w:sz w:val="20"/>
          <w:szCs w:val="20"/>
        </w:rPr>
        <w:t xml:space="preserve"> </w:t>
      </w:r>
      <w:r w:rsidR="005D064B">
        <w:rPr>
          <w:sz w:val="20"/>
          <w:szCs w:val="20"/>
        </w:rPr>
        <w:t>as</w:t>
      </w:r>
      <w:r w:rsidRPr="00BC20EE">
        <w:rPr>
          <w:sz w:val="20"/>
          <w:szCs w:val="20"/>
        </w:rPr>
        <w:t xml:space="preserve"> unchangeable fate</w:t>
      </w:r>
      <w:r w:rsidR="00605708">
        <w:rPr>
          <w:sz w:val="20"/>
          <w:szCs w:val="20"/>
        </w:rPr>
        <w:t xml:space="preserve"> is a far different understanding of the physical</w:t>
      </w:r>
      <w:r w:rsidR="005D064B">
        <w:rPr>
          <w:sz w:val="20"/>
          <w:szCs w:val="20"/>
        </w:rPr>
        <w:t xml:space="preserve"> deductive</w:t>
      </w:r>
      <w:r w:rsidRPr="00BC20EE">
        <w:rPr>
          <w:sz w:val="20"/>
          <w:szCs w:val="20"/>
        </w:rPr>
        <w:t xml:space="preserve"> mantic techniques which allow the manipulation of the material world</w:t>
      </w:r>
      <w:r w:rsidR="00BC20EE">
        <w:rPr>
          <w:sz w:val="20"/>
          <w:szCs w:val="20"/>
        </w:rPr>
        <w:t xml:space="preserve"> by magic</w:t>
      </w:r>
      <w:r w:rsidR="00605708">
        <w:rPr>
          <w:sz w:val="20"/>
          <w:szCs w:val="20"/>
        </w:rPr>
        <w:t xml:space="preserve">, supplication and offerings to the Gods to alter that fate.  </w:t>
      </w:r>
    </w:p>
    <w:p w14:paraId="1DEA1154" w14:textId="6FBC4250" w:rsidR="007D1B0E" w:rsidRDefault="007D1B0E" w:rsidP="00D9246C">
      <w:pPr>
        <w:spacing w:line="360" w:lineRule="auto"/>
        <w:ind w:firstLine="720"/>
        <w:rPr>
          <w:sz w:val="20"/>
          <w:szCs w:val="20"/>
        </w:rPr>
      </w:pPr>
      <w:r>
        <w:rPr>
          <w:sz w:val="20"/>
          <w:szCs w:val="20"/>
        </w:rPr>
        <w:t xml:space="preserve">The arguments demonstrated by Iamblichus in response to the </w:t>
      </w:r>
      <w:r w:rsidRPr="007D1B0E">
        <w:rPr>
          <w:i/>
          <w:sz w:val="20"/>
          <w:szCs w:val="20"/>
        </w:rPr>
        <w:t xml:space="preserve">Letter to </w:t>
      </w:r>
      <w:proofErr w:type="spellStart"/>
      <w:r w:rsidRPr="007D1B0E">
        <w:rPr>
          <w:i/>
          <w:sz w:val="20"/>
          <w:szCs w:val="20"/>
        </w:rPr>
        <w:t>Anebo</w:t>
      </w:r>
      <w:proofErr w:type="spellEnd"/>
      <w:r>
        <w:rPr>
          <w:sz w:val="20"/>
          <w:szCs w:val="20"/>
        </w:rPr>
        <w:t xml:space="preserve"> give us one of the fullest accounts of divinatory techniques available to us.  </w:t>
      </w:r>
      <w:r w:rsidR="003F6360">
        <w:rPr>
          <w:sz w:val="20"/>
          <w:szCs w:val="20"/>
        </w:rPr>
        <w:t xml:space="preserve">Although </w:t>
      </w:r>
      <w:r>
        <w:rPr>
          <w:sz w:val="20"/>
          <w:szCs w:val="20"/>
        </w:rPr>
        <w:t xml:space="preserve">Porphyry and Iamblichus believe that Theurgy is of great importance for the ascent of the soul to the divine, they come at the problem from two distinct philosophical </w:t>
      </w:r>
      <w:r w:rsidR="003F6360">
        <w:rPr>
          <w:sz w:val="20"/>
          <w:szCs w:val="20"/>
        </w:rPr>
        <w:t>viewpoints</w:t>
      </w:r>
      <w:r>
        <w:rPr>
          <w:sz w:val="20"/>
          <w:szCs w:val="20"/>
        </w:rPr>
        <w:t xml:space="preserve">.  Iamblichus arguing that the use of ritual and inductive divination </w:t>
      </w:r>
      <w:r w:rsidR="003F6360">
        <w:rPr>
          <w:sz w:val="20"/>
          <w:szCs w:val="20"/>
        </w:rPr>
        <w:t>is</w:t>
      </w:r>
      <w:r>
        <w:rPr>
          <w:sz w:val="20"/>
          <w:szCs w:val="20"/>
        </w:rPr>
        <w:t xml:space="preserve"> essential </w:t>
      </w:r>
      <w:r w:rsidR="00610E4E">
        <w:rPr>
          <w:sz w:val="20"/>
          <w:szCs w:val="20"/>
        </w:rPr>
        <w:t xml:space="preserve">for </w:t>
      </w:r>
      <w:r>
        <w:rPr>
          <w:sz w:val="20"/>
          <w:szCs w:val="20"/>
        </w:rPr>
        <w:t xml:space="preserve">the union with the Gods whilst Porphyry relies more fully on the earlier form of </w:t>
      </w:r>
      <w:r w:rsidR="003F6360">
        <w:rPr>
          <w:sz w:val="20"/>
          <w:szCs w:val="20"/>
        </w:rPr>
        <w:t xml:space="preserve">rational </w:t>
      </w:r>
      <w:r>
        <w:rPr>
          <w:sz w:val="20"/>
          <w:szCs w:val="20"/>
        </w:rPr>
        <w:t xml:space="preserve">mystic philosophy espoused by his teacher Plotinus.  </w:t>
      </w:r>
      <w:r w:rsidR="003F6360">
        <w:rPr>
          <w:sz w:val="20"/>
          <w:szCs w:val="20"/>
        </w:rPr>
        <w:t>Iamblichus theurgical philosophy has gone on to influence the</w:t>
      </w:r>
      <w:r w:rsidR="00610E4E">
        <w:rPr>
          <w:sz w:val="20"/>
          <w:szCs w:val="20"/>
        </w:rPr>
        <w:t xml:space="preserve"> Western magical system and is still practised today by many magical schools.  </w:t>
      </w:r>
    </w:p>
    <w:p w14:paraId="451C1BC4" w14:textId="4F88DCFA" w:rsidR="00605708" w:rsidRDefault="00605708" w:rsidP="00605708">
      <w:pPr>
        <w:spacing w:line="360" w:lineRule="auto"/>
        <w:rPr>
          <w:sz w:val="20"/>
          <w:szCs w:val="20"/>
        </w:rPr>
      </w:pPr>
      <w:r>
        <w:rPr>
          <w:sz w:val="20"/>
          <w:szCs w:val="20"/>
        </w:rPr>
        <w:tab/>
      </w:r>
    </w:p>
    <w:p w14:paraId="479ADFC1" w14:textId="2E27636F" w:rsidR="005D064B" w:rsidRDefault="00A147DC" w:rsidP="00D9246C">
      <w:pPr>
        <w:spacing w:line="360" w:lineRule="auto"/>
        <w:ind w:firstLine="720"/>
        <w:rPr>
          <w:sz w:val="20"/>
          <w:szCs w:val="20"/>
        </w:rPr>
      </w:pPr>
      <w:r w:rsidRPr="00BC20EE">
        <w:rPr>
          <w:sz w:val="20"/>
          <w:szCs w:val="20"/>
        </w:rPr>
        <w:t xml:space="preserve"> </w:t>
      </w:r>
      <w:r w:rsidR="00605708">
        <w:rPr>
          <w:sz w:val="20"/>
          <w:szCs w:val="20"/>
        </w:rPr>
        <w:t xml:space="preserve"> </w:t>
      </w:r>
    </w:p>
    <w:p w14:paraId="39978BE4" w14:textId="5D6D5D23" w:rsidR="00932F94" w:rsidRPr="00BC20EE" w:rsidRDefault="00A147DC" w:rsidP="00D9246C">
      <w:pPr>
        <w:spacing w:line="360" w:lineRule="auto"/>
        <w:ind w:firstLine="720"/>
        <w:rPr>
          <w:i/>
          <w:color w:val="000000"/>
          <w:sz w:val="20"/>
          <w:szCs w:val="20"/>
          <w:shd w:val="clear" w:color="auto" w:fill="FFFFFF"/>
        </w:rPr>
      </w:pPr>
      <w:r w:rsidRPr="00BC20EE">
        <w:rPr>
          <w:sz w:val="20"/>
          <w:szCs w:val="20"/>
        </w:rPr>
        <w:t xml:space="preserve">  </w:t>
      </w:r>
    </w:p>
    <w:p w14:paraId="30172F77" w14:textId="6FBCF4E4" w:rsidR="00411FE2" w:rsidRPr="00BC20EE" w:rsidRDefault="00411FE2" w:rsidP="00D44890">
      <w:pPr>
        <w:spacing w:line="360" w:lineRule="auto"/>
        <w:ind w:firstLine="720"/>
        <w:rPr>
          <w:sz w:val="20"/>
          <w:szCs w:val="20"/>
        </w:rPr>
      </w:pPr>
    </w:p>
    <w:p w14:paraId="15432C4B" w14:textId="1793BE56" w:rsidR="008060C8" w:rsidRDefault="008060C8" w:rsidP="00326018">
      <w:pPr>
        <w:spacing w:line="360" w:lineRule="auto"/>
        <w:ind w:firstLine="720"/>
        <w:rPr>
          <w:sz w:val="20"/>
          <w:szCs w:val="20"/>
        </w:rPr>
      </w:pPr>
    </w:p>
    <w:p w14:paraId="19F9B0F4" w14:textId="1B062D9A" w:rsidR="00843239" w:rsidRDefault="00843239" w:rsidP="00326018">
      <w:pPr>
        <w:spacing w:line="360" w:lineRule="auto"/>
        <w:ind w:firstLine="720"/>
        <w:rPr>
          <w:sz w:val="20"/>
          <w:szCs w:val="20"/>
        </w:rPr>
      </w:pPr>
    </w:p>
    <w:p w14:paraId="57101FD2" w14:textId="20A1A1F1" w:rsidR="00843239" w:rsidRDefault="00843239" w:rsidP="00326018">
      <w:pPr>
        <w:spacing w:line="360" w:lineRule="auto"/>
        <w:ind w:firstLine="720"/>
        <w:rPr>
          <w:sz w:val="20"/>
          <w:szCs w:val="20"/>
        </w:rPr>
      </w:pPr>
    </w:p>
    <w:p w14:paraId="73CE6E8B" w14:textId="5173BC16" w:rsidR="00843239" w:rsidRDefault="00843239" w:rsidP="00326018">
      <w:pPr>
        <w:spacing w:line="360" w:lineRule="auto"/>
        <w:ind w:firstLine="720"/>
        <w:rPr>
          <w:sz w:val="20"/>
          <w:szCs w:val="20"/>
        </w:rPr>
      </w:pPr>
    </w:p>
    <w:p w14:paraId="60037FEB" w14:textId="014F31BE" w:rsidR="00843239" w:rsidRDefault="00843239" w:rsidP="00326018">
      <w:pPr>
        <w:spacing w:line="360" w:lineRule="auto"/>
        <w:ind w:firstLine="720"/>
        <w:rPr>
          <w:sz w:val="20"/>
          <w:szCs w:val="20"/>
        </w:rPr>
      </w:pPr>
    </w:p>
    <w:p w14:paraId="5633F18E" w14:textId="21C6C2E2" w:rsidR="00843239" w:rsidRDefault="00843239" w:rsidP="00326018">
      <w:pPr>
        <w:spacing w:line="360" w:lineRule="auto"/>
        <w:ind w:firstLine="720"/>
        <w:rPr>
          <w:sz w:val="20"/>
          <w:szCs w:val="20"/>
        </w:rPr>
      </w:pPr>
    </w:p>
    <w:p w14:paraId="612F256D" w14:textId="68BBB1D1" w:rsidR="00843239" w:rsidRDefault="00843239" w:rsidP="00326018">
      <w:pPr>
        <w:spacing w:line="360" w:lineRule="auto"/>
        <w:ind w:firstLine="720"/>
        <w:rPr>
          <w:sz w:val="20"/>
          <w:szCs w:val="20"/>
        </w:rPr>
      </w:pPr>
    </w:p>
    <w:p w14:paraId="03A19C5C" w14:textId="69F82B71" w:rsidR="00843239" w:rsidRDefault="00843239" w:rsidP="00326018">
      <w:pPr>
        <w:spacing w:line="360" w:lineRule="auto"/>
        <w:ind w:firstLine="720"/>
        <w:rPr>
          <w:sz w:val="20"/>
          <w:szCs w:val="20"/>
        </w:rPr>
      </w:pPr>
    </w:p>
    <w:p w14:paraId="70A78CD4" w14:textId="66D287BE" w:rsidR="00843239" w:rsidRDefault="00843239" w:rsidP="00326018">
      <w:pPr>
        <w:spacing w:line="360" w:lineRule="auto"/>
        <w:ind w:firstLine="720"/>
        <w:rPr>
          <w:sz w:val="20"/>
          <w:szCs w:val="20"/>
        </w:rPr>
      </w:pPr>
    </w:p>
    <w:p w14:paraId="35AE5F10" w14:textId="7D81B6E2" w:rsidR="00843239" w:rsidRDefault="00843239" w:rsidP="00326018">
      <w:pPr>
        <w:spacing w:line="360" w:lineRule="auto"/>
        <w:ind w:firstLine="720"/>
        <w:rPr>
          <w:sz w:val="20"/>
          <w:szCs w:val="20"/>
        </w:rPr>
      </w:pPr>
    </w:p>
    <w:p w14:paraId="745206A4" w14:textId="10E23EFD" w:rsidR="00843239" w:rsidRPr="006327E2" w:rsidRDefault="00843239" w:rsidP="006327E2">
      <w:pPr>
        <w:spacing w:line="360" w:lineRule="auto"/>
        <w:rPr>
          <w:b/>
        </w:rPr>
      </w:pPr>
      <w:r w:rsidRPr="006327E2">
        <w:rPr>
          <w:b/>
        </w:rPr>
        <w:t>Bibliography</w:t>
      </w:r>
    </w:p>
    <w:p w14:paraId="44A6F478" w14:textId="2BFBB156" w:rsidR="006327E2" w:rsidRPr="006327E2" w:rsidRDefault="006327E2" w:rsidP="006327E2">
      <w:pPr>
        <w:pStyle w:val="FootnoteText"/>
        <w:rPr>
          <w:sz w:val="22"/>
          <w:szCs w:val="22"/>
        </w:rPr>
      </w:pPr>
      <w:proofErr w:type="spellStart"/>
      <w:r w:rsidRPr="006327E2">
        <w:rPr>
          <w:sz w:val="22"/>
          <w:szCs w:val="22"/>
        </w:rPr>
        <w:t>Iambilichus</w:t>
      </w:r>
      <w:proofErr w:type="spellEnd"/>
      <w:r w:rsidRPr="006327E2">
        <w:rPr>
          <w:sz w:val="22"/>
          <w:szCs w:val="22"/>
        </w:rPr>
        <w:t xml:space="preserve">, On the Mysteries. Trans by E </w:t>
      </w:r>
      <w:proofErr w:type="spellStart"/>
      <w:proofErr w:type="gramStart"/>
      <w:r w:rsidRPr="006327E2">
        <w:rPr>
          <w:sz w:val="22"/>
          <w:szCs w:val="22"/>
        </w:rPr>
        <w:t>Clarke,John</w:t>
      </w:r>
      <w:proofErr w:type="spellEnd"/>
      <w:proofErr w:type="gramEnd"/>
      <w:r w:rsidRPr="006327E2">
        <w:rPr>
          <w:sz w:val="22"/>
          <w:szCs w:val="22"/>
        </w:rPr>
        <w:t xml:space="preserve"> Dillon and Jackson P </w:t>
      </w:r>
      <w:proofErr w:type="spellStart"/>
      <w:r w:rsidRPr="006327E2">
        <w:rPr>
          <w:sz w:val="22"/>
          <w:szCs w:val="22"/>
        </w:rPr>
        <w:t>Hershbell</w:t>
      </w:r>
      <w:proofErr w:type="spellEnd"/>
      <w:r w:rsidRPr="006327E2">
        <w:rPr>
          <w:sz w:val="22"/>
          <w:szCs w:val="22"/>
        </w:rPr>
        <w:t xml:space="preserve"> (The society of Biblical Review, Atlanta,2003</w:t>
      </w:r>
      <w:r w:rsidR="007F2C3D">
        <w:rPr>
          <w:sz w:val="22"/>
          <w:szCs w:val="22"/>
        </w:rPr>
        <w:t>)pp119-201</w:t>
      </w:r>
      <w:r w:rsidRPr="006327E2">
        <w:rPr>
          <w:sz w:val="22"/>
          <w:szCs w:val="22"/>
        </w:rPr>
        <w:t xml:space="preserve">.Bk 3 </w:t>
      </w:r>
    </w:p>
    <w:p w14:paraId="2E721CEC" w14:textId="77777777" w:rsidR="007F2C3D" w:rsidRDefault="007F2C3D" w:rsidP="007F2C3D">
      <w:pPr>
        <w:pStyle w:val="NoSpacing"/>
        <w:rPr>
          <w:shd w:val="clear" w:color="auto" w:fill="FFFFFF"/>
        </w:rPr>
      </w:pPr>
    </w:p>
    <w:p w14:paraId="10D620C9" w14:textId="71CF07FB" w:rsidR="007F2C3D" w:rsidRPr="006327E2" w:rsidRDefault="007F2C3D" w:rsidP="007F2C3D">
      <w:pPr>
        <w:pStyle w:val="NoSpacing"/>
        <w:rPr>
          <w:shd w:val="clear" w:color="auto" w:fill="FFFFFF"/>
        </w:rPr>
      </w:pPr>
      <w:proofErr w:type="spellStart"/>
      <w:r w:rsidRPr="006327E2">
        <w:rPr>
          <w:shd w:val="clear" w:color="auto" w:fill="FFFFFF"/>
        </w:rPr>
        <w:t>Athanassiadi</w:t>
      </w:r>
      <w:proofErr w:type="spellEnd"/>
      <w:r w:rsidRPr="006327E2">
        <w:rPr>
          <w:shd w:val="clear" w:color="auto" w:fill="FFFFFF"/>
        </w:rPr>
        <w:t xml:space="preserve">, </w:t>
      </w:r>
      <w:proofErr w:type="spellStart"/>
      <w:r w:rsidRPr="006327E2">
        <w:rPr>
          <w:shd w:val="clear" w:color="auto" w:fill="FFFFFF"/>
        </w:rPr>
        <w:t>Polymnia</w:t>
      </w:r>
      <w:proofErr w:type="spellEnd"/>
      <w:r w:rsidRPr="006327E2">
        <w:rPr>
          <w:shd w:val="clear" w:color="auto" w:fill="FFFFFF"/>
        </w:rPr>
        <w:t>. “Dreams, Theurgy and Freelance Divination: The Testimony of Iamblichus.” </w:t>
      </w:r>
      <w:r w:rsidRPr="006327E2">
        <w:rPr>
          <w:i/>
          <w:iCs/>
          <w:shd w:val="clear" w:color="auto" w:fill="FFFFFF"/>
        </w:rPr>
        <w:t>The Journal of Roman Studies</w:t>
      </w:r>
      <w:r w:rsidRPr="006327E2">
        <w:rPr>
          <w:shd w:val="clear" w:color="auto" w:fill="FFFFFF"/>
        </w:rPr>
        <w:t xml:space="preserve">, vol. 83, 1993, pp. 115–130 </w:t>
      </w:r>
    </w:p>
    <w:p w14:paraId="694A70E8" w14:textId="77777777" w:rsidR="007F2C3D" w:rsidRDefault="007F2C3D" w:rsidP="007F2C3D">
      <w:pPr>
        <w:pStyle w:val="NoSpacing"/>
      </w:pPr>
    </w:p>
    <w:p w14:paraId="3C7C0F1E" w14:textId="361BF31D" w:rsidR="007F2C3D" w:rsidRPr="006327E2" w:rsidRDefault="007F2C3D" w:rsidP="007F2C3D">
      <w:pPr>
        <w:pStyle w:val="NoSpacing"/>
      </w:pPr>
      <w:r>
        <w:t xml:space="preserve">Betz </w:t>
      </w:r>
      <w:r w:rsidRPr="006327E2">
        <w:t xml:space="preserve">Hans </w:t>
      </w:r>
      <w:proofErr w:type="spellStart"/>
      <w:r w:rsidRPr="006327E2">
        <w:t>Deiter</w:t>
      </w:r>
      <w:proofErr w:type="spellEnd"/>
      <w:r w:rsidRPr="006327E2">
        <w:t>, The Greek Magical Papyri, including demotic spells. (University of Chicago Press</w:t>
      </w:r>
      <w:r>
        <w:t>)</w:t>
      </w:r>
      <w:r w:rsidRPr="006327E2">
        <w:t xml:space="preserve"> 2</w:t>
      </w:r>
      <w:r w:rsidRPr="006327E2">
        <w:rPr>
          <w:vertAlign w:val="superscript"/>
        </w:rPr>
        <w:t>nd</w:t>
      </w:r>
      <w:r w:rsidRPr="006327E2">
        <w:t xml:space="preserve"> ed, 1992</w:t>
      </w:r>
    </w:p>
    <w:p w14:paraId="3E14D013" w14:textId="77777777" w:rsidR="007F2C3D" w:rsidRDefault="007F2C3D" w:rsidP="007F2C3D">
      <w:pPr>
        <w:pStyle w:val="FootnoteText"/>
        <w:rPr>
          <w:sz w:val="22"/>
          <w:szCs w:val="22"/>
        </w:rPr>
      </w:pPr>
    </w:p>
    <w:p w14:paraId="7BF7F55F" w14:textId="6ACC6392" w:rsidR="007F2C3D" w:rsidRPr="006327E2" w:rsidRDefault="007F2C3D" w:rsidP="007F2C3D">
      <w:pPr>
        <w:pStyle w:val="FootnoteText"/>
        <w:rPr>
          <w:sz w:val="22"/>
          <w:szCs w:val="22"/>
        </w:rPr>
      </w:pPr>
      <w:r>
        <w:rPr>
          <w:sz w:val="22"/>
          <w:szCs w:val="22"/>
        </w:rPr>
        <w:t xml:space="preserve">Hendrik, </w:t>
      </w:r>
      <w:r w:rsidRPr="006327E2">
        <w:rPr>
          <w:sz w:val="22"/>
          <w:szCs w:val="22"/>
        </w:rPr>
        <w:t xml:space="preserve">Lorenz, "Ancient Theories of Soul", </w:t>
      </w:r>
      <w:r w:rsidRPr="006327E2">
        <w:rPr>
          <w:rStyle w:val="Emphasis"/>
          <w:sz w:val="22"/>
          <w:szCs w:val="22"/>
        </w:rPr>
        <w:t xml:space="preserve">The Stanford </w:t>
      </w:r>
      <w:proofErr w:type="spellStart"/>
      <w:r w:rsidRPr="006327E2">
        <w:rPr>
          <w:rStyle w:val="Emphasis"/>
          <w:sz w:val="22"/>
          <w:szCs w:val="22"/>
        </w:rPr>
        <w:t>Encyclopedia</w:t>
      </w:r>
      <w:proofErr w:type="spellEnd"/>
      <w:r w:rsidRPr="006327E2">
        <w:rPr>
          <w:rStyle w:val="Emphasis"/>
          <w:sz w:val="22"/>
          <w:szCs w:val="22"/>
        </w:rPr>
        <w:t xml:space="preserve"> of Philosophy </w:t>
      </w:r>
      <w:r w:rsidRPr="006327E2">
        <w:rPr>
          <w:sz w:val="22"/>
          <w:szCs w:val="22"/>
        </w:rPr>
        <w:t xml:space="preserve">(Summer 2009 Edition), Edward N. </w:t>
      </w:r>
      <w:proofErr w:type="spellStart"/>
      <w:r w:rsidRPr="006327E2">
        <w:rPr>
          <w:sz w:val="22"/>
          <w:szCs w:val="22"/>
        </w:rPr>
        <w:t>Zalta</w:t>
      </w:r>
      <w:proofErr w:type="spellEnd"/>
      <w:r w:rsidRPr="006327E2">
        <w:rPr>
          <w:sz w:val="22"/>
          <w:szCs w:val="22"/>
        </w:rPr>
        <w:t> (ed.), &lt;</w:t>
      </w:r>
      <w:proofErr w:type="gramStart"/>
      <w:r w:rsidRPr="006327E2">
        <w:rPr>
          <w:sz w:val="22"/>
          <w:szCs w:val="22"/>
        </w:rPr>
        <w:t>https://plato.stanford.edu/archives/sum2009/entries/ancient-soul/[</w:t>
      </w:r>
      <w:proofErr w:type="gramEnd"/>
      <w:r w:rsidRPr="006327E2">
        <w:rPr>
          <w:sz w:val="22"/>
          <w:szCs w:val="22"/>
        </w:rPr>
        <w:t>Accessed May 2018]</w:t>
      </w:r>
    </w:p>
    <w:p w14:paraId="071397C1" w14:textId="515E499A" w:rsidR="007F2C3D" w:rsidRDefault="007F2C3D" w:rsidP="007F2C3D">
      <w:pPr>
        <w:spacing w:line="360" w:lineRule="auto"/>
        <w:ind w:firstLine="720"/>
      </w:pPr>
    </w:p>
    <w:p w14:paraId="44B3BF46" w14:textId="77777777" w:rsidR="007F2C3D" w:rsidRPr="006327E2" w:rsidRDefault="007F2C3D" w:rsidP="007F2C3D">
      <w:pPr>
        <w:pStyle w:val="FootnoteText"/>
        <w:rPr>
          <w:sz w:val="22"/>
          <w:szCs w:val="22"/>
        </w:rPr>
      </w:pPr>
      <w:r w:rsidRPr="006327E2">
        <w:rPr>
          <w:rFonts w:cs="Arial"/>
          <w:color w:val="333333"/>
          <w:sz w:val="22"/>
          <w:szCs w:val="22"/>
          <w:shd w:val="clear" w:color="auto" w:fill="FFFFFF"/>
        </w:rPr>
        <w:t>Lange, Armin. “Greek Seers and Israelite-Jewish Prophets.” </w:t>
      </w:r>
      <w:proofErr w:type="spellStart"/>
      <w:r w:rsidRPr="006327E2">
        <w:rPr>
          <w:rFonts w:cs="Arial"/>
          <w:i/>
          <w:iCs/>
          <w:color w:val="333333"/>
          <w:sz w:val="22"/>
          <w:szCs w:val="22"/>
          <w:shd w:val="clear" w:color="auto" w:fill="FFFFFF"/>
        </w:rPr>
        <w:t>Vetus</w:t>
      </w:r>
      <w:proofErr w:type="spellEnd"/>
      <w:r w:rsidRPr="006327E2">
        <w:rPr>
          <w:rFonts w:cs="Arial"/>
          <w:i/>
          <w:iCs/>
          <w:color w:val="333333"/>
          <w:sz w:val="22"/>
          <w:szCs w:val="22"/>
          <w:shd w:val="clear" w:color="auto" w:fill="FFFFFF"/>
        </w:rPr>
        <w:t xml:space="preserve"> </w:t>
      </w:r>
      <w:proofErr w:type="spellStart"/>
      <w:r w:rsidRPr="006327E2">
        <w:rPr>
          <w:rFonts w:cs="Arial"/>
          <w:i/>
          <w:iCs/>
          <w:color w:val="333333"/>
          <w:sz w:val="22"/>
          <w:szCs w:val="22"/>
          <w:shd w:val="clear" w:color="auto" w:fill="FFFFFF"/>
        </w:rPr>
        <w:t>Testamentum</w:t>
      </w:r>
      <w:proofErr w:type="spellEnd"/>
      <w:r w:rsidRPr="006327E2">
        <w:rPr>
          <w:rFonts w:cs="Arial"/>
          <w:color w:val="333333"/>
          <w:sz w:val="22"/>
          <w:szCs w:val="22"/>
          <w:shd w:val="clear" w:color="auto" w:fill="FFFFFF"/>
        </w:rPr>
        <w:t>, vol. 57, no. 4, 2007, pp. 461–482. </w:t>
      </w:r>
    </w:p>
    <w:p w14:paraId="293A82AC" w14:textId="77777777" w:rsidR="007F2C3D" w:rsidRDefault="007F2C3D" w:rsidP="007F2C3D">
      <w:pPr>
        <w:spacing w:line="360" w:lineRule="auto"/>
        <w:ind w:firstLine="720"/>
      </w:pPr>
    </w:p>
    <w:p w14:paraId="7BF1F467" w14:textId="77777777" w:rsidR="007F2C3D" w:rsidRPr="006327E2" w:rsidRDefault="007F2C3D" w:rsidP="007F2C3D">
      <w:pPr>
        <w:pStyle w:val="FootnoteText"/>
        <w:rPr>
          <w:sz w:val="22"/>
          <w:szCs w:val="22"/>
        </w:rPr>
      </w:pPr>
      <w:r>
        <w:rPr>
          <w:sz w:val="22"/>
          <w:szCs w:val="22"/>
        </w:rPr>
        <w:t xml:space="preserve">Moore </w:t>
      </w:r>
      <w:r w:rsidRPr="006327E2">
        <w:rPr>
          <w:sz w:val="22"/>
          <w:szCs w:val="22"/>
        </w:rPr>
        <w:t xml:space="preserve">Edward, Neoplatonism, Internet </w:t>
      </w:r>
      <w:proofErr w:type="spellStart"/>
      <w:r w:rsidRPr="006327E2">
        <w:rPr>
          <w:sz w:val="22"/>
          <w:szCs w:val="22"/>
        </w:rPr>
        <w:t>encyclopadia</w:t>
      </w:r>
      <w:proofErr w:type="spellEnd"/>
      <w:r w:rsidRPr="006327E2">
        <w:rPr>
          <w:sz w:val="22"/>
          <w:szCs w:val="22"/>
        </w:rPr>
        <w:t xml:space="preserve"> of philosophy, </w:t>
      </w:r>
      <w:hyperlink r:id="rId13" w:anchor="H3" w:history="1">
        <w:r w:rsidRPr="006327E2">
          <w:rPr>
            <w:rStyle w:val="Hyperlink"/>
            <w:sz w:val="22"/>
            <w:szCs w:val="22"/>
          </w:rPr>
          <w:t>https://www.iep.utm.edu/neoplato/#H3</w:t>
        </w:r>
      </w:hyperlink>
      <w:r w:rsidRPr="006327E2">
        <w:rPr>
          <w:sz w:val="22"/>
          <w:szCs w:val="22"/>
        </w:rPr>
        <w:t>, accessed 24/5/2018.</w:t>
      </w:r>
    </w:p>
    <w:p w14:paraId="66984DEA" w14:textId="2AA8112A" w:rsidR="007F2C3D" w:rsidRDefault="007F2C3D" w:rsidP="00326018">
      <w:pPr>
        <w:spacing w:line="360" w:lineRule="auto"/>
        <w:ind w:firstLine="720"/>
      </w:pPr>
    </w:p>
    <w:p w14:paraId="0A3BF84D" w14:textId="77777777" w:rsidR="007F2C3D" w:rsidRPr="006327E2" w:rsidRDefault="007F2C3D" w:rsidP="007F2C3D">
      <w:pPr>
        <w:pStyle w:val="NoSpacing"/>
      </w:pPr>
      <w:proofErr w:type="spellStart"/>
      <w:r w:rsidRPr="006327E2">
        <w:t>Pophyry</w:t>
      </w:r>
      <w:proofErr w:type="spellEnd"/>
      <w:r w:rsidRPr="006327E2">
        <w:t xml:space="preserve">, Letter to </w:t>
      </w:r>
      <w:proofErr w:type="spellStart"/>
      <w:r w:rsidRPr="006327E2">
        <w:t>Anebo</w:t>
      </w:r>
      <w:proofErr w:type="spellEnd"/>
      <w:r w:rsidRPr="006327E2">
        <w:t xml:space="preserve">, </w:t>
      </w:r>
      <w:hyperlink r:id="rId14" w:history="1">
        <w:r w:rsidRPr="006327E2">
          <w:rPr>
            <w:rStyle w:val="Hyperlink"/>
          </w:rPr>
          <w:t>http://www.tertullian.org/fathers/porphyry_anebo_02_text.htm</w:t>
        </w:r>
      </w:hyperlink>
      <w:r w:rsidRPr="006327E2">
        <w:t>.  Accessed 15/5/2018.</w:t>
      </w:r>
    </w:p>
    <w:p w14:paraId="0CA75386" w14:textId="6C86601E" w:rsidR="007F2C3D" w:rsidRDefault="007F2C3D" w:rsidP="00326018">
      <w:pPr>
        <w:spacing w:line="360" w:lineRule="auto"/>
        <w:ind w:firstLine="720"/>
      </w:pPr>
    </w:p>
    <w:p w14:paraId="10659FB3" w14:textId="77777777" w:rsidR="007F2C3D" w:rsidRPr="006327E2" w:rsidRDefault="007F2C3D" w:rsidP="007F2C3D">
      <w:pPr>
        <w:pStyle w:val="FootnoteText"/>
        <w:rPr>
          <w:sz w:val="22"/>
          <w:szCs w:val="22"/>
        </w:rPr>
      </w:pPr>
      <w:r w:rsidRPr="006327E2">
        <w:rPr>
          <w:rFonts w:cs="Arial"/>
          <w:color w:val="333333"/>
          <w:sz w:val="22"/>
          <w:szCs w:val="22"/>
          <w:shd w:val="clear" w:color="auto" w:fill="FFFFFF"/>
        </w:rPr>
        <w:t>SHAW, GREGORY. “THEURGY: RITUALS OF UNIFICATION IN THE NEOPLATONISM OF IAMBLICHUS.” </w:t>
      </w:r>
      <w:proofErr w:type="spellStart"/>
      <w:r w:rsidRPr="006327E2">
        <w:rPr>
          <w:rFonts w:cs="Arial"/>
          <w:i/>
          <w:iCs/>
          <w:color w:val="333333"/>
          <w:sz w:val="22"/>
          <w:szCs w:val="22"/>
          <w:shd w:val="clear" w:color="auto" w:fill="FFFFFF"/>
        </w:rPr>
        <w:t>Traditio</w:t>
      </w:r>
      <w:proofErr w:type="spellEnd"/>
      <w:r w:rsidRPr="006327E2">
        <w:rPr>
          <w:rFonts w:cs="Arial"/>
          <w:color w:val="333333"/>
          <w:sz w:val="22"/>
          <w:szCs w:val="22"/>
          <w:shd w:val="clear" w:color="auto" w:fill="FFFFFF"/>
        </w:rPr>
        <w:t>, vol. 41, 1985, pp. 1–28. </w:t>
      </w:r>
    </w:p>
    <w:p w14:paraId="7A22495E" w14:textId="5F69D611" w:rsidR="007F2C3D" w:rsidRDefault="007F2C3D" w:rsidP="00326018">
      <w:pPr>
        <w:spacing w:line="360" w:lineRule="auto"/>
        <w:ind w:firstLine="720"/>
      </w:pPr>
    </w:p>
    <w:p w14:paraId="70C674C7" w14:textId="77777777" w:rsidR="007F2C3D" w:rsidRPr="006327E2" w:rsidRDefault="007F2C3D" w:rsidP="007F2C3D">
      <w:pPr>
        <w:pStyle w:val="FootnoteText"/>
        <w:rPr>
          <w:sz w:val="22"/>
          <w:szCs w:val="22"/>
        </w:rPr>
      </w:pPr>
      <w:r>
        <w:rPr>
          <w:sz w:val="22"/>
          <w:szCs w:val="22"/>
        </w:rPr>
        <w:t>Sheppard, An</w:t>
      </w:r>
      <w:r w:rsidRPr="006327E2">
        <w:rPr>
          <w:sz w:val="22"/>
          <w:szCs w:val="22"/>
        </w:rPr>
        <w:t>ne</w:t>
      </w:r>
      <w:r w:rsidRPr="006327E2">
        <w:rPr>
          <w:rFonts w:cs="Arial"/>
          <w:color w:val="333333"/>
          <w:sz w:val="22"/>
          <w:szCs w:val="22"/>
          <w:shd w:val="clear" w:color="auto" w:fill="FFFFFF"/>
        </w:rPr>
        <w:t>. “Proclus' Attitude to Theurgy.” </w:t>
      </w:r>
      <w:r w:rsidRPr="006327E2">
        <w:rPr>
          <w:rFonts w:cs="Arial"/>
          <w:i/>
          <w:iCs/>
          <w:color w:val="333333"/>
          <w:sz w:val="22"/>
          <w:szCs w:val="22"/>
          <w:shd w:val="clear" w:color="auto" w:fill="FFFFFF"/>
        </w:rPr>
        <w:t>The Classical Quarterly</w:t>
      </w:r>
      <w:r w:rsidRPr="006327E2">
        <w:rPr>
          <w:rFonts w:cs="Arial"/>
          <w:color w:val="333333"/>
          <w:sz w:val="22"/>
          <w:szCs w:val="22"/>
          <w:shd w:val="clear" w:color="auto" w:fill="FFFFFF"/>
        </w:rPr>
        <w:t>, vol. 32, no. 1, 1982, pp. 212–224</w:t>
      </w:r>
    </w:p>
    <w:p w14:paraId="7A462A01" w14:textId="77777777" w:rsidR="007F2C3D" w:rsidRPr="006327E2" w:rsidRDefault="007F2C3D" w:rsidP="00326018">
      <w:pPr>
        <w:spacing w:line="360" w:lineRule="auto"/>
        <w:ind w:firstLine="720"/>
      </w:pPr>
    </w:p>
    <w:p w14:paraId="675BA28F" w14:textId="61697B4F" w:rsidR="00843239" w:rsidRPr="006327E2" w:rsidRDefault="007F2C3D" w:rsidP="00843239">
      <w:pPr>
        <w:pStyle w:val="FootnoteText"/>
        <w:rPr>
          <w:sz w:val="22"/>
          <w:szCs w:val="22"/>
        </w:rPr>
      </w:pPr>
      <w:r>
        <w:rPr>
          <w:sz w:val="22"/>
          <w:szCs w:val="22"/>
        </w:rPr>
        <w:t xml:space="preserve">Struck </w:t>
      </w:r>
      <w:r w:rsidR="00843239" w:rsidRPr="006327E2">
        <w:rPr>
          <w:sz w:val="22"/>
          <w:szCs w:val="22"/>
        </w:rPr>
        <w:t xml:space="preserve">Peter. T, </w:t>
      </w:r>
      <w:proofErr w:type="spellStart"/>
      <w:r w:rsidR="00843239" w:rsidRPr="006327E2">
        <w:rPr>
          <w:sz w:val="22"/>
          <w:szCs w:val="22"/>
        </w:rPr>
        <w:t>Iambilichus</w:t>
      </w:r>
      <w:proofErr w:type="spellEnd"/>
      <w:r w:rsidR="00843239" w:rsidRPr="006327E2">
        <w:rPr>
          <w:sz w:val="22"/>
          <w:szCs w:val="22"/>
        </w:rPr>
        <w:t xml:space="preserve"> on Divination, Divine Power and Human Intuition, </w:t>
      </w:r>
    </w:p>
    <w:p w14:paraId="696E2D56" w14:textId="77777777" w:rsidR="00843239" w:rsidRPr="006327E2" w:rsidRDefault="00843239" w:rsidP="00843239">
      <w:pPr>
        <w:pStyle w:val="FootnoteText"/>
        <w:rPr>
          <w:sz w:val="22"/>
          <w:szCs w:val="22"/>
        </w:rPr>
      </w:pPr>
    </w:p>
    <w:p w14:paraId="4BCAD9F9" w14:textId="77777777" w:rsidR="007F2C3D" w:rsidRDefault="007F2C3D" w:rsidP="00843239">
      <w:pPr>
        <w:pStyle w:val="FootnoteText"/>
        <w:rPr>
          <w:sz w:val="22"/>
          <w:szCs w:val="22"/>
        </w:rPr>
      </w:pPr>
    </w:p>
    <w:p w14:paraId="28CC8394" w14:textId="77777777" w:rsidR="007F2C3D" w:rsidRDefault="007F2C3D" w:rsidP="00843239">
      <w:pPr>
        <w:pStyle w:val="FootnoteText"/>
        <w:rPr>
          <w:rFonts w:cs="Arial"/>
          <w:color w:val="1A1A1A"/>
          <w:sz w:val="22"/>
          <w:szCs w:val="22"/>
        </w:rPr>
      </w:pPr>
    </w:p>
    <w:p w14:paraId="6226531D" w14:textId="06273297" w:rsidR="00843239" w:rsidRPr="006327E2" w:rsidRDefault="00843239" w:rsidP="00843239">
      <w:pPr>
        <w:pStyle w:val="FootnoteText"/>
        <w:rPr>
          <w:sz w:val="22"/>
          <w:szCs w:val="22"/>
        </w:rPr>
      </w:pPr>
      <w:proofErr w:type="spellStart"/>
      <w:r w:rsidRPr="006327E2">
        <w:rPr>
          <w:rFonts w:cs="Arial"/>
          <w:color w:val="1A1A1A"/>
          <w:sz w:val="22"/>
          <w:szCs w:val="22"/>
        </w:rPr>
        <w:lastRenderedPageBreak/>
        <w:t>Wildberg</w:t>
      </w:r>
      <w:proofErr w:type="spellEnd"/>
      <w:r w:rsidRPr="006327E2">
        <w:rPr>
          <w:rFonts w:cs="Arial"/>
          <w:color w:val="1A1A1A"/>
          <w:sz w:val="22"/>
          <w:szCs w:val="22"/>
        </w:rPr>
        <w:t>, Christian, "Neoplatonism", </w:t>
      </w:r>
      <w:r w:rsidRPr="006327E2">
        <w:rPr>
          <w:rStyle w:val="Emphasis"/>
          <w:rFonts w:cs="Arial"/>
          <w:color w:val="1A1A1A"/>
          <w:sz w:val="22"/>
          <w:szCs w:val="22"/>
        </w:rPr>
        <w:t xml:space="preserve">The Stanford </w:t>
      </w:r>
      <w:proofErr w:type="spellStart"/>
      <w:r w:rsidRPr="006327E2">
        <w:rPr>
          <w:rStyle w:val="Emphasis"/>
          <w:rFonts w:cs="Arial"/>
          <w:color w:val="1A1A1A"/>
          <w:sz w:val="22"/>
          <w:szCs w:val="22"/>
        </w:rPr>
        <w:t>Encyclopedia</w:t>
      </w:r>
      <w:proofErr w:type="spellEnd"/>
      <w:r w:rsidRPr="006327E2">
        <w:rPr>
          <w:rStyle w:val="Emphasis"/>
          <w:rFonts w:cs="Arial"/>
          <w:color w:val="1A1A1A"/>
          <w:sz w:val="22"/>
          <w:szCs w:val="22"/>
        </w:rPr>
        <w:t xml:space="preserve"> of Philosophy </w:t>
      </w:r>
      <w:r w:rsidRPr="006327E2">
        <w:rPr>
          <w:rFonts w:cs="Arial"/>
          <w:color w:val="1A1A1A"/>
          <w:sz w:val="22"/>
          <w:szCs w:val="22"/>
        </w:rPr>
        <w:t xml:space="preserve">(Spring 2016 Edition), Edward N. </w:t>
      </w:r>
      <w:proofErr w:type="spellStart"/>
      <w:r w:rsidRPr="006327E2">
        <w:rPr>
          <w:rFonts w:cs="Arial"/>
          <w:color w:val="1A1A1A"/>
          <w:sz w:val="22"/>
          <w:szCs w:val="22"/>
        </w:rPr>
        <w:t>Zalta</w:t>
      </w:r>
      <w:proofErr w:type="spellEnd"/>
      <w:r w:rsidRPr="006327E2">
        <w:rPr>
          <w:rFonts w:cs="Arial"/>
          <w:color w:val="1A1A1A"/>
          <w:sz w:val="22"/>
          <w:szCs w:val="22"/>
        </w:rPr>
        <w:t xml:space="preserve"> (ed.),  </w:t>
      </w:r>
      <w:hyperlink r:id="rId15" w:history="1">
        <w:r w:rsidRPr="006327E2">
          <w:rPr>
            <w:rStyle w:val="Hyperlink"/>
            <w:rFonts w:cs="Arial"/>
            <w:sz w:val="22"/>
            <w:szCs w:val="22"/>
          </w:rPr>
          <w:t>https://plato.stanford.edu/archives/spr2016/entries/neoplatonism</w:t>
        </w:r>
      </w:hyperlink>
      <w:r w:rsidRPr="006327E2">
        <w:rPr>
          <w:rFonts w:cs="Arial"/>
          <w:color w:val="1A1A1A"/>
          <w:sz w:val="22"/>
          <w:szCs w:val="22"/>
        </w:rPr>
        <w:t xml:space="preserve"> Accessed 20/5/2018</w:t>
      </w:r>
    </w:p>
    <w:p w14:paraId="695472F5" w14:textId="77777777" w:rsidR="007F2C3D" w:rsidRDefault="007F2C3D" w:rsidP="00843239">
      <w:pPr>
        <w:pStyle w:val="FootnoteText"/>
        <w:rPr>
          <w:rFonts w:cs="Arial"/>
          <w:color w:val="333333"/>
          <w:sz w:val="22"/>
          <w:szCs w:val="22"/>
          <w:shd w:val="clear" w:color="auto" w:fill="FFFFFF"/>
        </w:rPr>
      </w:pPr>
    </w:p>
    <w:sectPr w:rsidR="007F2C3D" w:rsidSect="00B8301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3518D" w14:textId="77777777" w:rsidR="004157F4" w:rsidRDefault="004157F4" w:rsidP="00291222">
      <w:pPr>
        <w:spacing w:after="0" w:line="240" w:lineRule="auto"/>
      </w:pPr>
      <w:r>
        <w:separator/>
      </w:r>
    </w:p>
  </w:endnote>
  <w:endnote w:type="continuationSeparator" w:id="0">
    <w:p w14:paraId="2C8E8730" w14:textId="77777777" w:rsidR="004157F4" w:rsidRDefault="004157F4" w:rsidP="00291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278056"/>
      <w:docPartObj>
        <w:docPartGallery w:val="Page Numbers (Bottom of Page)"/>
        <w:docPartUnique/>
      </w:docPartObj>
    </w:sdtPr>
    <w:sdtContent>
      <w:sdt>
        <w:sdtPr>
          <w:id w:val="1728636285"/>
          <w:docPartObj>
            <w:docPartGallery w:val="Page Numbers (Top of Page)"/>
            <w:docPartUnique/>
          </w:docPartObj>
        </w:sdtPr>
        <w:sdtContent>
          <w:p w14:paraId="5EA19320" w14:textId="53E471D5" w:rsidR="00E01BE0" w:rsidRDefault="00E01BE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AA764B5" w14:textId="77777777" w:rsidR="00E01BE0" w:rsidRDefault="00E01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6BB60" w14:textId="77777777" w:rsidR="004157F4" w:rsidRDefault="004157F4" w:rsidP="00291222">
      <w:pPr>
        <w:spacing w:after="0" w:line="240" w:lineRule="auto"/>
      </w:pPr>
      <w:r>
        <w:separator/>
      </w:r>
    </w:p>
  </w:footnote>
  <w:footnote w:type="continuationSeparator" w:id="0">
    <w:p w14:paraId="1DD07391" w14:textId="77777777" w:rsidR="004157F4" w:rsidRDefault="004157F4" w:rsidP="00291222">
      <w:pPr>
        <w:spacing w:after="0" w:line="240" w:lineRule="auto"/>
      </w:pPr>
      <w:r>
        <w:continuationSeparator/>
      </w:r>
    </w:p>
  </w:footnote>
  <w:footnote w:id="1">
    <w:p w14:paraId="1B62CFCB" w14:textId="23A2496E" w:rsidR="00B42069" w:rsidRPr="00843239" w:rsidRDefault="00B42069">
      <w:pPr>
        <w:pStyle w:val="FootnoteText"/>
        <w:rPr>
          <w:sz w:val="16"/>
          <w:szCs w:val="16"/>
        </w:rPr>
      </w:pPr>
      <w:r w:rsidRPr="00843239">
        <w:rPr>
          <w:rStyle w:val="FootnoteReference"/>
          <w:sz w:val="16"/>
          <w:szCs w:val="16"/>
        </w:rPr>
        <w:footnoteRef/>
      </w:r>
      <w:r w:rsidRPr="00843239">
        <w:rPr>
          <w:sz w:val="16"/>
          <w:szCs w:val="16"/>
        </w:rPr>
        <w:t xml:space="preserve"> </w:t>
      </w:r>
      <w:hyperlink r:id="rId1" w:history="1">
        <w:r w:rsidRPr="00843239">
          <w:rPr>
            <w:rStyle w:val="Hyperlink"/>
            <w:sz w:val="16"/>
            <w:szCs w:val="16"/>
          </w:rPr>
          <w:t>https://dictionary.cambridge.org/dictionary/english/divination</w:t>
        </w:r>
      </w:hyperlink>
      <w:r w:rsidRPr="00843239">
        <w:rPr>
          <w:sz w:val="16"/>
          <w:szCs w:val="16"/>
        </w:rPr>
        <w:t>: Accessed 24/5/2018.</w:t>
      </w:r>
    </w:p>
  </w:footnote>
  <w:footnote w:id="2">
    <w:p w14:paraId="31935714" w14:textId="77777777" w:rsidR="0047130B" w:rsidRPr="00843239" w:rsidRDefault="0047130B" w:rsidP="0047130B">
      <w:pPr>
        <w:pStyle w:val="FootnoteText"/>
        <w:rPr>
          <w:sz w:val="16"/>
          <w:szCs w:val="16"/>
        </w:rPr>
      </w:pPr>
      <w:r w:rsidRPr="00843239">
        <w:rPr>
          <w:rStyle w:val="FootnoteReference"/>
          <w:sz w:val="16"/>
          <w:szCs w:val="16"/>
        </w:rPr>
        <w:footnoteRef/>
      </w:r>
      <w:r w:rsidRPr="00843239">
        <w:rPr>
          <w:sz w:val="16"/>
          <w:szCs w:val="16"/>
        </w:rPr>
        <w:t xml:space="preserve"> Erica Reiner, Fortune telling in Mesopotamia, Journal of Near Easter Studies, Vol. 19 No 1(Jan 1960) pp23-25.</w:t>
      </w:r>
    </w:p>
  </w:footnote>
  <w:footnote w:id="3">
    <w:p w14:paraId="26225DA9" w14:textId="7A606120" w:rsidR="00A33E6C" w:rsidRPr="00843239" w:rsidRDefault="00A33E6C">
      <w:pPr>
        <w:pStyle w:val="FootnoteText"/>
        <w:rPr>
          <w:sz w:val="16"/>
          <w:szCs w:val="16"/>
        </w:rPr>
      </w:pPr>
      <w:r w:rsidRPr="00843239">
        <w:rPr>
          <w:rStyle w:val="FootnoteReference"/>
          <w:sz w:val="16"/>
          <w:szCs w:val="16"/>
        </w:rPr>
        <w:footnoteRef/>
      </w:r>
      <w:r w:rsidRPr="00843239">
        <w:rPr>
          <w:sz w:val="16"/>
          <w:szCs w:val="16"/>
        </w:rPr>
        <w:t xml:space="preserve"> </w:t>
      </w:r>
      <w:r w:rsidR="0092684E" w:rsidRPr="00843239">
        <w:rPr>
          <w:sz w:val="16"/>
          <w:szCs w:val="16"/>
        </w:rPr>
        <w:t xml:space="preserve">Peter </w:t>
      </w:r>
      <w:r w:rsidRPr="00843239">
        <w:rPr>
          <w:rFonts w:ascii="Arial" w:hAnsi="Arial" w:cs="Arial"/>
          <w:color w:val="333333"/>
          <w:sz w:val="16"/>
          <w:szCs w:val="16"/>
          <w:shd w:val="clear" w:color="auto" w:fill="FFFFFF"/>
        </w:rPr>
        <w:t>Struck. </w:t>
      </w:r>
      <w:r w:rsidRPr="00843239">
        <w:rPr>
          <w:rFonts w:ascii="Arial" w:hAnsi="Arial" w:cs="Arial"/>
          <w:i/>
          <w:iCs/>
          <w:color w:val="333333"/>
          <w:sz w:val="16"/>
          <w:szCs w:val="16"/>
          <w:shd w:val="clear" w:color="auto" w:fill="FFFFFF"/>
        </w:rPr>
        <w:t>Divination and Human Nature: A Cognitive History of Intuition in Classical Antiquity</w:t>
      </w:r>
      <w:r w:rsidRPr="00843239">
        <w:rPr>
          <w:rFonts w:ascii="Arial" w:hAnsi="Arial" w:cs="Arial"/>
          <w:color w:val="333333"/>
          <w:sz w:val="16"/>
          <w:szCs w:val="16"/>
          <w:shd w:val="clear" w:color="auto" w:fill="FFFFFF"/>
        </w:rPr>
        <w:t>. Princeton University Press, 2016. </w:t>
      </w:r>
    </w:p>
  </w:footnote>
  <w:footnote w:id="4">
    <w:p w14:paraId="062FD4F7" w14:textId="326CC043" w:rsidR="00F97647" w:rsidRPr="00843239" w:rsidRDefault="00F97647">
      <w:pPr>
        <w:pStyle w:val="FootnoteText"/>
        <w:rPr>
          <w:sz w:val="16"/>
          <w:szCs w:val="16"/>
        </w:rPr>
      </w:pPr>
      <w:r w:rsidRPr="00843239">
        <w:rPr>
          <w:rStyle w:val="FootnoteReference"/>
          <w:sz w:val="16"/>
          <w:szCs w:val="16"/>
        </w:rPr>
        <w:footnoteRef/>
      </w:r>
      <w:r w:rsidRPr="00843239">
        <w:rPr>
          <w:sz w:val="16"/>
          <w:szCs w:val="16"/>
        </w:rPr>
        <w:t xml:space="preserve"> Hans </w:t>
      </w:r>
      <w:proofErr w:type="spellStart"/>
      <w:r w:rsidRPr="00843239">
        <w:rPr>
          <w:sz w:val="16"/>
          <w:szCs w:val="16"/>
        </w:rPr>
        <w:t>Deiter</w:t>
      </w:r>
      <w:proofErr w:type="spellEnd"/>
      <w:r w:rsidRPr="00843239">
        <w:rPr>
          <w:sz w:val="16"/>
          <w:szCs w:val="16"/>
        </w:rPr>
        <w:t xml:space="preserve"> Betz, </w:t>
      </w:r>
      <w:r w:rsidRPr="006327E2">
        <w:rPr>
          <w:i/>
          <w:sz w:val="16"/>
          <w:szCs w:val="16"/>
        </w:rPr>
        <w:t>The Greek Magical Papyri, including demotic spells</w:t>
      </w:r>
      <w:r w:rsidRPr="00843239">
        <w:rPr>
          <w:sz w:val="16"/>
          <w:szCs w:val="16"/>
        </w:rPr>
        <w:t>. (University of Chicago Press, 2</w:t>
      </w:r>
      <w:r w:rsidRPr="00843239">
        <w:rPr>
          <w:sz w:val="16"/>
          <w:szCs w:val="16"/>
          <w:vertAlign w:val="superscript"/>
        </w:rPr>
        <w:t>nd</w:t>
      </w:r>
      <w:r w:rsidRPr="00843239">
        <w:rPr>
          <w:sz w:val="16"/>
          <w:szCs w:val="16"/>
        </w:rPr>
        <w:t xml:space="preserve"> ed, 1992)</w:t>
      </w:r>
    </w:p>
  </w:footnote>
  <w:footnote w:id="5">
    <w:p w14:paraId="3DA9EEB0" w14:textId="338442CF" w:rsidR="006327E2" w:rsidRDefault="006327E2">
      <w:pPr>
        <w:pStyle w:val="FootnoteText"/>
      </w:pPr>
      <w:r>
        <w:rPr>
          <w:rStyle w:val="FootnoteReference"/>
        </w:rPr>
        <w:footnoteRef/>
      </w:r>
      <w:r>
        <w:t xml:space="preserve"> </w:t>
      </w:r>
      <w:proofErr w:type="spellStart"/>
      <w:r w:rsidR="00CD2D65" w:rsidRPr="00843239">
        <w:rPr>
          <w:sz w:val="16"/>
          <w:szCs w:val="16"/>
        </w:rPr>
        <w:t>Iambilichus</w:t>
      </w:r>
      <w:proofErr w:type="spellEnd"/>
      <w:r w:rsidR="00CD2D65" w:rsidRPr="00843239">
        <w:rPr>
          <w:sz w:val="16"/>
          <w:szCs w:val="16"/>
        </w:rPr>
        <w:t xml:space="preserve">, </w:t>
      </w:r>
      <w:r w:rsidR="00CD2D65" w:rsidRPr="006327E2">
        <w:rPr>
          <w:i/>
          <w:sz w:val="16"/>
          <w:szCs w:val="16"/>
        </w:rPr>
        <w:t>On the Mysteries.</w:t>
      </w:r>
      <w:r w:rsidR="00CD2D65" w:rsidRPr="00843239">
        <w:rPr>
          <w:sz w:val="16"/>
          <w:szCs w:val="16"/>
        </w:rPr>
        <w:t xml:space="preserve"> Trans by E </w:t>
      </w:r>
      <w:proofErr w:type="spellStart"/>
      <w:proofErr w:type="gramStart"/>
      <w:r w:rsidR="00CD2D65" w:rsidRPr="00843239">
        <w:rPr>
          <w:sz w:val="16"/>
          <w:szCs w:val="16"/>
        </w:rPr>
        <w:t>Clarke,John</w:t>
      </w:r>
      <w:proofErr w:type="spellEnd"/>
      <w:proofErr w:type="gramEnd"/>
      <w:r w:rsidR="00CD2D65" w:rsidRPr="00843239">
        <w:rPr>
          <w:sz w:val="16"/>
          <w:szCs w:val="16"/>
        </w:rPr>
        <w:t xml:space="preserve"> Dillon and Jackson P </w:t>
      </w:r>
      <w:proofErr w:type="spellStart"/>
      <w:r w:rsidR="00CD2D65" w:rsidRPr="00843239">
        <w:rPr>
          <w:sz w:val="16"/>
          <w:szCs w:val="16"/>
        </w:rPr>
        <w:t>Hershbell</w:t>
      </w:r>
      <w:proofErr w:type="spellEnd"/>
      <w:r w:rsidR="00CD2D65" w:rsidRPr="00843239">
        <w:rPr>
          <w:sz w:val="16"/>
          <w:szCs w:val="16"/>
        </w:rPr>
        <w:t xml:space="preserve"> (The society of Biblical Review, Atlanta,2003</w:t>
      </w:r>
      <w:r w:rsidR="00CD2D65">
        <w:rPr>
          <w:sz w:val="16"/>
          <w:szCs w:val="16"/>
        </w:rPr>
        <w:t>)</w:t>
      </w:r>
      <w:r w:rsidR="00CD2D65" w:rsidRPr="00843239">
        <w:rPr>
          <w:sz w:val="16"/>
          <w:szCs w:val="16"/>
        </w:rPr>
        <w:t>Bk 3 p119</w:t>
      </w:r>
    </w:p>
  </w:footnote>
  <w:footnote w:id="6">
    <w:p w14:paraId="0127CD63" w14:textId="2FA1DB03" w:rsidR="0092684E" w:rsidRPr="00843239" w:rsidRDefault="0092684E">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Pophyry</w:t>
      </w:r>
      <w:proofErr w:type="spellEnd"/>
      <w:r w:rsidRPr="006327E2">
        <w:rPr>
          <w:i/>
          <w:sz w:val="16"/>
          <w:szCs w:val="16"/>
        </w:rPr>
        <w:t xml:space="preserve">, Letter to </w:t>
      </w:r>
      <w:proofErr w:type="spellStart"/>
      <w:r w:rsidRPr="006327E2">
        <w:rPr>
          <w:i/>
          <w:sz w:val="16"/>
          <w:szCs w:val="16"/>
        </w:rPr>
        <w:t>Anebo</w:t>
      </w:r>
      <w:proofErr w:type="spellEnd"/>
      <w:r w:rsidRPr="00843239">
        <w:rPr>
          <w:sz w:val="16"/>
          <w:szCs w:val="16"/>
        </w:rPr>
        <w:t xml:space="preserve">, </w:t>
      </w:r>
      <w:hyperlink r:id="rId2" w:history="1">
        <w:r w:rsidRPr="00843239">
          <w:rPr>
            <w:rStyle w:val="Hyperlink"/>
            <w:sz w:val="16"/>
            <w:szCs w:val="16"/>
          </w:rPr>
          <w:t>http://www.tertullian.org/fathers/porphyry_anebo_02_text.htm</w:t>
        </w:r>
      </w:hyperlink>
      <w:r w:rsidRPr="00843239">
        <w:rPr>
          <w:sz w:val="16"/>
          <w:szCs w:val="16"/>
        </w:rPr>
        <w:t>.  Accessed 15/5/2018.</w:t>
      </w:r>
    </w:p>
  </w:footnote>
  <w:footnote w:id="7">
    <w:p w14:paraId="271BC6DD" w14:textId="28D185BC" w:rsidR="00326018" w:rsidRPr="00843239" w:rsidRDefault="00326018">
      <w:pPr>
        <w:pStyle w:val="FootnoteText"/>
        <w:rPr>
          <w:sz w:val="16"/>
          <w:szCs w:val="16"/>
        </w:rPr>
      </w:pPr>
      <w:r w:rsidRPr="00843239">
        <w:rPr>
          <w:rStyle w:val="FootnoteReference"/>
          <w:sz w:val="16"/>
          <w:szCs w:val="16"/>
        </w:rPr>
        <w:footnoteRef/>
      </w:r>
      <w:r w:rsidRPr="00843239">
        <w:rPr>
          <w:sz w:val="16"/>
          <w:szCs w:val="16"/>
        </w:rPr>
        <w:t xml:space="preserve"> </w:t>
      </w:r>
      <w:r w:rsidR="0092684E" w:rsidRPr="00843239">
        <w:rPr>
          <w:sz w:val="16"/>
          <w:szCs w:val="16"/>
        </w:rPr>
        <w:t xml:space="preserve">Peter </w:t>
      </w:r>
      <w:r w:rsidRPr="00843239">
        <w:rPr>
          <w:rFonts w:ascii="Arial" w:hAnsi="Arial" w:cs="Arial"/>
          <w:color w:val="333333"/>
          <w:sz w:val="16"/>
          <w:szCs w:val="16"/>
          <w:shd w:val="clear" w:color="auto" w:fill="FFFFFF"/>
        </w:rPr>
        <w:t>Struck</w:t>
      </w:r>
      <w:r w:rsidR="0092684E" w:rsidRPr="00843239">
        <w:rPr>
          <w:rFonts w:ascii="Arial" w:hAnsi="Arial" w:cs="Arial"/>
          <w:color w:val="333333"/>
          <w:sz w:val="16"/>
          <w:szCs w:val="16"/>
          <w:shd w:val="clear" w:color="auto" w:fill="FFFFFF"/>
        </w:rPr>
        <w:t>.</w:t>
      </w:r>
      <w:r w:rsidRPr="00843239">
        <w:rPr>
          <w:rFonts w:ascii="Arial" w:hAnsi="Arial" w:cs="Arial"/>
          <w:color w:val="333333"/>
          <w:sz w:val="16"/>
          <w:szCs w:val="16"/>
          <w:shd w:val="clear" w:color="auto" w:fill="FFFFFF"/>
        </w:rPr>
        <w:t> </w:t>
      </w:r>
      <w:r w:rsidRPr="00843239">
        <w:rPr>
          <w:rFonts w:ascii="Arial" w:hAnsi="Arial" w:cs="Arial"/>
          <w:i/>
          <w:iCs/>
          <w:color w:val="333333"/>
          <w:sz w:val="16"/>
          <w:szCs w:val="16"/>
          <w:shd w:val="clear" w:color="auto" w:fill="FFFFFF"/>
        </w:rPr>
        <w:t>Divination and Human Nature: A Cognitive History of Intuition in Classical Antiquity</w:t>
      </w:r>
      <w:r w:rsidRPr="00843239">
        <w:rPr>
          <w:rFonts w:ascii="Arial" w:hAnsi="Arial" w:cs="Arial"/>
          <w:color w:val="333333"/>
          <w:sz w:val="16"/>
          <w:szCs w:val="16"/>
          <w:shd w:val="clear" w:color="auto" w:fill="FFFFFF"/>
        </w:rPr>
        <w:t>. Princeton University Press, 2016</w:t>
      </w:r>
    </w:p>
  </w:footnote>
  <w:footnote w:id="8">
    <w:p w14:paraId="79C8269A" w14:textId="5F329B7F" w:rsidR="0056497A" w:rsidRPr="00843239" w:rsidRDefault="0056497A" w:rsidP="0056497A">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Iambilichus</w:t>
      </w:r>
      <w:proofErr w:type="spellEnd"/>
      <w:r w:rsidRPr="00843239">
        <w:rPr>
          <w:sz w:val="16"/>
          <w:szCs w:val="16"/>
        </w:rPr>
        <w:t xml:space="preserve">, </w:t>
      </w:r>
      <w:r w:rsidRPr="006327E2">
        <w:rPr>
          <w:i/>
          <w:sz w:val="16"/>
          <w:szCs w:val="16"/>
        </w:rPr>
        <w:t>On the Mysteries.</w:t>
      </w:r>
      <w:r w:rsidRPr="00843239">
        <w:rPr>
          <w:sz w:val="16"/>
          <w:szCs w:val="16"/>
        </w:rPr>
        <w:t xml:space="preserve"> Trans by E </w:t>
      </w:r>
      <w:proofErr w:type="spellStart"/>
      <w:proofErr w:type="gramStart"/>
      <w:r w:rsidRPr="00843239">
        <w:rPr>
          <w:sz w:val="16"/>
          <w:szCs w:val="16"/>
        </w:rPr>
        <w:t>Clarke,John</w:t>
      </w:r>
      <w:proofErr w:type="spellEnd"/>
      <w:proofErr w:type="gramEnd"/>
      <w:r w:rsidRPr="00843239">
        <w:rPr>
          <w:sz w:val="16"/>
          <w:szCs w:val="16"/>
        </w:rPr>
        <w:t xml:space="preserve"> Dillon and Jackson P </w:t>
      </w:r>
      <w:proofErr w:type="spellStart"/>
      <w:r w:rsidRPr="00843239">
        <w:rPr>
          <w:sz w:val="16"/>
          <w:szCs w:val="16"/>
        </w:rPr>
        <w:t>Hershbell</w:t>
      </w:r>
      <w:proofErr w:type="spellEnd"/>
      <w:r w:rsidRPr="00843239">
        <w:rPr>
          <w:sz w:val="16"/>
          <w:szCs w:val="16"/>
        </w:rPr>
        <w:t xml:space="preserve"> (The society of Biblical Review, Atlanta,2003</w:t>
      </w:r>
      <w:r w:rsidR="00CD2D65">
        <w:rPr>
          <w:sz w:val="16"/>
          <w:szCs w:val="16"/>
        </w:rPr>
        <w:t>)</w:t>
      </w:r>
      <w:r w:rsidRPr="00843239">
        <w:rPr>
          <w:sz w:val="16"/>
          <w:szCs w:val="16"/>
        </w:rPr>
        <w:t>Bk 3 p119</w:t>
      </w:r>
    </w:p>
  </w:footnote>
  <w:footnote w:id="9">
    <w:p w14:paraId="459FF681" w14:textId="52C40524" w:rsidR="0092684E" w:rsidRPr="00843239" w:rsidRDefault="0056497A" w:rsidP="0092684E">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6327E2">
        <w:rPr>
          <w:i/>
          <w:sz w:val="16"/>
          <w:szCs w:val="16"/>
        </w:rPr>
        <w:t>, 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Bk 3 p119</w:t>
      </w:r>
    </w:p>
    <w:p w14:paraId="0E7DE107" w14:textId="5C34523B" w:rsidR="0056497A" w:rsidRPr="00FB1F51" w:rsidRDefault="0056497A" w:rsidP="0056497A">
      <w:pPr>
        <w:pStyle w:val="FootnoteText"/>
      </w:pPr>
    </w:p>
  </w:footnote>
  <w:footnote w:id="10">
    <w:p w14:paraId="0E2E7F6B" w14:textId="77777777" w:rsidR="0056497A" w:rsidRPr="00843239" w:rsidRDefault="0056497A" w:rsidP="0056497A">
      <w:pPr>
        <w:pStyle w:val="FootnoteText"/>
        <w:rPr>
          <w:sz w:val="16"/>
          <w:szCs w:val="16"/>
        </w:rPr>
      </w:pPr>
      <w:r w:rsidRPr="00843239">
        <w:rPr>
          <w:rStyle w:val="FootnoteReference"/>
          <w:sz w:val="16"/>
          <w:szCs w:val="16"/>
        </w:rPr>
        <w:footnoteRef/>
      </w:r>
      <w:r w:rsidRPr="00843239">
        <w:rPr>
          <w:sz w:val="16"/>
          <w:szCs w:val="16"/>
        </w:rPr>
        <w:t xml:space="preserve"> Peter. T Struck, </w:t>
      </w:r>
      <w:proofErr w:type="spellStart"/>
      <w:r w:rsidRPr="00843239">
        <w:rPr>
          <w:sz w:val="16"/>
          <w:szCs w:val="16"/>
        </w:rPr>
        <w:t>Iambilichus</w:t>
      </w:r>
      <w:proofErr w:type="spellEnd"/>
      <w:r w:rsidRPr="00843239">
        <w:rPr>
          <w:sz w:val="16"/>
          <w:szCs w:val="16"/>
        </w:rPr>
        <w:t xml:space="preserve"> on Divination, Divine Power and Human Intuition, </w:t>
      </w:r>
    </w:p>
  </w:footnote>
  <w:footnote w:id="11">
    <w:p w14:paraId="4675338C" w14:textId="14BFFA7E" w:rsidR="00020A5F" w:rsidRPr="00843239" w:rsidRDefault="00020A5F">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A007E5" w:rsidRPr="00843239">
        <w:rPr>
          <w:sz w:val="16"/>
          <w:szCs w:val="16"/>
        </w:rPr>
        <w:t>Iambilichus</w:t>
      </w:r>
      <w:proofErr w:type="spellEnd"/>
      <w:r w:rsidR="00A007E5" w:rsidRPr="00843239">
        <w:rPr>
          <w:sz w:val="16"/>
          <w:szCs w:val="16"/>
        </w:rPr>
        <w:t xml:space="preserve">, </w:t>
      </w:r>
      <w:r w:rsidR="00A007E5" w:rsidRPr="006327E2">
        <w:rPr>
          <w:i/>
          <w:sz w:val="16"/>
          <w:szCs w:val="16"/>
        </w:rPr>
        <w:t>On the Mysteries</w:t>
      </w:r>
      <w:r w:rsidR="00A007E5" w:rsidRPr="00843239">
        <w:rPr>
          <w:sz w:val="16"/>
          <w:szCs w:val="16"/>
        </w:rPr>
        <w:t xml:space="preserve">. Trans by E </w:t>
      </w:r>
      <w:proofErr w:type="spellStart"/>
      <w:proofErr w:type="gramStart"/>
      <w:r w:rsidR="00A007E5" w:rsidRPr="00843239">
        <w:rPr>
          <w:sz w:val="16"/>
          <w:szCs w:val="16"/>
        </w:rPr>
        <w:t>Clarke,John</w:t>
      </w:r>
      <w:proofErr w:type="spellEnd"/>
      <w:proofErr w:type="gramEnd"/>
      <w:r w:rsidR="00A007E5" w:rsidRPr="00843239">
        <w:rPr>
          <w:sz w:val="16"/>
          <w:szCs w:val="16"/>
        </w:rPr>
        <w:t xml:space="preserve"> Dillon and Jackson P </w:t>
      </w:r>
      <w:proofErr w:type="spellStart"/>
      <w:r w:rsidR="00A007E5" w:rsidRPr="00843239">
        <w:rPr>
          <w:sz w:val="16"/>
          <w:szCs w:val="16"/>
        </w:rPr>
        <w:t>Hershbell</w:t>
      </w:r>
      <w:proofErr w:type="spellEnd"/>
      <w:r w:rsidR="00A007E5" w:rsidRPr="00843239">
        <w:rPr>
          <w:sz w:val="16"/>
          <w:szCs w:val="16"/>
        </w:rPr>
        <w:t xml:space="preserve"> (The society of Biblical Review, Atlanta,2003</w:t>
      </w:r>
      <w:r w:rsidR="00CD2D65">
        <w:rPr>
          <w:sz w:val="16"/>
          <w:szCs w:val="16"/>
        </w:rPr>
        <w:t>)</w:t>
      </w:r>
      <w:r w:rsidR="00A007E5" w:rsidRPr="00843239">
        <w:rPr>
          <w:sz w:val="16"/>
          <w:szCs w:val="16"/>
        </w:rPr>
        <w:t>Bk 3 P121</w:t>
      </w:r>
    </w:p>
  </w:footnote>
  <w:footnote w:id="12">
    <w:p w14:paraId="5CF9FAA0" w14:textId="35FFE5A0" w:rsidR="00E544DA" w:rsidRPr="00843239" w:rsidRDefault="00E544DA">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P121</w:t>
      </w:r>
    </w:p>
  </w:footnote>
  <w:footnote w:id="13">
    <w:p w14:paraId="4386F21C" w14:textId="192E6871" w:rsidR="00E544DA" w:rsidRPr="00843239" w:rsidRDefault="00E544DA">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P121 foot note</w:t>
      </w:r>
    </w:p>
  </w:footnote>
  <w:footnote w:id="14">
    <w:p w14:paraId="3F5425A4" w14:textId="7F951BC2" w:rsidR="00E544DA" w:rsidRPr="00843239" w:rsidRDefault="00E544DA">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6327E2">
        <w:rPr>
          <w:i/>
          <w:sz w:val="16"/>
          <w:szCs w:val="16"/>
        </w:rPr>
        <w:t>, 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Bk 3</w:t>
      </w:r>
      <w:r w:rsidRPr="00843239">
        <w:rPr>
          <w:sz w:val="16"/>
          <w:szCs w:val="16"/>
        </w:rPr>
        <w:t>P123</w:t>
      </w:r>
    </w:p>
  </w:footnote>
  <w:footnote w:id="15">
    <w:p w14:paraId="1F3A2793" w14:textId="1C2E3834" w:rsidR="004576AF" w:rsidRPr="00843239" w:rsidRDefault="004576AF">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6327E2">
        <w:rPr>
          <w:i/>
          <w:sz w:val="16"/>
          <w:szCs w:val="16"/>
        </w:rPr>
        <w:t>, 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P123</w:t>
      </w:r>
    </w:p>
  </w:footnote>
  <w:footnote w:id="16">
    <w:p w14:paraId="483AE8C1" w14:textId="758F6CB5" w:rsidR="006362E8" w:rsidRPr="00843239" w:rsidRDefault="006362E8" w:rsidP="006362E8">
      <w:pPr>
        <w:pStyle w:val="FootnoteText"/>
        <w:rPr>
          <w:sz w:val="16"/>
          <w:szCs w:val="16"/>
        </w:rPr>
      </w:pPr>
      <w:r w:rsidRPr="00843239">
        <w:rPr>
          <w:rStyle w:val="FootnoteReference"/>
          <w:sz w:val="16"/>
          <w:szCs w:val="16"/>
        </w:rPr>
        <w:footnoteRef/>
      </w:r>
      <w:r w:rsidRPr="00843239">
        <w:rPr>
          <w:sz w:val="16"/>
          <w:szCs w:val="16"/>
        </w:rPr>
        <w:t xml:space="preserve">  Lorenz, Hendrik, "Ancient Theories of Soul", </w:t>
      </w:r>
      <w:r w:rsidRPr="00843239">
        <w:rPr>
          <w:rStyle w:val="Emphasis"/>
          <w:sz w:val="16"/>
          <w:szCs w:val="16"/>
        </w:rPr>
        <w:t xml:space="preserve">The Stanford </w:t>
      </w:r>
      <w:proofErr w:type="spellStart"/>
      <w:r w:rsidRPr="00843239">
        <w:rPr>
          <w:rStyle w:val="Emphasis"/>
          <w:sz w:val="16"/>
          <w:szCs w:val="16"/>
        </w:rPr>
        <w:t>Encyclopedia</w:t>
      </w:r>
      <w:proofErr w:type="spellEnd"/>
      <w:r w:rsidRPr="00843239">
        <w:rPr>
          <w:rStyle w:val="Emphasis"/>
          <w:sz w:val="16"/>
          <w:szCs w:val="16"/>
        </w:rPr>
        <w:t xml:space="preserve"> of Philosophy </w:t>
      </w:r>
      <w:r w:rsidRPr="00843239">
        <w:rPr>
          <w:sz w:val="16"/>
          <w:szCs w:val="16"/>
        </w:rPr>
        <w:t xml:space="preserve">(Summer 2009 Edition), Edward N. </w:t>
      </w:r>
      <w:proofErr w:type="spellStart"/>
      <w:r w:rsidRPr="00843239">
        <w:rPr>
          <w:sz w:val="16"/>
          <w:szCs w:val="16"/>
        </w:rPr>
        <w:t>Zalta</w:t>
      </w:r>
      <w:proofErr w:type="spellEnd"/>
      <w:r w:rsidRPr="00843239">
        <w:rPr>
          <w:sz w:val="16"/>
          <w:szCs w:val="16"/>
        </w:rPr>
        <w:t> (ed.), &lt;</w:t>
      </w:r>
      <w:proofErr w:type="gramStart"/>
      <w:r w:rsidRPr="00843239">
        <w:rPr>
          <w:sz w:val="16"/>
          <w:szCs w:val="16"/>
        </w:rPr>
        <w:t>https://plato.stanford.edu/archives/sum2009/entries/ancient-soul/[</w:t>
      </w:r>
      <w:proofErr w:type="gramEnd"/>
      <w:r w:rsidRPr="00843239">
        <w:rPr>
          <w:sz w:val="16"/>
          <w:szCs w:val="16"/>
        </w:rPr>
        <w:t xml:space="preserve">Accessed </w:t>
      </w:r>
      <w:r w:rsidR="00A14972" w:rsidRPr="00843239">
        <w:rPr>
          <w:sz w:val="16"/>
          <w:szCs w:val="16"/>
        </w:rPr>
        <w:t>May 2018</w:t>
      </w:r>
      <w:r w:rsidRPr="00843239">
        <w:rPr>
          <w:sz w:val="16"/>
          <w:szCs w:val="16"/>
        </w:rPr>
        <w:t>]</w:t>
      </w:r>
    </w:p>
  </w:footnote>
  <w:footnote w:id="17">
    <w:p w14:paraId="7512593D" w14:textId="5440EB4E" w:rsidR="0092684E" w:rsidRPr="00E01BE0" w:rsidRDefault="00D44890" w:rsidP="0092684E">
      <w:pPr>
        <w:pStyle w:val="FootnoteText"/>
        <w:rPr>
          <w:sz w:val="16"/>
          <w:szCs w:val="16"/>
        </w:rPr>
      </w:pPr>
      <w:r>
        <w:rPr>
          <w:rStyle w:val="FootnoteReference"/>
        </w:rPr>
        <w:footnoteRef/>
      </w:r>
      <w: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0092684E" w:rsidRPr="00E01BE0">
        <w:rPr>
          <w:sz w:val="16"/>
          <w:szCs w:val="16"/>
        </w:rPr>
        <w:t>p</w:t>
      </w:r>
      <w:r w:rsidR="00E01BE0" w:rsidRPr="00E01BE0">
        <w:rPr>
          <w:sz w:val="16"/>
          <w:szCs w:val="16"/>
        </w:rPr>
        <w:t>129.</w:t>
      </w:r>
    </w:p>
    <w:p w14:paraId="7BB743A4" w14:textId="77777777" w:rsidR="00D44890" w:rsidRDefault="00D44890" w:rsidP="00D44890">
      <w:pPr>
        <w:pStyle w:val="FootnoteText"/>
      </w:pPr>
    </w:p>
  </w:footnote>
  <w:footnote w:id="18">
    <w:p w14:paraId="40AAD401" w14:textId="434C8223" w:rsidR="00D44890" w:rsidRPr="00843239" w:rsidRDefault="00D44890" w:rsidP="00D44890">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w:t>
      </w:r>
      <w:r w:rsidR="00CD2D65">
        <w:rPr>
          <w:sz w:val="16"/>
          <w:szCs w:val="16"/>
        </w:rPr>
        <w:t>,</w:t>
      </w:r>
      <w:r w:rsidR="0092684E" w:rsidRPr="00843239">
        <w:rPr>
          <w:sz w:val="16"/>
          <w:szCs w:val="16"/>
        </w:rPr>
        <w:t>2003</w:t>
      </w:r>
      <w:r w:rsidR="00CD2D65">
        <w:rPr>
          <w:sz w:val="16"/>
          <w:szCs w:val="16"/>
        </w:rPr>
        <w:t>)</w:t>
      </w:r>
      <w:r w:rsidR="0092684E" w:rsidRPr="00843239">
        <w:rPr>
          <w:sz w:val="16"/>
          <w:szCs w:val="16"/>
        </w:rPr>
        <w:t>Bk 3 p</w:t>
      </w:r>
      <w:r w:rsidRPr="00843239">
        <w:rPr>
          <w:sz w:val="16"/>
          <w:szCs w:val="16"/>
        </w:rPr>
        <w:t>143</w:t>
      </w:r>
    </w:p>
  </w:footnote>
  <w:footnote w:id="19">
    <w:p w14:paraId="027AE371" w14:textId="77777777" w:rsidR="00FF6D47" w:rsidRPr="00E01BE0" w:rsidRDefault="00FF6D47" w:rsidP="00FF6D47">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Iambilichus</w:t>
      </w:r>
      <w:proofErr w:type="spellEnd"/>
      <w:r w:rsidRPr="00843239">
        <w:rPr>
          <w:sz w:val="16"/>
          <w:szCs w:val="16"/>
        </w:rPr>
        <w:t xml:space="preserve">, </w:t>
      </w:r>
      <w:r w:rsidRPr="006327E2">
        <w:rPr>
          <w:i/>
          <w:sz w:val="16"/>
          <w:szCs w:val="16"/>
        </w:rPr>
        <w:t>On the Mysteries</w:t>
      </w:r>
      <w:r w:rsidRPr="00843239">
        <w:rPr>
          <w:sz w:val="16"/>
          <w:szCs w:val="16"/>
        </w:rPr>
        <w:t xml:space="preserve">. Trans by E </w:t>
      </w:r>
      <w:proofErr w:type="spellStart"/>
      <w:proofErr w:type="gramStart"/>
      <w:r w:rsidRPr="00843239">
        <w:rPr>
          <w:sz w:val="16"/>
          <w:szCs w:val="16"/>
        </w:rPr>
        <w:t>Clarke,John</w:t>
      </w:r>
      <w:proofErr w:type="spellEnd"/>
      <w:proofErr w:type="gramEnd"/>
      <w:r w:rsidRPr="00843239">
        <w:rPr>
          <w:sz w:val="16"/>
          <w:szCs w:val="16"/>
        </w:rPr>
        <w:t xml:space="preserve"> Dillon and Jackson P </w:t>
      </w:r>
      <w:proofErr w:type="spellStart"/>
      <w:r w:rsidRPr="00843239">
        <w:rPr>
          <w:sz w:val="16"/>
          <w:szCs w:val="16"/>
        </w:rPr>
        <w:t>Hershbell</w:t>
      </w:r>
      <w:proofErr w:type="spellEnd"/>
      <w:r w:rsidRPr="00843239">
        <w:rPr>
          <w:sz w:val="16"/>
          <w:szCs w:val="16"/>
        </w:rPr>
        <w:t xml:space="preserve"> (The society of Biblical Review, Atlanta,</w:t>
      </w:r>
      <w:r w:rsidRPr="00E01BE0">
        <w:rPr>
          <w:sz w:val="16"/>
          <w:szCs w:val="16"/>
        </w:rPr>
        <w:t>2003)Bk 3 p127</w:t>
      </w:r>
    </w:p>
    <w:p w14:paraId="3F741A20" w14:textId="77777777" w:rsidR="00FF6D47" w:rsidRPr="00E01BE0" w:rsidRDefault="00FF6D47" w:rsidP="00FF6D47">
      <w:pPr>
        <w:pStyle w:val="FootnoteText"/>
        <w:rPr>
          <w:sz w:val="16"/>
          <w:szCs w:val="16"/>
        </w:rPr>
      </w:pPr>
    </w:p>
  </w:footnote>
  <w:footnote w:id="20">
    <w:p w14:paraId="3A1E1991" w14:textId="658E5E15" w:rsidR="00D9246C" w:rsidRPr="00843239" w:rsidRDefault="00D9246C">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Pophyry</w:t>
      </w:r>
      <w:proofErr w:type="spellEnd"/>
      <w:r w:rsidRPr="00843239">
        <w:rPr>
          <w:sz w:val="16"/>
          <w:szCs w:val="16"/>
        </w:rPr>
        <w:t xml:space="preserve">, </w:t>
      </w:r>
      <w:r w:rsidRPr="006327E2">
        <w:rPr>
          <w:i/>
          <w:sz w:val="16"/>
          <w:szCs w:val="16"/>
        </w:rPr>
        <w:t xml:space="preserve">Letter to </w:t>
      </w:r>
      <w:proofErr w:type="spellStart"/>
      <w:r w:rsidRPr="006327E2">
        <w:rPr>
          <w:i/>
          <w:sz w:val="16"/>
          <w:szCs w:val="16"/>
        </w:rPr>
        <w:t>Anebo</w:t>
      </w:r>
      <w:proofErr w:type="spellEnd"/>
      <w:r w:rsidRPr="00843239">
        <w:rPr>
          <w:sz w:val="16"/>
          <w:szCs w:val="16"/>
        </w:rPr>
        <w:t xml:space="preserve">, </w:t>
      </w:r>
      <w:hyperlink r:id="rId3" w:history="1">
        <w:r w:rsidRPr="00843239">
          <w:rPr>
            <w:rStyle w:val="Hyperlink"/>
            <w:sz w:val="16"/>
            <w:szCs w:val="16"/>
          </w:rPr>
          <w:t>http://www.tertullian.org/fathers/porphyry_anebo_02_text.htm</w:t>
        </w:r>
      </w:hyperlink>
      <w:r w:rsidRPr="00843239">
        <w:rPr>
          <w:sz w:val="16"/>
          <w:szCs w:val="16"/>
        </w:rPr>
        <w:t>.  Accessed 15/5/2018.</w:t>
      </w:r>
    </w:p>
  </w:footnote>
  <w:footnote w:id="21">
    <w:p w14:paraId="3C73F100" w14:textId="73000FDB" w:rsidR="00D9246C" w:rsidRPr="00843239" w:rsidRDefault="00D9246C">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6327E2">
        <w:rPr>
          <w:i/>
          <w:sz w:val="16"/>
          <w:szCs w:val="16"/>
        </w:rPr>
        <w:t>, 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P181</w:t>
      </w:r>
    </w:p>
  </w:footnote>
  <w:footnote w:id="22">
    <w:p w14:paraId="5B0F6E60" w14:textId="77777777" w:rsidR="0018283D" w:rsidRPr="00843239" w:rsidRDefault="0018283D" w:rsidP="0018283D">
      <w:pPr>
        <w:pStyle w:val="FootnoteText"/>
        <w:rPr>
          <w:sz w:val="16"/>
          <w:szCs w:val="16"/>
        </w:rPr>
      </w:pPr>
      <w:r w:rsidRPr="00843239">
        <w:rPr>
          <w:rStyle w:val="FootnoteReference"/>
          <w:sz w:val="16"/>
          <w:szCs w:val="16"/>
        </w:rPr>
        <w:footnoteRef/>
      </w:r>
      <w:r w:rsidRPr="00843239">
        <w:rPr>
          <w:sz w:val="16"/>
          <w:szCs w:val="16"/>
        </w:rPr>
        <w:t xml:space="preserve"> Hans </w:t>
      </w:r>
      <w:proofErr w:type="spellStart"/>
      <w:r w:rsidRPr="00843239">
        <w:rPr>
          <w:sz w:val="16"/>
          <w:szCs w:val="16"/>
        </w:rPr>
        <w:t>Deiter</w:t>
      </w:r>
      <w:proofErr w:type="spellEnd"/>
      <w:r w:rsidRPr="00843239">
        <w:rPr>
          <w:sz w:val="16"/>
          <w:szCs w:val="16"/>
        </w:rPr>
        <w:t xml:space="preserve"> Betz, </w:t>
      </w:r>
      <w:r w:rsidRPr="006327E2">
        <w:rPr>
          <w:i/>
          <w:sz w:val="16"/>
          <w:szCs w:val="16"/>
        </w:rPr>
        <w:t>The Greek Magical Papyri</w:t>
      </w:r>
      <w:r w:rsidRPr="00843239">
        <w:rPr>
          <w:sz w:val="16"/>
          <w:szCs w:val="16"/>
        </w:rPr>
        <w:t xml:space="preserve">, including demotic spells.  </w:t>
      </w:r>
      <w:proofErr w:type="gramStart"/>
      <w:r w:rsidRPr="00843239">
        <w:rPr>
          <w:sz w:val="16"/>
          <w:szCs w:val="16"/>
        </w:rPr>
        <w:t>PGM:VII</w:t>
      </w:r>
      <w:proofErr w:type="gramEnd"/>
      <w:r w:rsidRPr="00843239">
        <w:rPr>
          <w:sz w:val="16"/>
          <w:szCs w:val="16"/>
        </w:rPr>
        <w:t xml:space="preserve"> 703-26, p 138. (University of Chicago Press, 2</w:t>
      </w:r>
      <w:r w:rsidRPr="00843239">
        <w:rPr>
          <w:sz w:val="16"/>
          <w:szCs w:val="16"/>
          <w:vertAlign w:val="superscript"/>
        </w:rPr>
        <w:t>nd</w:t>
      </w:r>
      <w:r w:rsidRPr="00843239">
        <w:rPr>
          <w:sz w:val="16"/>
          <w:szCs w:val="16"/>
        </w:rPr>
        <w:t xml:space="preserve"> ed, 1992)</w:t>
      </w:r>
    </w:p>
  </w:footnote>
  <w:footnote w:id="23">
    <w:p w14:paraId="7493F3B7" w14:textId="4E3BC6DD" w:rsidR="00D44890" w:rsidRPr="00843239" w:rsidRDefault="00D44890" w:rsidP="00D44890">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P151</w:t>
      </w:r>
    </w:p>
  </w:footnote>
  <w:footnote w:id="24">
    <w:p w14:paraId="628E8716" w14:textId="5B3F284C" w:rsidR="006B7FF0" w:rsidRDefault="006B7FF0">
      <w:pPr>
        <w:pStyle w:val="FootnoteText"/>
      </w:pPr>
      <w:r>
        <w:rPr>
          <w:rStyle w:val="FootnoteReference"/>
        </w:rPr>
        <w:footnoteRef/>
      </w:r>
      <w:r>
        <w:t xml:space="preserve"> </w:t>
      </w:r>
      <w:proofErr w:type="spellStart"/>
      <w:r w:rsidRPr="00843239">
        <w:rPr>
          <w:sz w:val="16"/>
          <w:szCs w:val="16"/>
        </w:rPr>
        <w:t>Iambilichus</w:t>
      </w:r>
      <w:proofErr w:type="spellEnd"/>
      <w:r w:rsidRPr="00843239">
        <w:rPr>
          <w:sz w:val="16"/>
          <w:szCs w:val="16"/>
        </w:rPr>
        <w:t xml:space="preserve">, </w:t>
      </w:r>
      <w:r w:rsidRPr="006327E2">
        <w:rPr>
          <w:i/>
          <w:sz w:val="16"/>
          <w:szCs w:val="16"/>
        </w:rPr>
        <w:t>On the Mysteries</w:t>
      </w:r>
      <w:r w:rsidRPr="00843239">
        <w:rPr>
          <w:sz w:val="16"/>
          <w:szCs w:val="16"/>
        </w:rPr>
        <w:t xml:space="preserve">. Trans by E </w:t>
      </w:r>
      <w:proofErr w:type="spellStart"/>
      <w:proofErr w:type="gramStart"/>
      <w:r w:rsidRPr="00843239">
        <w:rPr>
          <w:sz w:val="16"/>
          <w:szCs w:val="16"/>
        </w:rPr>
        <w:t>Clarke,John</w:t>
      </w:r>
      <w:proofErr w:type="spellEnd"/>
      <w:proofErr w:type="gramEnd"/>
      <w:r w:rsidRPr="00843239">
        <w:rPr>
          <w:sz w:val="16"/>
          <w:szCs w:val="16"/>
        </w:rPr>
        <w:t xml:space="preserve"> Dillon and Jackson P </w:t>
      </w:r>
      <w:proofErr w:type="spellStart"/>
      <w:r w:rsidRPr="00843239">
        <w:rPr>
          <w:sz w:val="16"/>
          <w:szCs w:val="16"/>
        </w:rPr>
        <w:t>Hershbell</w:t>
      </w:r>
      <w:proofErr w:type="spellEnd"/>
      <w:r w:rsidRPr="00843239">
        <w:rPr>
          <w:sz w:val="16"/>
          <w:szCs w:val="16"/>
        </w:rPr>
        <w:t xml:space="preserve"> (The society of Biblical Review, Atlanta,2003</w:t>
      </w:r>
      <w:r>
        <w:rPr>
          <w:sz w:val="16"/>
          <w:szCs w:val="16"/>
        </w:rPr>
        <w:t>)</w:t>
      </w:r>
      <w:r w:rsidRPr="00843239">
        <w:rPr>
          <w:sz w:val="16"/>
          <w:szCs w:val="16"/>
        </w:rPr>
        <w:t>Bk 3 P</w:t>
      </w:r>
      <w:r>
        <w:rPr>
          <w:sz w:val="16"/>
          <w:szCs w:val="16"/>
        </w:rPr>
        <w:t>193</w:t>
      </w:r>
    </w:p>
  </w:footnote>
  <w:footnote w:id="25">
    <w:p w14:paraId="6AF9AD03" w14:textId="15F34853" w:rsidR="00D44890" w:rsidRPr="00843239" w:rsidRDefault="00D44890" w:rsidP="00D44890">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6327E2">
        <w:rPr>
          <w:i/>
          <w:sz w:val="16"/>
          <w:szCs w:val="16"/>
        </w:rPr>
        <w:t>, 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P157</w:t>
      </w:r>
    </w:p>
  </w:footnote>
  <w:footnote w:id="26">
    <w:p w14:paraId="076F3DE9" w14:textId="419DEEE4" w:rsidR="00D44890" w:rsidRPr="00843239" w:rsidRDefault="00D44890" w:rsidP="00D44890">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P158</w:t>
      </w:r>
    </w:p>
  </w:footnote>
  <w:footnote w:id="27">
    <w:p w14:paraId="5EE24146" w14:textId="22C8837B" w:rsidR="00D9246C" w:rsidRPr="00843239" w:rsidRDefault="00D9246C">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0092684E" w:rsidRPr="00843239">
        <w:rPr>
          <w:sz w:val="16"/>
          <w:szCs w:val="16"/>
        </w:rPr>
        <w:t>Iambilichus</w:t>
      </w:r>
      <w:proofErr w:type="spellEnd"/>
      <w:r w:rsidR="0092684E" w:rsidRPr="00843239">
        <w:rPr>
          <w:sz w:val="16"/>
          <w:szCs w:val="16"/>
        </w:rPr>
        <w:t xml:space="preserve">, </w:t>
      </w:r>
      <w:r w:rsidR="0092684E" w:rsidRPr="006327E2">
        <w:rPr>
          <w:i/>
          <w:sz w:val="16"/>
          <w:szCs w:val="16"/>
        </w:rPr>
        <w:t>On the Mysteries</w:t>
      </w:r>
      <w:r w:rsidR="0092684E" w:rsidRPr="00843239">
        <w:rPr>
          <w:sz w:val="16"/>
          <w:szCs w:val="16"/>
        </w:rPr>
        <w:t xml:space="preserve">. Trans by E </w:t>
      </w:r>
      <w:proofErr w:type="spellStart"/>
      <w:proofErr w:type="gramStart"/>
      <w:r w:rsidR="0092684E" w:rsidRPr="00843239">
        <w:rPr>
          <w:sz w:val="16"/>
          <w:szCs w:val="16"/>
        </w:rPr>
        <w:t>Clarke,John</w:t>
      </w:r>
      <w:proofErr w:type="spellEnd"/>
      <w:proofErr w:type="gramEnd"/>
      <w:r w:rsidR="0092684E" w:rsidRPr="00843239">
        <w:rPr>
          <w:sz w:val="16"/>
          <w:szCs w:val="16"/>
        </w:rPr>
        <w:t xml:space="preserve"> Dillon and Jackson P </w:t>
      </w:r>
      <w:proofErr w:type="spellStart"/>
      <w:r w:rsidR="0092684E" w:rsidRPr="00843239">
        <w:rPr>
          <w:sz w:val="16"/>
          <w:szCs w:val="16"/>
        </w:rPr>
        <w:t>Hershbell</w:t>
      </w:r>
      <w:proofErr w:type="spellEnd"/>
      <w:r w:rsidR="0092684E" w:rsidRPr="00843239">
        <w:rPr>
          <w:sz w:val="16"/>
          <w:szCs w:val="16"/>
        </w:rPr>
        <w:t xml:space="preserve"> (The society of Biblical Review, Atlanta,2003</w:t>
      </w:r>
      <w:r w:rsidR="00CD2D65">
        <w:rPr>
          <w:sz w:val="16"/>
          <w:szCs w:val="16"/>
        </w:rPr>
        <w:t>)</w:t>
      </w:r>
      <w:r w:rsidR="0092684E" w:rsidRPr="00843239">
        <w:rPr>
          <w:sz w:val="16"/>
          <w:szCs w:val="16"/>
        </w:rPr>
        <w:t xml:space="preserve">Bk 3 </w:t>
      </w:r>
      <w:r w:rsidRPr="00843239">
        <w:rPr>
          <w:sz w:val="16"/>
          <w:szCs w:val="16"/>
        </w:rPr>
        <w:t>P163</w:t>
      </w:r>
    </w:p>
  </w:footnote>
  <w:footnote w:id="28">
    <w:p w14:paraId="65CF2D26" w14:textId="1ECA6C49" w:rsidR="002C0205" w:rsidRPr="00843239" w:rsidRDefault="002C0205">
      <w:pPr>
        <w:pStyle w:val="FootnoteText"/>
        <w:rPr>
          <w:sz w:val="16"/>
          <w:szCs w:val="16"/>
        </w:rPr>
      </w:pPr>
      <w:r w:rsidRPr="002C0205">
        <w:rPr>
          <w:rStyle w:val="FootnoteReference"/>
          <w:sz w:val="18"/>
          <w:szCs w:val="18"/>
        </w:rPr>
        <w:footnoteRef/>
      </w:r>
      <w:r w:rsidRPr="002C0205">
        <w:rPr>
          <w:sz w:val="18"/>
          <w:szCs w:val="18"/>
        </w:rPr>
        <w:t xml:space="preserve"> </w:t>
      </w:r>
      <w:proofErr w:type="gramStart"/>
      <w:r w:rsidRPr="00843239">
        <w:rPr>
          <w:sz w:val="16"/>
          <w:szCs w:val="16"/>
        </w:rPr>
        <w:t xml:space="preserve">Anne  </w:t>
      </w:r>
      <w:r w:rsidRPr="00843239">
        <w:rPr>
          <w:rFonts w:cs="Arial"/>
          <w:color w:val="333333"/>
          <w:sz w:val="16"/>
          <w:szCs w:val="16"/>
          <w:shd w:val="clear" w:color="auto" w:fill="FFFFFF"/>
        </w:rPr>
        <w:t>Sheppard</w:t>
      </w:r>
      <w:proofErr w:type="gramEnd"/>
      <w:r w:rsidRPr="00843239">
        <w:rPr>
          <w:rFonts w:cs="Arial"/>
          <w:color w:val="333333"/>
          <w:sz w:val="16"/>
          <w:szCs w:val="16"/>
          <w:shd w:val="clear" w:color="auto" w:fill="FFFFFF"/>
        </w:rPr>
        <w:t>. “Proclus' Attitude to Theurgy.” </w:t>
      </w:r>
      <w:r w:rsidRPr="00843239">
        <w:rPr>
          <w:rFonts w:cs="Arial"/>
          <w:i/>
          <w:iCs/>
          <w:color w:val="333333"/>
          <w:sz w:val="16"/>
          <w:szCs w:val="16"/>
          <w:shd w:val="clear" w:color="auto" w:fill="FFFFFF"/>
        </w:rPr>
        <w:t>The Classical Quarterly</w:t>
      </w:r>
      <w:r w:rsidRPr="00843239">
        <w:rPr>
          <w:rFonts w:cs="Arial"/>
          <w:color w:val="333333"/>
          <w:sz w:val="16"/>
          <w:szCs w:val="16"/>
          <w:shd w:val="clear" w:color="auto" w:fill="FFFFFF"/>
        </w:rPr>
        <w:t>, vol. 32, no. 1, 1982, pp. 212–224</w:t>
      </w:r>
    </w:p>
  </w:footnote>
  <w:footnote w:id="29">
    <w:p w14:paraId="3C55A761" w14:textId="7DEE2034" w:rsidR="00B65754" w:rsidRPr="00843239" w:rsidRDefault="00B65754">
      <w:pPr>
        <w:pStyle w:val="FootnoteText"/>
        <w:rPr>
          <w:sz w:val="16"/>
          <w:szCs w:val="16"/>
        </w:rPr>
      </w:pPr>
      <w:r w:rsidRPr="00843239">
        <w:rPr>
          <w:rStyle w:val="FootnoteReference"/>
          <w:sz w:val="16"/>
          <w:szCs w:val="16"/>
        </w:rPr>
        <w:footnoteRef/>
      </w:r>
      <w:r w:rsidRPr="00843239">
        <w:rPr>
          <w:sz w:val="16"/>
          <w:szCs w:val="16"/>
        </w:rPr>
        <w:t xml:space="preserve"> </w:t>
      </w:r>
      <w:r w:rsidRPr="00843239">
        <w:rPr>
          <w:rFonts w:cs="Arial"/>
          <w:color w:val="333333"/>
          <w:sz w:val="16"/>
          <w:szCs w:val="16"/>
          <w:shd w:val="clear" w:color="auto" w:fill="FFFFFF"/>
        </w:rPr>
        <w:t>SHAW, GREGORY. “THEURGY: RITUALS OF UNIFICATION IN THE NEOPLATONISM OF IAMBLICHUS.” </w:t>
      </w:r>
      <w:proofErr w:type="spellStart"/>
      <w:r w:rsidRPr="00843239">
        <w:rPr>
          <w:rFonts w:cs="Arial"/>
          <w:i/>
          <w:iCs/>
          <w:color w:val="333333"/>
          <w:sz w:val="16"/>
          <w:szCs w:val="16"/>
          <w:shd w:val="clear" w:color="auto" w:fill="FFFFFF"/>
        </w:rPr>
        <w:t>Traditio</w:t>
      </w:r>
      <w:proofErr w:type="spellEnd"/>
      <w:r w:rsidRPr="00843239">
        <w:rPr>
          <w:rFonts w:cs="Arial"/>
          <w:color w:val="333333"/>
          <w:sz w:val="16"/>
          <w:szCs w:val="16"/>
          <w:shd w:val="clear" w:color="auto" w:fill="FFFFFF"/>
        </w:rPr>
        <w:t>, vol. 41, 1985, pp. 1–28. </w:t>
      </w:r>
    </w:p>
  </w:footnote>
  <w:footnote w:id="30">
    <w:p w14:paraId="376D31E2" w14:textId="3E01E860" w:rsidR="00BC20EE" w:rsidRPr="00843239" w:rsidRDefault="00BC20EE">
      <w:pPr>
        <w:pStyle w:val="FootnoteText"/>
        <w:rPr>
          <w:sz w:val="16"/>
          <w:szCs w:val="16"/>
        </w:rPr>
      </w:pPr>
      <w:r w:rsidRPr="00843239">
        <w:rPr>
          <w:rStyle w:val="FootnoteReference"/>
          <w:sz w:val="16"/>
          <w:szCs w:val="16"/>
        </w:rPr>
        <w:footnoteRef/>
      </w:r>
      <w:r w:rsidRPr="00843239">
        <w:rPr>
          <w:sz w:val="16"/>
          <w:szCs w:val="16"/>
        </w:rPr>
        <w:t xml:space="preserve"> Edward Moore, Neoplatonism, Internet </w:t>
      </w:r>
      <w:proofErr w:type="spellStart"/>
      <w:r w:rsidRPr="00843239">
        <w:rPr>
          <w:sz w:val="16"/>
          <w:szCs w:val="16"/>
        </w:rPr>
        <w:t>encyclopadia</w:t>
      </w:r>
      <w:proofErr w:type="spellEnd"/>
      <w:r w:rsidRPr="00843239">
        <w:rPr>
          <w:sz w:val="16"/>
          <w:szCs w:val="16"/>
        </w:rPr>
        <w:t xml:space="preserve"> of philosophy, </w:t>
      </w:r>
      <w:hyperlink r:id="rId4" w:anchor="H3" w:history="1">
        <w:r w:rsidRPr="00843239">
          <w:rPr>
            <w:rStyle w:val="Hyperlink"/>
            <w:sz w:val="16"/>
            <w:szCs w:val="16"/>
          </w:rPr>
          <w:t>https://www.iep.utm.edu/neoplato/#H3</w:t>
        </w:r>
      </w:hyperlink>
      <w:r w:rsidRPr="00843239">
        <w:rPr>
          <w:sz w:val="16"/>
          <w:szCs w:val="16"/>
        </w:rPr>
        <w:t>, accessed 24/5/2018.</w:t>
      </w:r>
    </w:p>
  </w:footnote>
  <w:footnote w:id="31">
    <w:p w14:paraId="6BAE8A2B" w14:textId="7BCEBBDD" w:rsidR="00932F94" w:rsidRPr="00843239" w:rsidRDefault="00932F94">
      <w:pPr>
        <w:pStyle w:val="FootnoteText"/>
        <w:rPr>
          <w:sz w:val="16"/>
          <w:szCs w:val="16"/>
        </w:rPr>
      </w:pPr>
      <w:r w:rsidRPr="00843239">
        <w:rPr>
          <w:rStyle w:val="FootnoteReference"/>
          <w:sz w:val="16"/>
          <w:szCs w:val="16"/>
        </w:rPr>
        <w:footnoteRef/>
      </w:r>
      <w:r w:rsidRPr="00843239">
        <w:rPr>
          <w:sz w:val="16"/>
          <w:szCs w:val="16"/>
        </w:rPr>
        <w:t xml:space="preserve"> Edward Moore, Neoplatonism, Internet </w:t>
      </w:r>
      <w:proofErr w:type="spellStart"/>
      <w:r w:rsidRPr="00843239">
        <w:rPr>
          <w:sz w:val="16"/>
          <w:szCs w:val="16"/>
        </w:rPr>
        <w:t>encyclopadia</w:t>
      </w:r>
      <w:proofErr w:type="spellEnd"/>
      <w:r w:rsidRPr="00843239">
        <w:rPr>
          <w:sz w:val="16"/>
          <w:szCs w:val="16"/>
        </w:rPr>
        <w:t xml:space="preserve"> of philosophy, </w:t>
      </w:r>
      <w:hyperlink r:id="rId5" w:anchor="H3" w:history="1">
        <w:r w:rsidRPr="00843239">
          <w:rPr>
            <w:rStyle w:val="Hyperlink"/>
            <w:sz w:val="16"/>
            <w:szCs w:val="16"/>
          </w:rPr>
          <w:t>https://www.iep.utm.edu/neoplato/#H3</w:t>
        </w:r>
      </w:hyperlink>
      <w:r w:rsidRPr="00843239">
        <w:rPr>
          <w:sz w:val="16"/>
          <w:szCs w:val="16"/>
        </w:rPr>
        <w:t>, accessed 24/5/2018</w:t>
      </w:r>
    </w:p>
  </w:footnote>
  <w:footnote w:id="32">
    <w:p w14:paraId="45E950A8" w14:textId="7A59CDBD" w:rsidR="00E87E60" w:rsidRPr="00843239" w:rsidRDefault="00E87E60">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Polymia</w:t>
      </w:r>
      <w:proofErr w:type="spellEnd"/>
      <w:r w:rsidRPr="00843239">
        <w:rPr>
          <w:sz w:val="16"/>
          <w:szCs w:val="16"/>
        </w:rPr>
        <w:t xml:space="preserve"> </w:t>
      </w:r>
      <w:proofErr w:type="spellStart"/>
      <w:r w:rsidRPr="00843239">
        <w:rPr>
          <w:rFonts w:cs="Arial"/>
          <w:color w:val="333333"/>
          <w:sz w:val="16"/>
          <w:szCs w:val="16"/>
          <w:shd w:val="clear" w:color="auto" w:fill="FFFFFF"/>
        </w:rPr>
        <w:t>Athanassiadi</w:t>
      </w:r>
      <w:proofErr w:type="spellEnd"/>
      <w:r w:rsidRPr="00843239">
        <w:rPr>
          <w:rFonts w:cs="Arial"/>
          <w:color w:val="333333"/>
          <w:sz w:val="16"/>
          <w:szCs w:val="16"/>
          <w:shd w:val="clear" w:color="auto" w:fill="FFFFFF"/>
        </w:rPr>
        <w:t>. “Dreams, Theurgy and Freelance Divination: The Testimony of Iamblichus.” </w:t>
      </w:r>
      <w:r w:rsidRPr="00843239">
        <w:rPr>
          <w:rFonts w:cs="Arial"/>
          <w:i/>
          <w:iCs/>
          <w:color w:val="333333"/>
          <w:sz w:val="16"/>
          <w:szCs w:val="16"/>
          <w:shd w:val="clear" w:color="auto" w:fill="FFFFFF"/>
        </w:rPr>
        <w:t>The Journal of Roman Studies</w:t>
      </w:r>
      <w:r w:rsidRPr="00843239">
        <w:rPr>
          <w:rFonts w:cs="Arial"/>
          <w:color w:val="333333"/>
          <w:sz w:val="16"/>
          <w:szCs w:val="16"/>
          <w:shd w:val="clear" w:color="auto" w:fill="FFFFFF"/>
        </w:rPr>
        <w:t>, vol. 83, 1993, pp. 115–130,</w:t>
      </w:r>
    </w:p>
  </w:footnote>
  <w:footnote w:id="33">
    <w:p w14:paraId="2363FF89" w14:textId="4E4EEAAF" w:rsidR="00932F94" w:rsidRPr="00843239" w:rsidRDefault="00932F94" w:rsidP="00932F94">
      <w:pPr>
        <w:pStyle w:val="FootnoteText"/>
        <w:rPr>
          <w:sz w:val="16"/>
          <w:szCs w:val="16"/>
        </w:rPr>
      </w:pPr>
      <w:r w:rsidRPr="00843239">
        <w:rPr>
          <w:rStyle w:val="FootnoteReference"/>
          <w:sz w:val="16"/>
          <w:szCs w:val="16"/>
        </w:rPr>
        <w:footnoteRef/>
      </w:r>
      <w:r w:rsidRPr="00843239">
        <w:rPr>
          <w:sz w:val="16"/>
          <w:szCs w:val="16"/>
        </w:rPr>
        <w:t xml:space="preserve">  Edward Moore, Neoplatonism, Internet </w:t>
      </w:r>
      <w:proofErr w:type="spellStart"/>
      <w:r w:rsidRPr="00843239">
        <w:rPr>
          <w:sz w:val="16"/>
          <w:szCs w:val="16"/>
        </w:rPr>
        <w:t>encyclopadia</w:t>
      </w:r>
      <w:proofErr w:type="spellEnd"/>
      <w:r w:rsidRPr="00843239">
        <w:rPr>
          <w:sz w:val="16"/>
          <w:szCs w:val="16"/>
        </w:rPr>
        <w:t xml:space="preserve"> of philosophy, </w:t>
      </w:r>
      <w:hyperlink r:id="rId6" w:anchor="H3" w:history="1">
        <w:r w:rsidRPr="00843239">
          <w:rPr>
            <w:rStyle w:val="Hyperlink"/>
            <w:sz w:val="16"/>
            <w:szCs w:val="16"/>
          </w:rPr>
          <w:t>https://www.iep.utm.edu/neoplato/#H3</w:t>
        </w:r>
      </w:hyperlink>
      <w:r w:rsidRPr="00843239">
        <w:rPr>
          <w:sz w:val="16"/>
          <w:szCs w:val="16"/>
        </w:rPr>
        <w:t>, accessed 24/5/2018</w:t>
      </w:r>
    </w:p>
    <w:p w14:paraId="38A503EE" w14:textId="386472AA" w:rsidR="00932F94" w:rsidRPr="00843239" w:rsidRDefault="00932F94">
      <w:pPr>
        <w:pStyle w:val="FootnoteText"/>
        <w:rPr>
          <w:sz w:val="16"/>
          <w:szCs w:val="16"/>
        </w:rPr>
      </w:pPr>
    </w:p>
  </w:footnote>
  <w:footnote w:id="34">
    <w:p w14:paraId="5C85A1C4" w14:textId="21404F2B" w:rsidR="00605708" w:rsidRPr="00843239" w:rsidRDefault="00605708">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sz w:val="16"/>
          <w:szCs w:val="16"/>
        </w:rPr>
        <w:t>Polymia</w:t>
      </w:r>
      <w:proofErr w:type="spellEnd"/>
      <w:r w:rsidRPr="00843239">
        <w:rPr>
          <w:sz w:val="16"/>
          <w:szCs w:val="16"/>
        </w:rPr>
        <w:t xml:space="preserve"> </w:t>
      </w:r>
      <w:proofErr w:type="spellStart"/>
      <w:r w:rsidRPr="00843239">
        <w:rPr>
          <w:rFonts w:cs="Arial"/>
          <w:color w:val="333333"/>
          <w:sz w:val="16"/>
          <w:szCs w:val="16"/>
          <w:shd w:val="clear" w:color="auto" w:fill="FFFFFF"/>
        </w:rPr>
        <w:t>Athanassiadi</w:t>
      </w:r>
      <w:proofErr w:type="spellEnd"/>
      <w:r w:rsidRPr="00843239">
        <w:rPr>
          <w:rFonts w:cs="Arial"/>
          <w:color w:val="333333"/>
          <w:sz w:val="16"/>
          <w:szCs w:val="16"/>
          <w:shd w:val="clear" w:color="auto" w:fill="FFFFFF"/>
        </w:rPr>
        <w:t>. “Dreams, Theurgy and Freelance Divination: The Testimony of Iamblichus.” </w:t>
      </w:r>
      <w:r w:rsidRPr="00843239">
        <w:rPr>
          <w:rFonts w:cs="Arial"/>
          <w:i/>
          <w:iCs/>
          <w:color w:val="333333"/>
          <w:sz w:val="16"/>
          <w:szCs w:val="16"/>
          <w:shd w:val="clear" w:color="auto" w:fill="FFFFFF"/>
        </w:rPr>
        <w:t>The Journal of Roman Studies</w:t>
      </w:r>
      <w:r w:rsidRPr="00843239">
        <w:rPr>
          <w:rFonts w:cs="Arial"/>
          <w:color w:val="333333"/>
          <w:sz w:val="16"/>
          <w:szCs w:val="16"/>
          <w:shd w:val="clear" w:color="auto" w:fill="FFFFFF"/>
        </w:rPr>
        <w:t>, vol. 83, 1993, p120</w:t>
      </w:r>
    </w:p>
  </w:footnote>
  <w:footnote w:id="35">
    <w:p w14:paraId="4C590D13" w14:textId="22850097" w:rsidR="00A147DC" w:rsidRPr="00843239" w:rsidRDefault="00A147DC">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rFonts w:cs="Arial"/>
          <w:color w:val="1A1A1A"/>
          <w:sz w:val="16"/>
          <w:szCs w:val="16"/>
        </w:rPr>
        <w:t>Wildberg</w:t>
      </w:r>
      <w:proofErr w:type="spellEnd"/>
      <w:r w:rsidRPr="00843239">
        <w:rPr>
          <w:rFonts w:cs="Arial"/>
          <w:color w:val="1A1A1A"/>
          <w:sz w:val="16"/>
          <w:szCs w:val="16"/>
        </w:rPr>
        <w:t>, Christian, "Neoplatonism", </w:t>
      </w:r>
      <w:r w:rsidRPr="00843239">
        <w:rPr>
          <w:rStyle w:val="Emphasis"/>
          <w:rFonts w:cs="Arial"/>
          <w:color w:val="1A1A1A"/>
          <w:sz w:val="16"/>
          <w:szCs w:val="16"/>
        </w:rPr>
        <w:t xml:space="preserve">The Stanford </w:t>
      </w:r>
      <w:proofErr w:type="spellStart"/>
      <w:r w:rsidRPr="00843239">
        <w:rPr>
          <w:rStyle w:val="Emphasis"/>
          <w:rFonts w:cs="Arial"/>
          <w:color w:val="1A1A1A"/>
          <w:sz w:val="16"/>
          <w:szCs w:val="16"/>
        </w:rPr>
        <w:t>Encyclopedia</w:t>
      </w:r>
      <w:proofErr w:type="spellEnd"/>
      <w:r w:rsidRPr="00843239">
        <w:rPr>
          <w:rStyle w:val="Emphasis"/>
          <w:rFonts w:cs="Arial"/>
          <w:color w:val="1A1A1A"/>
          <w:sz w:val="16"/>
          <w:szCs w:val="16"/>
        </w:rPr>
        <w:t xml:space="preserve"> of Philosophy </w:t>
      </w:r>
      <w:r w:rsidRPr="00843239">
        <w:rPr>
          <w:rFonts w:cs="Arial"/>
          <w:color w:val="1A1A1A"/>
          <w:sz w:val="16"/>
          <w:szCs w:val="16"/>
        </w:rPr>
        <w:t xml:space="preserve">(Spring 2016 Edition), Edward N. </w:t>
      </w:r>
      <w:proofErr w:type="spellStart"/>
      <w:r w:rsidRPr="00843239">
        <w:rPr>
          <w:rFonts w:cs="Arial"/>
          <w:color w:val="1A1A1A"/>
          <w:sz w:val="16"/>
          <w:szCs w:val="16"/>
        </w:rPr>
        <w:t>Zalta</w:t>
      </w:r>
      <w:proofErr w:type="spellEnd"/>
      <w:r w:rsidRPr="00843239">
        <w:rPr>
          <w:rFonts w:cs="Arial"/>
          <w:color w:val="1A1A1A"/>
          <w:sz w:val="16"/>
          <w:szCs w:val="16"/>
        </w:rPr>
        <w:t xml:space="preserve"> (ed.),  </w:t>
      </w:r>
      <w:hyperlink r:id="rId7" w:history="1">
        <w:r w:rsidR="00A14972" w:rsidRPr="00843239">
          <w:rPr>
            <w:rStyle w:val="Hyperlink"/>
            <w:rFonts w:cs="Arial"/>
            <w:sz w:val="16"/>
            <w:szCs w:val="16"/>
          </w:rPr>
          <w:t>https://plato.stanford.edu/archives/spr2016/entries/neoplatonism</w:t>
        </w:r>
      </w:hyperlink>
      <w:r w:rsidR="00A14972" w:rsidRPr="00843239">
        <w:rPr>
          <w:rFonts w:cs="Arial"/>
          <w:color w:val="1A1A1A"/>
          <w:sz w:val="16"/>
          <w:szCs w:val="16"/>
        </w:rPr>
        <w:t xml:space="preserve"> Accessed 20/5/2018</w:t>
      </w:r>
    </w:p>
  </w:footnote>
  <w:footnote w:id="36">
    <w:p w14:paraId="651CB11F" w14:textId="3E60A493" w:rsidR="006B7FF0" w:rsidRDefault="006B7FF0">
      <w:pPr>
        <w:pStyle w:val="FootnoteText"/>
      </w:pPr>
      <w:r>
        <w:rPr>
          <w:rStyle w:val="FootnoteReference"/>
        </w:rPr>
        <w:footnoteRef/>
      </w:r>
      <w:r>
        <w:t xml:space="preserve"> </w:t>
      </w:r>
      <w:proofErr w:type="spellStart"/>
      <w:r w:rsidRPr="00843239">
        <w:rPr>
          <w:sz w:val="16"/>
          <w:szCs w:val="16"/>
        </w:rPr>
        <w:t>Iambilichus</w:t>
      </w:r>
      <w:proofErr w:type="spellEnd"/>
      <w:r w:rsidRPr="00843239">
        <w:rPr>
          <w:sz w:val="16"/>
          <w:szCs w:val="16"/>
        </w:rPr>
        <w:t xml:space="preserve">, </w:t>
      </w:r>
      <w:r w:rsidRPr="006327E2">
        <w:rPr>
          <w:i/>
          <w:sz w:val="16"/>
          <w:szCs w:val="16"/>
        </w:rPr>
        <w:t>On the Mysteries</w:t>
      </w:r>
      <w:r w:rsidRPr="00843239">
        <w:rPr>
          <w:sz w:val="16"/>
          <w:szCs w:val="16"/>
        </w:rPr>
        <w:t xml:space="preserve">. Trans by E </w:t>
      </w:r>
      <w:proofErr w:type="spellStart"/>
      <w:proofErr w:type="gramStart"/>
      <w:r w:rsidRPr="00843239">
        <w:rPr>
          <w:sz w:val="16"/>
          <w:szCs w:val="16"/>
        </w:rPr>
        <w:t>Clarke,John</w:t>
      </w:r>
      <w:proofErr w:type="spellEnd"/>
      <w:proofErr w:type="gramEnd"/>
      <w:r w:rsidRPr="00843239">
        <w:rPr>
          <w:sz w:val="16"/>
          <w:szCs w:val="16"/>
        </w:rPr>
        <w:t xml:space="preserve"> Dillon and Jackson P </w:t>
      </w:r>
      <w:proofErr w:type="spellStart"/>
      <w:r w:rsidRPr="00843239">
        <w:rPr>
          <w:sz w:val="16"/>
          <w:szCs w:val="16"/>
        </w:rPr>
        <w:t>Hershbell</w:t>
      </w:r>
      <w:proofErr w:type="spellEnd"/>
      <w:r w:rsidRPr="00843239">
        <w:rPr>
          <w:sz w:val="16"/>
          <w:szCs w:val="16"/>
        </w:rPr>
        <w:t xml:space="preserve"> (The society of Biblical Review, Atlanta,2003</w:t>
      </w:r>
      <w:r>
        <w:rPr>
          <w:sz w:val="16"/>
          <w:szCs w:val="16"/>
        </w:rPr>
        <w:t>)</w:t>
      </w:r>
      <w:r w:rsidRPr="00843239">
        <w:rPr>
          <w:sz w:val="16"/>
          <w:szCs w:val="16"/>
        </w:rPr>
        <w:t xml:space="preserve">Bk 3 </w:t>
      </w:r>
      <w:r w:rsidRPr="00E01BE0">
        <w:rPr>
          <w:sz w:val="16"/>
          <w:szCs w:val="16"/>
        </w:rPr>
        <w:t>p</w:t>
      </w:r>
      <w:r>
        <w:rPr>
          <w:sz w:val="16"/>
          <w:szCs w:val="16"/>
        </w:rPr>
        <w:t>167</w:t>
      </w:r>
    </w:p>
  </w:footnote>
  <w:footnote w:id="37">
    <w:p w14:paraId="05631E0C" w14:textId="7AFB4331" w:rsidR="00A14972" w:rsidRPr="00843239" w:rsidRDefault="00A147DC" w:rsidP="00A14972">
      <w:pPr>
        <w:pStyle w:val="FootnoteText"/>
        <w:rPr>
          <w:sz w:val="16"/>
          <w:szCs w:val="16"/>
        </w:rPr>
      </w:pPr>
      <w:r w:rsidRPr="00843239">
        <w:rPr>
          <w:rStyle w:val="FootnoteReference"/>
          <w:sz w:val="16"/>
          <w:szCs w:val="16"/>
        </w:rPr>
        <w:footnoteRef/>
      </w:r>
      <w:r w:rsidRPr="00843239">
        <w:rPr>
          <w:sz w:val="16"/>
          <w:szCs w:val="16"/>
        </w:rPr>
        <w:t xml:space="preserve"> </w:t>
      </w:r>
      <w:proofErr w:type="spellStart"/>
      <w:r w:rsidRPr="00843239">
        <w:rPr>
          <w:rFonts w:cs="Arial"/>
          <w:color w:val="1A1A1A"/>
          <w:sz w:val="16"/>
          <w:szCs w:val="16"/>
        </w:rPr>
        <w:t>Wildberg</w:t>
      </w:r>
      <w:proofErr w:type="spellEnd"/>
      <w:r w:rsidRPr="00843239">
        <w:rPr>
          <w:rFonts w:cs="Arial"/>
          <w:color w:val="1A1A1A"/>
          <w:sz w:val="16"/>
          <w:szCs w:val="16"/>
        </w:rPr>
        <w:t>, Christian, "Neoplatonism", </w:t>
      </w:r>
      <w:r w:rsidRPr="00843239">
        <w:rPr>
          <w:rStyle w:val="Emphasis"/>
          <w:rFonts w:cs="Arial"/>
          <w:color w:val="1A1A1A"/>
          <w:sz w:val="16"/>
          <w:szCs w:val="16"/>
        </w:rPr>
        <w:t xml:space="preserve">The Stanford </w:t>
      </w:r>
      <w:proofErr w:type="spellStart"/>
      <w:r w:rsidRPr="00843239">
        <w:rPr>
          <w:rStyle w:val="Emphasis"/>
          <w:rFonts w:cs="Arial"/>
          <w:color w:val="1A1A1A"/>
          <w:sz w:val="16"/>
          <w:szCs w:val="16"/>
        </w:rPr>
        <w:t>Encyclopedia</w:t>
      </w:r>
      <w:proofErr w:type="spellEnd"/>
      <w:r w:rsidRPr="00843239">
        <w:rPr>
          <w:rStyle w:val="Emphasis"/>
          <w:rFonts w:cs="Arial"/>
          <w:color w:val="1A1A1A"/>
          <w:sz w:val="16"/>
          <w:szCs w:val="16"/>
        </w:rPr>
        <w:t xml:space="preserve"> of Philosophy </w:t>
      </w:r>
      <w:r w:rsidRPr="00843239">
        <w:rPr>
          <w:rFonts w:cs="Arial"/>
          <w:color w:val="1A1A1A"/>
          <w:sz w:val="16"/>
          <w:szCs w:val="16"/>
        </w:rPr>
        <w:t>(Spring 2016 Edition), Edward</w:t>
      </w:r>
      <w:r w:rsidR="0092684E" w:rsidRPr="00843239">
        <w:rPr>
          <w:rFonts w:cs="Arial"/>
          <w:color w:val="1A1A1A"/>
          <w:sz w:val="16"/>
          <w:szCs w:val="16"/>
        </w:rPr>
        <w:t xml:space="preserve"> </w:t>
      </w:r>
      <w:proofErr w:type="spellStart"/>
      <w:r w:rsidRPr="00843239">
        <w:rPr>
          <w:rFonts w:cs="Arial"/>
          <w:color w:val="1A1A1A"/>
          <w:sz w:val="16"/>
          <w:szCs w:val="16"/>
        </w:rPr>
        <w:t>NZalta</w:t>
      </w:r>
      <w:proofErr w:type="spellEnd"/>
      <w:r w:rsidRPr="00843239">
        <w:rPr>
          <w:rFonts w:cs="Arial"/>
          <w:color w:val="1A1A1A"/>
          <w:sz w:val="16"/>
          <w:szCs w:val="16"/>
        </w:rPr>
        <w:t> (ed.</w:t>
      </w:r>
      <w:r w:rsidR="00A14972" w:rsidRPr="00843239">
        <w:rPr>
          <w:rFonts w:cs="Arial"/>
          <w:color w:val="1A1A1A"/>
          <w:sz w:val="16"/>
          <w:szCs w:val="16"/>
        </w:rPr>
        <w:t>), https://plato.stanford.edu/archives/spr2016/entries/neoplatonism</w:t>
      </w:r>
      <w:r w:rsidRPr="00843239">
        <w:rPr>
          <w:rFonts w:cs="Arial"/>
          <w:color w:val="1A1A1A"/>
          <w:sz w:val="16"/>
          <w:szCs w:val="16"/>
        </w:rPr>
        <w:t>.</w:t>
      </w:r>
      <w:r w:rsidR="00A14972" w:rsidRPr="00843239">
        <w:rPr>
          <w:rFonts w:cs="Arial"/>
          <w:color w:val="1A1A1A"/>
          <w:sz w:val="16"/>
          <w:szCs w:val="16"/>
        </w:rPr>
        <w:t xml:space="preserve"> Accessed 20/5/2018</w:t>
      </w:r>
    </w:p>
    <w:p w14:paraId="2E2FF44D" w14:textId="4B4C4BB3" w:rsidR="00A147DC" w:rsidRPr="00843239" w:rsidRDefault="00A147DC">
      <w:pPr>
        <w:pStyle w:val="FootnoteText"/>
        <w:rPr>
          <w:sz w:val="16"/>
          <w:szCs w:val="16"/>
        </w:rPr>
      </w:pPr>
    </w:p>
  </w:footnote>
  <w:footnote w:id="38">
    <w:p w14:paraId="705EDEBB" w14:textId="5835B563" w:rsidR="005C7E75" w:rsidRPr="00843239" w:rsidRDefault="005C7E75">
      <w:pPr>
        <w:pStyle w:val="FootnoteText"/>
        <w:rPr>
          <w:sz w:val="16"/>
          <w:szCs w:val="16"/>
        </w:rPr>
      </w:pPr>
      <w:r w:rsidRPr="00843239">
        <w:rPr>
          <w:rStyle w:val="FootnoteReference"/>
          <w:sz w:val="16"/>
          <w:szCs w:val="16"/>
        </w:rPr>
        <w:footnoteRef/>
      </w:r>
      <w:r w:rsidRPr="00843239">
        <w:rPr>
          <w:sz w:val="16"/>
          <w:szCs w:val="16"/>
        </w:rPr>
        <w:t xml:space="preserve"> </w:t>
      </w:r>
      <w:r w:rsidRPr="00843239">
        <w:rPr>
          <w:rFonts w:cs="Arial"/>
          <w:color w:val="333333"/>
          <w:sz w:val="16"/>
          <w:szCs w:val="16"/>
          <w:shd w:val="clear" w:color="auto" w:fill="FFFFFF"/>
        </w:rPr>
        <w:t>Lange, Armin. “Greek Seers and Israelite-Jewish Prophets.” </w:t>
      </w:r>
      <w:proofErr w:type="spellStart"/>
      <w:r w:rsidRPr="00843239">
        <w:rPr>
          <w:rFonts w:cs="Arial"/>
          <w:i/>
          <w:iCs/>
          <w:color w:val="333333"/>
          <w:sz w:val="16"/>
          <w:szCs w:val="16"/>
          <w:shd w:val="clear" w:color="auto" w:fill="FFFFFF"/>
        </w:rPr>
        <w:t>Vetus</w:t>
      </w:r>
      <w:proofErr w:type="spellEnd"/>
      <w:r w:rsidRPr="00843239">
        <w:rPr>
          <w:rFonts w:cs="Arial"/>
          <w:i/>
          <w:iCs/>
          <w:color w:val="333333"/>
          <w:sz w:val="16"/>
          <w:szCs w:val="16"/>
          <w:shd w:val="clear" w:color="auto" w:fill="FFFFFF"/>
        </w:rPr>
        <w:t xml:space="preserve"> </w:t>
      </w:r>
      <w:proofErr w:type="spellStart"/>
      <w:r w:rsidRPr="00843239">
        <w:rPr>
          <w:rFonts w:cs="Arial"/>
          <w:i/>
          <w:iCs/>
          <w:color w:val="333333"/>
          <w:sz w:val="16"/>
          <w:szCs w:val="16"/>
          <w:shd w:val="clear" w:color="auto" w:fill="FFFFFF"/>
        </w:rPr>
        <w:t>Testamentum</w:t>
      </w:r>
      <w:proofErr w:type="spellEnd"/>
      <w:r w:rsidRPr="00843239">
        <w:rPr>
          <w:rFonts w:cs="Arial"/>
          <w:color w:val="333333"/>
          <w:sz w:val="16"/>
          <w:szCs w:val="16"/>
          <w:shd w:val="clear" w:color="auto" w:fill="FFFFFF"/>
        </w:rPr>
        <w:t>, vol. 57, no. 4, 2007, pp. 461–482. </w:t>
      </w:r>
    </w:p>
  </w:footnote>
  <w:footnote w:id="39">
    <w:p w14:paraId="4B1248DC" w14:textId="77777777" w:rsidR="00A007E5" w:rsidRPr="00843239" w:rsidRDefault="005D064B" w:rsidP="00A007E5">
      <w:pPr>
        <w:pStyle w:val="FootnoteText"/>
        <w:rPr>
          <w:sz w:val="16"/>
          <w:szCs w:val="16"/>
        </w:rPr>
      </w:pPr>
      <w:r w:rsidRPr="00843239">
        <w:rPr>
          <w:rStyle w:val="FootnoteReference"/>
          <w:sz w:val="16"/>
          <w:szCs w:val="16"/>
        </w:rPr>
        <w:footnoteRef/>
      </w:r>
      <w:r w:rsidRPr="00843239">
        <w:rPr>
          <w:sz w:val="16"/>
          <w:szCs w:val="16"/>
        </w:rPr>
        <w:t xml:space="preserve"> </w:t>
      </w:r>
      <w:r w:rsidR="00A007E5" w:rsidRPr="00843239">
        <w:rPr>
          <w:sz w:val="16"/>
          <w:szCs w:val="16"/>
        </w:rPr>
        <w:t xml:space="preserve">Hans </w:t>
      </w:r>
      <w:proofErr w:type="spellStart"/>
      <w:r w:rsidR="00A007E5" w:rsidRPr="00843239">
        <w:rPr>
          <w:sz w:val="16"/>
          <w:szCs w:val="16"/>
        </w:rPr>
        <w:t>Deiter</w:t>
      </w:r>
      <w:proofErr w:type="spellEnd"/>
      <w:r w:rsidR="00A007E5" w:rsidRPr="00843239">
        <w:rPr>
          <w:sz w:val="16"/>
          <w:szCs w:val="16"/>
        </w:rPr>
        <w:t xml:space="preserve"> Betz, </w:t>
      </w:r>
      <w:r w:rsidR="00A007E5" w:rsidRPr="006327E2">
        <w:rPr>
          <w:i/>
          <w:sz w:val="16"/>
          <w:szCs w:val="16"/>
        </w:rPr>
        <w:t>The Greek Magical Papyri</w:t>
      </w:r>
      <w:r w:rsidR="00A007E5" w:rsidRPr="00843239">
        <w:rPr>
          <w:sz w:val="16"/>
          <w:szCs w:val="16"/>
        </w:rPr>
        <w:t>, including demotic spells. (University of Chicago Press, 2</w:t>
      </w:r>
      <w:r w:rsidR="00A007E5" w:rsidRPr="00843239">
        <w:rPr>
          <w:sz w:val="16"/>
          <w:szCs w:val="16"/>
          <w:vertAlign w:val="superscript"/>
        </w:rPr>
        <w:t>nd</w:t>
      </w:r>
      <w:r w:rsidR="00A007E5" w:rsidRPr="00843239">
        <w:rPr>
          <w:sz w:val="16"/>
          <w:szCs w:val="16"/>
        </w:rPr>
        <w:t xml:space="preserve"> ed, 1992)</w:t>
      </w:r>
    </w:p>
    <w:p w14:paraId="16B5649A" w14:textId="2521AAAA" w:rsidR="005D064B" w:rsidRPr="00843239" w:rsidRDefault="005D064B">
      <w:pPr>
        <w:pStyle w:val="FootnoteText"/>
        <w:rPr>
          <w:sz w:val="16"/>
          <w:szCs w:val="16"/>
        </w:rPr>
      </w:pPr>
    </w:p>
  </w:footnote>
  <w:footnote w:id="40">
    <w:p w14:paraId="1307A219" w14:textId="144DB932" w:rsidR="005C7E75" w:rsidRPr="00843239" w:rsidRDefault="005C7E75">
      <w:pPr>
        <w:pStyle w:val="FootnoteText"/>
        <w:rPr>
          <w:sz w:val="16"/>
          <w:szCs w:val="16"/>
        </w:rPr>
      </w:pPr>
      <w:r w:rsidRPr="00843239">
        <w:rPr>
          <w:rStyle w:val="FootnoteReference"/>
          <w:sz w:val="16"/>
          <w:szCs w:val="16"/>
        </w:rPr>
        <w:footnoteRef/>
      </w:r>
      <w:r w:rsidRPr="00843239">
        <w:rPr>
          <w:sz w:val="16"/>
          <w:szCs w:val="16"/>
        </w:rPr>
        <w:t xml:space="preserve"> </w:t>
      </w:r>
      <w:r w:rsidRPr="00843239">
        <w:rPr>
          <w:rFonts w:cs="Arial"/>
          <w:color w:val="333333"/>
          <w:sz w:val="16"/>
          <w:szCs w:val="16"/>
          <w:shd w:val="clear" w:color="auto" w:fill="FFFFFF"/>
        </w:rPr>
        <w:t>Lange, Armin. “Greek Seers and Israelite-Jewish Prophets.” </w:t>
      </w:r>
      <w:proofErr w:type="spellStart"/>
      <w:r w:rsidRPr="00843239">
        <w:rPr>
          <w:rFonts w:cs="Arial"/>
          <w:i/>
          <w:iCs/>
          <w:color w:val="333333"/>
          <w:sz w:val="16"/>
          <w:szCs w:val="16"/>
          <w:shd w:val="clear" w:color="auto" w:fill="FFFFFF"/>
        </w:rPr>
        <w:t>Vetus</w:t>
      </w:r>
      <w:proofErr w:type="spellEnd"/>
      <w:r w:rsidRPr="00843239">
        <w:rPr>
          <w:rFonts w:cs="Arial"/>
          <w:i/>
          <w:iCs/>
          <w:color w:val="333333"/>
          <w:sz w:val="16"/>
          <w:szCs w:val="16"/>
          <w:shd w:val="clear" w:color="auto" w:fill="FFFFFF"/>
        </w:rPr>
        <w:t xml:space="preserve"> </w:t>
      </w:r>
      <w:proofErr w:type="spellStart"/>
      <w:r w:rsidRPr="00843239">
        <w:rPr>
          <w:rFonts w:cs="Arial"/>
          <w:i/>
          <w:iCs/>
          <w:color w:val="333333"/>
          <w:sz w:val="16"/>
          <w:szCs w:val="16"/>
          <w:shd w:val="clear" w:color="auto" w:fill="FFFFFF"/>
        </w:rPr>
        <w:t>Testamentum</w:t>
      </w:r>
      <w:proofErr w:type="spellEnd"/>
      <w:r w:rsidRPr="00843239">
        <w:rPr>
          <w:rFonts w:cs="Arial"/>
          <w:color w:val="333333"/>
          <w:sz w:val="16"/>
          <w:szCs w:val="16"/>
          <w:shd w:val="clear" w:color="auto" w:fill="FFFFFF"/>
        </w:rPr>
        <w:t>, vol. 57, no. 4, 2007, pp. 461–482</w:t>
      </w:r>
      <w:proofErr w:type="gramStart"/>
      <w:r w:rsidRPr="00843239">
        <w:rPr>
          <w:rFonts w:cs="Arial"/>
          <w:color w:val="333333"/>
          <w:sz w:val="16"/>
          <w:szCs w:val="16"/>
          <w:shd w:val="clear" w:color="auto" w:fill="FFFFFF"/>
        </w:rPr>
        <w:t>. .</w:t>
      </w:r>
      <w:proofErr w:type="gramEnd"/>
    </w:p>
  </w:footnote>
  <w:footnote w:id="41">
    <w:p w14:paraId="17EAD023" w14:textId="2F0C29C0" w:rsidR="007D68C9" w:rsidRPr="00843239" w:rsidRDefault="007D68C9">
      <w:pPr>
        <w:pStyle w:val="FootnoteText"/>
        <w:rPr>
          <w:sz w:val="16"/>
          <w:szCs w:val="16"/>
        </w:rPr>
      </w:pPr>
      <w:r w:rsidRPr="00A14972">
        <w:rPr>
          <w:rStyle w:val="FootnoteReference"/>
        </w:rPr>
        <w:footnoteRef/>
      </w:r>
      <w:r w:rsidRPr="00A14972">
        <w:t xml:space="preserve"> </w:t>
      </w:r>
      <w:r w:rsidRPr="00843239">
        <w:rPr>
          <w:rFonts w:cs="Arial"/>
          <w:color w:val="333333"/>
          <w:sz w:val="16"/>
          <w:szCs w:val="16"/>
          <w:shd w:val="clear" w:color="auto" w:fill="FFFFFF"/>
        </w:rPr>
        <w:t>Lange, Armin. “Greek Seers and Israelite-Jewish Prophets.” </w:t>
      </w:r>
      <w:proofErr w:type="spellStart"/>
      <w:r w:rsidRPr="00843239">
        <w:rPr>
          <w:rFonts w:cs="Arial"/>
          <w:i/>
          <w:iCs/>
          <w:color w:val="333333"/>
          <w:sz w:val="16"/>
          <w:szCs w:val="16"/>
          <w:shd w:val="clear" w:color="auto" w:fill="FFFFFF"/>
        </w:rPr>
        <w:t>Vetus</w:t>
      </w:r>
      <w:proofErr w:type="spellEnd"/>
      <w:r w:rsidRPr="00843239">
        <w:rPr>
          <w:rFonts w:cs="Arial"/>
          <w:i/>
          <w:iCs/>
          <w:color w:val="333333"/>
          <w:sz w:val="16"/>
          <w:szCs w:val="16"/>
          <w:shd w:val="clear" w:color="auto" w:fill="FFFFFF"/>
        </w:rPr>
        <w:t xml:space="preserve"> </w:t>
      </w:r>
      <w:proofErr w:type="spellStart"/>
      <w:r w:rsidRPr="00843239">
        <w:rPr>
          <w:rFonts w:cs="Arial"/>
          <w:i/>
          <w:iCs/>
          <w:color w:val="333333"/>
          <w:sz w:val="16"/>
          <w:szCs w:val="16"/>
          <w:shd w:val="clear" w:color="auto" w:fill="FFFFFF"/>
        </w:rPr>
        <w:t>Testamentum</w:t>
      </w:r>
      <w:proofErr w:type="spellEnd"/>
      <w:r w:rsidRPr="00843239">
        <w:rPr>
          <w:rFonts w:cs="Arial"/>
          <w:color w:val="333333"/>
          <w:sz w:val="16"/>
          <w:szCs w:val="16"/>
          <w:shd w:val="clear" w:color="auto" w:fill="FFFFFF"/>
        </w:rPr>
        <w:t>, vol. 57, no. 4, 2007, pp. 464.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11E61" w14:textId="3F2C2397" w:rsidR="00E01BE0" w:rsidRDefault="00E01BE0">
    <w:pPr>
      <w:pStyle w:val="Header"/>
    </w:pPr>
    <w:r>
      <w:t>Sian Humphries 1601794</w:t>
    </w:r>
  </w:p>
  <w:p w14:paraId="7C8E6FEC" w14:textId="77777777" w:rsidR="00E01BE0" w:rsidRDefault="00E01B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973"/>
    <w:rsid w:val="00000384"/>
    <w:rsid w:val="00005345"/>
    <w:rsid w:val="00020A5F"/>
    <w:rsid w:val="00030CF8"/>
    <w:rsid w:val="00032767"/>
    <w:rsid w:val="00071AD2"/>
    <w:rsid w:val="00132ADE"/>
    <w:rsid w:val="0018283D"/>
    <w:rsid w:val="001C5795"/>
    <w:rsid w:val="001E466D"/>
    <w:rsid w:val="00291222"/>
    <w:rsid w:val="002A353A"/>
    <w:rsid w:val="002C0205"/>
    <w:rsid w:val="00326018"/>
    <w:rsid w:val="0035283A"/>
    <w:rsid w:val="00385C33"/>
    <w:rsid w:val="003B0CC1"/>
    <w:rsid w:val="003F6360"/>
    <w:rsid w:val="00411FE2"/>
    <w:rsid w:val="004157F4"/>
    <w:rsid w:val="004576AF"/>
    <w:rsid w:val="0047130B"/>
    <w:rsid w:val="0052435D"/>
    <w:rsid w:val="00530471"/>
    <w:rsid w:val="0056497A"/>
    <w:rsid w:val="005653B6"/>
    <w:rsid w:val="0058516C"/>
    <w:rsid w:val="00595814"/>
    <w:rsid w:val="005C5814"/>
    <w:rsid w:val="005C7E75"/>
    <w:rsid w:val="005D064B"/>
    <w:rsid w:val="00605708"/>
    <w:rsid w:val="00610E4E"/>
    <w:rsid w:val="00621F9C"/>
    <w:rsid w:val="006327E2"/>
    <w:rsid w:val="006362E8"/>
    <w:rsid w:val="006B2CE1"/>
    <w:rsid w:val="006B7FF0"/>
    <w:rsid w:val="00751C51"/>
    <w:rsid w:val="0076747F"/>
    <w:rsid w:val="007763AD"/>
    <w:rsid w:val="00790AA5"/>
    <w:rsid w:val="007D1B0E"/>
    <w:rsid w:val="007D68C9"/>
    <w:rsid w:val="007F2C3D"/>
    <w:rsid w:val="007F764C"/>
    <w:rsid w:val="008060C8"/>
    <w:rsid w:val="00832A53"/>
    <w:rsid w:val="00843239"/>
    <w:rsid w:val="008C1836"/>
    <w:rsid w:val="008D6CB4"/>
    <w:rsid w:val="0092684E"/>
    <w:rsid w:val="00932F94"/>
    <w:rsid w:val="009A49F8"/>
    <w:rsid w:val="009D481F"/>
    <w:rsid w:val="009E0C36"/>
    <w:rsid w:val="00A007E5"/>
    <w:rsid w:val="00A05973"/>
    <w:rsid w:val="00A147DC"/>
    <w:rsid w:val="00A14972"/>
    <w:rsid w:val="00A20B55"/>
    <w:rsid w:val="00A33E6C"/>
    <w:rsid w:val="00B42069"/>
    <w:rsid w:val="00B65754"/>
    <w:rsid w:val="00B749FA"/>
    <w:rsid w:val="00B8301A"/>
    <w:rsid w:val="00B95EB7"/>
    <w:rsid w:val="00BC20EE"/>
    <w:rsid w:val="00BF7F10"/>
    <w:rsid w:val="00C36C8E"/>
    <w:rsid w:val="00CD2D65"/>
    <w:rsid w:val="00CF725E"/>
    <w:rsid w:val="00CF73A7"/>
    <w:rsid w:val="00D03D58"/>
    <w:rsid w:val="00D44890"/>
    <w:rsid w:val="00D4605E"/>
    <w:rsid w:val="00D9246C"/>
    <w:rsid w:val="00DC3AE2"/>
    <w:rsid w:val="00DD6928"/>
    <w:rsid w:val="00E01BE0"/>
    <w:rsid w:val="00E07856"/>
    <w:rsid w:val="00E170CC"/>
    <w:rsid w:val="00E41BB5"/>
    <w:rsid w:val="00E544DA"/>
    <w:rsid w:val="00E87E60"/>
    <w:rsid w:val="00F02B1E"/>
    <w:rsid w:val="00F04B37"/>
    <w:rsid w:val="00F16370"/>
    <w:rsid w:val="00F97647"/>
    <w:rsid w:val="00FB1F51"/>
    <w:rsid w:val="00FF6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3BDB0"/>
  <w15:chartTrackingRefBased/>
  <w15:docId w15:val="{344629CA-F26A-47A9-9329-1E4C85A99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301A"/>
  </w:style>
  <w:style w:type="paragraph" w:styleId="Heading3">
    <w:name w:val="heading 3"/>
    <w:basedOn w:val="Normal"/>
    <w:link w:val="Heading3Char"/>
    <w:qFormat/>
    <w:rsid w:val="0059581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91222"/>
    <w:pPr>
      <w:spacing w:after="0" w:line="240" w:lineRule="auto"/>
    </w:pPr>
    <w:rPr>
      <w:sz w:val="20"/>
      <w:szCs w:val="20"/>
    </w:rPr>
  </w:style>
  <w:style w:type="character" w:customStyle="1" w:styleId="FootnoteTextChar">
    <w:name w:val="Footnote Text Char"/>
    <w:basedOn w:val="DefaultParagraphFont"/>
    <w:link w:val="FootnoteText"/>
    <w:uiPriority w:val="99"/>
    <w:rsid w:val="00291222"/>
    <w:rPr>
      <w:sz w:val="20"/>
      <w:szCs w:val="20"/>
    </w:rPr>
  </w:style>
  <w:style w:type="character" w:styleId="FootnoteReference">
    <w:name w:val="footnote reference"/>
    <w:basedOn w:val="DefaultParagraphFont"/>
    <w:uiPriority w:val="99"/>
    <w:semiHidden/>
    <w:unhideWhenUsed/>
    <w:rsid w:val="00291222"/>
    <w:rPr>
      <w:vertAlign w:val="superscript"/>
    </w:rPr>
  </w:style>
  <w:style w:type="character" w:styleId="Emphasis">
    <w:name w:val="Emphasis"/>
    <w:basedOn w:val="DefaultParagraphFont"/>
    <w:uiPriority w:val="20"/>
    <w:qFormat/>
    <w:rsid w:val="006362E8"/>
    <w:rPr>
      <w:i/>
      <w:iCs/>
    </w:rPr>
  </w:style>
  <w:style w:type="character" w:styleId="Hyperlink">
    <w:name w:val="Hyperlink"/>
    <w:basedOn w:val="DefaultParagraphFont"/>
    <w:uiPriority w:val="99"/>
    <w:unhideWhenUsed/>
    <w:rsid w:val="00B42069"/>
    <w:rPr>
      <w:color w:val="0000FF"/>
      <w:u w:val="single"/>
    </w:rPr>
  </w:style>
  <w:style w:type="character" w:styleId="UnresolvedMention">
    <w:name w:val="Unresolved Mention"/>
    <w:basedOn w:val="DefaultParagraphFont"/>
    <w:uiPriority w:val="99"/>
    <w:semiHidden/>
    <w:unhideWhenUsed/>
    <w:rsid w:val="00B42069"/>
    <w:rPr>
      <w:color w:val="808080"/>
      <w:shd w:val="clear" w:color="auto" w:fill="E6E6E6"/>
    </w:rPr>
  </w:style>
  <w:style w:type="paragraph" w:styleId="BalloonText">
    <w:name w:val="Balloon Text"/>
    <w:basedOn w:val="Normal"/>
    <w:link w:val="BalloonTextChar"/>
    <w:uiPriority w:val="99"/>
    <w:semiHidden/>
    <w:unhideWhenUsed/>
    <w:rsid w:val="00926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684E"/>
    <w:rPr>
      <w:rFonts w:ascii="Segoe UI" w:hAnsi="Segoe UI" w:cs="Segoe UI"/>
      <w:sz w:val="18"/>
      <w:szCs w:val="18"/>
    </w:rPr>
  </w:style>
  <w:style w:type="paragraph" w:styleId="NoSpacing">
    <w:name w:val="No Spacing"/>
    <w:uiPriority w:val="1"/>
    <w:qFormat/>
    <w:rsid w:val="00A14972"/>
    <w:pPr>
      <w:spacing w:after="0" w:line="240" w:lineRule="auto"/>
    </w:pPr>
  </w:style>
  <w:style w:type="character" w:customStyle="1" w:styleId="Heading3Char">
    <w:name w:val="Heading 3 Char"/>
    <w:basedOn w:val="DefaultParagraphFont"/>
    <w:link w:val="Heading3"/>
    <w:rsid w:val="00595814"/>
    <w:rPr>
      <w:rFonts w:ascii="Tahoma" w:eastAsia="SimSun" w:hAnsi="Tahoma" w:cs="Tahoma"/>
      <w:b/>
      <w:bCs/>
      <w:sz w:val="20"/>
      <w:szCs w:val="20"/>
      <w:lang w:eastAsia="zh-CN"/>
    </w:rPr>
  </w:style>
  <w:style w:type="paragraph" w:styleId="NormalWeb">
    <w:name w:val="Normal (Web)"/>
    <w:basedOn w:val="Normal"/>
    <w:rsid w:val="00595814"/>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E01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BE0"/>
  </w:style>
  <w:style w:type="paragraph" w:styleId="Footer">
    <w:name w:val="footer"/>
    <w:basedOn w:val="Normal"/>
    <w:link w:val="FooterChar"/>
    <w:uiPriority w:val="99"/>
    <w:unhideWhenUsed/>
    <w:rsid w:val="00E01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kill" TargetMode="External"/><Relationship Id="rId13" Type="http://schemas.openxmlformats.org/officeDocument/2006/relationships/hyperlink" Target="https://www.iep.utm.edu/neoplato/"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ctionary.cambridge.org/dictionary/english/futu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happen" TargetMode="External"/><Relationship Id="rId5" Type="http://schemas.openxmlformats.org/officeDocument/2006/relationships/footnotes" Target="footnotes.xml"/><Relationship Id="rId15" Type="http://schemas.openxmlformats.org/officeDocument/2006/relationships/hyperlink" Target="https://plato.stanford.edu/archives/spr2016/entries/neoplatonism" TargetMode="External"/><Relationship Id="rId10" Type="http://schemas.openxmlformats.org/officeDocument/2006/relationships/hyperlink" Target="https://dictionary.cambridge.org/dictionary/english/discov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act" TargetMode="External"/><Relationship Id="rId14" Type="http://schemas.openxmlformats.org/officeDocument/2006/relationships/hyperlink" Target="http://www.tertullian.org/fathers/porphyry_anebo_02_text.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tertullian.org/fathers/porphyry_anebo_02_text.htm" TargetMode="External"/><Relationship Id="rId7" Type="http://schemas.openxmlformats.org/officeDocument/2006/relationships/hyperlink" Target="https://plato.stanford.edu/archives/spr2016/entries/neoplatonism" TargetMode="External"/><Relationship Id="rId2" Type="http://schemas.openxmlformats.org/officeDocument/2006/relationships/hyperlink" Target="http://www.tertullian.org/fathers/porphyry_anebo_02_text.htm" TargetMode="External"/><Relationship Id="rId1" Type="http://schemas.openxmlformats.org/officeDocument/2006/relationships/hyperlink" Target="https://dictionary.cambridge.org/dictionary/english/divination" TargetMode="External"/><Relationship Id="rId6" Type="http://schemas.openxmlformats.org/officeDocument/2006/relationships/hyperlink" Target="https://www.iep.utm.edu/neoplato/" TargetMode="External"/><Relationship Id="rId5" Type="http://schemas.openxmlformats.org/officeDocument/2006/relationships/hyperlink" Target="https://www.iep.utm.edu/neoplato/" TargetMode="External"/><Relationship Id="rId4" Type="http://schemas.openxmlformats.org/officeDocument/2006/relationships/hyperlink" Target="https://www.iep.utm.edu/neopla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6CE5250-9BC7-4D56-8998-005D533EF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2593</Words>
  <Characters>13848</Characters>
  <Application>Microsoft Office Word</Application>
  <DocSecurity>0</DocSecurity>
  <Lines>307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Humphries (1701944)</dc:creator>
  <cp:keywords/>
  <dc:description/>
  <cp:lastModifiedBy>Cerys Humphries (1701944)</cp:lastModifiedBy>
  <cp:revision>2</cp:revision>
  <cp:lastPrinted>2018-05-31T07:38:00Z</cp:lastPrinted>
  <dcterms:created xsi:type="dcterms:W3CDTF">2018-06-03T17:32:00Z</dcterms:created>
  <dcterms:modified xsi:type="dcterms:W3CDTF">2018-06-03T17:32:00Z</dcterms:modified>
</cp:coreProperties>
</file>