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BC501" w14:textId="77777777" w:rsidR="0069536A" w:rsidRDefault="00000000">
      <w:pPr>
        <w:pBdr>
          <w:top w:val="nil"/>
          <w:left w:val="nil"/>
          <w:bottom w:val="nil"/>
          <w:right w:val="nil"/>
          <w:between w:val="nil"/>
        </w:pBdr>
        <w:jc w:val="center"/>
        <w:rPr>
          <w:b/>
          <w:color w:val="000000"/>
          <w:sz w:val="32"/>
          <w:szCs w:val="32"/>
        </w:rPr>
      </w:pPr>
      <w:r>
        <w:rPr>
          <w:noProof/>
          <w:color w:val="000000"/>
        </w:rPr>
        <w:drawing>
          <wp:inline distT="0" distB="0" distL="0" distR="0" wp14:anchorId="2E894ECB" wp14:editId="64A095BD">
            <wp:extent cx="3248025" cy="14763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248025" cy="1476375"/>
                    </a:xfrm>
                    <a:prstGeom prst="rect">
                      <a:avLst/>
                    </a:prstGeom>
                    <a:ln/>
                  </pic:spPr>
                </pic:pic>
              </a:graphicData>
            </a:graphic>
          </wp:inline>
        </w:drawing>
      </w:r>
    </w:p>
    <w:p w14:paraId="2801A283" w14:textId="3BE76739" w:rsidR="0069536A" w:rsidRDefault="0069536A">
      <w:pPr>
        <w:pBdr>
          <w:top w:val="nil"/>
          <w:left w:val="nil"/>
          <w:bottom w:val="nil"/>
          <w:right w:val="nil"/>
          <w:between w:val="nil"/>
        </w:pBdr>
        <w:jc w:val="center"/>
        <w:rPr>
          <w:b/>
          <w:color w:val="000000"/>
          <w:sz w:val="32"/>
          <w:szCs w:val="32"/>
        </w:rPr>
      </w:pPr>
    </w:p>
    <w:p w14:paraId="376FC714" w14:textId="77777777" w:rsidR="006C09CF" w:rsidRDefault="006C09CF">
      <w:pPr>
        <w:pBdr>
          <w:top w:val="nil"/>
          <w:left w:val="nil"/>
          <w:bottom w:val="nil"/>
          <w:right w:val="nil"/>
          <w:between w:val="nil"/>
        </w:pBdr>
        <w:jc w:val="center"/>
        <w:rPr>
          <w:b/>
          <w:color w:val="000000"/>
          <w:sz w:val="32"/>
          <w:szCs w:val="32"/>
        </w:rPr>
      </w:pPr>
    </w:p>
    <w:p w14:paraId="429E3F30" w14:textId="4B74E9DD" w:rsidR="0069536A" w:rsidRPr="006C09CF" w:rsidRDefault="00000000" w:rsidP="006C09CF">
      <w:pPr>
        <w:pBdr>
          <w:top w:val="nil"/>
          <w:left w:val="nil"/>
          <w:bottom w:val="nil"/>
          <w:right w:val="nil"/>
          <w:between w:val="nil"/>
        </w:pBdr>
        <w:jc w:val="center"/>
        <w:rPr>
          <w:b/>
          <w:color w:val="000000"/>
          <w:sz w:val="32"/>
          <w:szCs w:val="32"/>
        </w:rPr>
      </w:pPr>
      <w:r w:rsidRPr="006C09CF">
        <w:rPr>
          <w:b/>
          <w:color w:val="000000"/>
          <w:sz w:val="32"/>
          <w:szCs w:val="32"/>
        </w:rPr>
        <w:t>Developing Workplace Critical Thinking</w:t>
      </w:r>
    </w:p>
    <w:p w14:paraId="4BEAE43C" w14:textId="77777777" w:rsidR="0069536A" w:rsidRPr="006C09CF" w:rsidRDefault="00000000">
      <w:pPr>
        <w:pBdr>
          <w:top w:val="nil"/>
          <w:left w:val="nil"/>
          <w:bottom w:val="nil"/>
          <w:right w:val="nil"/>
          <w:between w:val="nil"/>
        </w:pBdr>
        <w:jc w:val="center"/>
        <w:rPr>
          <w:b/>
          <w:color w:val="000000"/>
          <w:sz w:val="28"/>
          <w:szCs w:val="28"/>
        </w:rPr>
      </w:pPr>
      <w:r w:rsidRPr="006C09CF">
        <w:rPr>
          <w:b/>
          <w:color w:val="000000"/>
          <w:sz w:val="28"/>
          <w:szCs w:val="28"/>
        </w:rPr>
        <w:t>LEADERSHIP AND MANAGEMENT SKILLS FOR THE WORKPLACE</w:t>
      </w:r>
    </w:p>
    <w:p w14:paraId="5451A045" w14:textId="77777777" w:rsidR="0069536A" w:rsidRDefault="0069536A">
      <w:pPr>
        <w:pBdr>
          <w:top w:val="nil"/>
          <w:left w:val="nil"/>
          <w:bottom w:val="nil"/>
          <w:right w:val="nil"/>
          <w:between w:val="nil"/>
        </w:pBdr>
        <w:jc w:val="left"/>
        <w:rPr>
          <w:b/>
          <w:color w:val="000000"/>
          <w:sz w:val="32"/>
          <w:szCs w:val="32"/>
        </w:rPr>
      </w:pPr>
    </w:p>
    <w:p w14:paraId="5A7E5FD1" w14:textId="3D1A312A" w:rsidR="0069536A" w:rsidRDefault="0069536A">
      <w:pPr>
        <w:pBdr>
          <w:top w:val="nil"/>
          <w:left w:val="nil"/>
          <w:bottom w:val="nil"/>
          <w:right w:val="nil"/>
          <w:between w:val="nil"/>
        </w:pBdr>
        <w:jc w:val="left"/>
        <w:rPr>
          <w:b/>
          <w:color w:val="000000"/>
          <w:sz w:val="32"/>
          <w:szCs w:val="32"/>
        </w:rPr>
      </w:pPr>
    </w:p>
    <w:p w14:paraId="30DCE6A2" w14:textId="2588AE8B" w:rsidR="006C09CF" w:rsidRDefault="006C09CF">
      <w:pPr>
        <w:pBdr>
          <w:top w:val="nil"/>
          <w:left w:val="nil"/>
          <w:bottom w:val="nil"/>
          <w:right w:val="nil"/>
          <w:between w:val="nil"/>
        </w:pBdr>
        <w:jc w:val="left"/>
        <w:rPr>
          <w:b/>
          <w:color w:val="000000"/>
          <w:sz w:val="32"/>
          <w:szCs w:val="32"/>
        </w:rPr>
      </w:pPr>
    </w:p>
    <w:p w14:paraId="079CCE3C" w14:textId="25A08F11" w:rsidR="006C09CF" w:rsidRDefault="006C09CF">
      <w:pPr>
        <w:pBdr>
          <w:top w:val="nil"/>
          <w:left w:val="nil"/>
          <w:bottom w:val="nil"/>
          <w:right w:val="nil"/>
          <w:between w:val="nil"/>
        </w:pBdr>
        <w:jc w:val="left"/>
        <w:rPr>
          <w:b/>
          <w:color w:val="000000"/>
          <w:sz w:val="32"/>
          <w:szCs w:val="32"/>
        </w:rPr>
      </w:pPr>
    </w:p>
    <w:p w14:paraId="1B9D4CA7" w14:textId="56352E25" w:rsidR="006C09CF" w:rsidRDefault="006C09CF">
      <w:pPr>
        <w:pBdr>
          <w:top w:val="nil"/>
          <w:left w:val="nil"/>
          <w:bottom w:val="nil"/>
          <w:right w:val="nil"/>
          <w:between w:val="nil"/>
        </w:pBdr>
        <w:jc w:val="left"/>
        <w:rPr>
          <w:b/>
          <w:color w:val="000000"/>
          <w:sz w:val="32"/>
          <w:szCs w:val="32"/>
        </w:rPr>
      </w:pPr>
    </w:p>
    <w:p w14:paraId="51382026" w14:textId="7136426B" w:rsidR="006C09CF" w:rsidRDefault="006C09CF">
      <w:pPr>
        <w:pBdr>
          <w:top w:val="nil"/>
          <w:left w:val="nil"/>
          <w:bottom w:val="nil"/>
          <w:right w:val="nil"/>
          <w:between w:val="nil"/>
        </w:pBdr>
        <w:jc w:val="left"/>
        <w:rPr>
          <w:b/>
          <w:color w:val="000000"/>
          <w:sz w:val="32"/>
          <w:szCs w:val="32"/>
        </w:rPr>
      </w:pPr>
    </w:p>
    <w:p w14:paraId="499F034C" w14:textId="744E6155" w:rsidR="006C09CF" w:rsidRDefault="006C09CF">
      <w:pPr>
        <w:pBdr>
          <w:top w:val="nil"/>
          <w:left w:val="nil"/>
          <w:bottom w:val="nil"/>
          <w:right w:val="nil"/>
          <w:between w:val="nil"/>
        </w:pBdr>
        <w:jc w:val="left"/>
        <w:rPr>
          <w:b/>
          <w:color w:val="000000"/>
          <w:sz w:val="32"/>
          <w:szCs w:val="32"/>
        </w:rPr>
      </w:pPr>
    </w:p>
    <w:p w14:paraId="7DF8FB34" w14:textId="77777777" w:rsidR="006C09CF" w:rsidRDefault="006C09CF">
      <w:pPr>
        <w:pBdr>
          <w:top w:val="nil"/>
          <w:left w:val="nil"/>
          <w:bottom w:val="nil"/>
          <w:right w:val="nil"/>
          <w:between w:val="nil"/>
        </w:pBdr>
        <w:jc w:val="left"/>
        <w:rPr>
          <w:b/>
          <w:color w:val="000000"/>
          <w:sz w:val="32"/>
          <w:szCs w:val="32"/>
        </w:rPr>
      </w:pPr>
    </w:p>
    <w:p w14:paraId="19B1250F" w14:textId="77777777" w:rsidR="006C09CF" w:rsidRDefault="006C09CF">
      <w:pPr>
        <w:pBdr>
          <w:top w:val="nil"/>
          <w:left w:val="nil"/>
          <w:bottom w:val="nil"/>
          <w:right w:val="nil"/>
          <w:between w:val="nil"/>
        </w:pBdr>
        <w:jc w:val="left"/>
        <w:rPr>
          <w:b/>
          <w:color w:val="000000"/>
          <w:sz w:val="32"/>
          <w:szCs w:val="32"/>
        </w:rPr>
      </w:pPr>
    </w:p>
    <w:p w14:paraId="3D2EAC38" w14:textId="38E4D05C" w:rsidR="0069536A" w:rsidRDefault="00000000">
      <w:pPr>
        <w:spacing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6C09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Kamrul Hasan </w:t>
      </w:r>
    </w:p>
    <w:p w14:paraId="4291AB46" w14:textId="77777777" w:rsidR="0069536A" w:rsidRDefault="00000000">
      <w:pPr>
        <w:spacing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 2023331</w:t>
      </w:r>
    </w:p>
    <w:p w14:paraId="6964687B" w14:textId="77777777" w:rsidR="0069536A" w:rsidRDefault="00000000">
      <w:pPr>
        <w:spacing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Module Name: Developing Workplace Critical thinking </w:t>
      </w:r>
    </w:p>
    <w:p w14:paraId="4C091E89" w14:textId="19E80012" w:rsidR="0069536A" w:rsidRDefault="00000000">
      <w:pPr>
        <w:spacing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code: </w:t>
      </w:r>
      <w:r w:rsidR="00000357">
        <w:rPr>
          <w:rFonts w:ascii="Times New Roman" w:eastAsia="Times New Roman" w:hAnsi="Times New Roman" w:cs="Times New Roman"/>
          <w:sz w:val="24"/>
          <w:szCs w:val="24"/>
        </w:rPr>
        <w:t>BMSW</w:t>
      </w:r>
      <w:r>
        <w:rPr>
          <w:rFonts w:ascii="Times New Roman" w:eastAsia="Times New Roman" w:hAnsi="Times New Roman" w:cs="Times New Roman"/>
          <w:sz w:val="24"/>
          <w:szCs w:val="24"/>
        </w:rPr>
        <w:t>5101</w:t>
      </w:r>
    </w:p>
    <w:p w14:paraId="14E53E2C" w14:textId="77777777" w:rsidR="0069536A" w:rsidRDefault="00000000">
      <w:pPr>
        <w:spacing w:line="24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Lecturer Name: Gregory Cowan</w:t>
      </w:r>
    </w:p>
    <w:p w14:paraId="398ECDA4" w14:textId="77777777" w:rsidR="0069536A" w:rsidRDefault="00000000">
      <w:pPr>
        <w:pBdr>
          <w:top w:val="nil"/>
          <w:left w:val="nil"/>
          <w:bottom w:val="nil"/>
          <w:right w:val="nil"/>
          <w:between w:val="nil"/>
        </w:pBdr>
        <w:jc w:val="left"/>
        <w:rPr>
          <w:color w:val="000000"/>
        </w:rPr>
      </w:pPr>
      <w:bookmarkStart w:id="0" w:name="_heading=h.gjdgxs" w:colFirst="0" w:colLast="0"/>
      <w:bookmarkEnd w:id="0"/>
      <w:r>
        <w:br w:type="page"/>
      </w:r>
    </w:p>
    <w:p w14:paraId="3673D423" w14:textId="77777777" w:rsidR="0069536A" w:rsidRDefault="00000000">
      <w:pPr>
        <w:pStyle w:val="Heading1"/>
      </w:pPr>
      <w:bookmarkStart w:id="1" w:name="_heading=h.30j0zll" w:colFirst="0" w:colLast="0"/>
      <w:bookmarkEnd w:id="1"/>
      <w:r>
        <w:lastRenderedPageBreak/>
        <w:t xml:space="preserve">Executive Summary </w:t>
      </w:r>
    </w:p>
    <w:p w14:paraId="149E081A"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The report has illustrated the current organisational workplace situation of McKinsey, which is one of the global market consultancy firms in the </w:t>
      </w:r>
      <w:proofErr w:type="gramStart"/>
      <w:r>
        <w:rPr>
          <w:color w:val="000000"/>
          <w:sz w:val="24"/>
          <w:szCs w:val="24"/>
        </w:rPr>
        <w:t>UK, and</w:t>
      </w:r>
      <w:proofErr w:type="gramEnd"/>
      <w:r>
        <w:rPr>
          <w:color w:val="000000"/>
          <w:sz w:val="24"/>
          <w:szCs w:val="24"/>
        </w:rPr>
        <w:t xml:space="preserve"> initiated to serve quality data and support to other companies for developing their working practices in the target market. Based on the concept, the report has examined the current functional environment and cultural structure of McKinsey&amp; Company. Moreover, the further operational practices of the company after managing the outbreak of the global pandemic, and their current implemented strategic approach which can be helpful for them to improve future operational approaches of the firm, in their current operational marketing segment with quality workforces has also been illustrated in the report. In addition, the application of different management theories including human relation theory, contingency theory and bureaucratic theory and a critically analyse of the current importance of those theoretical frameworks in the current workplace environment of the company has also been critically evaluated in the report in a detailed manner. </w:t>
      </w:r>
    </w:p>
    <w:p w14:paraId="0DA98891" w14:textId="77777777" w:rsidR="0069536A" w:rsidRDefault="00000000">
      <w:pPr>
        <w:rPr>
          <w:sz w:val="24"/>
          <w:szCs w:val="24"/>
        </w:rPr>
      </w:pPr>
      <w:r>
        <w:br w:type="page"/>
      </w:r>
    </w:p>
    <w:p w14:paraId="3BE8E237" w14:textId="77777777" w:rsidR="0069536A" w:rsidRDefault="00000000">
      <w:pPr>
        <w:keepNext/>
        <w:keepLines/>
        <w:pBdr>
          <w:top w:val="nil"/>
          <w:left w:val="nil"/>
          <w:bottom w:val="nil"/>
          <w:right w:val="nil"/>
          <w:between w:val="nil"/>
        </w:pBdr>
        <w:spacing w:before="480" w:line="276" w:lineRule="auto"/>
        <w:jc w:val="center"/>
        <w:rPr>
          <w:b/>
          <w:color w:val="000000"/>
          <w:sz w:val="28"/>
          <w:szCs w:val="28"/>
        </w:rPr>
      </w:pPr>
      <w:r>
        <w:rPr>
          <w:b/>
          <w:color w:val="000000"/>
          <w:sz w:val="28"/>
          <w:szCs w:val="28"/>
        </w:rPr>
        <w:lastRenderedPageBreak/>
        <w:t>Table of Contents</w:t>
      </w:r>
    </w:p>
    <w:sdt>
      <w:sdtPr>
        <w:id w:val="1110470164"/>
        <w:docPartObj>
          <w:docPartGallery w:val="Table of Contents"/>
          <w:docPartUnique/>
        </w:docPartObj>
      </w:sdtPr>
      <w:sdtContent>
        <w:p w14:paraId="703B3304" w14:textId="77777777" w:rsidR="0069536A" w:rsidRDefault="00000000">
          <w:pPr>
            <w:pBdr>
              <w:top w:val="nil"/>
              <w:left w:val="nil"/>
              <w:bottom w:val="nil"/>
              <w:right w:val="nil"/>
              <w:between w:val="nil"/>
            </w:pBdr>
            <w:tabs>
              <w:tab w:val="right" w:pos="9016"/>
            </w:tabs>
            <w:spacing w:after="100"/>
            <w:rPr>
              <w:rFonts w:ascii="Cambria" w:eastAsia="Cambria" w:hAnsi="Cambria" w:cs="Cambria"/>
              <w:color w:val="000000"/>
            </w:rPr>
          </w:pPr>
          <w:r>
            <w:fldChar w:fldCharType="begin"/>
          </w:r>
          <w:r>
            <w:instrText xml:space="preserve"> TOC \h \u \z </w:instrText>
          </w:r>
          <w:r>
            <w:fldChar w:fldCharType="separate"/>
          </w:r>
          <w:hyperlink w:anchor="_heading=h.30j0zll">
            <w:r>
              <w:rPr>
                <w:color w:val="000000"/>
              </w:rPr>
              <w:t>Executive Summary</w:t>
            </w:r>
            <w:r>
              <w:rPr>
                <w:color w:val="000000"/>
              </w:rPr>
              <w:tab/>
              <w:t>2</w:t>
            </w:r>
          </w:hyperlink>
        </w:p>
        <w:p w14:paraId="2A2114E5" w14:textId="77777777" w:rsidR="0069536A" w:rsidRDefault="00000000">
          <w:pPr>
            <w:pBdr>
              <w:top w:val="nil"/>
              <w:left w:val="nil"/>
              <w:bottom w:val="nil"/>
              <w:right w:val="nil"/>
              <w:between w:val="nil"/>
            </w:pBdr>
            <w:tabs>
              <w:tab w:val="right" w:pos="9016"/>
            </w:tabs>
            <w:spacing w:after="100"/>
            <w:rPr>
              <w:rFonts w:ascii="Cambria" w:eastAsia="Cambria" w:hAnsi="Cambria" w:cs="Cambria"/>
              <w:color w:val="000000"/>
            </w:rPr>
          </w:pPr>
          <w:hyperlink w:anchor="_heading=h.1fob9te">
            <w:r>
              <w:rPr>
                <w:color w:val="000000"/>
              </w:rPr>
              <w:t>Part 1: Report</w:t>
            </w:r>
            <w:r>
              <w:rPr>
                <w:color w:val="000000"/>
              </w:rPr>
              <w:tab/>
              <w:t>4</w:t>
            </w:r>
          </w:hyperlink>
        </w:p>
        <w:p w14:paraId="522B5328"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3znysh7">
            <w:r>
              <w:rPr>
                <w:color w:val="000000"/>
              </w:rPr>
              <w:t>Introduction</w:t>
            </w:r>
            <w:r>
              <w:rPr>
                <w:color w:val="000000"/>
              </w:rPr>
              <w:tab/>
              <w:t>4</w:t>
            </w:r>
          </w:hyperlink>
        </w:p>
        <w:p w14:paraId="632207AF"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2et92p0">
            <w:r>
              <w:rPr>
                <w:color w:val="000000"/>
              </w:rPr>
              <w:t>A brief overview of the company</w:t>
            </w:r>
            <w:r>
              <w:rPr>
                <w:color w:val="000000"/>
              </w:rPr>
              <w:tab/>
              <w:t>4</w:t>
            </w:r>
          </w:hyperlink>
        </w:p>
        <w:p w14:paraId="2B8DC2D4"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tyjcwt">
            <w:r>
              <w:rPr>
                <w:color w:val="000000"/>
              </w:rPr>
              <w:t>Evaluation of management theories</w:t>
            </w:r>
            <w:r>
              <w:rPr>
                <w:color w:val="000000"/>
              </w:rPr>
              <w:tab/>
              <w:t>5</w:t>
            </w:r>
          </w:hyperlink>
        </w:p>
        <w:p w14:paraId="78781B53"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3dy6vkm">
            <w:r>
              <w:rPr>
                <w:color w:val="000000"/>
              </w:rPr>
              <w:t>Develop an understanding of organisational attitudes, beliefs and value systems' impact on the workplace and challenges raised in a working environment in post-COVID with the proper theoretical framework</w:t>
            </w:r>
            <w:r>
              <w:rPr>
                <w:color w:val="000000"/>
              </w:rPr>
              <w:tab/>
              <w:t>8</w:t>
            </w:r>
          </w:hyperlink>
        </w:p>
        <w:p w14:paraId="32BD36F7"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1t3h5sf">
            <w:r>
              <w:rPr>
                <w:color w:val="000000"/>
              </w:rPr>
              <w:t>“Significance of beliefs, attitudes and value systems in shaping human behaviour”</w:t>
            </w:r>
            <w:r>
              <w:rPr>
                <w:color w:val="000000"/>
              </w:rPr>
              <w:tab/>
              <w:t>8</w:t>
            </w:r>
          </w:hyperlink>
        </w:p>
        <w:p w14:paraId="1FF2664B"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4d34og8">
            <w:r>
              <w:rPr>
                <w:color w:val="000000"/>
              </w:rPr>
              <w:t>“Relationship between beliefs, attitudes and value systems and culture and norms”</w:t>
            </w:r>
            <w:r>
              <w:rPr>
                <w:color w:val="000000"/>
              </w:rPr>
              <w:tab/>
              <w:t>9</w:t>
            </w:r>
          </w:hyperlink>
        </w:p>
        <w:p w14:paraId="314B0671"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2s8eyo1">
            <w:r>
              <w:rPr>
                <w:color w:val="000000"/>
              </w:rPr>
              <w:t>Critical evaluation of the management theories to analyse others' beliefs, attitudes and values might interpret the theory differently</w:t>
            </w:r>
            <w:r>
              <w:rPr>
                <w:color w:val="000000"/>
              </w:rPr>
              <w:tab/>
              <w:t>11</w:t>
            </w:r>
          </w:hyperlink>
        </w:p>
        <w:p w14:paraId="2642E38F"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17dp8vu">
            <w:r>
              <w:rPr>
                <w:color w:val="000000"/>
              </w:rPr>
              <w:t>Recommendation for minimising current issues of the firms</w:t>
            </w:r>
            <w:r>
              <w:rPr>
                <w:color w:val="000000"/>
              </w:rPr>
              <w:tab/>
              <w:t>12</w:t>
            </w:r>
          </w:hyperlink>
        </w:p>
        <w:p w14:paraId="6F20BBDD"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3rdcrjn">
            <w:r>
              <w:rPr>
                <w:color w:val="000000"/>
              </w:rPr>
              <w:t>Conclusion</w:t>
            </w:r>
            <w:r>
              <w:rPr>
                <w:color w:val="000000"/>
              </w:rPr>
              <w:tab/>
              <w:t>12</w:t>
            </w:r>
          </w:hyperlink>
        </w:p>
        <w:p w14:paraId="55D40219" w14:textId="77777777" w:rsidR="0069536A" w:rsidRDefault="00000000">
          <w:pPr>
            <w:pBdr>
              <w:top w:val="nil"/>
              <w:left w:val="nil"/>
              <w:bottom w:val="nil"/>
              <w:right w:val="nil"/>
              <w:between w:val="nil"/>
            </w:pBdr>
            <w:tabs>
              <w:tab w:val="right" w:pos="9016"/>
            </w:tabs>
            <w:spacing w:after="100"/>
            <w:rPr>
              <w:rFonts w:ascii="Cambria" w:eastAsia="Cambria" w:hAnsi="Cambria" w:cs="Cambria"/>
              <w:color w:val="000000"/>
            </w:rPr>
          </w:pPr>
          <w:hyperlink w:anchor="_heading=h.26in1rg">
            <w:r>
              <w:rPr>
                <w:color w:val="000000"/>
              </w:rPr>
              <w:t>Part 2: Reflection</w:t>
            </w:r>
            <w:r>
              <w:rPr>
                <w:color w:val="000000"/>
              </w:rPr>
              <w:tab/>
              <w:t>13</w:t>
            </w:r>
          </w:hyperlink>
        </w:p>
        <w:p w14:paraId="416159D1" w14:textId="77777777" w:rsidR="0069536A" w:rsidRDefault="00000000">
          <w:pPr>
            <w:pBdr>
              <w:top w:val="nil"/>
              <w:left w:val="nil"/>
              <w:bottom w:val="nil"/>
              <w:right w:val="nil"/>
              <w:between w:val="nil"/>
            </w:pBdr>
            <w:tabs>
              <w:tab w:val="right" w:pos="9016"/>
            </w:tabs>
            <w:spacing w:after="100"/>
            <w:ind w:left="220"/>
          </w:pPr>
          <w:hyperlink w:anchor="_heading=h.lnxbz9">
            <w:r>
              <w:rPr>
                <w:color w:val="000000"/>
              </w:rPr>
              <w:t>Introduction</w:t>
            </w:r>
            <w:r>
              <w:rPr>
                <w:color w:val="000000"/>
              </w:rPr>
              <w:tab/>
              <w:t>13</w:t>
            </w:r>
          </w:hyperlink>
        </w:p>
        <w:p w14:paraId="4EBF6D82" w14:textId="77777777" w:rsidR="0069536A" w:rsidRDefault="00000000">
          <w:pPr>
            <w:pBdr>
              <w:top w:val="nil"/>
              <w:left w:val="nil"/>
              <w:bottom w:val="nil"/>
              <w:right w:val="nil"/>
              <w:between w:val="nil"/>
            </w:pBdr>
            <w:tabs>
              <w:tab w:val="right" w:pos="9016"/>
            </w:tabs>
            <w:spacing w:after="100"/>
            <w:ind w:left="220"/>
            <w:rPr>
              <w:rFonts w:ascii="Cambria" w:eastAsia="Cambria" w:hAnsi="Cambria" w:cs="Cambria"/>
              <w:color w:val="000000"/>
            </w:rPr>
          </w:pPr>
          <w:hyperlink w:anchor="_heading=h.1ksv4uv">
            <w:r>
              <w:rPr>
                <w:color w:val="000000"/>
              </w:rPr>
              <w:t>Conclusion</w:t>
            </w:r>
            <w:r>
              <w:rPr>
                <w:color w:val="000000"/>
              </w:rPr>
              <w:tab/>
              <w:t>1</w:t>
            </w:r>
          </w:hyperlink>
          <w:r>
            <w:rPr>
              <w:rFonts w:ascii="Cambria" w:eastAsia="Cambria" w:hAnsi="Cambria" w:cs="Cambria"/>
            </w:rPr>
            <w:t>6</w:t>
          </w:r>
        </w:p>
        <w:p w14:paraId="20D8F21D" w14:textId="77777777" w:rsidR="0069536A" w:rsidRDefault="00000000">
          <w:pPr>
            <w:pBdr>
              <w:top w:val="nil"/>
              <w:left w:val="nil"/>
              <w:bottom w:val="nil"/>
              <w:right w:val="nil"/>
              <w:between w:val="nil"/>
            </w:pBdr>
            <w:tabs>
              <w:tab w:val="right" w:pos="9016"/>
            </w:tabs>
            <w:spacing w:after="100"/>
            <w:rPr>
              <w:rFonts w:ascii="Cambria" w:eastAsia="Cambria" w:hAnsi="Cambria" w:cs="Cambria"/>
              <w:color w:val="000000"/>
            </w:rPr>
          </w:pPr>
          <w:hyperlink w:anchor="_heading=h.44sinio">
            <w:r>
              <w:rPr>
                <w:color w:val="000000"/>
              </w:rPr>
              <w:t>References</w:t>
            </w:r>
            <w:r>
              <w:rPr>
                <w:color w:val="000000"/>
              </w:rPr>
              <w:tab/>
              <w:t>1</w:t>
            </w:r>
          </w:hyperlink>
          <w:r>
            <w:rPr>
              <w:rFonts w:ascii="Cambria" w:eastAsia="Cambria" w:hAnsi="Cambria" w:cs="Cambria"/>
            </w:rPr>
            <w:t>8</w:t>
          </w:r>
        </w:p>
        <w:p w14:paraId="3DCD0CDD" w14:textId="77777777" w:rsidR="0069536A" w:rsidRDefault="00000000">
          <w:pPr>
            <w:rPr>
              <w:sz w:val="24"/>
              <w:szCs w:val="24"/>
            </w:rPr>
          </w:pPr>
          <w:r>
            <w:fldChar w:fldCharType="end"/>
          </w:r>
        </w:p>
      </w:sdtContent>
    </w:sdt>
    <w:p w14:paraId="7E735B50" w14:textId="77777777" w:rsidR="0069536A" w:rsidRDefault="0069536A">
      <w:pPr>
        <w:pBdr>
          <w:top w:val="nil"/>
          <w:left w:val="nil"/>
          <w:bottom w:val="nil"/>
          <w:right w:val="nil"/>
          <w:between w:val="nil"/>
        </w:pBdr>
        <w:rPr>
          <w:color w:val="000000"/>
          <w:sz w:val="28"/>
          <w:szCs w:val="28"/>
        </w:rPr>
      </w:pPr>
    </w:p>
    <w:p w14:paraId="2A8314E2" w14:textId="77777777" w:rsidR="0069536A" w:rsidRDefault="00000000">
      <w:pPr>
        <w:pBdr>
          <w:top w:val="nil"/>
          <w:left w:val="nil"/>
          <w:bottom w:val="nil"/>
          <w:right w:val="nil"/>
          <w:between w:val="nil"/>
        </w:pBdr>
        <w:rPr>
          <w:color w:val="000000"/>
          <w:sz w:val="32"/>
          <w:szCs w:val="32"/>
        </w:rPr>
      </w:pPr>
      <w:r>
        <w:br w:type="page"/>
      </w:r>
    </w:p>
    <w:p w14:paraId="01C4EFA8" w14:textId="77777777" w:rsidR="0069536A" w:rsidRDefault="00000000">
      <w:pPr>
        <w:pStyle w:val="Heading1"/>
        <w:rPr>
          <w:rFonts w:ascii="Arial" w:hAnsi="Arial"/>
        </w:rPr>
      </w:pPr>
      <w:bookmarkStart w:id="2" w:name="_heading=h.1fob9te" w:colFirst="0" w:colLast="0"/>
      <w:bookmarkEnd w:id="2"/>
      <w:r>
        <w:rPr>
          <w:rFonts w:ascii="Arial" w:hAnsi="Arial"/>
        </w:rPr>
        <w:lastRenderedPageBreak/>
        <w:t xml:space="preserve">Part 1: Report </w:t>
      </w:r>
    </w:p>
    <w:p w14:paraId="7B2AB36E" w14:textId="77777777" w:rsidR="0069536A" w:rsidRDefault="00000000">
      <w:pPr>
        <w:pStyle w:val="Heading2"/>
        <w:rPr>
          <w:rFonts w:ascii="Arial" w:hAnsi="Arial"/>
        </w:rPr>
      </w:pPr>
      <w:bookmarkStart w:id="3" w:name="_heading=h.3znysh7" w:colFirst="0" w:colLast="0"/>
      <w:bookmarkEnd w:id="3"/>
      <w:r>
        <w:rPr>
          <w:rFonts w:ascii="Arial" w:hAnsi="Arial"/>
        </w:rPr>
        <w:t>Introduction</w:t>
      </w:r>
    </w:p>
    <w:p w14:paraId="30327408"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The critical thinking ability of an individual helps to make crucial decisions and take further professional decisions according to their requirements. The critical thinking skill of a person is also intending their ability to structure the overall workplace by meeting the current required work scenario with the process of improving basic issues of that segment. Highlighting the concept, the study is going to examine the current operational environment and cultural structure of McKinsey&amp; Company. Alongside, the further operational practices of the company after managing the outbreak of the Covid-19 pandemic, and their current proposed strategic approach that could help them to improve further operational approaches of the company, in their current functional marketing segment with quality workforces are also going to be illustrated in the study. Apart from that, the application of different management theories and the critical analyses of the current importance of those theoretical frameworks in the current workplace environment of the company is also going to be evaluated in the study in a detailed manner. </w:t>
      </w:r>
    </w:p>
    <w:p w14:paraId="1A9A250F" w14:textId="77777777" w:rsidR="0069536A" w:rsidRDefault="00000000">
      <w:pPr>
        <w:pStyle w:val="Heading2"/>
        <w:rPr>
          <w:rFonts w:ascii="Arial" w:hAnsi="Arial"/>
        </w:rPr>
      </w:pPr>
      <w:bookmarkStart w:id="4" w:name="_heading=h.2et92p0" w:colFirst="0" w:colLast="0"/>
      <w:bookmarkEnd w:id="4"/>
      <w:r>
        <w:rPr>
          <w:rFonts w:ascii="Arial" w:hAnsi="Arial"/>
        </w:rPr>
        <w:t xml:space="preserve">A brief overview of the company </w:t>
      </w:r>
    </w:p>
    <w:p w14:paraId="268C753C" w14:textId="2ABC72AF" w:rsidR="0069536A" w:rsidRDefault="00000000">
      <w:pPr>
        <w:pBdr>
          <w:top w:val="nil"/>
          <w:left w:val="nil"/>
          <w:bottom w:val="nil"/>
          <w:right w:val="nil"/>
          <w:between w:val="nil"/>
        </w:pBdr>
        <w:rPr>
          <w:color w:val="000000"/>
          <w:sz w:val="24"/>
          <w:szCs w:val="24"/>
        </w:rPr>
      </w:pPr>
      <w:r>
        <w:rPr>
          <w:color w:val="000000"/>
          <w:sz w:val="24"/>
          <w:szCs w:val="24"/>
        </w:rPr>
        <w:t xml:space="preserve">McKinsey is one of the leading global management consultancy companies which is serving their working practices and operational solutions to different </w:t>
      </w:r>
      <w:r w:rsidR="006C09CF">
        <w:rPr>
          <w:color w:val="000000"/>
          <w:sz w:val="24"/>
          <w:szCs w:val="24"/>
        </w:rPr>
        <w:t>organizations</w:t>
      </w:r>
      <w:r>
        <w:rPr>
          <w:color w:val="000000"/>
          <w:sz w:val="24"/>
          <w:szCs w:val="24"/>
        </w:rPr>
        <w:t xml:space="preserve"> to expand their further operational opportunities in the current business environment. In 1926 by James O the company was established in the UK and from then the company has started serving consultancy services to different companies and clients for analysing recent information and further operational practices of other firms in the competitive environment (</w:t>
      </w:r>
      <w:proofErr w:type="spellStart"/>
      <w:r>
        <w:rPr>
          <w:color w:val="000000"/>
          <w:sz w:val="24"/>
          <w:szCs w:val="24"/>
        </w:rPr>
        <w:t>Mckinsey</w:t>
      </w:r>
      <w:proofErr w:type="spellEnd"/>
      <w:r>
        <w:rPr>
          <w:color w:val="000000"/>
          <w:sz w:val="24"/>
          <w:szCs w:val="24"/>
        </w:rPr>
        <w:t xml:space="preserve">, 2022). Apart from that, the company has gained $10.6B in sales revenue from their current competitive </w:t>
      </w:r>
      <w:r w:rsidRPr="006C09CF">
        <w:rPr>
          <w:color w:val="000000"/>
          <w:sz w:val="24"/>
          <w:szCs w:val="24"/>
        </w:rPr>
        <w:t>environment</w:t>
      </w:r>
      <w:r>
        <w:rPr>
          <w:color w:val="000000"/>
          <w:sz w:val="24"/>
          <w:szCs w:val="24"/>
        </w:rPr>
        <w:t xml:space="preserve"> from their target market, along with the support of 30,000 employees who are working as full-time staff (Forbes, 2022). Through generating different current information according to the current operational environment and utilising the support of its employees the company has expanded </w:t>
      </w:r>
      <w:r w:rsidR="006C09CF">
        <w:rPr>
          <w:color w:val="000000"/>
          <w:sz w:val="24"/>
          <w:szCs w:val="24"/>
        </w:rPr>
        <w:t>its</w:t>
      </w:r>
      <w:r>
        <w:rPr>
          <w:color w:val="000000"/>
          <w:sz w:val="24"/>
          <w:szCs w:val="24"/>
        </w:rPr>
        <w:t xml:space="preserve"> business process in the current operational area. In addition, the recent business worth of the company is $15+ billion depending on which further operational approaches of the company can also be measured. </w:t>
      </w:r>
    </w:p>
    <w:p w14:paraId="757A4EE4" w14:textId="77777777" w:rsidR="0069536A" w:rsidRDefault="00000000">
      <w:pPr>
        <w:pBdr>
          <w:top w:val="nil"/>
          <w:left w:val="nil"/>
          <w:bottom w:val="nil"/>
          <w:right w:val="nil"/>
          <w:between w:val="nil"/>
        </w:pBdr>
        <w:rPr>
          <w:b/>
          <w:color w:val="000000"/>
          <w:sz w:val="24"/>
          <w:szCs w:val="24"/>
        </w:rPr>
      </w:pPr>
      <w:r>
        <w:rPr>
          <w:b/>
          <w:color w:val="000000"/>
          <w:sz w:val="24"/>
          <w:szCs w:val="24"/>
        </w:rPr>
        <w:lastRenderedPageBreak/>
        <w:t xml:space="preserve">Competitors </w:t>
      </w:r>
    </w:p>
    <w:p w14:paraId="703187B2" w14:textId="77777777" w:rsidR="0069536A" w:rsidRDefault="00000000">
      <w:pPr>
        <w:pBdr>
          <w:top w:val="nil"/>
          <w:left w:val="nil"/>
          <w:bottom w:val="nil"/>
          <w:right w:val="nil"/>
          <w:between w:val="nil"/>
        </w:pBdr>
        <w:rPr>
          <w:color w:val="000000"/>
          <w:sz w:val="24"/>
          <w:szCs w:val="24"/>
        </w:rPr>
      </w:pPr>
      <w:r>
        <w:rPr>
          <w:color w:val="000000"/>
          <w:sz w:val="24"/>
          <w:szCs w:val="24"/>
        </w:rPr>
        <w:t xml:space="preserve">Deloitte, PwC, KPMG and Accenture are the main competitors of the company who are offering similar working processes and services to their clients for sharing their operational procedures in the current competitive environment. Moreover, more than 1,400 consulting firms are providing almost similar quality services and strategic approaches like the operational practices of the company in their target market (Consultancy, 2020). </w:t>
      </w:r>
    </w:p>
    <w:p w14:paraId="372FB612" w14:textId="77777777" w:rsidR="0069536A" w:rsidRDefault="00000000">
      <w:pPr>
        <w:pBdr>
          <w:top w:val="nil"/>
          <w:left w:val="nil"/>
          <w:bottom w:val="nil"/>
          <w:right w:val="nil"/>
          <w:between w:val="nil"/>
        </w:pBdr>
        <w:rPr>
          <w:b/>
          <w:color w:val="000000"/>
          <w:sz w:val="24"/>
          <w:szCs w:val="24"/>
        </w:rPr>
      </w:pPr>
      <w:r>
        <w:rPr>
          <w:b/>
          <w:color w:val="000000"/>
          <w:sz w:val="24"/>
          <w:szCs w:val="24"/>
        </w:rPr>
        <w:t xml:space="preserve">Current market share </w:t>
      </w:r>
    </w:p>
    <w:p w14:paraId="3C689480" w14:textId="77777777" w:rsidR="0069536A" w:rsidRDefault="00000000">
      <w:pPr>
        <w:pBdr>
          <w:top w:val="nil"/>
          <w:left w:val="nil"/>
          <w:bottom w:val="nil"/>
          <w:right w:val="nil"/>
          <w:between w:val="nil"/>
        </w:pBdr>
        <w:rPr>
          <w:color w:val="000000"/>
          <w:sz w:val="24"/>
          <w:szCs w:val="24"/>
        </w:rPr>
      </w:pPr>
      <w:r>
        <w:rPr>
          <w:color w:val="000000"/>
          <w:sz w:val="24"/>
          <w:szCs w:val="24"/>
        </w:rPr>
        <w:t xml:space="preserve">According to the current competitive market of the company, McKinsey has 4.9% of overall market shares in the current business operating area (Statista, 2022). Along with different competitors in the industry, they have average market shares depending on which further operational services and business functions are evolved. </w:t>
      </w:r>
    </w:p>
    <w:p w14:paraId="1315C2AD" w14:textId="77777777" w:rsidR="0069536A" w:rsidRDefault="00000000">
      <w:pPr>
        <w:pBdr>
          <w:top w:val="nil"/>
          <w:left w:val="nil"/>
          <w:bottom w:val="nil"/>
          <w:right w:val="nil"/>
          <w:between w:val="nil"/>
        </w:pBdr>
        <w:jc w:val="center"/>
        <w:rPr>
          <w:color w:val="000000"/>
          <w:sz w:val="24"/>
          <w:szCs w:val="24"/>
        </w:rPr>
      </w:pPr>
      <w:r>
        <w:rPr>
          <w:noProof/>
          <w:color w:val="000000"/>
          <w:sz w:val="24"/>
          <w:szCs w:val="24"/>
        </w:rPr>
        <w:drawing>
          <wp:inline distT="114300" distB="114300" distL="114300" distR="114300" wp14:anchorId="7F9D653F" wp14:editId="5442302D">
            <wp:extent cx="4376738" cy="2841768"/>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76738" cy="2841768"/>
                    </a:xfrm>
                    <a:prstGeom prst="rect">
                      <a:avLst/>
                    </a:prstGeom>
                    <a:ln w="25400">
                      <a:solidFill>
                        <a:srgbClr val="000000"/>
                      </a:solidFill>
                      <a:prstDash val="solid"/>
                    </a:ln>
                  </pic:spPr>
                </pic:pic>
              </a:graphicData>
            </a:graphic>
          </wp:inline>
        </w:drawing>
      </w:r>
    </w:p>
    <w:p w14:paraId="44DA27F6" w14:textId="77777777" w:rsidR="0069536A" w:rsidRDefault="00000000">
      <w:pPr>
        <w:pBdr>
          <w:top w:val="nil"/>
          <w:left w:val="nil"/>
          <w:bottom w:val="nil"/>
          <w:right w:val="nil"/>
          <w:between w:val="nil"/>
        </w:pBdr>
        <w:jc w:val="center"/>
        <w:rPr>
          <w:color w:val="000000"/>
          <w:sz w:val="24"/>
          <w:szCs w:val="24"/>
        </w:rPr>
      </w:pPr>
      <w:r>
        <w:rPr>
          <w:b/>
          <w:color w:val="000000"/>
          <w:sz w:val="24"/>
          <w:szCs w:val="24"/>
        </w:rPr>
        <w:t>Figure 1: Current market share of the company</w:t>
      </w:r>
    </w:p>
    <w:p w14:paraId="003BDC4B" w14:textId="77777777" w:rsidR="0069536A" w:rsidRDefault="00000000">
      <w:pPr>
        <w:pBdr>
          <w:top w:val="nil"/>
          <w:left w:val="nil"/>
          <w:bottom w:val="nil"/>
          <w:right w:val="nil"/>
          <w:between w:val="nil"/>
        </w:pBdr>
        <w:jc w:val="center"/>
        <w:rPr>
          <w:color w:val="000000"/>
          <w:sz w:val="24"/>
          <w:szCs w:val="24"/>
        </w:rPr>
      </w:pPr>
      <w:r>
        <w:rPr>
          <w:color w:val="000000"/>
          <w:sz w:val="24"/>
          <w:szCs w:val="24"/>
        </w:rPr>
        <w:t>(Source: Statista, 2022)</w:t>
      </w:r>
    </w:p>
    <w:p w14:paraId="137EC725" w14:textId="77777777" w:rsidR="0069536A" w:rsidRDefault="00000000">
      <w:pPr>
        <w:pStyle w:val="Heading2"/>
        <w:rPr>
          <w:rFonts w:ascii="Arial" w:hAnsi="Arial"/>
        </w:rPr>
      </w:pPr>
      <w:bookmarkStart w:id="5" w:name="_heading=h.tyjcwt" w:colFirst="0" w:colLast="0"/>
      <w:bookmarkEnd w:id="5"/>
      <w:r>
        <w:rPr>
          <w:rFonts w:ascii="Arial" w:hAnsi="Arial"/>
        </w:rPr>
        <w:t xml:space="preserve">Evaluation of management theories </w:t>
      </w:r>
    </w:p>
    <w:p w14:paraId="01AA9C21" w14:textId="77777777" w:rsidR="0069536A" w:rsidRDefault="00000000">
      <w:pPr>
        <w:pBdr>
          <w:top w:val="nil"/>
          <w:left w:val="nil"/>
          <w:bottom w:val="nil"/>
          <w:right w:val="nil"/>
          <w:between w:val="nil"/>
        </w:pBdr>
        <w:rPr>
          <w:color w:val="000000"/>
          <w:sz w:val="24"/>
          <w:szCs w:val="24"/>
        </w:rPr>
      </w:pPr>
      <w:r>
        <w:rPr>
          <w:color w:val="000000"/>
          <w:sz w:val="24"/>
          <w:szCs w:val="24"/>
        </w:rPr>
        <w:t xml:space="preserve">In the working environment of a company, different management theories are followed by organisations to manage their work area and internal workforces. Alongside this, the application of these theories in the workplace environment helps to analyse the overall structure and internal workforce process of a company can also be measured. Depending on the process, two different management theories are going to be analysed in the section below. </w:t>
      </w:r>
    </w:p>
    <w:p w14:paraId="09345CFD" w14:textId="77777777" w:rsidR="0069536A" w:rsidRDefault="00000000">
      <w:pPr>
        <w:pBdr>
          <w:top w:val="nil"/>
          <w:left w:val="nil"/>
          <w:bottom w:val="nil"/>
          <w:right w:val="nil"/>
          <w:between w:val="nil"/>
        </w:pBdr>
        <w:rPr>
          <w:b/>
          <w:color w:val="000000"/>
          <w:sz w:val="24"/>
          <w:szCs w:val="24"/>
        </w:rPr>
      </w:pPr>
      <w:r>
        <w:rPr>
          <w:b/>
          <w:color w:val="000000"/>
          <w:sz w:val="24"/>
          <w:szCs w:val="24"/>
        </w:rPr>
        <w:lastRenderedPageBreak/>
        <w:t xml:space="preserve">Human Relations Theory </w:t>
      </w:r>
    </w:p>
    <w:p w14:paraId="38E00806" w14:textId="0948DDE2" w:rsidR="0069536A" w:rsidRDefault="00000000">
      <w:pPr>
        <w:pBdr>
          <w:top w:val="nil"/>
          <w:left w:val="nil"/>
          <w:bottom w:val="nil"/>
          <w:right w:val="nil"/>
          <w:between w:val="nil"/>
        </w:pBdr>
        <w:rPr>
          <w:color w:val="000000"/>
          <w:sz w:val="24"/>
          <w:szCs w:val="24"/>
        </w:rPr>
      </w:pPr>
      <w:r>
        <w:rPr>
          <w:color w:val="000000"/>
          <w:sz w:val="24"/>
          <w:szCs w:val="24"/>
        </w:rPr>
        <w:t>The main ideology of the theory highlighted the concept of organisational psychology that suggests better workplace culture and structure development by prioritising employee engagement (</w:t>
      </w:r>
      <w:proofErr w:type="spellStart"/>
      <w:r>
        <w:rPr>
          <w:color w:val="000000"/>
          <w:sz w:val="24"/>
          <w:szCs w:val="24"/>
        </w:rPr>
        <w:t>Sørensen</w:t>
      </w:r>
      <w:proofErr w:type="spellEnd"/>
      <w:r>
        <w:rPr>
          <w:color w:val="000000"/>
          <w:sz w:val="24"/>
          <w:szCs w:val="24"/>
        </w:rPr>
        <w:t xml:space="preserve"> et al. 2022). The </w:t>
      </w:r>
      <w:proofErr w:type="gramStart"/>
      <w:r>
        <w:rPr>
          <w:color w:val="000000"/>
          <w:sz w:val="24"/>
          <w:szCs w:val="24"/>
        </w:rPr>
        <w:t>main focus</w:t>
      </w:r>
      <w:proofErr w:type="gramEnd"/>
      <w:r>
        <w:rPr>
          <w:color w:val="000000"/>
          <w:sz w:val="24"/>
          <w:szCs w:val="24"/>
        </w:rPr>
        <w:t xml:space="preserve"> of the theory is portraying individuals' engagement with the organisational environment, which helps to develop the internal organisational psychology of a company to fruitfully manage their internal environment. </w:t>
      </w:r>
      <w:proofErr w:type="spellStart"/>
      <w:r>
        <w:rPr>
          <w:color w:val="000000"/>
          <w:sz w:val="24"/>
          <w:szCs w:val="24"/>
        </w:rPr>
        <w:t>Guntrip</w:t>
      </w:r>
      <w:proofErr w:type="spellEnd"/>
      <w:r>
        <w:rPr>
          <w:color w:val="000000"/>
          <w:sz w:val="24"/>
          <w:szCs w:val="24"/>
        </w:rPr>
        <w:t xml:space="preserve"> (2018) has also mentioned that creating a positive working environment and increasing </w:t>
      </w:r>
      <w:r w:rsidR="006C09CF">
        <w:rPr>
          <w:color w:val="000000"/>
          <w:sz w:val="24"/>
          <w:szCs w:val="24"/>
        </w:rPr>
        <w:t>employee’s</w:t>
      </w:r>
      <w:r>
        <w:rPr>
          <w:color w:val="000000"/>
          <w:sz w:val="24"/>
          <w:szCs w:val="24"/>
        </w:rPr>
        <w:t xml:space="preserve"> productivity in professional practices, the implication of positive cultural factors in the current operational environment is required. Different components of the theory help organisations to follow positive working cultural prospects </w:t>
      </w:r>
      <w:proofErr w:type="gramStart"/>
      <w:r>
        <w:rPr>
          <w:color w:val="000000"/>
          <w:sz w:val="24"/>
          <w:szCs w:val="24"/>
        </w:rPr>
        <w:t>and also</w:t>
      </w:r>
      <w:proofErr w:type="gramEnd"/>
      <w:r>
        <w:rPr>
          <w:color w:val="000000"/>
          <w:sz w:val="24"/>
          <w:szCs w:val="24"/>
        </w:rPr>
        <w:t xml:space="preserve"> develop unique working practices improving the ability of individuals depending on which they may be able to emphasise their social bonds and interactional practices. The main objective of the theory highlighted that the internal relationship between employees and employers along with the emotional connection between each person is the main instinct of improving further organisational productivity and cultural efficiency. Acknowledging internal cultural indulgence and increasing positive working practices among individuals depending on current operational practices are effective for a company to emphasise their further cultural factors according to the organisational approaches. </w:t>
      </w:r>
    </w:p>
    <w:p w14:paraId="05A08DFF" w14:textId="77777777" w:rsidR="0069536A" w:rsidRDefault="00000000">
      <w:pPr>
        <w:pBdr>
          <w:top w:val="nil"/>
          <w:left w:val="nil"/>
          <w:bottom w:val="nil"/>
          <w:right w:val="nil"/>
          <w:between w:val="nil"/>
        </w:pBdr>
        <w:jc w:val="center"/>
        <w:rPr>
          <w:color w:val="000000"/>
          <w:sz w:val="24"/>
          <w:szCs w:val="24"/>
        </w:rPr>
      </w:pPr>
      <w:r>
        <w:rPr>
          <w:noProof/>
          <w:color w:val="000000"/>
          <w:sz w:val="24"/>
          <w:szCs w:val="24"/>
        </w:rPr>
        <w:drawing>
          <wp:inline distT="114300" distB="114300" distL="114300" distR="114300" wp14:anchorId="0A3F05CB" wp14:editId="2ECDEF40">
            <wp:extent cx="4885267" cy="2747963"/>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85267" cy="2747963"/>
                    </a:xfrm>
                    <a:prstGeom prst="rect">
                      <a:avLst/>
                    </a:prstGeom>
                    <a:ln w="25400">
                      <a:solidFill>
                        <a:srgbClr val="000000"/>
                      </a:solidFill>
                      <a:prstDash val="solid"/>
                    </a:ln>
                  </pic:spPr>
                </pic:pic>
              </a:graphicData>
            </a:graphic>
          </wp:inline>
        </w:drawing>
      </w:r>
    </w:p>
    <w:p w14:paraId="7B741266" w14:textId="77777777" w:rsidR="0069536A" w:rsidRDefault="00000000">
      <w:pPr>
        <w:pBdr>
          <w:top w:val="nil"/>
          <w:left w:val="nil"/>
          <w:bottom w:val="nil"/>
          <w:right w:val="nil"/>
          <w:between w:val="nil"/>
        </w:pBdr>
        <w:jc w:val="center"/>
        <w:rPr>
          <w:color w:val="000000"/>
          <w:sz w:val="24"/>
          <w:szCs w:val="24"/>
        </w:rPr>
      </w:pPr>
      <w:r>
        <w:rPr>
          <w:b/>
          <w:color w:val="000000"/>
          <w:sz w:val="24"/>
          <w:szCs w:val="24"/>
        </w:rPr>
        <w:t>Figure 2: Human Relations theory</w:t>
      </w:r>
    </w:p>
    <w:p w14:paraId="2EF2DE0C" w14:textId="77777777" w:rsidR="0069536A" w:rsidRDefault="00000000">
      <w:pPr>
        <w:pBdr>
          <w:top w:val="nil"/>
          <w:left w:val="nil"/>
          <w:bottom w:val="nil"/>
          <w:right w:val="nil"/>
          <w:between w:val="nil"/>
        </w:pBdr>
        <w:jc w:val="center"/>
        <w:rPr>
          <w:color w:val="000000"/>
          <w:sz w:val="24"/>
          <w:szCs w:val="24"/>
        </w:rPr>
      </w:pPr>
      <w:r>
        <w:rPr>
          <w:color w:val="000000"/>
          <w:sz w:val="24"/>
          <w:szCs w:val="24"/>
        </w:rPr>
        <w:t xml:space="preserve">(Source: </w:t>
      </w:r>
      <w:proofErr w:type="spellStart"/>
      <w:r>
        <w:rPr>
          <w:color w:val="000000"/>
          <w:sz w:val="24"/>
          <w:szCs w:val="24"/>
        </w:rPr>
        <w:t>Sørensen</w:t>
      </w:r>
      <w:proofErr w:type="spellEnd"/>
      <w:r>
        <w:rPr>
          <w:color w:val="000000"/>
          <w:sz w:val="24"/>
          <w:szCs w:val="24"/>
        </w:rPr>
        <w:t xml:space="preserve"> et al. 2022)</w:t>
      </w:r>
    </w:p>
    <w:p w14:paraId="363D4A1A" w14:textId="77777777" w:rsidR="0069536A" w:rsidRDefault="00000000">
      <w:pPr>
        <w:pBdr>
          <w:top w:val="nil"/>
          <w:left w:val="nil"/>
          <w:bottom w:val="nil"/>
          <w:right w:val="nil"/>
          <w:between w:val="nil"/>
        </w:pBdr>
        <w:rPr>
          <w:color w:val="000000"/>
          <w:sz w:val="24"/>
          <w:szCs w:val="24"/>
        </w:rPr>
      </w:pPr>
      <w:r>
        <w:rPr>
          <w:color w:val="000000"/>
          <w:sz w:val="24"/>
          <w:szCs w:val="24"/>
        </w:rPr>
        <w:t xml:space="preserve">In terms of McKinsey, they are suffering from the issues of managing their internal workforce according to the currently assigned work stress. Alongside this, the issue </w:t>
      </w:r>
      <w:r>
        <w:rPr>
          <w:color w:val="000000"/>
          <w:sz w:val="24"/>
          <w:szCs w:val="24"/>
        </w:rPr>
        <w:lastRenderedPageBreak/>
        <w:t xml:space="preserve">has also been raised among current employees due to the lack of difference in communication and proper interaction between everyone in the current operating area. Based on the current human relations theoretical approaches, the company can be able to emphasise their employees' ability to formulate basic concepts of employee engagement in the operational area (Hutchison, 2018). Alongside, critical thinking practices of individuals by analysing critical structure internal requirements of the company can also be managed by the application of the human relation theory. After the outbreak of the Covid-19 pandemic, the company can be able to improve their employees' understanding of professional segments and their further professional development practices in a better way. </w:t>
      </w:r>
    </w:p>
    <w:p w14:paraId="685095D1" w14:textId="77777777" w:rsidR="0069536A" w:rsidRDefault="00000000">
      <w:pPr>
        <w:pBdr>
          <w:top w:val="nil"/>
          <w:left w:val="nil"/>
          <w:bottom w:val="nil"/>
          <w:right w:val="nil"/>
          <w:between w:val="nil"/>
        </w:pBdr>
        <w:rPr>
          <w:b/>
          <w:color w:val="000000"/>
          <w:sz w:val="24"/>
          <w:szCs w:val="24"/>
        </w:rPr>
      </w:pPr>
      <w:r>
        <w:rPr>
          <w:b/>
          <w:color w:val="000000"/>
          <w:sz w:val="24"/>
          <w:szCs w:val="24"/>
        </w:rPr>
        <w:t xml:space="preserve">Bureaucratic Management Theory </w:t>
      </w:r>
    </w:p>
    <w:p w14:paraId="769072FA"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The main objective of the theory highlights the concept of organisations' internal structural divisions where the form is divided into two basic structures one is a hierarchical structure and the second one is an </w:t>
      </w:r>
      <w:proofErr w:type="spellStart"/>
      <w:proofErr w:type="gramStart"/>
      <w:r>
        <w:rPr>
          <w:color w:val="000000"/>
          <w:sz w:val="24"/>
          <w:szCs w:val="24"/>
        </w:rPr>
        <w:t>employees</w:t>
      </w:r>
      <w:proofErr w:type="spellEnd"/>
      <w:proofErr w:type="gramEnd"/>
      <w:r>
        <w:rPr>
          <w:color w:val="000000"/>
          <w:sz w:val="24"/>
          <w:szCs w:val="24"/>
        </w:rPr>
        <w:t xml:space="preserve"> structure. The ideology of the theory has exemplified the overall process of an organisation depending on which their internal and external operation practices are dependent (</w:t>
      </w:r>
      <w:proofErr w:type="spellStart"/>
      <w:r>
        <w:rPr>
          <w:color w:val="000000"/>
          <w:sz w:val="24"/>
          <w:szCs w:val="24"/>
        </w:rPr>
        <w:t>Bishu</w:t>
      </w:r>
      <w:proofErr w:type="spellEnd"/>
      <w:r>
        <w:rPr>
          <w:color w:val="000000"/>
          <w:sz w:val="24"/>
          <w:szCs w:val="24"/>
        </w:rPr>
        <w:t xml:space="preserve"> and Kennedy, 2020). According to the author, management theory has evaluated that maintaining a hierarchical structure in the organisation environment and developing strategic approaches depending on the requirement of a systematic process is effective for an organisation to improve their firm practices depending on current competitive environments demand. Apart from that, </w:t>
      </w:r>
      <w:proofErr w:type="spellStart"/>
      <w:r>
        <w:rPr>
          <w:color w:val="000000"/>
          <w:sz w:val="24"/>
          <w:szCs w:val="24"/>
        </w:rPr>
        <w:t>Martela</w:t>
      </w:r>
      <w:proofErr w:type="spellEnd"/>
      <w:r>
        <w:rPr>
          <w:color w:val="000000"/>
          <w:sz w:val="24"/>
          <w:szCs w:val="24"/>
        </w:rPr>
        <w:t xml:space="preserve"> (2019) has mentioned that following </w:t>
      </w:r>
      <w:proofErr w:type="gramStart"/>
      <w:r>
        <w:rPr>
          <w:color w:val="000000"/>
          <w:sz w:val="24"/>
          <w:szCs w:val="24"/>
        </w:rPr>
        <w:t>employees</w:t>
      </w:r>
      <w:proofErr w:type="gramEnd"/>
      <w:r>
        <w:rPr>
          <w:color w:val="000000"/>
          <w:sz w:val="24"/>
          <w:szCs w:val="24"/>
        </w:rPr>
        <w:t xml:space="preserve"> centric organisation culture and developing the business functions of a company depending on staff's requirements can also improve the further improvement practices of that company in future. Alongside, it also can state that employees are the key drivers of an organisation for following their practices and influencing them to be a part of that organisation. Every strategic approach can be effective for an organisation to develop its business approaches in a competitive environment. Depending on the concept the overall principles of the theory have highlighted the concept of how to develop the internal structure of a company and develop their internal business structure according to the current demand.</w:t>
      </w:r>
    </w:p>
    <w:p w14:paraId="1E97CAEC" w14:textId="77777777" w:rsidR="0069536A" w:rsidRDefault="00000000">
      <w:pPr>
        <w:pBdr>
          <w:top w:val="nil"/>
          <w:left w:val="nil"/>
          <w:bottom w:val="nil"/>
          <w:right w:val="nil"/>
          <w:between w:val="nil"/>
        </w:pBdr>
        <w:rPr>
          <w:color w:val="000000"/>
          <w:sz w:val="24"/>
          <w:szCs w:val="24"/>
        </w:rPr>
      </w:pPr>
      <w:r>
        <w:rPr>
          <w:color w:val="000000"/>
          <w:sz w:val="24"/>
          <w:szCs w:val="24"/>
        </w:rPr>
        <w:t xml:space="preserve">In terms of McKinsey, </w:t>
      </w:r>
      <w:proofErr w:type="spellStart"/>
      <w:r>
        <w:rPr>
          <w:color w:val="000000"/>
          <w:sz w:val="24"/>
          <w:szCs w:val="24"/>
        </w:rPr>
        <w:t>divisioning</w:t>
      </w:r>
      <w:proofErr w:type="spellEnd"/>
      <w:r>
        <w:rPr>
          <w:color w:val="000000"/>
          <w:sz w:val="24"/>
          <w:szCs w:val="24"/>
        </w:rPr>
        <w:t xml:space="preserve"> the basic organisational structure of the company and following the current principles of the theory can be helpful to improving further operation practices of their employees. The company can be able to manage the basic structure of the organisation's environment depending on the divisional process which </w:t>
      </w:r>
      <w:r>
        <w:rPr>
          <w:color w:val="000000"/>
          <w:sz w:val="24"/>
          <w:szCs w:val="24"/>
        </w:rPr>
        <w:lastRenderedPageBreak/>
        <w:t xml:space="preserve">has been mentioned in the theory in a detailed manner. In order to implement the </w:t>
      </w:r>
      <w:proofErr w:type="gramStart"/>
      <w:r>
        <w:rPr>
          <w:color w:val="000000"/>
          <w:sz w:val="24"/>
          <w:szCs w:val="24"/>
        </w:rPr>
        <w:t>process</w:t>
      </w:r>
      <w:proofErr w:type="gramEnd"/>
      <w:r>
        <w:rPr>
          <w:color w:val="000000"/>
          <w:sz w:val="24"/>
          <w:szCs w:val="24"/>
        </w:rPr>
        <w:t xml:space="preserve"> the company should apply a divisional structure that could help higher departments of the company to manage different crucial working practices and it also is helpful for employees to emphasise their further business process which may comply with current business function (Williams, 2021).</w:t>
      </w:r>
    </w:p>
    <w:p w14:paraId="40507B01" w14:textId="77777777" w:rsidR="0069536A" w:rsidRDefault="00000000">
      <w:pPr>
        <w:pStyle w:val="Heading2"/>
        <w:rPr>
          <w:rFonts w:ascii="Arial" w:hAnsi="Arial"/>
        </w:rPr>
      </w:pPr>
      <w:bookmarkStart w:id="6" w:name="_heading=h.3dy6vkm" w:colFirst="0" w:colLast="0"/>
      <w:bookmarkEnd w:id="6"/>
      <w:r>
        <w:rPr>
          <w:rFonts w:ascii="Arial" w:hAnsi="Arial"/>
        </w:rPr>
        <w:t xml:space="preserve">Develop an understanding of </w:t>
      </w:r>
      <w:proofErr w:type="spellStart"/>
      <w:r>
        <w:rPr>
          <w:rFonts w:ascii="Arial" w:hAnsi="Arial"/>
        </w:rPr>
        <w:t>organisational</w:t>
      </w:r>
      <w:proofErr w:type="spellEnd"/>
      <w:r>
        <w:rPr>
          <w:rFonts w:ascii="Arial" w:hAnsi="Arial"/>
        </w:rPr>
        <w:t xml:space="preserve"> attitudes, beliefs and value systems' impact on the workplace and challenges raised in a working environment in post-COVID with the proper theoretical framework </w:t>
      </w:r>
    </w:p>
    <w:p w14:paraId="6A8BA2D6" w14:textId="77777777" w:rsidR="0069536A" w:rsidRDefault="00000000">
      <w:pPr>
        <w:pStyle w:val="Heading2"/>
        <w:rPr>
          <w:rFonts w:ascii="Arial" w:hAnsi="Arial"/>
        </w:rPr>
      </w:pPr>
      <w:bookmarkStart w:id="7" w:name="_heading=h.1t3h5sf" w:colFirst="0" w:colLast="0"/>
      <w:bookmarkEnd w:id="7"/>
      <w:r>
        <w:rPr>
          <w:rFonts w:ascii="Arial" w:hAnsi="Arial"/>
        </w:rPr>
        <w:t xml:space="preserve">“Significance of beliefs, attitudes and value systems in shaping human </w:t>
      </w:r>
      <w:proofErr w:type="spellStart"/>
      <w:r>
        <w:rPr>
          <w:rFonts w:ascii="Arial" w:hAnsi="Arial"/>
        </w:rPr>
        <w:t>behaviour</w:t>
      </w:r>
      <w:proofErr w:type="spellEnd"/>
      <w:r>
        <w:rPr>
          <w:rFonts w:ascii="Arial" w:hAnsi="Arial"/>
        </w:rPr>
        <w:t>”</w:t>
      </w:r>
    </w:p>
    <w:p w14:paraId="09F2E4E8" w14:textId="77777777" w:rsidR="0069536A" w:rsidRDefault="00000000">
      <w:pPr>
        <w:pBdr>
          <w:top w:val="nil"/>
          <w:left w:val="nil"/>
          <w:bottom w:val="nil"/>
          <w:right w:val="nil"/>
          <w:between w:val="nil"/>
        </w:pBdr>
        <w:rPr>
          <w:color w:val="000000"/>
          <w:sz w:val="24"/>
          <w:szCs w:val="24"/>
        </w:rPr>
      </w:pPr>
      <w:r>
        <w:rPr>
          <w:color w:val="000000"/>
          <w:sz w:val="24"/>
          <w:szCs w:val="24"/>
        </w:rPr>
        <w:t xml:space="preserve">Human behaviour is an integral part of developing values and beliefs in the operational environment of an organisation depending on the factors an organisation </w:t>
      </w:r>
      <w:proofErr w:type="gramStart"/>
      <w:r>
        <w:rPr>
          <w:color w:val="000000"/>
          <w:sz w:val="24"/>
          <w:szCs w:val="24"/>
        </w:rPr>
        <w:t>is able to</w:t>
      </w:r>
      <w:proofErr w:type="gramEnd"/>
      <w:r>
        <w:rPr>
          <w:color w:val="000000"/>
          <w:sz w:val="24"/>
          <w:szCs w:val="24"/>
        </w:rPr>
        <w:t xml:space="preserve"> structure its basic operation management. Alongside, they can be formalising their strategic approaches which may help them to improve their internal workforce productivity. The basic scenario Ives and Kidwell (2019) has also articulated is that developing a value system in the organisation environment depending on the cultural diversity and beliefs of individual employees of their organisation may have them to improve their further operation practices depending on current ideological factors. In terms to measure the significance of the value system and attitude of an organisation, it can be stated that after the outbreak of the covid-19 pandemic companies has lost the ability to manage their internal workforces according to their working pressures and improve theirs for the operation of practices (Schill et al., 2019). The organisation has also been required to transform their working practices depending on the current estimated budget which may also differ their financial stability in the current operating environment. In terms of McKinsey, they have improved their organisation culture depending on employee centricity, however, after the issue of the global pendant the company has started facing the challenges of maintaining their workforce depending on their requirements. Alongside, overwork pressures and formulated working practices in the current operating environment have also been an impact on the company due to having poor working management procedures depending on their organisations' norms and governors have also got impacted due to having poor management practices in the operational segment. For that reason, the values system </w:t>
      </w:r>
      <w:r>
        <w:rPr>
          <w:color w:val="000000"/>
          <w:sz w:val="24"/>
          <w:szCs w:val="24"/>
        </w:rPr>
        <w:lastRenderedPageBreak/>
        <w:t>and beliefs of the company have also been impacted due to poor application of different management functions to engage their employees and influence of leaders to be professional towards their working structure of the company in the current environment (</w:t>
      </w:r>
      <w:proofErr w:type="spellStart"/>
      <w:r>
        <w:rPr>
          <w:color w:val="000000"/>
          <w:sz w:val="24"/>
          <w:szCs w:val="24"/>
        </w:rPr>
        <w:t>Heydarian</w:t>
      </w:r>
      <w:proofErr w:type="spellEnd"/>
      <w:r>
        <w:rPr>
          <w:color w:val="000000"/>
          <w:sz w:val="24"/>
          <w:szCs w:val="24"/>
        </w:rPr>
        <w:t xml:space="preserve"> et al., 2020). </w:t>
      </w:r>
    </w:p>
    <w:p w14:paraId="464440BE" w14:textId="77777777" w:rsidR="0069536A" w:rsidRDefault="00000000">
      <w:pPr>
        <w:pStyle w:val="Heading2"/>
        <w:rPr>
          <w:rFonts w:ascii="Arial" w:hAnsi="Arial"/>
        </w:rPr>
      </w:pPr>
      <w:bookmarkStart w:id="8" w:name="_heading=h.4d34og8" w:colFirst="0" w:colLast="0"/>
      <w:bookmarkEnd w:id="8"/>
      <w:r>
        <w:rPr>
          <w:rFonts w:ascii="Arial" w:hAnsi="Arial"/>
        </w:rPr>
        <w:t>“Relationship between beliefs, attitudes and value systems and culture and norms”</w:t>
      </w:r>
    </w:p>
    <w:p w14:paraId="43749629" w14:textId="77777777" w:rsidR="0069536A" w:rsidRDefault="00000000">
      <w:pPr>
        <w:pBdr>
          <w:top w:val="nil"/>
          <w:left w:val="nil"/>
          <w:bottom w:val="nil"/>
          <w:right w:val="nil"/>
          <w:between w:val="nil"/>
        </w:pBdr>
        <w:rPr>
          <w:color w:val="000000"/>
          <w:sz w:val="24"/>
          <w:szCs w:val="24"/>
        </w:rPr>
      </w:pPr>
      <w:r>
        <w:rPr>
          <w:color w:val="000000"/>
          <w:sz w:val="24"/>
          <w:szCs w:val="24"/>
        </w:rPr>
        <w:t xml:space="preserve">Cultural belief and attitude are the two components depending on which the basic understanding and point of view of individuals are improved. Depending on two components most of organisations measure their employees in social bonding ability and further engagement ability for emphasising their internal workforce productivity system of the organisation before their internal quality of work (Stepanova et al., 2018). As well as employee engagement and retention function of that organisation by which their employees get positive enthusiasm to being professional towards their working practices. On the other hand, cultural norms exemplified the process of differentiating individuals' identities depending on their cultural existence within an organisation environment. Different employees and a diversified working culture are followed by firms to engage their employees with proper respect towards their cultural ideologies (Huang et al., 2019). In terms of McKinsey, they have developed its organisation structure depending on proper employee engagement and retention by following the systematic process of higher departments of the company depending on the current cultural values and management systems of the company. They have produced a collaborative working environment where employees and employers are working in a similar structure for sharing their thoughts and configuring further logical values in their operation process. Apart from that, during the pandemic, the company has suffered from different issues of procurement management, logistics, data security, data management, and client management-related issues that have also impacted their current operating environment in different ways (Jayachandran, 2021). In this </w:t>
      </w:r>
      <w:proofErr w:type="gramStart"/>
      <w:r>
        <w:rPr>
          <w:color w:val="000000"/>
          <w:sz w:val="24"/>
          <w:szCs w:val="24"/>
        </w:rPr>
        <w:t>particular scenario</w:t>
      </w:r>
      <w:proofErr w:type="gramEnd"/>
      <w:r>
        <w:rPr>
          <w:color w:val="000000"/>
          <w:sz w:val="24"/>
          <w:szCs w:val="24"/>
        </w:rPr>
        <w:t xml:space="preserve">, the company is going through different issues that are also impacting the overall value and operation and management system of the company which can be improved by their strategic application of a properly diversified system in the operational area. </w:t>
      </w:r>
    </w:p>
    <w:p w14:paraId="6AB17444" w14:textId="77777777" w:rsidR="0069536A" w:rsidRDefault="00000000">
      <w:pPr>
        <w:pBdr>
          <w:top w:val="nil"/>
          <w:left w:val="nil"/>
          <w:bottom w:val="nil"/>
          <w:right w:val="nil"/>
          <w:between w:val="nil"/>
        </w:pBdr>
        <w:rPr>
          <w:b/>
          <w:i/>
          <w:color w:val="000000"/>
          <w:sz w:val="24"/>
          <w:szCs w:val="24"/>
        </w:rPr>
      </w:pPr>
      <w:r>
        <w:rPr>
          <w:b/>
          <w:i/>
          <w:color w:val="000000"/>
          <w:sz w:val="24"/>
          <w:szCs w:val="24"/>
        </w:rPr>
        <w:t xml:space="preserve">Employee shortage </w:t>
      </w:r>
    </w:p>
    <w:p w14:paraId="34C63895" w14:textId="77777777" w:rsidR="0069536A" w:rsidRDefault="00000000">
      <w:pPr>
        <w:pBdr>
          <w:top w:val="nil"/>
          <w:left w:val="nil"/>
          <w:bottom w:val="nil"/>
          <w:right w:val="nil"/>
          <w:between w:val="nil"/>
        </w:pBdr>
        <w:rPr>
          <w:color w:val="000000"/>
          <w:sz w:val="24"/>
          <w:szCs w:val="24"/>
        </w:rPr>
      </w:pPr>
      <w:r>
        <w:rPr>
          <w:color w:val="000000"/>
          <w:sz w:val="24"/>
          <w:szCs w:val="24"/>
        </w:rPr>
        <w:lastRenderedPageBreak/>
        <w:t>Employee shortage is one of the most effective issues that has been faced by the company while the uncertain lockdown period has started. Alongside this situation of conflicts, most of the employees have suffered from managing technology sources for developing their professional practices while they did not have a proper first structure with technical tools and serving their company with appropriate format (</w:t>
      </w:r>
      <w:proofErr w:type="spellStart"/>
      <w:r>
        <w:rPr>
          <w:color w:val="000000"/>
          <w:sz w:val="24"/>
          <w:szCs w:val="24"/>
        </w:rPr>
        <w:t>Hadi</w:t>
      </w:r>
      <w:proofErr w:type="spellEnd"/>
      <w:r>
        <w:rPr>
          <w:color w:val="000000"/>
          <w:sz w:val="24"/>
          <w:szCs w:val="24"/>
        </w:rPr>
        <w:t xml:space="preserve"> and Ahmed, 2018). Because most of them have stopped their working practices during the lockdown, in this situation the employee shortage issue has impacted the overall operation of all management functions of the company to emphasise their further strategic policies.</w:t>
      </w:r>
    </w:p>
    <w:p w14:paraId="33758AD7" w14:textId="77777777" w:rsidR="0069536A" w:rsidRDefault="00000000">
      <w:pPr>
        <w:pBdr>
          <w:top w:val="nil"/>
          <w:left w:val="nil"/>
          <w:bottom w:val="nil"/>
          <w:right w:val="nil"/>
          <w:between w:val="nil"/>
        </w:pBdr>
        <w:rPr>
          <w:b/>
          <w:i/>
          <w:color w:val="000000"/>
          <w:sz w:val="24"/>
          <w:szCs w:val="24"/>
        </w:rPr>
      </w:pPr>
      <w:r>
        <w:rPr>
          <w:b/>
          <w:i/>
          <w:color w:val="000000"/>
          <w:sz w:val="24"/>
          <w:szCs w:val="24"/>
        </w:rPr>
        <w:t xml:space="preserve">Procurement management </w:t>
      </w:r>
    </w:p>
    <w:p w14:paraId="3F5C245C" w14:textId="77777777" w:rsidR="0069536A" w:rsidRDefault="00000000">
      <w:pPr>
        <w:pBdr>
          <w:top w:val="nil"/>
          <w:left w:val="nil"/>
          <w:bottom w:val="nil"/>
          <w:right w:val="nil"/>
          <w:between w:val="nil"/>
        </w:pBdr>
        <w:rPr>
          <w:color w:val="000000"/>
          <w:sz w:val="24"/>
          <w:szCs w:val="24"/>
        </w:rPr>
      </w:pPr>
      <w:r>
        <w:rPr>
          <w:color w:val="000000"/>
          <w:sz w:val="24"/>
          <w:szCs w:val="24"/>
        </w:rPr>
        <w:t xml:space="preserve">Procurement management is another challenging issue for the company to digitally manage their data sources logistics and basic </w:t>
      </w:r>
      <w:proofErr w:type="gramStart"/>
      <w:r>
        <w:rPr>
          <w:color w:val="000000"/>
          <w:sz w:val="24"/>
          <w:szCs w:val="24"/>
        </w:rPr>
        <w:t>employees</w:t>
      </w:r>
      <w:proofErr w:type="gramEnd"/>
      <w:r>
        <w:rPr>
          <w:color w:val="000000"/>
          <w:sz w:val="24"/>
          <w:szCs w:val="24"/>
        </w:rPr>
        <w:t xml:space="preserve"> functions in a similar way. Procurement management is one of the processes of managing their inventory, according to a consultancy firm that manages the data sources which has increased their ability to sustain a client base (Shehu et al., 2019). This situation impacted the overall logistics and data sourcing practices managing ability of the company. </w:t>
      </w:r>
    </w:p>
    <w:p w14:paraId="4CEBB77C" w14:textId="77777777" w:rsidR="0069536A" w:rsidRDefault="00000000">
      <w:pPr>
        <w:pBdr>
          <w:top w:val="nil"/>
          <w:left w:val="nil"/>
          <w:bottom w:val="nil"/>
          <w:right w:val="nil"/>
          <w:between w:val="nil"/>
        </w:pBdr>
        <w:rPr>
          <w:b/>
          <w:color w:val="000000"/>
          <w:sz w:val="24"/>
          <w:szCs w:val="24"/>
        </w:rPr>
      </w:pPr>
      <w:r>
        <w:rPr>
          <w:b/>
          <w:color w:val="000000"/>
          <w:sz w:val="24"/>
          <w:szCs w:val="24"/>
        </w:rPr>
        <w:t>Contingency Theory</w:t>
      </w:r>
    </w:p>
    <w:p w14:paraId="09EAF6A1"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The main objective of the theory highlighted the concept of managing any situation of conflict in an organisation to train employees with critical thinking skills (Yu et al., 2020). According to the author, critical thinking skills intend individuals' ability to manage their current issues and minimise any situational conflicts with positive thinking abilities. The components of the contingency theory highlight the factors that may improve an individual ability to improve their potential to manage any critical situation with efficiency and minimise challenges with proper competency apart from that leaders or managers who have the responsibility to manage overall team conflicts properly (Cunha et al., 2019). They </w:t>
      </w:r>
      <w:proofErr w:type="gramStart"/>
      <w:r>
        <w:rPr>
          <w:color w:val="000000"/>
          <w:sz w:val="24"/>
          <w:szCs w:val="24"/>
        </w:rPr>
        <w:t>are able to</w:t>
      </w:r>
      <w:proofErr w:type="gramEnd"/>
      <w:r>
        <w:rPr>
          <w:color w:val="000000"/>
          <w:sz w:val="24"/>
          <w:szCs w:val="24"/>
        </w:rPr>
        <w:t xml:space="preserve"> manage different difficulties by implementing appropriate solutions according to the current needs. </w:t>
      </w:r>
    </w:p>
    <w:p w14:paraId="16042527" w14:textId="77777777" w:rsidR="0069536A" w:rsidRDefault="00000000">
      <w:pPr>
        <w:pBdr>
          <w:top w:val="nil"/>
          <w:left w:val="nil"/>
          <w:bottom w:val="nil"/>
          <w:right w:val="nil"/>
          <w:between w:val="nil"/>
        </w:pBdr>
        <w:rPr>
          <w:color w:val="000000"/>
          <w:sz w:val="24"/>
          <w:szCs w:val="24"/>
        </w:rPr>
      </w:pPr>
      <w:r>
        <w:rPr>
          <w:color w:val="000000"/>
          <w:sz w:val="24"/>
          <w:szCs w:val="24"/>
        </w:rPr>
        <w:t xml:space="preserve">In terms of McKinsey, the contingent behavioural approaches of organisations can be helpful for them to adapt and apply in their internal workforces. The above-mentioned challenges of the company during the global pandemic situation have highlighted that employee shortage and procurement management are the major issues that have impacted the overall functional management ability of the company in the target market (King and </w:t>
      </w:r>
      <w:proofErr w:type="spellStart"/>
      <w:r>
        <w:rPr>
          <w:color w:val="000000"/>
          <w:sz w:val="24"/>
          <w:szCs w:val="24"/>
        </w:rPr>
        <w:t>Vaiman</w:t>
      </w:r>
      <w:proofErr w:type="spellEnd"/>
      <w:r>
        <w:rPr>
          <w:color w:val="000000"/>
          <w:sz w:val="24"/>
          <w:szCs w:val="24"/>
        </w:rPr>
        <w:t xml:space="preserve">, 2019). In that scenario, the implementation of proper operational resources and following the stages of contingency theory may help the </w:t>
      </w:r>
      <w:r>
        <w:rPr>
          <w:color w:val="000000"/>
          <w:sz w:val="24"/>
          <w:szCs w:val="24"/>
        </w:rPr>
        <w:lastRenderedPageBreak/>
        <w:t xml:space="preserve">leaders to engage their employees and retain them according to the current requirements of the company. Alongside this, it may also help them to improve the business management functions to develop different operation tools to maintain their sustainability in the competitive environment. </w:t>
      </w:r>
    </w:p>
    <w:p w14:paraId="38121885" w14:textId="77777777" w:rsidR="0069536A" w:rsidRDefault="00000000">
      <w:pPr>
        <w:pStyle w:val="Heading2"/>
        <w:rPr>
          <w:rFonts w:ascii="Arial" w:hAnsi="Arial"/>
        </w:rPr>
      </w:pPr>
      <w:bookmarkStart w:id="9" w:name="_heading=h.2s8eyo1" w:colFirst="0" w:colLast="0"/>
      <w:bookmarkEnd w:id="9"/>
      <w:r>
        <w:rPr>
          <w:rFonts w:ascii="Arial" w:hAnsi="Arial"/>
        </w:rPr>
        <w:t xml:space="preserve">Critical evaluation of the management theories to </w:t>
      </w:r>
      <w:proofErr w:type="spellStart"/>
      <w:r>
        <w:rPr>
          <w:rFonts w:ascii="Arial" w:hAnsi="Arial"/>
        </w:rPr>
        <w:t>analyse</w:t>
      </w:r>
      <w:proofErr w:type="spellEnd"/>
      <w:r>
        <w:rPr>
          <w:rFonts w:ascii="Arial" w:hAnsi="Arial"/>
        </w:rPr>
        <w:t xml:space="preserve"> others' beliefs, attitudes and values might interpret the theory differently </w:t>
      </w:r>
    </w:p>
    <w:p w14:paraId="29436781" w14:textId="77777777" w:rsidR="0069536A" w:rsidRDefault="00000000">
      <w:pPr>
        <w:pBdr>
          <w:top w:val="nil"/>
          <w:left w:val="nil"/>
          <w:bottom w:val="nil"/>
          <w:right w:val="nil"/>
          <w:between w:val="nil"/>
        </w:pBdr>
        <w:rPr>
          <w:color w:val="000000"/>
          <w:sz w:val="24"/>
          <w:szCs w:val="24"/>
        </w:rPr>
      </w:pPr>
      <w:r>
        <w:rPr>
          <w:color w:val="000000"/>
          <w:sz w:val="24"/>
          <w:szCs w:val="24"/>
        </w:rPr>
        <w:t xml:space="preserve">According to Rosa (2019), the concept of belief value and attitude importance in an organisation environment application of human relation theory can be the most suitable one to acknowledge </w:t>
      </w:r>
      <w:proofErr w:type="gramStart"/>
      <w:r>
        <w:rPr>
          <w:color w:val="000000"/>
          <w:sz w:val="24"/>
          <w:szCs w:val="24"/>
        </w:rPr>
        <w:t>each and every</w:t>
      </w:r>
      <w:proofErr w:type="gramEnd"/>
      <w:r>
        <w:rPr>
          <w:color w:val="000000"/>
          <w:sz w:val="24"/>
          <w:szCs w:val="24"/>
        </w:rPr>
        <w:t xml:space="preserve"> part of this segment. As human relation theory is completely dependent on the emotional bonding and social engagement of individuals depending on that the basic productivity of an organisation can be improved. Alongside, the ideology of the theory has also improved individuals' ability to maintain a positive working environment in the current professional segment as well as intending individuals' ability to structure proper resources and business practices which may also improve their ability to exemplify appropriate functions according to their current business functions (Farahani et al., 2019). Apart from that, Bureaucratic theory has highlighted the concept of how to manage an internal workforce of an organisation by dividing it into different forms. Alongside, developing the concept of that </w:t>
      </w:r>
      <w:proofErr w:type="gramStart"/>
      <w:r>
        <w:rPr>
          <w:color w:val="000000"/>
          <w:sz w:val="24"/>
          <w:szCs w:val="24"/>
        </w:rPr>
        <w:t>particular higher</w:t>
      </w:r>
      <w:proofErr w:type="gramEnd"/>
      <w:r>
        <w:rPr>
          <w:color w:val="000000"/>
          <w:sz w:val="24"/>
          <w:szCs w:val="24"/>
        </w:rPr>
        <w:t xml:space="preserve"> department of an organisation in the working process of employees (Lumby, 2019). In a similar way, the contingency theory has also demonstrated developing leaders' and managers' ability to manage any situational conflicts of an organisation not focusing on any employees' engagement or operation ability of them according to the current needs (Patwardhan, 2018). Through evaluating the overall </w:t>
      </w:r>
      <w:proofErr w:type="gramStart"/>
      <w:r>
        <w:rPr>
          <w:color w:val="000000"/>
          <w:sz w:val="24"/>
          <w:szCs w:val="24"/>
        </w:rPr>
        <w:t>concepts</w:t>
      </w:r>
      <w:proofErr w:type="gramEnd"/>
      <w:r>
        <w:rPr>
          <w:color w:val="000000"/>
          <w:sz w:val="24"/>
          <w:szCs w:val="24"/>
        </w:rPr>
        <w:t xml:space="preserve"> it can be stated that the application of the human behaviour approaches to improving the behavioural abilities of the company can be more reliable that could also be helpful to minimise their employee shortage issue. Simultaneously improving procurement management practices of the company can also be improved while employees' productivity and engagement with the professional work can be improved.</w:t>
      </w:r>
    </w:p>
    <w:p w14:paraId="19E69AC1" w14:textId="77777777" w:rsidR="0069536A" w:rsidRDefault="00000000">
      <w:pPr>
        <w:pStyle w:val="Heading2"/>
        <w:rPr>
          <w:rFonts w:ascii="Arial" w:hAnsi="Arial"/>
        </w:rPr>
      </w:pPr>
      <w:bookmarkStart w:id="10" w:name="_heading=h.17dp8vu" w:colFirst="0" w:colLast="0"/>
      <w:bookmarkEnd w:id="10"/>
      <w:r>
        <w:rPr>
          <w:rFonts w:ascii="Arial" w:hAnsi="Arial"/>
        </w:rPr>
        <w:lastRenderedPageBreak/>
        <w:t xml:space="preserve">Recommendation for </w:t>
      </w:r>
      <w:proofErr w:type="spellStart"/>
      <w:r>
        <w:rPr>
          <w:rFonts w:ascii="Arial" w:hAnsi="Arial"/>
        </w:rPr>
        <w:t>minimising</w:t>
      </w:r>
      <w:proofErr w:type="spellEnd"/>
      <w:r>
        <w:rPr>
          <w:rFonts w:ascii="Arial" w:hAnsi="Arial"/>
        </w:rPr>
        <w:t xml:space="preserve"> current issues of the firms </w:t>
      </w:r>
    </w:p>
    <w:p w14:paraId="3ECB9E41" w14:textId="77777777" w:rsidR="0069536A" w:rsidRDefault="00000000">
      <w:pPr>
        <w:numPr>
          <w:ilvl w:val="0"/>
          <w:numId w:val="1"/>
        </w:numPr>
        <w:pBdr>
          <w:top w:val="nil"/>
          <w:left w:val="nil"/>
          <w:bottom w:val="nil"/>
          <w:right w:val="nil"/>
          <w:between w:val="nil"/>
        </w:pBdr>
        <w:rPr>
          <w:color w:val="000000"/>
          <w:sz w:val="24"/>
          <w:szCs w:val="24"/>
        </w:rPr>
      </w:pPr>
      <w:r>
        <w:rPr>
          <w:color w:val="000000"/>
          <w:sz w:val="24"/>
          <w:szCs w:val="24"/>
        </w:rPr>
        <w:t xml:space="preserve">Implementing a 360-degree rewarding strategy in the organisation environment can be a strategic approach for reliability to their internal working environment (Park et al., 2021). Alongside this, it may also be helpful to influence their employees with the current transformation to the working structure. Moreover, providing rewards depending on the performance ability of individuals and providing them with the facility to improve their further working practices according to the current operation can be effective for them to improve their interest in professional practices according to the current competitive environment. </w:t>
      </w:r>
    </w:p>
    <w:p w14:paraId="2482E9AC" w14:textId="77777777" w:rsidR="0069536A" w:rsidRDefault="00000000">
      <w:pPr>
        <w:pStyle w:val="Heading2"/>
        <w:rPr>
          <w:rFonts w:ascii="Arial" w:hAnsi="Arial"/>
        </w:rPr>
      </w:pPr>
      <w:bookmarkStart w:id="11" w:name="_heading=h.3rdcrjn" w:colFirst="0" w:colLast="0"/>
      <w:bookmarkEnd w:id="11"/>
      <w:r>
        <w:rPr>
          <w:rFonts w:ascii="Arial" w:hAnsi="Arial"/>
        </w:rPr>
        <w:t xml:space="preserve">Conclusion </w:t>
      </w:r>
    </w:p>
    <w:p w14:paraId="4D4B3EF4"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The overall report has demonstrated the current internal organisation ability of McKinsey, which is one of the leading global market consultancy firms in the UK, to serve quality data and support to other companies for developing their working practices in the competitive environment. A brief introduction of the company with analysing of its different management practices has also been evaluated in the report. Alongside, human relation theory, contingency theory and bureaucratic theory have been critically evaluated in the study to determine their application and ability to minimise current challenges of the company which they are facing during their business process development. Conclusively, it can be asserted that the suggested recommendation for the company can be effective for them to improve their current internal employee best structure and ensure their ability to form and apply for the strategic approaches in their competitive target environment. </w:t>
      </w:r>
    </w:p>
    <w:p w14:paraId="5ABAFDD1" w14:textId="77777777" w:rsidR="0069536A" w:rsidRDefault="0069536A">
      <w:pPr>
        <w:pBdr>
          <w:top w:val="nil"/>
          <w:left w:val="nil"/>
          <w:bottom w:val="nil"/>
          <w:right w:val="nil"/>
          <w:between w:val="nil"/>
        </w:pBdr>
        <w:rPr>
          <w:color w:val="000000"/>
          <w:sz w:val="28"/>
          <w:szCs w:val="28"/>
        </w:rPr>
      </w:pPr>
    </w:p>
    <w:p w14:paraId="52A81956" w14:textId="77777777" w:rsidR="0069536A" w:rsidRDefault="00000000">
      <w:pPr>
        <w:pBdr>
          <w:top w:val="nil"/>
          <w:left w:val="nil"/>
          <w:bottom w:val="nil"/>
          <w:right w:val="nil"/>
          <w:between w:val="nil"/>
        </w:pBdr>
        <w:rPr>
          <w:color w:val="000000"/>
          <w:sz w:val="28"/>
          <w:szCs w:val="28"/>
        </w:rPr>
      </w:pPr>
      <w:r>
        <w:br w:type="page"/>
      </w:r>
    </w:p>
    <w:p w14:paraId="15E0CCFD" w14:textId="77777777" w:rsidR="0069536A" w:rsidRDefault="00000000">
      <w:pPr>
        <w:pStyle w:val="Heading1"/>
        <w:rPr>
          <w:rFonts w:ascii="Arial" w:hAnsi="Arial"/>
        </w:rPr>
      </w:pPr>
      <w:bookmarkStart w:id="12" w:name="_heading=h.26in1rg" w:colFirst="0" w:colLast="0"/>
      <w:bookmarkEnd w:id="12"/>
      <w:r>
        <w:rPr>
          <w:rFonts w:ascii="Arial" w:hAnsi="Arial"/>
        </w:rPr>
        <w:lastRenderedPageBreak/>
        <w:t xml:space="preserve">Part 2: Reflection </w:t>
      </w:r>
    </w:p>
    <w:p w14:paraId="6C24CA18" w14:textId="77777777" w:rsidR="0069536A" w:rsidRDefault="00000000">
      <w:pPr>
        <w:pStyle w:val="Heading2"/>
        <w:rPr>
          <w:rFonts w:ascii="Arial" w:hAnsi="Arial"/>
        </w:rPr>
      </w:pPr>
      <w:bookmarkStart w:id="13" w:name="_heading=h.lnxbz9" w:colFirst="0" w:colLast="0"/>
      <w:bookmarkEnd w:id="13"/>
      <w:r>
        <w:rPr>
          <w:rFonts w:ascii="Arial" w:hAnsi="Arial"/>
        </w:rPr>
        <w:t xml:space="preserve">Introduction </w:t>
      </w:r>
    </w:p>
    <w:p w14:paraId="5A69DFCC" w14:textId="77777777" w:rsidR="0069536A" w:rsidRDefault="00000000">
      <w:pPr>
        <w:pBdr>
          <w:top w:val="nil"/>
          <w:left w:val="nil"/>
          <w:bottom w:val="nil"/>
          <w:right w:val="nil"/>
          <w:between w:val="nil"/>
        </w:pBdr>
        <w:rPr>
          <w:color w:val="000000"/>
          <w:sz w:val="24"/>
          <w:szCs w:val="24"/>
        </w:rPr>
      </w:pPr>
      <w:r>
        <w:rPr>
          <w:color w:val="000000"/>
          <w:sz w:val="24"/>
          <w:szCs w:val="24"/>
        </w:rPr>
        <w:t xml:space="preserve">In every educational environment, the process and experience of learning and training are completed through reflection. According to Reynolds, (2017) reflection is the process by which the individual reflects on an experience to determine the positive and negative aspects of the experience. With the help of </w:t>
      </w:r>
      <w:proofErr w:type="gramStart"/>
      <w:r>
        <w:rPr>
          <w:color w:val="000000"/>
          <w:sz w:val="24"/>
          <w:szCs w:val="24"/>
        </w:rPr>
        <w:t>reflection</w:t>
      </w:r>
      <w:proofErr w:type="gramEnd"/>
      <w:r>
        <w:rPr>
          <w:color w:val="000000"/>
          <w:sz w:val="24"/>
          <w:szCs w:val="24"/>
        </w:rPr>
        <w:t xml:space="preserve"> the individual analyses the experience to determine areas of improvement that can help enhance and improve future experiences. The following is a reflection on the course of business management. To reflect on the course and the overall academic experience, the Gibbs reflective cycle is used. The Gibbs reflective cycle that is used in the process of reflection helps the individual to analyse the experience through different stages which determine the overall benefits and shortcomings of the experiences. The reflective cycle helps describe the experience, express feelings towards it, analyse the experience and evaluate it. Along with this, the cycle makes provision to curate an action plan that gives the individual the chance to use the experience and all the skills it has provided for future activities and experiences. </w:t>
      </w:r>
    </w:p>
    <w:p w14:paraId="2ABB704C" w14:textId="77777777" w:rsidR="0069536A" w:rsidRDefault="0069536A">
      <w:pPr>
        <w:pBdr>
          <w:top w:val="nil"/>
          <w:left w:val="nil"/>
          <w:bottom w:val="nil"/>
          <w:right w:val="nil"/>
          <w:between w:val="nil"/>
        </w:pBdr>
        <w:rPr>
          <w:b/>
          <w:color w:val="000000"/>
          <w:sz w:val="28"/>
          <w:szCs w:val="28"/>
        </w:rPr>
      </w:pPr>
    </w:p>
    <w:p w14:paraId="73CFEF9E" w14:textId="77777777" w:rsidR="0069536A" w:rsidRDefault="00000000">
      <w:pPr>
        <w:pBdr>
          <w:top w:val="nil"/>
          <w:left w:val="nil"/>
          <w:bottom w:val="nil"/>
          <w:right w:val="nil"/>
          <w:between w:val="nil"/>
        </w:pBdr>
        <w:rPr>
          <w:b/>
          <w:color w:val="000000"/>
          <w:sz w:val="24"/>
          <w:szCs w:val="24"/>
        </w:rPr>
      </w:pPr>
      <w:r>
        <w:rPr>
          <w:b/>
          <w:color w:val="000000"/>
          <w:sz w:val="24"/>
          <w:szCs w:val="24"/>
        </w:rPr>
        <w:t xml:space="preserve">Feelings </w:t>
      </w:r>
    </w:p>
    <w:p w14:paraId="0B2882B4" w14:textId="77777777" w:rsidR="0069536A" w:rsidRDefault="00000000">
      <w:pPr>
        <w:pBdr>
          <w:top w:val="nil"/>
          <w:left w:val="nil"/>
          <w:bottom w:val="nil"/>
          <w:right w:val="nil"/>
          <w:between w:val="nil"/>
        </w:pBdr>
        <w:rPr>
          <w:color w:val="000000"/>
          <w:sz w:val="24"/>
          <w:szCs w:val="24"/>
        </w:rPr>
      </w:pPr>
      <w:r>
        <w:rPr>
          <w:color w:val="000000"/>
          <w:sz w:val="24"/>
          <w:szCs w:val="24"/>
        </w:rPr>
        <w:t xml:space="preserve">In the process of reflection, the individual needs to analyse their feelings towards the experience. Redmond, (2018), believes that analysing feelings towards the experience helps the individual to determine areas of improvement. From the start of the course, my feelings towards the course were </w:t>
      </w:r>
      <w:proofErr w:type="gramStart"/>
      <w:r>
        <w:rPr>
          <w:color w:val="000000"/>
          <w:sz w:val="24"/>
          <w:szCs w:val="24"/>
        </w:rPr>
        <w:t>fairly positive</w:t>
      </w:r>
      <w:proofErr w:type="gramEnd"/>
      <w:r>
        <w:rPr>
          <w:color w:val="000000"/>
          <w:sz w:val="24"/>
          <w:szCs w:val="24"/>
        </w:rPr>
        <w:t xml:space="preserve">. At the start of the course, I felt apprehensive and scared as I was uncertain about the skills I would require for the completion of the course. At the same time, I was rather excited to learn new skills that I could use towards my personal and professional development. As the course progressed my feelings of uncertainty slowly changed as I found that many skills that were discussed through the course were skills that I could transfer to my professional development. I was satisfied with the course and the experience as it provided me with skills such as critical thinking and effective decision-making. These are skills I was happy about as they are </w:t>
      </w:r>
      <w:proofErr w:type="gramStart"/>
      <w:r>
        <w:rPr>
          <w:color w:val="000000"/>
          <w:sz w:val="24"/>
          <w:szCs w:val="24"/>
        </w:rPr>
        <w:t>transferable</w:t>
      </w:r>
      <w:proofErr w:type="gramEnd"/>
      <w:r>
        <w:rPr>
          <w:color w:val="000000"/>
          <w:sz w:val="24"/>
          <w:szCs w:val="24"/>
        </w:rPr>
        <w:t xml:space="preserve"> and I could use them towards my professional development as a business manager. Along with this, I felt content with the course as it not only provided me with new skills for personal and professional </w:t>
      </w:r>
      <w:r>
        <w:rPr>
          <w:color w:val="000000"/>
          <w:sz w:val="24"/>
          <w:szCs w:val="24"/>
        </w:rPr>
        <w:lastRenderedPageBreak/>
        <w:t xml:space="preserve">development but also made provisions to nurture the skills I had already had. For instance, I was happy that the course focused on the development of communication skills. Since I had efficient communication skills, the course helped me to further those skills and use them regularly. The experience helped me to gain self-confidence and be decisive, which has helped me build my self-esteem and confidence. I was happy that the course helped me develop new skills, retain old ones and develop my personality to increase future growth opportunities and professional development opportunities as well. </w:t>
      </w:r>
    </w:p>
    <w:p w14:paraId="2C2AE213" w14:textId="77777777" w:rsidR="0069536A" w:rsidRDefault="00000000">
      <w:pPr>
        <w:pBdr>
          <w:top w:val="nil"/>
          <w:left w:val="nil"/>
          <w:bottom w:val="nil"/>
          <w:right w:val="nil"/>
          <w:between w:val="nil"/>
        </w:pBdr>
        <w:rPr>
          <w:b/>
          <w:color w:val="000000"/>
          <w:sz w:val="24"/>
          <w:szCs w:val="24"/>
        </w:rPr>
      </w:pPr>
      <w:r>
        <w:rPr>
          <w:b/>
          <w:color w:val="000000"/>
          <w:sz w:val="24"/>
          <w:szCs w:val="24"/>
        </w:rPr>
        <w:t xml:space="preserve">Analysis </w:t>
      </w:r>
    </w:p>
    <w:p w14:paraId="042FAC9A" w14:textId="77777777" w:rsidR="0069536A" w:rsidRDefault="00000000">
      <w:pPr>
        <w:pBdr>
          <w:top w:val="nil"/>
          <w:left w:val="nil"/>
          <w:bottom w:val="nil"/>
          <w:right w:val="nil"/>
          <w:between w:val="nil"/>
        </w:pBdr>
        <w:rPr>
          <w:color w:val="000000"/>
          <w:sz w:val="24"/>
          <w:szCs w:val="24"/>
        </w:rPr>
      </w:pPr>
      <w:r>
        <w:rPr>
          <w:color w:val="000000"/>
          <w:sz w:val="24"/>
          <w:szCs w:val="24"/>
        </w:rPr>
        <w:t xml:space="preserve">As part of the reflection, an analysis of the overall process and experience is essential. An analysis makes provisions for the individual to discuss the various aspects of the experience that were positive against those aspects that were negative or had certain shortcomings which could be rectified in the future (Li, 2021). Throughout this course, the experience was </w:t>
      </w:r>
      <w:proofErr w:type="gramStart"/>
      <w:r>
        <w:rPr>
          <w:color w:val="000000"/>
          <w:sz w:val="24"/>
          <w:szCs w:val="24"/>
        </w:rPr>
        <w:t>fairly positive</w:t>
      </w:r>
      <w:proofErr w:type="gramEnd"/>
      <w:r>
        <w:rPr>
          <w:color w:val="000000"/>
          <w:sz w:val="24"/>
          <w:szCs w:val="24"/>
        </w:rPr>
        <w:t xml:space="preserve"> and my analysis towards it as part of my reflection elucidated both the positive as well as negative aspects of the experience and course. The course that was conducted focused on business management and managerial activities that take place within the workplace. Amongst the strengths and positive aspects of the course, certain skills like critical thinking and effective decision-making were skills that are not only efficient in the process of education and learning but are also Transferable and therefore can improve professional development and increase future growth opportunities. Along with this, the skill of communication was given the highest presidency throughout the course which I believe is a positive outcome of the overall experience as it focuses on discussing the importance of communication and even made provisions to actively practice it. While I do believe that the course had inside full management information that can be used in different situations focusing on managerial activities and the overall capabilities of an individual to become a </w:t>
      </w:r>
      <w:proofErr w:type="gramStart"/>
      <w:r>
        <w:rPr>
          <w:color w:val="000000"/>
          <w:sz w:val="24"/>
          <w:szCs w:val="24"/>
        </w:rPr>
        <w:t>manager</w:t>
      </w:r>
      <w:proofErr w:type="gramEnd"/>
      <w:r>
        <w:rPr>
          <w:color w:val="000000"/>
          <w:sz w:val="24"/>
          <w:szCs w:val="24"/>
        </w:rPr>
        <w:t xml:space="preserve"> I do believe that there are certain areas of improvement. For </w:t>
      </w:r>
      <w:proofErr w:type="gramStart"/>
      <w:r>
        <w:rPr>
          <w:color w:val="000000"/>
          <w:sz w:val="24"/>
          <w:szCs w:val="24"/>
        </w:rPr>
        <w:t>instance,  while</w:t>
      </w:r>
      <w:proofErr w:type="gramEnd"/>
      <w:r>
        <w:rPr>
          <w:color w:val="000000"/>
          <w:sz w:val="24"/>
          <w:szCs w:val="24"/>
        </w:rPr>
        <w:t xml:space="preserve"> the course and the overall experience focus on discussing the various skills and requirements for an individual to take up a managerial position in business management and workplace development I do believe that the course and the overall experience could further be enhanced if provisions for specific managerial activities in specific industries were discussed. The overall discussions and skill </w:t>
      </w:r>
      <w:proofErr w:type="gramStart"/>
      <w:r>
        <w:rPr>
          <w:color w:val="000000"/>
          <w:sz w:val="24"/>
          <w:szCs w:val="24"/>
        </w:rPr>
        <w:t>sets</w:t>
      </w:r>
      <w:proofErr w:type="gramEnd"/>
      <w:r>
        <w:rPr>
          <w:color w:val="000000"/>
          <w:sz w:val="24"/>
          <w:szCs w:val="24"/>
        </w:rPr>
        <w:t xml:space="preserve"> that were focused on were generic and could be improved through discussion of specific management within specific industries. </w:t>
      </w:r>
    </w:p>
    <w:p w14:paraId="33FD3E2D" w14:textId="77777777" w:rsidR="0069536A" w:rsidRDefault="00000000">
      <w:pPr>
        <w:pBdr>
          <w:top w:val="nil"/>
          <w:left w:val="nil"/>
          <w:bottom w:val="nil"/>
          <w:right w:val="nil"/>
          <w:between w:val="nil"/>
        </w:pBdr>
        <w:rPr>
          <w:color w:val="000000"/>
          <w:sz w:val="24"/>
          <w:szCs w:val="24"/>
        </w:rPr>
      </w:pPr>
      <w:r>
        <w:rPr>
          <w:b/>
          <w:color w:val="000000"/>
          <w:sz w:val="24"/>
          <w:szCs w:val="24"/>
        </w:rPr>
        <w:lastRenderedPageBreak/>
        <w:t>Evaluation</w:t>
      </w:r>
    </w:p>
    <w:p w14:paraId="154720F6"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Through evaluating the overall resort structure and the almost every week of the students' materials, I have recognised that my overall learning practices of mine depend on the different strategic practices of business functions. Alongside, it is also developing the basic structure of business process enhancement through which my understanding of business approaches could be helpful to emphasising overall operational functions according to the recent business scenario of different organisations. Effective communication skill is one of the most essential sources that help to build social relationships and improve further interactional approaches of individuals to influence others with personal thoughts (Arnold and Boggs, 2019). During the report developing segment, I analysed that the basic working structure of the management system to improve my communication skill is one of the most effective areas depending on which I can be able to influence others with my own perspectives. Apart from that, financial skills or expertise develop an individual's ability to manage and plan their </w:t>
      </w:r>
      <w:proofErr w:type="spellStart"/>
      <w:r>
        <w:rPr>
          <w:color w:val="000000"/>
          <w:sz w:val="24"/>
          <w:szCs w:val="24"/>
        </w:rPr>
        <w:t>economical</w:t>
      </w:r>
      <w:proofErr w:type="spellEnd"/>
      <w:r>
        <w:rPr>
          <w:color w:val="000000"/>
          <w:sz w:val="24"/>
          <w:szCs w:val="24"/>
        </w:rPr>
        <w:t xml:space="preserve"> structure by which an overall business plan could be executed (Lusardi, 2019). During the report developing segment of the business process of McKinsey, I have also realised that improving my current financial skills for strengthening further business-related functions in the current operational area can also be improved. Apart from that, critical thinking is an integral part of decision-making depending on which basic understanding of individuals depending on their organisational situational needs can also be improved (</w:t>
      </w:r>
      <w:proofErr w:type="spellStart"/>
      <w:r>
        <w:rPr>
          <w:color w:val="000000"/>
          <w:sz w:val="24"/>
          <w:szCs w:val="24"/>
        </w:rPr>
        <w:t>Lukitasari</w:t>
      </w:r>
      <w:proofErr w:type="spellEnd"/>
      <w:r>
        <w:rPr>
          <w:color w:val="000000"/>
          <w:sz w:val="24"/>
          <w:szCs w:val="24"/>
        </w:rPr>
        <w:t xml:space="preserve"> et al., 2019). Throughout the organisational session, I have also realised that my effective critical thinking skill mine is one of the most effective practices that are helpful to improving further operational practices of a firm in future. </w:t>
      </w:r>
    </w:p>
    <w:p w14:paraId="64C84453" w14:textId="77777777" w:rsidR="0069536A" w:rsidRDefault="00000000">
      <w:pPr>
        <w:pBdr>
          <w:top w:val="nil"/>
          <w:left w:val="nil"/>
          <w:bottom w:val="nil"/>
          <w:right w:val="nil"/>
          <w:between w:val="nil"/>
        </w:pBdr>
        <w:rPr>
          <w:color w:val="000000"/>
          <w:sz w:val="24"/>
          <w:szCs w:val="24"/>
        </w:rPr>
      </w:pPr>
      <w:r>
        <w:rPr>
          <w:b/>
          <w:color w:val="000000"/>
          <w:sz w:val="24"/>
          <w:szCs w:val="24"/>
        </w:rPr>
        <w:t>Conclusion</w:t>
      </w:r>
    </w:p>
    <w:p w14:paraId="71F1FE83" w14:textId="77777777" w:rsidR="0069536A" w:rsidRDefault="00000000">
      <w:pPr>
        <w:pBdr>
          <w:top w:val="nil"/>
          <w:left w:val="nil"/>
          <w:bottom w:val="nil"/>
          <w:right w:val="nil"/>
          <w:between w:val="nil"/>
        </w:pBdr>
        <w:rPr>
          <w:b/>
          <w:color w:val="000000"/>
          <w:sz w:val="28"/>
          <w:szCs w:val="28"/>
        </w:rPr>
      </w:pPr>
      <w:r>
        <w:rPr>
          <w:color w:val="000000"/>
          <w:sz w:val="24"/>
          <w:szCs w:val="24"/>
        </w:rPr>
        <w:t xml:space="preserve">Developing individuals' ability to structure their career growth practices and developing their potential according to the further operational sources management practices has also been evaluated in the section. During my business management courses in the current operational environment of McKinsey, it has also been recognised that I have also improved my ability to analyse individuals' operational stages. Alongside, it is also effective in strengthening further critical thinking skills and other professional working expertise of mine that could be reliable to improving my career growth practices of mine in future. Apart from that, in the evaluation and analysis segment, the current strength and weakness area of mine which I required to improve have also been </w:t>
      </w:r>
      <w:r>
        <w:rPr>
          <w:color w:val="000000"/>
          <w:sz w:val="24"/>
          <w:szCs w:val="24"/>
        </w:rPr>
        <w:lastRenderedPageBreak/>
        <w:t xml:space="preserve">highlighted with the process of current business functions improvement. Depending on my current improvement requirement of mine, I have also initiated to development of a particular action plan from which further operation management practices to ensure future growth practices with proper operational structures. </w:t>
      </w:r>
    </w:p>
    <w:p w14:paraId="6BBDEA0A" w14:textId="77777777" w:rsidR="0069536A" w:rsidRDefault="00000000">
      <w:pPr>
        <w:pBdr>
          <w:top w:val="nil"/>
          <w:left w:val="nil"/>
          <w:bottom w:val="nil"/>
          <w:right w:val="nil"/>
          <w:between w:val="nil"/>
        </w:pBdr>
        <w:rPr>
          <w:b/>
          <w:color w:val="000000"/>
          <w:sz w:val="24"/>
          <w:szCs w:val="24"/>
        </w:rPr>
      </w:pPr>
      <w:r>
        <w:rPr>
          <w:b/>
          <w:color w:val="000000"/>
          <w:sz w:val="24"/>
          <w:szCs w:val="24"/>
        </w:rPr>
        <w:t xml:space="preserve">Action plan </w:t>
      </w:r>
    </w:p>
    <w:p w14:paraId="6FC8649C" w14:textId="77777777" w:rsidR="0069536A" w:rsidRDefault="00000000">
      <w:pPr>
        <w:pBdr>
          <w:top w:val="nil"/>
          <w:left w:val="nil"/>
          <w:bottom w:val="nil"/>
          <w:right w:val="nil"/>
          <w:between w:val="nil"/>
        </w:pBdr>
        <w:rPr>
          <w:color w:val="000000"/>
          <w:sz w:val="24"/>
          <w:szCs w:val="24"/>
        </w:rPr>
      </w:pPr>
      <w:r>
        <w:rPr>
          <w:color w:val="000000"/>
          <w:sz w:val="24"/>
          <w:szCs w:val="24"/>
        </w:rPr>
        <w:t>The reflection of an experience is said to be complete when provisions are made by the individual to use the experience and all that it has taught to within the formulation of a definite action plan for future use. By creating an action plan the individual makes provisions to use the experience and all that it had presented to work on the improvement and enhancement of future experiences both within the learning environment as well as in a professional setting (</w:t>
      </w:r>
      <w:proofErr w:type="spellStart"/>
      <w:r>
        <w:rPr>
          <w:color w:val="000000"/>
          <w:sz w:val="24"/>
          <w:szCs w:val="24"/>
        </w:rPr>
        <w:t>Lamanauskas</w:t>
      </w:r>
      <w:proofErr w:type="spellEnd"/>
      <w:r>
        <w:rPr>
          <w:color w:val="000000"/>
          <w:sz w:val="24"/>
          <w:szCs w:val="24"/>
        </w:rPr>
        <w:t xml:space="preserve">, 2017). From my experience, during the course, I learn that there are several skills that are required both in the educational environment as well as a professional setting. Skills such as critical thinking, effective decision-making time, performance and financial management along with effective communication are skills that I required during the learning process as well as in the future for my professional career development. Keeping this in mind, my action plan is to focus on working on my critical thinking and time management skills as </w:t>
      </w:r>
      <w:proofErr w:type="gramStart"/>
      <w:r>
        <w:rPr>
          <w:color w:val="000000"/>
          <w:sz w:val="24"/>
          <w:szCs w:val="24"/>
        </w:rPr>
        <w:t>those a</w:t>
      </w:r>
      <w:proofErr w:type="gramEnd"/>
      <w:r>
        <w:rPr>
          <w:color w:val="000000"/>
          <w:sz w:val="24"/>
          <w:szCs w:val="24"/>
        </w:rPr>
        <w:t xml:space="preserve"> skills that I am still developing and learning from. On the other hand, my Action Plan make provisions to continuously nurture my existing skills and work on the skills that I am yet to improve by continuously practising them regularly in daily activities. This will help me develop skills for my personal and professional growth and will allow me to improve further experiences both within my academic and professional journey.</w:t>
      </w:r>
    </w:p>
    <w:p w14:paraId="75C8B2EC" w14:textId="77777777" w:rsidR="0069536A" w:rsidRDefault="00000000">
      <w:pPr>
        <w:pStyle w:val="Heading2"/>
        <w:rPr>
          <w:rFonts w:ascii="Arial" w:hAnsi="Arial"/>
        </w:rPr>
      </w:pPr>
      <w:bookmarkStart w:id="14" w:name="_heading=h.dguv27u6ssn" w:colFirst="0" w:colLast="0"/>
      <w:bookmarkEnd w:id="14"/>
      <w:r>
        <w:rPr>
          <w:rFonts w:ascii="Arial" w:hAnsi="Arial"/>
        </w:rPr>
        <w:t>Conclusion</w:t>
      </w:r>
    </w:p>
    <w:p w14:paraId="2F850A7C" w14:textId="77777777" w:rsidR="0069536A" w:rsidRDefault="00000000">
      <w:pPr>
        <w:pBdr>
          <w:top w:val="nil"/>
          <w:left w:val="nil"/>
          <w:bottom w:val="nil"/>
          <w:right w:val="nil"/>
          <w:between w:val="nil"/>
        </w:pBdr>
        <w:rPr>
          <w:color w:val="000000"/>
          <w:sz w:val="24"/>
          <w:szCs w:val="24"/>
        </w:rPr>
      </w:pPr>
      <w:r>
        <w:rPr>
          <w:color w:val="000000"/>
          <w:sz w:val="24"/>
          <w:szCs w:val="24"/>
        </w:rPr>
        <w:t xml:space="preserve">The overall part has demonstrated a reflective statement depending on the overall academic experiences of an individual during their educational courses. Alongside this, the process of workplace management and current functional practices of McKinsey has also been highlighted in the study to determine the current operational practices of individuals in a better way. In addition, an action plan has also been evaluated critically in part by internal and external operational practices of individuals to ensure their further professional practices in the current environment. Conclusively, it can be stated that recommended strategic plans are effective for that individuals to </w:t>
      </w:r>
      <w:r>
        <w:rPr>
          <w:color w:val="000000"/>
          <w:sz w:val="24"/>
          <w:szCs w:val="24"/>
        </w:rPr>
        <w:lastRenderedPageBreak/>
        <w:t xml:space="preserve">emphasise their further career progress practices in the current operational environment. </w:t>
      </w:r>
    </w:p>
    <w:p w14:paraId="1DF00F8A" w14:textId="77777777" w:rsidR="0069536A" w:rsidRDefault="00000000">
      <w:pPr>
        <w:spacing w:line="276" w:lineRule="auto"/>
        <w:jc w:val="left"/>
        <w:rPr>
          <w:b/>
          <w:color w:val="000000"/>
          <w:sz w:val="28"/>
          <w:szCs w:val="28"/>
        </w:rPr>
      </w:pPr>
      <w:r>
        <w:br w:type="page"/>
      </w:r>
    </w:p>
    <w:p w14:paraId="1D90E878" w14:textId="77777777" w:rsidR="0069536A" w:rsidRDefault="00000000">
      <w:pPr>
        <w:pStyle w:val="Heading1"/>
        <w:rPr>
          <w:rFonts w:ascii="Arial" w:hAnsi="Arial"/>
        </w:rPr>
      </w:pPr>
      <w:bookmarkStart w:id="15" w:name="_heading=h.44sinio" w:colFirst="0" w:colLast="0"/>
      <w:bookmarkEnd w:id="15"/>
      <w:r>
        <w:rPr>
          <w:rFonts w:ascii="Arial" w:hAnsi="Arial"/>
        </w:rPr>
        <w:lastRenderedPageBreak/>
        <w:t xml:space="preserve">References </w:t>
      </w:r>
    </w:p>
    <w:p w14:paraId="5B32F412"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Arnold, E.C. and Boggs, K.U., 2019. </w:t>
      </w:r>
      <w:r>
        <w:rPr>
          <w:i/>
          <w:color w:val="222222"/>
          <w:sz w:val="24"/>
          <w:szCs w:val="24"/>
          <w:highlight w:val="white"/>
        </w:rPr>
        <w:t>Interpersonal relationships e-book: professional communication skills for nurses</w:t>
      </w:r>
      <w:r>
        <w:rPr>
          <w:color w:val="222222"/>
          <w:sz w:val="24"/>
          <w:szCs w:val="24"/>
          <w:highlight w:val="white"/>
        </w:rPr>
        <w:t>. Elsevier Health Sciences.</w:t>
      </w:r>
    </w:p>
    <w:p w14:paraId="4CCA4462"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Bishu</w:t>
      </w:r>
      <w:proofErr w:type="spellEnd"/>
      <w:r>
        <w:rPr>
          <w:color w:val="222222"/>
          <w:sz w:val="24"/>
          <w:szCs w:val="24"/>
          <w:highlight w:val="white"/>
        </w:rPr>
        <w:t xml:space="preserve">, S.G. and Kennedy, A.R., 2020. Trends and gaps: A meta-review of representative bureaucracy. </w:t>
      </w:r>
      <w:r>
        <w:rPr>
          <w:i/>
          <w:color w:val="222222"/>
          <w:sz w:val="24"/>
          <w:szCs w:val="24"/>
          <w:highlight w:val="white"/>
        </w:rPr>
        <w:t>Review of Public Personnel Administration</w:t>
      </w:r>
      <w:r>
        <w:rPr>
          <w:color w:val="222222"/>
          <w:sz w:val="24"/>
          <w:szCs w:val="24"/>
          <w:highlight w:val="white"/>
        </w:rPr>
        <w:t xml:space="preserve">, </w:t>
      </w:r>
      <w:r>
        <w:rPr>
          <w:i/>
          <w:color w:val="222222"/>
          <w:sz w:val="24"/>
          <w:szCs w:val="24"/>
          <w:highlight w:val="white"/>
        </w:rPr>
        <w:t>40</w:t>
      </w:r>
      <w:r>
        <w:rPr>
          <w:color w:val="222222"/>
          <w:sz w:val="24"/>
          <w:szCs w:val="24"/>
          <w:highlight w:val="white"/>
        </w:rPr>
        <w:t>(4), pp.559-588.</w:t>
      </w:r>
    </w:p>
    <w:p w14:paraId="06AE4862"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Consultancy, 2020. </w:t>
      </w:r>
      <w:r>
        <w:rPr>
          <w:i/>
          <w:color w:val="222222"/>
          <w:sz w:val="24"/>
          <w:szCs w:val="24"/>
          <w:highlight w:val="white"/>
        </w:rPr>
        <w:t xml:space="preserve">The top 60 leading UK management consulting firms. </w:t>
      </w:r>
      <w:r>
        <w:rPr>
          <w:color w:val="222222"/>
          <w:sz w:val="24"/>
          <w:szCs w:val="24"/>
          <w:highlight w:val="white"/>
        </w:rPr>
        <w:t>[Online] Available at:&lt;https://www.consultancy.uk/news/23574/the-uks-60-leading-management-consulting-firms#:~:text=KPMG%2C%20Deloitte%2C%20Accenture%2C%20PwC,of%20over%201%2C400%20consulting%20firms</w:t>
      </w:r>
      <w:proofErr w:type="gramStart"/>
      <w:r>
        <w:rPr>
          <w:color w:val="222222"/>
          <w:sz w:val="24"/>
          <w:szCs w:val="24"/>
          <w:highlight w:val="white"/>
        </w:rPr>
        <w:t>&gt;[</w:t>
      </w:r>
      <w:proofErr w:type="gramEnd"/>
      <w:r>
        <w:rPr>
          <w:color w:val="222222"/>
          <w:sz w:val="24"/>
          <w:szCs w:val="24"/>
          <w:highlight w:val="white"/>
        </w:rPr>
        <w:t>Accessed 17th November, 2022]</w:t>
      </w:r>
    </w:p>
    <w:p w14:paraId="671B96D7"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Cunha, M.P.E., Fortes, A., Gomes, E., Rego, A. and Rodrigues, F., 2019. Ambidextrous leadership, paradox and contingency: evidence from Angola. </w:t>
      </w:r>
      <w:r>
        <w:rPr>
          <w:i/>
          <w:color w:val="222222"/>
          <w:sz w:val="24"/>
          <w:szCs w:val="24"/>
          <w:highlight w:val="white"/>
        </w:rPr>
        <w:t>The International Journal of Human Resource Management</w:t>
      </w:r>
      <w:r>
        <w:rPr>
          <w:color w:val="222222"/>
          <w:sz w:val="24"/>
          <w:szCs w:val="24"/>
          <w:highlight w:val="white"/>
        </w:rPr>
        <w:t xml:space="preserve">, </w:t>
      </w:r>
      <w:r>
        <w:rPr>
          <w:i/>
          <w:color w:val="222222"/>
          <w:sz w:val="24"/>
          <w:szCs w:val="24"/>
          <w:highlight w:val="white"/>
        </w:rPr>
        <w:t>30</w:t>
      </w:r>
      <w:r>
        <w:rPr>
          <w:color w:val="222222"/>
          <w:sz w:val="24"/>
          <w:szCs w:val="24"/>
          <w:highlight w:val="white"/>
        </w:rPr>
        <w:t>(4), pp.702-727.</w:t>
      </w:r>
    </w:p>
    <w:p w14:paraId="28769BA3"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Farahani, F.V., </w:t>
      </w:r>
      <w:proofErr w:type="spellStart"/>
      <w:r>
        <w:rPr>
          <w:color w:val="222222"/>
          <w:sz w:val="24"/>
          <w:szCs w:val="24"/>
          <w:highlight w:val="white"/>
        </w:rPr>
        <w:t>Karwowski</w:t>
      </w:r>
      <w:proofErr w:type="spellEnd"/>
      <w:r>
        <w:rPr>
          <w:color w:val="222222"/>
          <w:sz w:val="24"/>
          <w:szCs w:val="24"/>
          <w:highlight w:val="white"/>
        </w:rPr>
        <w:t xml:space="preserve">, W. and </w:t>
      </w:r>
      <w:proofErr w:type="spellStart"/>
      <w:r>
        <w:rPr>
          <w:color w:val="222222"/>
          <w:sz w:val="24"/>
          <w:szCs w:val="24"/>
          <w:highlight w:val="white"/>
        </w:rPr>
        <w:t>Lighthall</w:t>
      </w:r>
      <w:proofErr w:type="spellEnd"/>
      <w:r>
        <w:rPr>
          <w:color w:val="222222"/>
          <w:sz w:val="24"/>
          <w:szCs w:val="24"/>
          <w:highlight w:val="white"/>
        </w:rPr>
        <w:t xml:space="preserve">, N.R., 2019. Application of graph theory for identifying connectivity patterns in human brain networks: a systematic review. </w:t>
      </w:r>
      <w:r>
        <w:rPr>
          <w:i/>
          <w:color w:val="222222"/>
          <w:sz w:val="24"/>
          <w:szCs w:val="24"/>
          <w:highlight w:val="white"/>
        </w:rPr>
        <w:t>frontiers in Neuroscience</w:t>
      </w:r>
      <w:r>
        <w:rPr>
          <w:color w:val="222222"/>
          <w:sz w:val="24"/>
          <w:szCs w:val="24"/>
          <w:highlight w:val="white"/>
        </w:rPr>
        <w:t xml:space="preserve">, </w:t>
      </w:r>
      <w:r>
        <w:rPr>
          <w:i/>
          <w:color w:val="222222"/>
          <w:sz w:val="24"/>
          <w:szCs w:val="24"/>
          <w:highlight w:val="white"/>
        </w:rPr>
        <w:t>13</w:t>
      </w:r>
      <w:r>
        <w:rPr>
          <w:color w:val="222222"/>
          <w:sz w:val="24"/>
          <w:szCs w:val="24"/>
          <w:highlight w:val="white"/>
        </w:rPr>
        <w:t>, p.585.</w:t>
      </w:r>
    </w:p>
    <w:p w14:paraId="693D7469"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Forbes, 2022. </w:t>
      </w:r>
      <w:r>
        <w:rPr>
          <w:i/>
          <w:color w:val="222222"/>
          <w:sz w:val="24"/>
          <w:szCs w:val="24"/>
          <w:highlight w:val="white"/>
        </w:rPr>
        <w:t>McKinsey &amp; Company.</w:t>
      </w:r>
      <w:r>
        <w:rPr>
          <w:color w:val="222222"/>
          <w:sz w:val="24"/>
          <w:szCs w:val="24"/>
          <w:highlight w:val="white"/>
        </w:rPr>
        <w:t xml:space="preserve"> [Online] Available at:&lt;https://www.forbes.com/companies/mckinsey-company/?sh=6f6cf86f24c1</w:t>
      </w:r>
      <w:proofErr w:type="gramStart"/>
      <w:r>
        <w:rPr>
          <w:color w:val="222222"/>
          <w:sz w:val="24"/>
          <w:szCs w:val="24"/>
          <w:highlight w:val="white"/>
        </w:rPr>
        <w:t>&gt;[</w:t>
      </w:r>
      <w:proofErr w:type="gramEnd"/>
      <w:r>
        <w:rPr>
          <w:color w:val="222222"/>
          <w:sz w:val="24"/>
          <w:szCs w:val="24"/>
          <w:highlight w:val="white"/>
        </w:rPr>
        <w:t>Accessed 17th November, 2022]</w:t>
      </w:r>
    </w:p>
    <w:p w14:paraId="75A7C2D2"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Guntrip</w:t>
      </w:r>
      <w:proofErr w:type="spellEnd"/>
      <w:r>
        <w:rPr>
          <w:color w:val="222222"/>
          <w:sz w:val="24"/>
          <w:szCs w:val="24"/>
          <w:highlight w:val="white"/>
        </w:rPr>
        <w:t xml:space="preserve">, H.Y., 2018. </w:t>
      </w:r>
      <w:r>
        <w:rPr>
          <w:i/>
          <w:color w:val="222222"/>
          <w:sz w:val="24"/>
          <w:szCs w:val="24"/>
          <w:highlight w:val="white"/>
        </w:rPr>
        <w:t>Personality structure and human interaction: The developing synthesis of psychodynamic theory</w:t>
      </w:r>
      <w:r>
        <w:rPr>
          <w:color w:val="222222"/>
          <w:sz w:val="24"/>
          <w:szCs w:val="24"/>
          <w:highlight w:val="white"/>
        </w:rPr>
        <w:t>. Routledge.</w:t>
      </w:r>
    </w:p>
    <w:p w14:paraId="3FE9FAF5"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Hadi</w:t>
      </w:r>
      <w:proofErr w:type="spellEnd"/>
      <w:r>
        <w:rPr>
          <w:color w:val="222222"/>
          <w:sz w:val="24"/>
          <w:szCs w:val="24"/>
          <w:highlight w:val="white"/>
        </w:rPr>
        <w:t xml:space="preserve">, N.U. and Ahmed, S., 2018. Role of employer branding dimensions on employee retention: Evidence from educational sector. </w:t>
      </w:r>
      <w:r>
        <w:rPr>
          <w:i/>
          <w:color w:val="222222"/>
          <w:sz w:val="24"/>
          <w:szCs w:val="24"/>
          <w:highlight w:val="white"/>
        </w:rPr>
        <w:t>Administrative sciences</w:t>
      </w:r>
      <w:r>
        <w:rPr>
          <w:color w:val="222222"/>
          <w:sz w:val="24"/>
          <w:szCs w:val="24"/>
          <w:highlight w:val="white"/>
        </w:rPr>
        <w:t xml:space="preserve">, </w:t>
      </w:r>
      <w:r>
        <w:rPr>
          <w:i/>
          <w:color w:val="222222"/>
          <w:sz w:val="24"/>
          <w:szCs w:val="24"/>
          <w:highlight w:val="white"/>
        </w:rPr>
        <w:t>8</w:t>
      </w:r>
      <w:r>
        <w:rPr>
          <w:color w:val="222222"/>
          <w:sz w:val="24"/>
          <w:szCs w:val="24"/>
          <w:highlight w:val="white"/>
        </w:rPr>
        <w:t>(3), p.44.</w:t>
      </w:r>
    </w:p>
    <w:p w14:paraId="0E4D6ED6"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Heydarian</w:t>
      </w:r>
      <w:proofErr w:type="spellEnd"/>
      <w:r>
        <w:rPr>
          <w:color w:val="222222"/>
          <w:sz w:val="24"/>
          <w:szCs w:val="24"/>
          <w:highlight w:val="white"/>
        </w:rPr>
        <w:t xml:space="preserve">, A., </w:t>
      </w:r>
      <w:proofErr w:type="spellStart"/>
      <w:r>
        <w:rPr>
          <w:color w:val="222222"/>
          <w:sz w:val="24"/>
          <w:szCs w:val="24"/>
          <w:highlight w:val="white"/>
        </w:rPr>
        <w:t>McIlvennie</w:t>
      </w:r>
      <w:proofErr w:type="spellEnd"/>
      <w:r>
        <w:rPr>
          <w:color w:val="222222"/>
          <w:sz w:val="24"/>
          <w:szCs w:val="24"/>
          <w:highlight w:val="white"/>
        </w:rPr>
        <w:t xml:space="preserve">, C., Arpan, L., </w:t>
      </w:r>
      <w:proofErr w:type="spellStart"/>
      <w:r>
        <w:rPr>
          <w:color w:val="222222"/>
          <w:sz w:val="24"/>
          <w:szCs w:val="24"/>
          <w:highlight w:val="white"/>
        </w:rPr>
        <w:t>Yousefi</w:t>
      </w:r>
      <w:proofErr w:type="spellEnd"/>
      <w:r>
        <w:rPr>
          <w:color w:val="222222"/>
          <w:sz w:val="24"/>
          <w:szCs w:val="24"/>
          <w:highlight w:val="white"/>
        </w:rPr>
        <w:t xml:space="preserve">, S., </w:t>
      </w:r>
      <w:proofErr w:type="spellStart"/>
      <w:r>
        <w:rPr>
          <w:color w:val="222222"/>
          <w:sz w:val="24"/>
          <w:szCs w:val="24"/>
          <w:highlight w:val="white"/>
        </w:rPr>
        <w:t>Syndicus</w:t>
      </w:r>
      <w:proofErr w:type="spellEnd"/>
      <w:r>
        <w:rPr>
          <w:color w:val="222222"/>
          <w:sz w:val="24"/>
          <w:szCs w:val="24"/>
          <w:highlight w:val="white"/>
        </w:rPr>
        <w:t xml:space="preserve">, M., </w:t>
      </w:r>
      <w:proofErr w:type="spellStart"/>
      <w:r>
        <w:rPr>
          <w:color w:val="222222"/>
          <w:sz w:val="24"/>
          <w:szCs w:val="24"/>
          <w:highlight w:val="white"/>
        </w:rPr>
        <w:t>Schweiker</w:t>
      </w:r>
      <w:proofErr w:type="spellEnd"/>
      <w:r>
        <w:rPr>
          <w:color w:val="222222"/>
          <w:sz w:val="24"/>
          <w:szCs w:val="24"/>
          <w:highlight w:val="white"/>
        </w:rPr>
        <w:t xml:space="preserve">, M., </w:t>
      </w:r>
      <w:proofErr w:type="spellStart"/>
      <w:r>
        <w:rPr>
          <w:color w:val="222222"/>
          <w:sz w:val="24"/>
          <w:szCs w:val="24"/>
          <w:highlight w:val="white"/>
        </w:rPr>
        <w:t>Jazizadeh</w:t>
      </w:r>
      <w:proofErr w:type="spellEnd"/>
      <w:r>
        <w:rPr>
          <w:color w:val="222222"/>
          <w:sz w:val="24"/>
          <w:szCs w:val="24"/>
          <w:highlight w:val="white"/>
        </w:rPr>
        <w:t xml:space="preserve">, F., </w:t>
      </w:r>
      <w:proofErr w:type="spellStart"/>
      <w:r>
        <w:rPr>
          <w:color w:val="222222"/>
          <w:sz w:val="24"/>
          <w:szCs w:val="24"/>
          <w:highlight w:val="white"/>
        </w:rPr>
        <w:t>Rissetto</w:t>
      </w:r>
      <w:proofErr w:type="spellEnd"/>
      <w:r>
        <w:rPr>
          <w:color w:val="222222"/>
          <w:sz w:val="24"/>
          <w:szCs w:val="24"/>
          <w:highlight w:val="white"/>
        </w:rPr>
        <w:t xml:space="preserve">, R., </w:t>
      </w:r>
      <w:proofErr w:type="spellStart"/>
      <w:r>
        <w:rPr>
          <w:color w:val="222222"/>
          <w:sz w:val="24"/>
          <w:szCs w:val="24"/>
          <w:highlight w:val="white"/>
        </w:rPr>
        <w:t>Pisello</w:t>
      </w:r>
      <w:proofErr w:type="spellEnd"/>
      <w:r>
        <w:rPr>
          <w:color w:val="222222"/>
          <w:sz w:val="24"/>
          <w:szCs w:val="24"/>
          <w:highlight w:val="white"/>
        </w:rPr>
        <w:t xml:space="preserve">, A.L., </w:t>
      </w:r>
      <w:proofErr w:type="spellStart"/>
      <w:r>
        <w:rPr>
          <w:color w:val="222222"/>
          <w:sz w:val="24"/>
          <w:szCs w:val="24"/>
          <w:highlight w:val="white"/>
        </w:rPr>
        <w:t>Piselli</w:t>
      </w:r>
      <w:proofErr w:type="spellEnd"/>
      <w:r>
        <w:rPr>
          <w:color w:val="222222"/>
          <w:sz w:val="24"/>
          <w:szCs w:val="24"/>
          <w:highlight w:val="white"/>
        </w:rPr>
        <w:t xml:space="preserve">, C. and Berger, C., 2020. What drives our </w:t>
      </w:r>
      <w:proofErr w:type="spellStart"/>
      <w:r>
        <w:rPr>
          <w:color w:val="222222"/>
          <w:sz w:val="24"/>
          <w:szCs w:val="24"/>
          <w:highlight w:val="white"/>
        </w:rPr>
        <w:t>behaviors</w:t>
      </w:r>
      <w:proofErr w:type="spellEnd"/>
      <w:r>
        <w:rPr>
          <w:color w:val="222222"/>
          <w:sz w:val="24"/>
          <w:szCs w:val="24"/>
          <w:highlight w:val="white"/>
        </w:rPr>
        <w:t xml:space="preserve"> in buildings? A review on occupant interactions with building systems from the lens of </w:t>
      </w:r>
      <w:proofErr w:type="spellStart"/>
      <w:r>
        <w:rPr>
          <w:color w:val="222222"/>
          <w:sz w:val="24"/>
          <w:szCs w:val="24"/>
          <w:highlight w:val="white"/>
        </w:rPr>
        <w:t>behavioral</w:t>
      </w:r>
      <w:proofErr w:type="spellEnd"/>
      <w:r>
        <w:rPr>
          <w:color w:val="222222"/>
          <w:sz w:val="24"/>
          <w:szCs w:val="24"/>
          <w:highlight w:val="white"/>
        </w:rPr>
        <w:t xml:space="preserve"> theories. </w:t>
      </w:r>
      <w:r>
        <w:rPr>
          <w:i/>
          <w:color w:val="222222"/>
          <w:sz w:val="24"/>
          <w:szCs w:val="24"/>
          <w:highlight w:val="white"/>
        </w:rPr>
        <w:t>Building and Environment</w:t>
      </w:r>
      <w:r>
        <w:rPr>
          <w:color w:val="222222"/>
          <w:sz w:val="24"/>
          <w:szCs w:val="24"/>
          <w:highlight w:val="white"/>
        </w:rPr>
        <w:t xml:space="preserve">, </w:t>
      </w:r>
      <w:r>
        <w:rPr>
          <w:i/>
          <w:color w:val="222222"/>
          <w:sz w:val="24"/>
          <w:szCs w:val="24"/>
          <w:highlight w:val="white"/>
        </w:rPr>
        <w:t>179</w:t>
      </w:r>
      <w:r>
        <w:rPr>
          <w:color w:val="222222"/>
          <w:sz w:val="24"/>
          <w:szCs w:val="24"/>
          <w:highlight w:val="white"/>
        </w:rPr>
        <w:t>, p.106928.</w:t>
      </w:r>
    </w:p>
    <w:p w14:paraId="4BA1B573"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lastRenderedPageBreak/>
        <w:t>Huang, F., Teo, T., Sánchez-Prieto, J.C., García-</w:t>
      </w:r>
      <w:proofErr w:type="spellStart"/>
      <w:r>
        <w:rPr>
          <w:color w:val="222222"/>
          <w:sz w:val="24"/>
          <w:szCs w:val="24"/>
          <w:highlight w:val="white"/>
        </w:rPr>
        <w:t>Peñalvo</w:t>
      </w:r>
      <w:proofErr w:type="spellEnd"/>
      <w:r>
        <w:rPr>
          <w:color w:val="222222"/>
          <w:sz w:val="24"/>
          <w:szCs w:val="24"/>
          <w:highlight w:val="white"/>
        </w:rPr>
        <w:t>, F.J. and Olmos-</w:t>
      </w:r>
      <w:proofErr w:type="spellStart"/>
      <w:r>
        <w:rPr>
          <w:color w:val="222222"/>
          <w:sz w:val="24"/>
          <w:szCs w:val="24"/>
          <w:highlight w:val="white"/>
        </w:rPr>
        <w:t>Migueláñez</w:t>
      </w:r>
      <w:proofErr w:type="spellEnd"/>
      <w:r>
        <w:rPr>
          <w:color w:val="222222"/>
          <w:sz w:val="24"/>
          <w:szCs w:val="24"/>
          <w:highlight w:val="white"/>
        </w:rPr>
        <w:t xml:space="preserve">, S., 2019. Cultural values and technology adoption: A model comparison with university teachers from China and Spain. </w:t>
      </w:r>
      <w:r>
        <w:rPr>
          <w:i/>
          <w:color w:val="222222"/>
          <w:sz w:val="24"/>
          <w:szCs w:val="24"/>
          <w:highlight w:val="white"/>
        </w:rPr>
        <w:t>Computers &amp; Education</w:t>
      </w:r>
      <w:r>
        <w:rPr>
          <w:color w:val="222222"/>
          <w:sz w:val="24"/>
          <w:szCs w:val="24"/>
          <w:highlight w:val="white"/>
        </w:rPr>
        <w:t xml:space="preserve">, </w:t>
      </w:r>
      <w:r>
        <w:rPr>
          <w:i/>
          <w:color w:val="222222"/>
          <w:sz w:val="24"/>
          <w:szCs w:val="24"/>
          <w:highlight w:val="white"/>
        </w:rPr>
        <w:t>133</w:t>
      </w:r>
      <w:r>
        <w:rPr>
          <w:color w:val="222222"/>
          <w:sz w:val="24"/>
          <w:szCs w:val="24"/>
          <w:highlight w:val="white"/>
        </w:rPr>
        <w:t>, pp.69-81.</w:t>
      </w:r>
    </w:p>
    <w:p w14:paraId="15BACEFA"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Hutchison, E.D., 2018. </w:t>
      </w:r>
      <w:r>
        <w:rPr>
          <w:i/>
          <w:color w:val="222222"/>
          <w:sz w:val="24"/>
          <w:szCs w:val="24"/>
          <w:highlight w:val="white"/>
        </w:rPr>
        <w:t xml:space="preserve">Dimensions of human </w:t>
      </w:r>
      <w:proofErr w:type="spellStart"/>
      <w:r>
        <w:rPr>
          <w:i/>
          <w:color w:val="222222"/>
          <w:sz w:val="24"/>
          <w:szCs w:val="24"/>
          <w:highlight w:val="white"/>
        </w:rPr>
        <w:t>behavior</w:t>
      </w:r>
      <w:proofErr w:type="spellEnd"/>
      <w:r>
        <w:rPr>
          <w:i/>
          <w:color w:val="222222"/>
          <w:sz w:val="24"/>
          <w:szCs w:val="24"/>
          <w:highlight w:val="white"/>
        </w:rPr>
        <w:t>: Person and environment</w:t>
      </w:r>
      <w:r>
        <w:rPr>
          <w:color w:val="222222"/>
          <w:sz w:val="24"/>
          <w:szCs w:val="24"/>
          <w:highlight w:val="white"/>
        </w:rPr>
        <w:t>. Sage Publications.</w:t>
      </w:r>
    </w:p>
    <w:p w14:paraId="3AA30A43"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Ives, C.D. and Kidwell, J., 2019. Religion and social values for sustainability. </w:t>
      </w:r>
      <w:r>
        <w:rPr>
          <w:i/>
          <w:color w:val="222222"/>
          <w:sz w:val="24"/>
          <w:szCs w:val="24"/>
          <w:highlight w:val="white"/>
        </w:rPr>
        <w:t>Sustainability Science</w:t>
      </w:r>
      <w:r>
        <w:rPr>
          <w:color w:val="222222"/>
          <w:sz w:val="24"/>
          <w:szCs w:val="24"/>
          <w:highlight w:val="white"/>
        </w:rPr>
        <w:t xml:space="preserve">, </w:t>
      </w:r>
      <w:r>
        <w:rPr>
          <w:i/>
          <w:color w:val="222222"/>
          <w:sz w:val="24"/>
          <w:szCs w:val="24"/>
          <w:highlight w:val="white"/>
        </w:rPr>
        <w:t>14</w:t>
      </w:r>
      <w:r>
        <w:rPr>
          <w:color w:val="222222"/>
          <w:sz w:val="24"/>
          <w:szCs w:val="24"/>
          <w:highlight w:val="white"/>
        </w:rPr>
        <w:t>(5), pp.1355-1362.</w:t>
      </w:r>
    </w:p>
    <w:p w14:paraId="1BCD8415"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Jamshidi</w:t>
      </w:r>
      <w:proofErr w:type="spellEnd"/>
      <w:r>
        <w:rPr>
          <w:color w:val="222222"/>
          <w:sz w:val="24"/>
          <w:szCs w:val="24"/>
          <w:highlight w:val="white"/>
        </w:rPr>
        <w:t xml:space="preserve">, A., Pelletier, J.P. and Martel-Pelletier, J., 2019. Machine-learning-based patient-specific prediction models for knee osteoarthritis. </w:t>
      </w:r>
      <w:r>
        <w:rPr>
          <w:i/>
          <w:color w:val="222222"/>
          <w:sz w:val="24"/>
          <w:szCs w:val="24"/>
          <w:highlight w:val="white"/>
        </w:rPr>
        <w:t>Nature Reviews Rheumatology</w:t>
      </w:r>
      <w:r>
        <w:rPr>
          <w:color w:val="222222"/>
          <w:sz w:val="24"/>
          <w:szCs w:val="24"/>
          <w:highlight w:val="white"/>
        </w:rPr>
        <w:t xml:space="preserve">, </w:t>
      </w:r>
      <w:r>
        <w:rPr>
          <w:i/>
          <w:color w:val="222222"/>
          <w:sz w:val="24"/>
          <w:szCs w:val="24"/>
          <w:highlight w:val="white"/>
        </w:rPr>
        <w:t>15</w:t>
      </w:r>
      <w:r>
        <w:rPr>
          <w:color w:val="222222"/>
          <w:sz w:val="24"/>
          <w:szCs w:val="24"/>
          <w:highlight w:val="white"/>
        </w:rPr>
        <w:t>(1), pp.49-60.</w:t>
      </w:r>
    </w:p>
    <w:p w14:paraId="3650E801"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Jayachandran, S., 2021. Social norms as a barrier to women’s employment in developing countries. </w:t>
      </w:r>
      <w:r>
        <w:rPr>
          <w:i/>
          <w:color w:val="222222"/>
          <w:sz w:val="24"/>
          <w:szCs w:val="24"/>
          <w:highlight w:val="white"/>
        </w:rPr>
        <w:t>IMF Economic Review</w:t>
      </w:r>
      <w:r>
        <w:rPr>
          <w:color w:val="222222"/>
          <w:sz w:val="24"/>
          <w:szCs w:val="24"/>
          <w:highlight w:val="white"/>
        </w:rPr>
        <w:t xml:space="preserve">, </w:t>
      </w:r>
      <w:r>
        <w:rPr>
          <w:i/>
          <w:color w:val="222222"/>
          <w:sz w:val="24"/>
          <w:szCs w:val="24"/>
          <w:highlight w:val="white"/>
        </w:rPr>
        <w:t>69</w:t>
      </w:r>
      <w:r>
        <w:rPr>
          <w:color w:val="222222"/>
          <w:sz w:val="24"/>
          <w:szCs w:val="24"/>
          <w:highlight w:val="white"/>
        </w:rPr>
        <w:t>(3), pp.576-595.</w:t>
      </w:r>
    </w:p>
    <w:p w14:paraId="58E1480D"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King, K.A. and </w:t>
      </w:r>
      <w:proofErr w:type="spellStart"/>
      <w:r>
        <w:rPr>
          <w:color w:val="222222"/>
          <w:sz w:val="24"/>
          <w:szCs w:val="24"/>
          <w:highlight w:val="white"/>
        </w:rPr>
        <w:t>Vaiman</w:t>
      </w:r>
      <w:proofErr w:type="spellEnd"/>
      <w:r>
        <w:rPr>
          <w:color w:val="222222"/>
          <w:sz w:val="24"/>
          <w:szCs w:val="24"/>
          <w:highlight w:val="white"/>
        </w:rPr>
        <w:t xml:space="preserve">, V., 2019. Enabling effective talent management through a macro-contingent approach: A framework for research and practice. </w:t>
      </w:r>
      <w:r>
        <w:rPr>
          <w:i/>
          <w:color w:val="222222"/>
          <w:sz w:val="24"/>
          <w:szCs w:val="24"/>
          <w:highlight w:val="white"/>
        </w:rPr>
        <w:t>BRQ Business Research Quarterly</w:t>
      </w:r>
      <w:r>
        <w:rPr>
          <w:color w:val="222222"/>
          <w:sz w:val="24"/>
          <w:szCs w:val="24"/>
          <w:highlight w:val="white"/>
        </w:rPr>
        <w:t xml:space="preserve">, </w:t>
      </w:r>
      <w:r>
        <w:rPr>
          <w:i/>
          <w:color w:val="222222"/>
          <w:sz w:val="24"/>
          <w:szCs w:val="24"/>
          <w:highlight w:val="white"/>
        </w:rPr>
        <w:t>22</w:t>
      </w:r>
      <w:r>
        <w:rPr>
          <w:color w:val="222222"/>
          <w:sz w:val="24"/>
          <w:szCs w:val="24"/>
          <w:highlight w:val="white"/>
        </w:rPr>
        <w:t>(3), pp.194-206.</w:t>
      </w:r>
    </w:p>
    <w:p w14:paraId="559604D2"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Lamanauskas</w:t>
      </w:r>
      <w:proofErr w:type="spellEnd"/>
      <w:r>
        <w:rPr>
          <w:color w:val="222222"/>
          <w:sz w:val="24"/>
          <w:szCs w:val="24"/>
          <w:highlight w:val="white"/>
        </w:rPr>
        <w:t xml:space="preserve">, V. (2017). </w:t>
      </w:r>
      <w:r>
        <w:rPr>
          <w:i/>
          <w:color w:val="222222"/>
          <w:sz w:val="24"/>
          <w:szCs w:val="24"/>
          <w:highlight w:val="white"/>
        </w:rPr>
        <w:t>Reflections on education</w:t>
      </w:r>
      <w:r>
        <w:rPr>
          <w:color w:val="222222"/>
          <w:sz w:val="24"/>
          <w:szCs w:val="24"/>
          <w:highlight w:val="white"/>
        </w:rPr>
        <w:t xml:space="preserve">. Scientia </w:t>
      </w:r>
      <w:proofErr w:type="spellStart"/>
      <w:r>
        <w:rPr>
          <w:color w:val="222222"/>
          <w:sz w:val="24"/>
          <w:szCs w:val="24"/>
          <w:highlight w:val="white"/>
        </w:rPr>
        <w:t>Socialis</w:t>
      </w:r>
      <w:proofErr w:type="spellEnd"/>
      <w:r>
        <w:rPr>
          <w:color w:val="222222"/>
          <w:sz w:val="24"/>
          <w:szCs w:val="24"/>
          <w:highlight w:val="white"/>
        </w:rPr>
        <w:t xml:space="preserve"> Press.</w:t>
      </w:r>
    </w:p>
    <w:p w14:paraId="7743CDEB"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Latapí</w:t>
      </w:r>
      <w:proofErr w:type="spellEnd"/>
      <w:r>
        <w:rPr>
          <w:color w:val="222222"/>
          <w:sz w:val="24"/>
          <w:szCs w:val="24"/>
          <w:highlight w:val="white"/>
        </w:rPr>
        <w:t xml:space="preserve"> </w:t>
      </w:r>
      <w:proofErr w:type="spellStart"/>
      <w:r>
        <w:rPr>
          <w:color w:val="222222"/>
          <w:sz w:val="24"/>
          <w:szCs w:val="24"/>
          <w:highlight w:val="white"/>
        </w:rPr>
        <w:t>Agudelo</w:t>
      </w:r>
      <w:proofErr w:type="spellEnd"/>
      <w:r>
        <w:rPr>
          <w:color w:val="222222"/>
          <w:sz w:val="24"/>
          <w:szCs w:val="24"/>
          <w:highlight w:val="white"/>
        </w:rPr>
        <w:t xml:space="preserve">, M.A., </w:t>
      </w:r>
      <w:proofErr w:type="spellStart"/>
      <w:r>
        <w:rPr>
          <w:color w:val="222222"/>
          <w:sz w:val="24"/>
          <w:szCs w:val="24"/>
          <w:highlight w:val="white"/>
        </w:rPr>
        <w:t>Jóhannsdóttir</w:t>
      </w:r>
      <w:proofErr w:type="spellEnd"/>
      <w:r>
        <w:rPr>
          <w:color w:val="222222"/>
          <w:sz w:val="24"/>
          <w:szCs w:val="24"/>
          <w:highlight w:val="white"/>
        </w:rPr>
        <w:t xml:space="preserve">, L. and </w:t>
      </w:r>
      <w:proofErr w:type="spellStart"/>
      <w:r>
        <w:rPr>
          <w:color w:val="222222"/>
          <w:sz w:val="24"/>
          <w:szCs w:val="24"/>
          <w:highlight w:val="white"/>
        </w:rPr>
        <w:t>Davídsdóttir</w:t>
      </w:r>
      <w:proofErr w:type="spellEnd"/>
      <w:r>
        <w:rPr>
          <w:color w:val="222222"/>
          <w:sz w:val="24"/>
          <w:szCs w:val="24"/>
          <w:highlight w:val="white"/>
        </w:rPr>
        <w:t xml:space="preserve">, B., 2019. A literature review of the history and evolution of corporate social responsibility. </w:t>
      </w:r>
      <w:r>
        <w:rPr>
          <w:i/>
          <w:color w:val="222222"/>
          <w:sz w:val="24"/>
          <w:szCs w:val="24"/>
          <w:highlight w:val="white"/>
        </w:rPr>
        <w:t>International Journal of Corporate Social Responsibility</w:t>
      </w:r>
      <w:r>
        <w:rPr>
          <w:color w:val="222222"/>
          <w:sz w:val="24"/>
          <w:szCs w:val="24"/>
          <w:highlight w:val="white"/>
        </w:rPr>
        <w:t xml:space="preserve">, </w:t>
      </w:r>
      <w:r>
        <w:rPr>
          <w:i/>
          <w:color w:val="222222"/>
          <w:sz w:val="24"/>
          <w:szCs w:val="24"/>
          <w:highlight w:val="white"/>
        </w:rPr>
        <w:t>4</w:t>
      </w:r>
      <w:r>
        <w:rPr>
          <w:color w:val="222222"/>
          <w:sz w:val="24"/>
          <w:szCs w:val="24"/>
          <w:highlight w:val="white"/>
        </w:rPr>
        <w:t>(1), pp.1-23.</w:t>
      </w:r>
    </w:p>
    <w:p w14:paraId="7F3FA435"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Li, Y. (2021, April). Reflections and Countermeasures on the Education and Training of Design Art Professionals in China. In </w:t>
      </w:r>
      <w:r>
        <w:rPr>
          <w:i/>
          <w:color w:val="222222"/>
          <w:sz w:val="24"/>
          <w:szCs w:val="24"/>
          <w:highlight w:val="white"/>
        </w:rPr>
        <w:t>2021 2nd Asia-Pacific Conference on Image Processing, Electronics and Computers</w:t>
      </w:r>
      <w:r>
        <w:rPr>
          <w:color w:val="222222"/>
          <w:sz w:val="24"/>
          <w:szCs w:val="24"/>
          <w:highlight w:val="white"/>
        </w:rPr>
        <w:t xml:space="preserve"> (pp. 321-324).</w:t>
      </w:r>
    </w:p>
    <w:p w14:paraId="478B7E90"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Lukitasari</w:t>
      </w:r>
      <w:proofErr w:type="spellEnd"/>
      <w:r>
        <w:rPr>
          <w:color w:val="222222"/>
          <w:sz w:val="24"/>
          <w:szCs w:val="24"/>
          <w:highlight w:val="white"/>
        </w:rPr>
        <w:t xml:space="preserve">, M., </w:t>
      </w:r>
      <w:proofErr w:type="spellStart"/>
      <w:r>
        <w:rPr>
          <w:color w:val="222222"/>
          <w:sz w:val="24"/>
          <w:szCs w:val="24"/>
          <w:highlight w:val="white"/>
        </w:rPr>
        <w:t>Purnamasari</w:t>
      </w:r>
      <w:proofErr w:type="spellEnd"/>
      <w:r>
        <w:rPr>
          <w:color w:val="222222"/>
          <w:sz w:val="24"/>
          <w:szCs w:val="24"/>
          <w:highlight w:val="white"/>
        </w:rPr>
        <w:t xml:space="preserve">, I., </w:t>
      </w:r>
      <w:proofErr w:type="spellStart"/>
      <w:r>
        <w:rPr>
          <w:color w:val="222222"/>
          <w:sz w:val="24"/>
          <w:szCs w:val="24"/>
          <w:highlight w:val="white"/>
        </w:rPr>
        <w:t>Utami</w:t>
      </w:r>
      <w:proofErr w:type="spellEnd"/>
      <w:r>
        <w:rPr>
          <w:color w:val="222222"/>
          <w:sz w:val="24"/>
          <w:szCs w:val="24"/>
          <w:highlight w:val="white"/>
        </w:rPr>
        <w:t xml:space="preserve">, S. and </w:t>
      </w:r>
      <w:proofErr w:type="spellStart"/>
      <w:r>
        <w:rPr>
          <w:color w:val="222222"/>
          <w:sz w:val="24"/>
          <w:szCs w:val="24"/>
          <w:highlight w:val="white"/>
        </w:rPr>
        <w:t>Sukri</w:t>
      </w:r>
      <w:proofErr w:type="spellEnd"/>
      <w:r>
        <w:rPr>
          <w:color w:val="222222"/>
          <w:sz w:val="24"/>
          <w:szCs w:val="24"/>
          <w:highlight w:val="white"/>
        </w:rPr>
        <w:t xml:space="preserve">, A., 2019. Blended-Problem-Based Learning: How its impact on students' critical thinking </w:t>
      </w:r>
      <w:proofErr w:type="gramStart"/>
      <w:r>
        <w:rPr>
          <w:color w:val="222222"/>
          <w:sz w:val="24"/>
          <w:szCs w:val="24"/>
          <w:highlight w:val="white"/>
        </w:rPr>
        <w:t>skills?.</w:t>
      </w:r>
      <w:proofErr w:type="gramEnd"/>
      <w:r>
        <w:rPr>
          <w:color w:val="222222"/>
          <w:sz w:val="24"/>
          <w:szCs w:val="24"/>
          <w:highlight w:val="white"/>
        </w:rPr>
        <w:t xml:space="preserve"> </w:t>
      </w:r>
      <w:r>
        <w:rPr>
          <w:i/>
          <w:color w:val="222222"/>
          <w:sz w:val="24"/>
          <w:szCs w:val="24"/>
          <w:highlight w:val="white"/>
        </w:rPr>
        <w:t>JPBI (</w:t>
      </w:r>
      <w:proofErr w:type="spellStart"/>
      <w:r>
        <w:rPr>
          <w:i/>
          <w:color w:val="222222"/>
          <w:sz w:val="24"/>
          <w:szCs w:val="24"/>
          <w:highlight w:val="white"/>
        </w:rPr>
        <w:t>Jurnal</w:t>
      </w:r>
      <w:proofErr w:type="spellEnd"/>
      <w:r>
        <w:rPr>
          <w:i/>
          <w:color w:val="222222"/>
          <w:sz w:val="24"/>
          <w:szCs w:val="24"/>
          <w:highlight w:val="white"/>
        </w:rPr>
        <w:t xml:space="preserve"> Pendidikan </w:t>
      </w:r>
      <w:proofErr w:type="spellStart"/>
      <w:r>
        <w:rPr>
          <w:i/>
          <w:color w:val="222222"/>
          <w:sz w:val="24"/>
          <w:szCs w:val="24"/>
          <w:highlight w:val="white"/>
        </w:rPr>
        <w:t>Biologi</w:t>
      </w:r>
      <w:proofErr w:type="spellEnd"/>
      <w:r>
        <w:rPr>
          <w:i/>
          <w:color w:val="222222"/>
          <w:sz w:val="24"/>
          <w:szCs w:val="24"/>
          <w:highlight w:val="white"/>
        </w:rPr>
        <w:t xml:space="preserve"> Indonesia)</w:t>
      </w:r>
      <w:r>
        <w:rPr>
          <w:color w:val="222222"/>
          <w:sz w:val="24"/>
          <w:szCs w:val="24"/>
          <w:highlight w:val="white"/>
        </w:rPr>
        <w:t xml:space="preserve">, </w:t>
      </w:r>
      <w:r>
        <w:rPr>
          <w:i/>
          <w:color w:val="222222"/>
          <w:sz w:val="24"/>
          <w:szCs w:val="24"/>
          <w:highlight w:val="white"/>
        </w:rPr>
        <w:t>5</w:t>
      </w:r>
      <w:r>
        <w:rPr>
          <w:color w:val="222222"/>
          <w:sz w:val="24"/>
          <w:szCs w:val="24"/>
          <w:highlight w:val="white"/>
        </w:rPr>
        <w:t>(3), pp.425-434.</w:t>
      </w:r>
    </w:p>
    <w:p w14:paraId="4D833726"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Lumby, J., 2019. Distributed leadership and bureaucracy. </w:t>
      </w:r>
      <w:r>
        <w:rPr>
          <w:i/>
          <w:color w:val="222222"/>
          <w:sz w:val="24"/>
          <w:szCs w:val="24"/>
          <w:highlight w:val="white"/>
        </w:rPr>
        <w:t>Educational Management Administration &amp; Leadership</w:t>
      </w:r>
      <w:r>
        <w:rPr>
          <w:color w:val="222222"/>
          <w:sz w:val="24"/>
          <w:szCs w:val="24"/>
          <w:highlight w:val="white"/>
        </w:rPr>
        <w:t xml:space="preserve">, </w:t>
      </w:r>
      <w:r>
        <w:rPr>
          <w:i/>
          <w:color w:val="222222"/>
          <w:sz w:val="24"/>
          <w:szCs w:val="24"/>
          <w:highlight w:val="white"/>
        </w:rPr>
        <w:t>47</w:t>
      </w:r>
      <w:r>
        <w:rPr>
          <w:color w:val="222222"/>
          <w:sz w:val="24"/>
          <w:szCs w:val="24"/>
          <w:highlight w:val="white"/>
        </w:rPr>
        <w:t>(1), pp.5-19.</w:t>
      </w:r>
    </w:p>
    <w:p w14:paraId="3DE788AB"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lastRenderedPageBreak/>
        <w:t xml:space="preserve">Lusardi, A., 2019. Financial literacy and the need for financial education: evidence and implications. </w:t>
      </w:r>
      <w:r>
        <w:rPr>
          <w:i/>
          <w:color w:val="222222"/>
          <w:sz w:val="24"/>
          <w:szCs w:val="24"/>
          <w:highlight w:val="white"/>
        </w:rPr>
        <w:t>Swiss Journal of Economics and Statistics</w:t>
      </w:r>
      <w:r>
        <w:rPr>
          <w:color w:val="222222"/>
          <w:sz w:val="24"/>
          <w:szCs w:val="24"/>
          <w:highlight w:val="white"/>
        </w:rPr>
        <w:t xml:space="preserve">, </w:t>
      </w:r>
      <w:r>
        <w:rPr>
          <w:i/>
          <w:color w:val="222222"/>
          <w:sz w:val="24"/>
          <w:szCs w:val="24"/>
          <w:highlight w:val="white"/>
        </w:rPr>
        <w:t>155</w:t>
      </w:r>
      <w:r>
        <w:rPr>
          <w:color w:val="222222"/>
          <w:sz w:val="24"/>
          <w:szCs w:val="24"/>
          <w:highlight w:val="white"/>
        </w:rPr>
        <w:t>(1), pp.1-8.</w:t>
      </w:r>
    </w:p>
    <w:p w14:paraId="7672D61E"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Martela</w:t>
      </w:r>
      <w:proofErr w:type="spellEnd"/>
      <w:r>
        <w:rPr>
          <w:color w:val="222222"/>
          <w:sz w:val="24"/>
          <w:szCs w:val="24"/>
          <w:highlight w:val="white"/>
        </w:rPr>
        <w:t xml:space="preserve">, F., 2019. What makes self-managing organizations novel? Comparing how Weberian bureaucracy, Mintzberg’s adhocracy, and self-organizing solve six fundamental problems of organizing. </w:t>
      </w:r>
      <w:r>
        <w:rPr>
          <w:i/>
          <w:color w:val="222222"/>
          <w:sz w:val="24"/>
          <w:szCs w:val="24"/>
          <w:highlight w:val="white"/>
        </w:rPr>
        <w:t>Journal of Organization Design</w:t>
      </w:r>
      <w:r>
        <w:rPr>
          <w:color w:val="222222"/>
          <w:sz w:val="24"/>
          <w:szCs w:val="24"/>
          <w:highlight w:val="white"/>
        </w:rPr>
        <w:t xml:space="preserve">, </w:t>
      </w:r>
      <w:r>
        <w:rPr>
          <w:i/>
          <w:color w:val="222222"/>
          <w:sz w:val="24"/>
          <w:szCs w:val="24"/>
          <w:highlight w:val="white"/>
        </w:rPr>
        <w:t>8</w:t>
      </w:r>
      <w:r>
        <w:rPr>
          <w:color w:val="222222"/>
          <w:sz w:val="24"/>
          <w:szCs w:val="24"/>
          <w:highlight w:val="white"/>
        </w:rPr>
        <w:t>(1), pp.1-23.</w:t>
      </w:r>
    </w:p>
    <w:p w14:paraId="2E8D4079"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Mckinsey</w:t>
      </w:r>
      <w:proofErr w:type="spellEnd"/>
      <w:r>
        <w:rPr>
          <w:color w:val="222222"/>
          <w:sz w:val="24"/>
          <w:szCs w:val="24"/>
          <w:highlight w:val="white"/>
        </w:rPr>
        <w:t xml:space="preserve">, 2022. </w:t>
      </w:r>
      <w:r>
        <w:rPr>
          <w:i/>
          <w:color w:val="222222"/>
          <w:sz w:val="24"/>
          <w:szCs w:val="24"/>
          <w:highlight w:val="white"/>
        </w:rPr>
        <w:t>McKinsey in the United Kingdom.</w:t>
      </w:r>
      <w:r>
        <w:rPr>
          <w:color w:val="222222"/>
          <w:sz w:val="24"/>
          <w:szCs w:val="24"/>
          <w:highlight w:val="white"/>
        </w:rPr>
        <w:t xml:space="preserve"> [Online] Available at:&lt;https://www.mckinsey.com/uk/overview</w:t>
      </w:r>
      <w:proofErr w:type="gramStart"/>
      <w:r>
        <w:rPr>
          <w:color w:val="222222"/>
          <w:sz w:val="24"/>
          <w:szCs w:val="24"/>
          <w:highlight w:val="white"/>
        </w:rPr>
        <w:t>&gt;[</w:t>
      </w:r>
      <w:proofErr w:type="gramEnd"/>
      <w:r>
        <w:rPr>
          <w:color w:val="222222"/>
          <w:sz w:val="24"/>
          <w:szCs w:val="24"/>
          <w:highlight w:val="white"/>
        </w:rPr>
        <w:t>Accessed 17th November, 2022]</w:t>
      </w:r>
    </w:p>
    <w:p w14:paraId="7BEF3A4B"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Misakov</w:t>
      </w:r>
      <w:proofErr w:type="spellEnd"/>
      <w:r>
        <w:rPr>
          <w:color w:val="222222"/>
          <w:sz w:val="24"/>
          <w:szCs w:val="24"/>
          <w:highlight w:val="white"/>
        </w:rPr>
        <w:t xml:space="preserve">, V.S., </w:t>
      </w:r>
      <w:proofErr w:type="spellStart"/>
      <w:r>
        <w:rPr>
          <w:color w:val="222222"/>
          <w:sz w:val="24"/>
          <w:szCs w:val="24"/>
          <w:highlight w:val="white"/>
        </w:rPr>
        <w:t>Tsurova</w:t>
      </w:r>
      <w:proofErr w:type="spellEnd"/>
      <w:r>
        <w:rPr>
          <w:color w:val="222222"/>
          <w:sz w:val="24"/>
          <w:szCs w:val="24"/>
          <w:highlight w:val="white"/>
        </w:rPr>
        <w:t xml:space="preserve">, L.A., </w:t>
      </w:r>
      <w:proofErr w:type="spellStart"/>
      <w:r>
        <w:rPr>
          <w:color w:val="222222"/>
          <w:sz w:val="24"/>
          <w:szCs w:val="24"/>
          <w:highlight w:val="white"/>
        </w:rPr>
        <w:t>Yandarbayeva</w:t>
      </w:r>
      <w:proofErr w:type="spellEnd"/>
      <w:r>
        <w:rPr>
          <w:color w:val="222222"/>
          <w:sz w:val="24"/>
          <w:szCs w:val="24"/>
          <w:highlight w:val="white"/>
        </w:rPr>
        <w:t xml:space="preserve">, L.A., </w:t>
      </w:r>
      <w:proofErr w:type="spellStart"/>
      <w:r>
        <w:rPr>
          <w:color w:val="222222"/>
          <w:sz w:val="24"/>
          <w:szCs w:val="24"/>
          <w:highlight w:val="white"/>
        </w:rPr>
        <w:t>Tkhamadokova</w:t>
      </w:r>
      <w:proofErr w:type="spellEnd"/>
      <w:r>
        <w:rPr>
          <w:color w:val="222222"/>
          <w:sz w:val="24"/>
          <w:szCs w:val="24"/>
          <w:highlight w:val="white"/>
        </w:rPr>
        <w:t xml:space="preserve">, I.K. and </w:t>
      </w:r>
      <w:proofErr w:type="spellStart"/>
      <w:r>
        <w:rPr>
          <w:color w:val="222222"/>
          <w:sz w:val="24"/>
          <w:szCs w:val="24"/>
          <w:highlight w:val="white"/>
        </w:rPr>
        <w:t>Gapurovna</w:t>
      </w:r>
      <w:proofErr w:type="spellEnd"/>
      <w:r>
        <w:rPr>
          <w:color w:val="222222"/>
          <w:sz w:val="24"/>
          <w:szCs w:val="24"/>
          <w:highlight w:val="white"/>
        </w:rPr>
        <w:t xml:space="preserve">, G.M., 2019. Certification of a regional economic complex as a highly effective tool for analysis and diagnostics of its development. </w:t>
      </w:r>
      <w:r>
        <w:rPr>
          <w:i/>
          <w:color w:val="222222"/>
          <w:sz w:val="24"/>
          <w:szCs w:val="24"/>
          <w:highlight w:val="white"/>
        </w:rPr>
        <w:t xml:space="preserve">Amazonia </w:t>
      </w:r>
      <w:proofErr w:type="spellStart"/>
      <w:r>
        <w:rPr>
          <w:i/>
          <w:color w:val="222222"/>
          <w:sz w:val="24"/>
          <w:szCs w:val="24"/>
          <w:highlight w:val="white"/>
        </w:rPr>
        <w:t>Investiga</w:t>
      </w:r>
      <w:proofErr w:type="spellEnd"/>
      <w:r>
        <w:rPr>
          <w:color w:val="222222"/>
          <w:sz w:val="24"/>
          <w:szCs w:val="24"/>
          <w:highlight w:val="white"/>
        </w:rPr>
        <w:t xml:space="preserve">, </w:t>
      </w:r>
      <w:r>
        <w:rPr>
          <w:i/>
          <w:color w:val="222222"/>
          <w:sz w:val="24"/>
          <w:szCs w:val="24"/>
          <w:highlight w:val="white"/>
        </w:rPr>
        <w:t>8</w:t>
      </w:r>
      <w:r>
        <w:rPr>
          <w:color w:val="222222"/>
          <w:sz w:val="24"/>
          <w:szCs w:val="24"/>
          <w:highlight w:val="white"/>
        </w:rPr>
        <w:t>(20), pp.451-458.</w:t>
      </w:r>
    </w:p>
    <w:p w14:paraId="239C555F"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Park, S., </w:t>
      </w:r>
      <w:proofErr w:type="spellStart"/>
      <w:r>
        <w:rPr>
          <w:color w:val="222222"/>
          <w:sz w:val="24"/>
          <w:szCs w:val="24"/>
          <w:highlight w:val="white"/>
        </w:rPr>
        <w:t>Hoai</w:t>
      </w:r>
      <w:proofErr w:type="spellEnd"/>
      <w:r>
        <w:rPr>
          <w:color w:val="222222"/>
          <w:sz w:val="24"/>
          <w:szCs w:val="24"/>
          <w:highlight w:val="white"/>
        </w:rPr>
        <w:t xml:space="preserve">, M., Bhattacharya, A. and Das, S.R., 2021. Adaptive streaming of 360-degree videos with reinforcement learning. In </w:t>
      </w:r>
      <w:r>
        <w:rPr>
          <w:i/>
          <w:color w:val="222222"/>
          <w:sz w:val="24"/>
          <w:szCs w:val="24"/>
          <w:highlight w:val="white"/>
        </w:rPr>
        <w:t>Proceedings of the IEEE/CVF Winter Conference on Applications of Computer Vision</w:t>
      </w:r>
      <w:r>
        <w:rPr>
          <w:color w:val="222222"/>
          <w:sz w:val="24"/>
          <w:szCs w:val="24"/>
          <w:highlight w:val="white"/>
        </w:rPr>
        <w:t xml:space="preserve"> (pp. 1839-1848).</w:t>
      </w:r>
    </w:p>
    <w:p w14:paraId="3F83D662"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Patwardhan, A.M., Ford, J.B. and Clarke, G.R., 2018. The Neo-Weberian contingency theory of innovation. </w:t>
      </w:r>
      <w:r>
        <w:rPr>
          <w:i/>
          <w:color w:val="222222"/>
          <w:sz w:val="24"/>
          <w:szCs w:val="24"/>
          <w:highlight w:val="white"/>
        </w:rPr>
        <w:t>Journal of Management and Marketing Research</w:t>
      </w:r>
      <w:r>
        <w:rPr>
          <w:color w:val="222222"/>
          <w:sz w:val="24"/>
          <w:szCs w:val="24"/>
          <w:highlight w:val="white"/>
        </w:rPr>
        <w:t xml:space="preserve">, </w:t>
      </w:r>
      <w:r>
        <w:rPr>
          <w:i/>
          <w:color w:val="222222"/>
          <w:sz w:val="24"/>
          <w:szCs w:val="24"/>
          <w:highlight w:val="white"/>
        </w:rPr>
        <w:t>21</w:t>
      </w:r>
      <w:r>
        <w:rPr>
          <w:color w:val="222222"/>
          <w:sz w:val="24"/>
          <w:szCs w:val="24"/>
          <w:highlight w:val="white"/>
        </w:rPr>
        <w:t>, pp.1-31.</w:t>
      </w:r>
    </w:p>
    <w:p w14:paraId="3FC44245"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Redmond, B. (2017). </w:t>
      </w:r>
      <w:r>
        <w:rPr>
          <w:i/>
          <w:color w:val="222222"/>
          <w:sz w:val="24"/>
          <w:szCs w:val="24"/>
          <w:highlight w:val="white"/>
        </w:rPr>
        <w:t>Reflection in action: Developing reflective practice in health and social services</w:t>
      </w:r>
      <w:r>
        <w:rPr>
          <w:color w:val="222222"/>
          <w:sz w:val="24"/>
          <w:szCs w:val="24"/>
          <w:highlight w:val="white"/>
        </w:rPr>
        <w:t>. Routledge.</w:t>
      </w:r>
    </w:p>
    <w:p w14:paraId="672F34A5" w14:textId="77777777" w:rsidR="0069536A" w:rsidRDefault="00000000">
      <w:pPr>
        <w:pBdr>
          <w:top w:val="nil"/>
          <w:left w:val="nil"/>
          <w:bottom w:val="nil"/>
          <w:right w:val="nil"/>
          <w:between w:val="nil"/>
        </w:pBdr>
        <w:spacing w:after="240"/>
        <w:rPr>
          <w:b/>
          <w:color w:val="000000"/>
          <w:sz w:val="36"/>
          <w:szCs w:val="36"/>
        </w:rPr>
      </w:pPr>
      <w:r>
        <w:rPr>
          <w:color w:val="222222"/>
          <w:sz w:val="24"/>
          <w:szCs w:val="24"/>
          <w:highlight w:val="white"/>
        </w:rPr>
        <w:t xml:space="preserve">Reynolds, M. (2017). </w:t>
      </w:r>
      <w:r>
        <w:rPr>
          <w:i/>
          <w:color w:val="222222"/>
          <w:sz w:val="24"/>
          <w:szCs w:val="24"/>
          <w:highlight w:val="white"/>
        </w:rPr>
        <w:t>Organizing reflection</w:t>
      </w:r>
      <w:r>
        <w:rPr>
          <w:color w:val="222222"/>
          <w:sz w:val="24"/>
          <w:szCs w:val="24"/>
          <w:highlight w:val="white"/>
        </w:rPr>
        <w:t>. Routledge.</w:t>
      </w:r>
    </w:p>
    <w:p w14:paraId="19038725"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Rosa, H., 2019. </w:t>
      </w:r>
      <w:r>
        <w:rPr>
          <w:i/>
          <w:color w:val="222222"/>
          <w:sz w:val="24"/>
          <w:szCs w:val="24"/>
          <w:highlight w:val="white"/>
        </w:rPr>
        <w:t>Resonance: A sociology of our relationship to the world</w:t>
      </w:r>
      <w:r>
        <w:rPr>
          <w:color w:val="222222"/>
          <w:sz w:val="24"/>
          <w:szCs w:val="24"/>
          <w:highlight w:val="white"/>
        </w:rPr>
        <w:t>. John Wiley &amp; Sons.</w:t>
      </w:r>
    </w:p>
    <w:p w14:paraId="37644AD1"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Schill, C., </w:t>
      </w:r>
      <w:proofErr w:type="spellStart"/>
      <w:r>
        <w:rPr>
          <w:color w:val="222222"/>
          <w:sz w:val="24"/>
          <w:szCs w:val="24"/>
          <w:highlight w:val="white"/>
        </w:rPr>
        <w:t>Anderies</w:t>
      </w:r>
      <w:proofErr w:type="spellEnd"/>
      <w:r>
        <w:rPr>
          <w:color w:val="222222"/>
          <w:sz w:val="24"/>
          <w:szCs w:val="24"/>
          <w:highlight w:val="white"/>
        </w:rPr>
        <w:t xml:space="preserve">, J.M., Lindahl, T., </w:t>
      </w:r>
      <w:proofErr w:type="spellStart"/>
      <w:r>
        <w:rPr>
          <w:color w:val="222222"/>
          <w:sz w:val="24"/>
          <w:szCs w:val="24"/>
          <w:highlight w:val="white"/>
        </w:rPr>
        <w:t>Folke</w:t>
      </w:r>
      <w:proofErr w:type="spellEnd"/>
      <w:r>
        <w:rPr>
          <w:color w:val="222222"/>
          <w:sz w:val="24"/>
          <w:szCs w:val="24"/>
          <w:highlight w:val="white"/>
        </w:rPr>
        <w:t xml:space="preserve">, C., </w:t>
      </w:r>
      <w:proofErr w:type="spellStart"/>
      <w:r>
        <w:rPr>
          <w:color w:val="222222"/>
          <w:sz w:val="24"/>
          <w:szCs w:val="24"/>
          <w:highlight w:val="white"/>
        </w:rPr>
        <w:t>Polasky</w:t>
      </w:r>
      <w:proofErr w:type="spellEnd"/>
      <w:r>
        <w:rPr>
          <w:color w:val="222222"/>
          <w:sz w:val="24"/>
          <w:szCs w:val="24"/>
          <w:highlight w:val="white"/>
        </w:rPr>
        <w:t xml:space="preserve">, S., Cárdenas, J.C., </w:t>
      </w:r>
      <w:proofErr w:type="spellStart"/>
      <w:r>
        <w:rPr>
          <w:color w:val="222222"/>
          <w:sz w:val="24"/>
          <w:szCs w:val="24"/>
          <w:highlight w:val="white"/>
        </w:rPr>
        <w:t>Crépin</w:t>
      </w:r>
      <w:proofErr w:type="spellEnd"/>
      <w:r>
        <w:rPr>
          <w:color w:val="222222"/>
          <w:sz w:val="24"/>
          <w:szCs w:val="24"/>
          <w:highlight w:val="white"/>
        </w:rPr>
        <w:t xml:space="preserve">, A.S., Janssen, M.A., Norberg, J. and Schlüter, M., 2019. A more dynamic understanding of human behaviour for the Anthropocene. </w:t>
      </w:r>
      <w:r>
        <w:rPr>
          <w:i/>
          <w:color w:val="222222"/>
          <w:sz w:val="24"/>
          <w:szCs w:val="24"/>
          <w:highlight w:val="white"/>
        </w:rPr>
        <w:t>Nature Sustainability</w:t>
      </w:r>
      <w:r>
        <w:rPr>
          <w:color w:val="222222"/>
          <w:sz w:val="24"/>
          <w:szCs w:val="24"/>
          <w:highlight w:val="white"/>
        </w:rPr>
        <w:t xml:space="preserve">, </w:t>
      </w:r>
      <w:r>
        <w:rPr>
          <w:i/>
          <w:color w:val="222222"/>
          <w:sz w:val="24"/>
          <w:szCs w:val="24"/>
          <w:highlight w:val="white"/>
        </w:rPr>
        <w:t>2</w:t>
      </w:r>
      <w:r>
        <w:rPr>
          <w:color w:val="222222"/>
          <w:sz w:val="24"/>
          <w:szCs w:val="24"/>
          <w:highlight w:val="white"/>
        </w:rPr>
        <w:t>(12), pp.1075-1082.</w:t>
      </w:r>
    </w:p>
    <w:p w14:paraId="1D970C7E"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Shehu, A.S., Ibrahim, Y. and </w:t>
      </w:r>
      <w:proofErr w:type="spellStart"/>
      <w:r>
        <w:rPr>
          <w:color w:val="222222"/>
          <w:sz w:val="24"/>
          <w:szCs w:val="24"/>
          <w:highlight w:val="white"/>
        </w:rPr>
        <w:t>Inuwa</w:t>
      </w:r>
      <w:proofErr w:type="spellEnd"/>
      <w:r>
        <w:rPr>
          <w:color w:val="222222"/>
          <w:sz w:val="24"/>
          <w:szCs w:val="24"/>
          <w:highlight w:val="white"/>
        </w:rPr>
        <w:t xml:space="preserve">, I.I., 2019, October. Knowledge requirement theoretical framework for construction procurement management. In </w:t>
      </w:r>
      <w:r>
        <w:rPr>
          <w:i/>
          <w:color w:val="222222"/>
          <w:sz w:val="24"/>
          <w:szCs w:val="24"/>
          <w:highlight w:val="white"/>
        </w:rPr>
        <w:t xml:space="preserve">IOP Conference </w:t>
      </w:r>
      <w:r>
        <w:rPr>
          <w:i/>
          <w:color w:val="222222"/>
          <w:sz w:val="24"/>
          <w:szCs w:val="24"/>
          <w:highlight w:val="white"/>
        </w:rPr>
        <w:lastRenderedPageBreak/>
        <w:t>Series: Materials Science and Engineering</w:t>
      </w:r>
      <w:r>
        <w:rPr>
          <w:color w:val="222222"/>
          <w:sz w:val="24"/>
          <w:szCs w:val="24"/>
          <w:highlight w:val="white"/>
        </w:rPr>
        <w:t xml:space="preserve"> (Vol. 615, No. 1, p. 012027). IOP Publishing.</w:t>
      </w:r>
    </w:p>
    <w:p w14:paraId="46C70C13" w14:textId="77777777" w:rsidR="0069536A" w:rsidRDefault="00000000">
      <w:pPr>
        <w:pBdr>
          <w:top w:val="nil"/>
          <w:left w:val="nil"/>
          <w:bottom w:val="nil"/>
          <w:right w:val="nil"/>
          <w:between w:val="nil"/>
        </w:pBdr>
        <w:spacing w:after="240"/>
        <w:rPr>
          <w:color w:val="000000"/>
          <w:sz w:val="32"/>
          <w:szCs w:val="32"/>
        </w:rPr>
      </w:pPr>
      <w:proofErr w:type="spellStart"/>
      <w:r>
        <w:rPr>
          <w:color w:val="222222"/>
          <w:sz w:val="24"/>
          <w:szCs w:val="24"/>
          <w:highlight w:val="white"/>
        </w:rPr>
        <w:t>Sørensen</w:t>
      </w:r>
      <w:proofErr w:type="spellEnd"/>
      <w:r>
        <w:rPr>
          <w:color w:val="222222"/>
          <w:sz w:val="24"/>
          <w:szCs w:val="24"/>
          <w:highlight w:val="white"/>
        </w:rPr>
        <w:t xml:space="preserve">, G., </w:t>
      </w:r>
      <w:proofErr w:type="spellStart"/>
      <w:r>
        <w:rPr>
          <w:color w:val="222222"/>
          <w:sz w:val="24"/>
          <w:szCs w:val="24"/>
          <w:highlight w:val="white"/>
        </w:rPr>
        <w:t>Møller</w:t>
      </w:r>
      <w:proofErr w:type="spellEnd"/>
      <w:r>
        <w:rPr>
          <w:color w:val="222222"/>
          <w:sz w:val="24"/>
          <w:szCs w:val="24"/>
          <w:highlight w:val="white"/>
        </w:rPr>
        <w:t xml:space="preserve">, J. and Jackson, R., 2022. </w:t>
      </w:r>
      <w:r>
        <w:rPr>
          <w:i/>
          <w:color w:val="222222"/>
          <w:sz w:val="24"/>
          <w:szCs w:val="24"/>
          <w:highlight w:val="white"/>
        </w:rPr>
        <w:t>Introduction to international relations: theories and approaches</w:t>
      </w:r>
      <w:r>
        <w:rPr>
          <w:color w:val="222222"/>
          <w:sz w:val="24"/>
          <w:szCs w:val="24"/>
          <w:highlight w:val="white"/>
        </w:rPr>
        <w:t>. Oxford university press.</w:t>
      </w:r>
    </w:p>
    <w:p w14:paraId="5D27079F"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Statista, 2022. </w:t>
      </w:r>
      <w:r>
        <w:rPr>
          <w:i/>
          <w:color w:val="222222"/>
          <w:sz w:val="24"/>
          <w:szCs w:val="24"/>
          <w:highlight w:val="white"/>
        </w:rPr>
        <w:t xml:space="preserve">Estimated market share of leading consulting firms </w:t>
      </w:r>
      <w:proofErr w:type="gramStart"/>
      <w:r>
        <w:rPr>
          <w:i/>
          <w:color w:val="222222"/>
          <w:sz w:val="24"/>
          <w:szCs w:val="24"/>
          <w:highlight w:val="white"/>
        </w:rPr>
        <w:t>worldwide</w:t>
      </w:r>
      <w:r>
        <w:rPr>
          <w:color w:val="222222"/>
          <w:sz w:val="24"/>
          <w:szCs w:val="24"/>
          <w:highlight w:val="white"/>
        </w:rPr>
        <w:t>.[</w:t>
      </w:r>
      <w:proofErr w:type="gramEnd"/>
      <w:r>
        <w:rPr>
          <w:color w:val="222222"/>
          <w:sz w:val="24"/>
          <w:szCs w:val="24"/>
          <w:highlight w:val="white"/>
        </w:rPr>
        <w:t>Online] Available at:&lt;https://www.statista.com/statistics/624204/market-share-of-leading-consulting-firms-worldwide/&gt;[Accessed 17th November, 2022]</w:t>
      </w:r>
    </w:p>
    <w:p w14:paraId="3D5C4CFB"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Stepanova, O.P., </w:t>
      </w:r>
      <w:proofErr w:type="spellStart"/>
      <w:r>
        <w:rPr>
          <w:color w:val="222222"/>
          <w:sz w:val="24"/>
          <w:szCs w:val="24"/>
          <w:highlight w:val="white"/>
        </w:rPr>
        <w:t>Gridneva</w:t>
      </w:r>
      <w:proofErr w:type="spellEnd"/>
      <w:r>
        <w:rPr>
          <w:color w:val="222222"/>
          <w:sz w:val="24"/>
          <w:szCs w:val="24"/>
          <w:highlight w:val="white"/>
        </w:rPr>
        <w:t xml:space="preserve">, S.V., </w:t>
      </w:r>
      <w:proofErr w:type="spellStart"/>
      <w:r>
        <w:rPr>
          <w:color w:val="222222"/>
          <w:sz w:val="24"/>
          <w:szCs w:val="24"/>
          <w:highlight w:val="white"/>
        </w:rPr>
        <w:t>Menshikov</w:t>
      </w:r>
      <w:proofErr w:type="spellEnd"/>
      <w:r>
        <w:rPr>
          <w:color w:val="222222"/>
          <w:sz w:val="24"/>
          <w:szCs w:val="24"/>
          <w:highlight w:val="white"/>
        </w:rPr>
        <w:t xml:space="preserve">, P.V., </w:t>
      </w:r>
      <w:proofErr w:type="spellStart"/>
      <w:r>
        <w:rPr>
          <w:color w:val="222222"/>
          <w:sz w:val="24"/>
          <w:szCs w:val="24"/>
          <w:highlight w:val="white"/>
        </w:rPr>
        <w:t>Kassymova</w:t>
      </w:r>
      <w:proofErr w:type="spellEnd"/>
      <w:r>
        <w:rPr>
          <w:color w:val="222222"/>
          <w:sz w:val="24"/>
          <w:szCs w:val="24"/>
          <w:highlight w:val="white"/>
        </w:rPr>
        <w:t xml:space="preserve">, G.К., </w:t>
      </w:r>
      <w:proofErr w:type="spellStart"/>
      <w:r>
        <w:rPr>
          <w:color w:val="222222"/>
          <w:sz w:val="24"/>
          <w:szCs w:val="24"/>
          <w:highlight w:val="white"/>
        </w:rPr>
        <w:t>Tokar</w:t>
      </w:r>
      <w:proofErr w:type="spellEnd"/>
      <w:r>
        <w:rPr>
          <w:color w:val="222222"/>
          <w:sz w:val="24"/>
          <w:szCs w:val="24"/>
          <w:highlight w:val="white"/>
        </w:rPr>
        <w:t xml:space="preserve">, O.V., </w:t>
      </w:r>
      <w:proofErr w:type="spellStart"/>
      <w:r>
        <w:rPr>
          <w:color w:val="222222"/>
          <w:sz w:val="24"/>
          <w:szCs w:val="24"/>
          <w:highlight w:val="white"/>
        </w:rPr>
        <w:t>Merezhnikov</w:t>
      </w:r>
      <w:proofErr w:type="spellEnd"/>
      <w:r>
        <w:rPr>
          <w:color w:val="222222"/>
          <w:sz w:val="24"/>
          <w:szCs w:val="24"/>
          <w:highlight w:val="white"/>
        </w:rPr>
        <w:t xml:space="preserve">, A.P. and </w:t>
      </w:r>
      <w:proofErr w:type="spellStart"/>
      <w:r>
        <w:rPr>
          <w:color w:val="222222"/>
          <w:sz w:val="24"/>
          <w:szCs w:val="24"/>
          <w:highlight w:val="white"/>
        </w:rPr>
        <w:t>Arpentieva</w:t>
      </w:r>
      <w:proofErr w:type="spellEnd"/>
      <w:r>
        <w:rPr>
          <w:color w:val="222222"/>
          <w:sz w:val="24"/>
          <w:szCs w:val="24"/>
          <w:highlight w:val="white"/>
        </w:rPr>
        <w:t xml:space="preserve">, M.R., 2018. Value-motivational sphere and prospects of the deviant </w:t>
      </w:r>
      <w:proofErr w:type="spellStart"/>
      <w:r>
        <w:rPr>
          <w:color w:val="222222"/>
          <w:sz w:val="24"/>
          <w:szCs w:val="24"/>
          <w:highlight w:val="white"/>
        </w:rPr>
        <w:t>behavior</w:t>
      </w:r>
      <w:proofErr w:type="spellEnd"/>
      <w:r>
        <w:rPr>
          <w:color w:val="222222"/>
          <w:sz w:val="24"/>
          <w:szCs w:val="24"/>
          <w:highlight w:val="white"/>
        </w:rPr>
        <w:t xml:space="preserve">. </w:t>
      </w:r>
      <w:r>
        <w:rPr>
          <w:i/>
          <w:color w:val="222222"/>
          <w:sz w:val="24"/>
          <w:szCs w:val="24"/>
          <w:highlight w:val="white"/>
        </w:rPr>
        <w:t>International journal of education and information technologies. ISSN</w:t>
      </w:r>
      <w:r>
        <w:rPr>
          <w:color w:val="222222"/>
          <w:sz w:val="24"/>
          <w:szCs w:val="24"/>
          <w:highlight w:val="white"/>
        </w:rPr>
        <w:t>, pp.2074-1316.</w:t>
      </w:r>
    </w:p>
    <w:p w14:paraId="19021A71"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Williams, M.J., 2021. Beyond state capacity: bureaucratic performance, policy implementation and reform. </w:t>
      </w:r>
      <w:r>
        <w:rPr>
          <w:i/>
          <w:color w:val="222222"/>
          <w:sz w:val="24"/>
          <w:szCs w:val="24"/>
          <w:highlight w:val="white"/>
        </w:rPr>
        <w:t>Journal of Institutional Economics</w:t>
      </w:r>
      <w:r>
        <w:rPr>
          <w:color w:val="222222"/>
          <w:sz w:val="24"/>
          <w:szCs w:val="24"/>
          <w:highlight w:val="white"/>
        </w:rPr>
        <w:t xml:space="preserve">, </w:t>
      </w:r>
      <w:r>
        <w:rPr>
          <w:i/>
          <w:color w:val="222222"/>
          <w:sz w:val="24"/>
          <w:szCs w:val="24"/>
          <w:highlight w:val="white"/>
        </w:rPr>
        <w:t>17</w:t>
      </w:r>
      <w:r>
        <w:rPr>
          <w:color w:val="222222"/>
          <w:sz w:val="24"/>
          <w:szCs w:val="24"/>
          <w:highlight w:val="white"/>
        </w:rPr>
        <w:t>(2), pp.339-357.</w:t>
      </w:r>
    </w:p>
    <w:p w14:paraId="00BD320D" w14:textId="77777777" w:rsidR="0069536A" w:rsidRDefault="00000000">
      <w:pPr>
        <w:pBdr>
          <w:top w:val="nil"/>
          <w:left w:val="nil"/>
          <w:bottom w:val="nil"/>
          <w:right w:val="nil"/>
          <w:between w:val="nil"/>
        </w:pBdr>
        <w:spacing w:after="240"/>
        <w:rPr>
          <w:color w:val="000000"/>
          <w:sz w:val="32"/>
          <w:szCs w:val="32"/>
        </w:rPr>
      </w:pPr>
      <w:r>
        <w:rPr>
          <w:color w:val="222222"/>
          <w:sz w:val="24"/>
          <w:szCs w:val="24"/>
          <w:highlight w:val="white"/>
        </w:rPr>
        <w:t xml:space="preserve">Yu, W., Chavez, R., Feng, M., Wong, C.Y. and </w:t>
      </w:r>
      <w:proofErr w:type="spellStart"/>
      <w:r>
        <w:rPr>
          <w:color w:val="222222"/>
          <w:sz w:val="24"/>
          <w:szCs w:val="24"/>
          <w:highlight w:val="white"/>
        </w:rPr>
        <w:t>Fynes</w:t>
      </w:r>
      <w:proofErr w:type="spellEnd"/>
      <w:r>
        <w:rPr>
          <w:color w:val="222222"/>
          <w:sz w:val="24"/>
          <w:szCs w:val="24"/>
          <w:highlight w:val="white"/>
        </w:rPr>
        <w:t xml:space="preserve">, B., 2020. Green human resource management and environmental cooperation: An ability-motivation-opportunity and contingency perspective. </w:t>
      </w:r>
      <w:r>
        <w:rPr>
          <w:i/>
          <w:color w:val="222222"/>
          <w:sz w:val="24"/>
          <w:szCs w:val="24"/>
          <w:highlight w:val="white"/>
        </w:rPr>
        <w:t>International Journal of Production Economics</w:t>
      </w:r>
      <w:r>
        <w:rPr>
          <w:color w:val="222222"/>
          <w:sz w:val="24"/>
          <w:szCs w:val="24"/>
          <w:highlight w:val="white"/>
        </w:rPr>
        <w:t xml:space="preserve">, </w:t>
      </w:r>
      <w:r>
        <w:rPr>
          <w:i/>
          <w:color w:val="222222"/>
          <w:sz w:val="24"/>
          <w:szCs w:val="24"/>
          <w:highlight w:val="white"/>
        </w:rPr>
        <w:t>219</w:t>
      </w:r>
      <w:r>
        <w:rPr>
          <w:color w:val="222222"/>
          <w:sz w:val="24"/>
          <w:szCs w:val="24"/>
          <w:highlight w:val="white"/>
        </w:rPr>
        <w:t>, pp.224-235.</w:t>
      </w:r>
    </w:p>
    <w:p w14:paraId="7535DDC2" w14:textId="77777777" w:rsidR="0069536A" w:rsidRDefault="0069536A">
      <w:pPr>
        <w:pBdr>
          <w:top w:val="nil"/>
          <w:left w:val="nil"/>
          <w:bottom w:val="nil"/>
          <w:right w:val="nil"/>
          <w:between w:val="nil"/>
        </w:pBdr>
        <w:spacing w:after="240"/>
        <w:rPr>
          <w:color w:val="222222"/>
          <w:sz w:val="20"/>
          <w:szCs w:val="20"/>
          <w:highlight w:val="white"/>
        </w:rPr>
      </w:pPr>
    </w:p>
    <w:sectPr w:rsidR="0069536A">
      <w:footerReference w:type="default" r:id="rId11"/>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5A64D" w14:textId="77777777" w:rsidR="00142531" w:rsidRDefault="00142531">
      <w:pPr>
        <w:spacing w:line="240" w:lineRule="auto"/>
      </w:pPr>
      <w:r>
        <w:separator/>
      </w:r>
    </w:p>
  </w:endnote>
  <w:endnote w:type="continuationSeparator" w:id="0">
    <w:p w14:paraId="0C39B1FB" w14:textId="77777777" w:rsidR="00142531" w:rsidRDefault="001425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1527A" w14:textId="77777777" w:rsidR="0069536A"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41FA8">
      <w:rPr>
        <w:noProof/>
        <w:color w:val="000000"/>
      </w:rPr>
      <w:t>2</w:t>
    </w:r>
    <w:r>
      <w:rPr>
        <w:color w:val="000000"/>
      </w:rPr>
      <w:fldChar w:fldCharType="end"/>
    </w:r>
  </w:p>
  <w:p w14:paraId="0C95E665" w14:textId="77777777" w:rsidR="0069536A" w:rsidRDefault="0069536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182CC" w14:textId="77777777" w:rsidR="00142531" w:rsidRDefault="00142531">
      <w:pPr>
        <w:spacing w:line="240" w:lineRule="auto"/>
      </w:pPr>
      <w:r>
        <w:separator/>
      </w:r>
    </w:p>
  </w:footnote>
  <w:footnote w:type="continuationSeparator" w:id="0">
    <w:p w14:paraId="73C78703" w14:textId="77777777" w:rsidR="00142531" w:rsidRDefault="001425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257F2"/>
    <w:multiLevelType w:val="multilevel"/>
    <w:tmpl w:val="5B0A2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7412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6A"/>
    <w:rsid w:val="00000357"/>
    <w:rsid w:val="00142531"/>
    <w:rsid w:val="0069536A"/>
    <w:rsid w:val="006C09CF"/>
    <w:rsid w:val="00733DCE"/>
    <w:rsid w:val="00764E6F"/>
    <w:rsid w:val="00841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DD3C2"/>
  <w15:docId w15:val="{00E64E3A-FFAA-492B-9748-D77341136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5FB"/>
    <w:rPr>
      <w:lang w:val="en-GB"/>
    </w:rPr>
  </w:style>
  <w:style w:type="paragraph" w:styleId="Heading1">
    <w:name w:val="heading 1"/>
    <w:basedOn w:val="Normal1"/>
    <w:next w:val="Normal1"/>
    <w:uiPriority w:val="9"/>
    <w:qFormat/>
    <w:rsid w:val="009E6B3D"/>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uiPriority w:val="9"/>
    <w:unhideWhenUsed/>
    <w:qFormat/>
    <w:rsid w:val="009E6B3D"/>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1"/>
    <w:next w:val="Normal1"/>
    <w:uiPriority w:val="9"/>
    <w:semiHidden/>
    <w:unhideWhenUsed/>
    <w:qFormat/>
    <w:rsid w:val="00E1031B"/>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E1031B"/>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E1031B"/>
    <w:pPr>
      <w:keepNext/>
      <w:keepLines/>
      <w:spacing w:before="240" w:after="80"/>
      <w:outlineLvl w:val="4"/>
    </w:pPr>
    <w:rPr>
      <w:color w:val="666666"/>
    </w:rPr>
  </w:style>
  <w:style w:type="paragraph" w:styleId="Heading6">
    <w:name w:val="heading 6"/>
    <w:basedOn w:val="Normal1"/>
    <w:next w:val="Normal1"/>
    <w:uiPriority w:val="9"/>
    <w:semiHidden/>
    <w:unhideWhenUsed/>
    <w:qFormat/>
    <w:rsid w:val="00E1031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E1031B"/>
    <w:pPr>
      <w:keepNext/>
      <w:keepLines/>
      <w:spacing w:after="60"/>
    </w:pPr>
    <w:rPr>
      <w:sz w:val="52"/>
      <w:szCs w:val="52"/>
    </w:rPr>
  </w:style>
  <w:style w:type="paragraph" w:customStyle="1" w:styleId="Normal1">
    <w:name w:val="Normal1"/>
    <w:rsid w:val="00E1031B"/>
  </w:style>
  <w:style w:type="table" w:customStyle="1" w:styleId="TableNormal1">
    <w:name w:val="Table Normal1"/>
    <w:rsid w:val="00E1031B"/>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color w:val="666666"/>
      <w:sz w:val="30"/>
      <w:szCs w:val="30"/>
    </w:rPr>
  </w:style>
  <w:style w:type="paragraph" w:styleId="BalloonText">
    <w:name w:val="Balloon Text"/>
    <w:basedOn w:val="Normal"/>
    <w:link w:val="BalloonTextChar"/>
    <w:uiPriority w:val="99"/>
    <w:semiHidden/>
    <w:unhideWhenUsed/>
    <w:rsid w:val="000164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4EE"/>
    <w:rPr>
      <w:rFonts w:ascii="Tahoma" w:hAnsi="Tahoma" w:cs="Tahoma"/>
      <w:sz w:val="16"/>
      <w:szCs w:val="16"/>
    </w:rPr>
  </w:style>
  <w:style w:type="paragraph" w:styleId="NormalWeb">
    <w:name w:val="Normal (Web)"/>
    <w:basedOn w:val="Normal"/>
    <w:uiPriority w:val="99"/>
    <w:semiHidden/>
    <w:unhideWhenUsed/>
    <w:rsid w:val="000164E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9E6B3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E6B3D"/>
  </w:style>
  <w:style w:type="paragraph" w:styleId="Footer">
    <w:name w:val="footer"/>
    <w:basedOn w:val="Normal"/>
    <w:link w:val="FooterChar"/>
    <w:uiPriority w:val="99"/>
    <w:unhideWhenUsed/>
    <w:rsid w:val="009E6B3D"/>
    <w:pPr>
      <w:tabs>
        <w:tab w:val="center" w:pos="4680"/>
        <w:tab w:val="right" w:pos="9360"/>
      </w:tabs>
      <w:spacing w:line="240" w:lineRule="auto"/>
    </w:pPr>
  </w:style>
  <w:style w:type="character" w:customStyle="1" w:styleId="FooterChar">
    <w:name w:val="Footer Char"/>
    <w:basedOn w:val="DefaultParagraphFont"/>
    <w:link w:val="Footer"/>
    <w:uiPriority w:val="99"/>
    <w:rsid w:val="009E6B3D"/>
  </w:style>
  <w:style w:type="paragraph" w:styleId="TOCHeading">
    <w:name w:val="TOC Heading"/>
    <w:basedOn w:val="Heading1"/>
    <w:next w:val="Normal"/>
    <w:uiPriority w:val="39"/>
    <w:semiHidden/>
    <w:unhideWhenUsed/>
    <w:qFormat/>
    <w:rsid w:val="009E6B3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E6B3D"/>
    <w:pPr>
      <w:spacing w:after="100"/>
    </w:pPr>
  </w:style>
  <w:style w:type="paragraph" w:styleId="TOC2">
    <w:name w:val="toc 2"/>
    <w:basedOn w:val="Normal"/>
    <w:next w:val="Normal"/>
    <w:autoRedefine/>
    <w:uiPriority w:val="39"/>
    <w:unhideWhenUsed/>
    <w:rsid w:val="009E6B3D"/>
    <w:pPr>
      <w:spacing w:after="100"/>
      <w:ind w:left="220"/>
    </w:pPr>
  </w:style>
  <w:style w:type="character" w:styleId="Hyperlink">
    <w:name w:val="Hyperlink"/>
    <w:basedOn w:val="DefaultParagraphFont"/>
    <w:uiPriority w:val="99"/>
    <w:unhideWhenUsed/>
    <w:rsid w:val="009E6B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W+L9DbgFhKc05YgncNVIYcxYAQ==">AMUW2mVjmX0wArlFDo0G6aBs1V3qSDCA0JgOqgOVUkSbs1l8fOyei8gA+8J+fkS0GbKUixFDA6CU7AUl4AR4i8G8weok76p6IjWZtRczgYZf5F817Gib+jN2vhrYpB6i3KoFYR1O5oW93h8aNtV6xr+Hg0QBEAusEb1EgG2FXndPKhbBV9JzPn+V+bC1D0QQrIEw7+2hJRNNuIZoayTZLO0QrGR6auQkv2fjdusRr5jECe+TVSJpBnZz8f45Vs91yzzPJj293GghQ4liqzXRMnwT8x2bQf7SZbKgz3h5tjGw/JSesrs/H8/yUWuaVpHNGqhof2uHEEvnqhXzrAWaz785z+SssjZli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5876</Words>
  <Characters>33494</Characters>
  <Application>Microsoft Office Word</Application>
  <DocSecurity>0</DocSecurity>
  <Lines>279</Lines>
  <Paragraphs>78</Paragraphs>
  <ScaleCrop>false</ScaleCrop>
  <Company/>
  <LinksUpToDate>false</LinksUpToDate>
  <CharactersWithSpaces>39292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Kamrul Hasan</dc:creator>
  <cp:lastModifiedBy>Kamrul Hasan</cp:lastModifiedBy>
  <cp:revision>4</cp:revision>
  <dcterms:created xsi:type="dcterms:W3CDTF">2023-01-02T21:14:00Z</dcterms:created>
  <dcterms:modified xsi:type="dcterms:W3CDTF">2023-01-02T21:42:00Z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6b41f348e471db3990ecc6066c648a0d692349b4705a34ef57899a506a047b22</vt:lpwstr>
  </property>
</Properties>
</file>